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AF069" w14:textId="77777777" w:rsidR="0060445E" w:rsidRPr="00BE0D96" w:rsidRDefault="0060445E" w:rsidP="0060445E">
      <w:pPr>
        <w:pStyle w:val="01Tribunal"/>
        <w:jc w:val="left"/>
        <w:rPr>
          <w:b w:val="0"/>
          <w:sz w:val="24"/>
        </w:rPr>
      </w:pPr>
      <w:r w:rsidRPr="00BE0D96">
        <w:rPr>
          <w:b w:val="0"/>
          <w:sz w:val="24"/>
        </w:rPr>
        <w:t>Translated from the original French</w:t>
      </w:r>
    </w:p>
    <w:p w14:paraId="6364A55D" w14:textId="77777777" w:rsidR="0060445E" w:rsidRDefault="0060445E" w:rsidP="005A3926">
      <w:pPr>
        <w:pStyle w:val="02Section"/>
        <w:rPr>
          <w:lang w:val="en-CA"/>
        </w:rPr>
      </w:pPr>
    </w:p>
    <w:p w14:paraId="647ED0BB" w14:textId="3073BE9F" w:rsidR="005A3926" w:rsidRPr="00BE0D96" w:rsidRDefault="006C2D4A" w:rsidP="005A3926">
      <w:pPr>
        <w:pStyle w:val="02Section"/>
        <w:rPr>
          <w:lang w:val="en-CA"/>
        </w:rPr>
      </w:pPr>
      <w:r w:rsidRPr="00BE0D96">
        <w:rPr>
          <w:lang w:val="en-CA"/>
        </w:rPr>
        <w:t>Social Affairs Section</w:t>
      </w:r>
    </w:p>
    <w:p w14:paraId="701A8C2B" w14:textId="77777777" w:rsidR="005A3926" w:rsidRPr="00BE0D96" w:rsidRDefault="006C2D4A" w:rsidP="005A3926">
      <w:pPr>
        <w:pStyle w:val="03Matiere"/>
        <w:rPr>
          <w:lang w:val="en-CA"/>
        </w:rPr>
      </w:pPr>
      <w:r w:rsidRPr="00BE0D96">
        <w:rPr>
          <w:lang w:val="en-CA"/>
        </w:rPr>
        <w:t>In matters of compensation</w:t>
      </w:r>
    </w:p>
    <w:p w14:paraId="45803F96" w14:textId="77777777" w:rsidR="005A3926" w:rsidRPr="00BE0D96" w:rsidRDefault="005A3926" w:rsidP="005A3926">
      <w:pPr>
        <w:pStyle w:val="03Matiere"/>
        <w:rPr>
          <w:lang w:val="en-CA"/>
        </w:rPr>
      </w:pPr>
    </w:p>
    <w:p w14:paraId="641441F8" w14:textId="77777777" w:rsidR="005A3926" w:rsidRPr="00BE0D96" w:rsidRDefault="005A3926" w:rsidP="005A3926">
      <w:pPr>
        <w:pStyle w:val="03Matiere"/>
        <w:rPr>
          <w:lang w:val="en-CA"/>
        </w:rPr>
      </w:pPr>
    </w:p>
    <w:p w14:paraId="7833B72F" w14:textId="77777777" w:rsidR="005A3926" w:rsidRPr="00BE0D96" w:rsidRDefault="006C2D4A" w:rsidP="005A3926">
      <w:pPr>
        <w:pStyle w:val="03Matiere"/>
        <w:rPr>
          <w:rStyle w:val="040PrefixeDate"/>
          <w:b w:val="0"/>
          <w:sz w:val="24"/>
          <w:lang w:val="en-CA"/>
        </w:rPr>
      </w:pPr>
      <w:r w:rsidRPr="00BE0D96">
        <w:rPr>
          <w:rStyle w:val="040PrefixeDate"/>
          <w:lang w:val="en-CA"/>
        </w:rPr>
        <w:t>Date:</w:t>
      </w:r>
      <w:r w:rsidR="00966EEF" w:rsidRPr="00BE0D96">
        <w:rPr>
          <w:rStyle w:val="040PrefixeDate"/>
          <w:lang w:val="en-CA"/>
        </w:rPr>
        <w:t xml:space="preserve"> </w:t>
      </w:r>
      <w:bookmarkStart w:id="0" w:name="bmDate"/>
      <w:bookmarkEnd w:id="0"/>
      <w:r w:rsidRPr="00BE0D96">
        <w:rPr>
          <w:rStyle w:val="040PrefixeDate"/>
          <w:b w:val="0"/>
          <w:sz w:val="24"/>
          <w:lang w:val="en-CA"/>
        </w:rPr>
        <w:t>July 21, 2021</w:t>
      </w:r>
    </w:p>
    <w:p w14:paraId="73077C15" w14:textId="77777777" w:rsidR="005A3926" w:rsidRPr="00BE0D96" w:rsidRDefault="006C2D4A" w:rsidP="005A3926">
      <w:pPr>
        <w:pStyle w:val="060CompositionFormation"/>
        <w:rPr>
          <w:lang w:val="en-CA"/>
        </w:rPr>
      </w:pPr>
      <w:r w:rsidRPr="00BE0D96">
        <w:rPr>
          <w:lang w:val="en-CA"/>
        </w:rPr>
        <w:t>Neutral citation:</w:t>
      </w:r>
      <w:r w:rsidR="00966EEF" w:rsidRPr="00BE0D96">
        <w:rPr>
          <w:lang w:val="en-CA"/>
        </w:rPr>
        <w:t xml:space="preserve"> </w:t>
      </w:r>
      <w:bookmarkStart w:id="1" w:name="bmRefNeutre"/>
      <w:bookmarkEnd w:id="1"/>
      <w:r w:rsidR="00966EEF" w:rsidRPr="00BE0D96">
        <w:rPr>
          <w:b w:val="0"/>
          <w:sz w:val="24"/>
          <w:lang w:val="en-CA"/>
        </w:rPr>
        <w:t>2021 QCTAQ 07450</w:t>
      </w:r>
    </w:p>
    <w:p w14:paraId="01303522" w14:textId="77777777" w:rsidR="005A3926" w:rsidRPr="00BE0D96" w:rsidRDefault="006C2D4A" w:rsidP="005A3926">
      <w:pPr>
        <w:pStyle w:val="05Dossier"/>
        <w:rPr>
          <w:lang w:val="en-CA"/>
        </w:rPr>
      </w:pPr>
      <w:r w:rsidRPr="00BE0D96">
        <w:rPr>
          <w:rStyle w:val="050PrefixeDossier"/>
          <w:lang w:val="en-CA"/>
        </w:rPr>
        <w:t>File:</w:t>
      </w:r>
      <w:r w:rsidR="00966EEF" w:rsidRPr="00BE0D96">
        <w:rPr>
          <w:lang w:val="en-CA"/>
        </w:rPr>
        <w:t xml:space="preserve"> SAS-M-238204-1506</w:t>
      </w:r>
    </w:p>
    <w:p w14:paraId="31730470" w14:textId="77777777" w:rsidR="005A3926" w:rsidRPr="00BE0D96" w:rsidRDefault="006C2D4A" w:rsidP="005A3926">
      <w:pPr>
        <w:pStyle w:val="060CompositionFormation"/>
        <w:pBdr>
          <w:top w:val="single" w:sz="2" w:space="12" w:color="000000"/>
        </w:pBdr>
        <w:spacing w:before="240"/>
        <w:rPr>
          <w:lang w:val="en-CA"/>
        </w:rPr>
      </w:pPr>
      <w:bookmarkStart w:id="2" w:name="bmMembreTrib"/>
      <w:bookmarkEnd w:id="2"/>
      <w:r w:rsidRPr="00BE0D96">
        <w:rPr>
          <w:lang w:val="en-CA"/>
        </w:rPr>
        <w:t>Presiding Administrative Judge:</w:t>
      </w:r>
      <w:r w:rsidR="00966EEF" w:rsidRPr="00BE0D96">
        <w:rPr>
          <w:lang w:val="en-CA"/>
        </w:rPr>
        <w:t xml:space="preserve"> </w:t>
      </w:r>
    </w:p>
    <w:p w14:paraId="247E012D" w14:textId="77777777" w:rsidR="005A3926" w:rsidRPr="00EB6537" w:rsidRDefault="00966EEF" w:rsidP="005A3926">
      <w:pPr>
        <w:pStyle w:val="06Membre"/>
        <w:rPr>
          <w:lang w:val="fr-CA"/>
        </w:rPr>
      </w:pPr>
      <w:r w:rsidRPr="00EB6537">
        <w:rPr>
          <w:lang w:val="fr-CA"/>
        </w:rPr>
        <w:t xml:space="preserve">STÉPHANIE BOULIANNE </w:t>
      </w:r>
    </w:p>
    <w:p w14:paraId="10FFDB14" w14:textId="77777777" w:rsidR="005A3926" w:rsidRPr="00EB6537" w:rsidRDefault="005A3926" w:rsidP="005A3926">
      <w:pPr>
        <w:pStyle w:val="070DebutDivParties"/>
        <w:rPr>
          <w:color w:val="auto"/>
          <w:lang w:val="fr-CA"/>
        </w:rPr>
      </w:pPr>
    </w:p>
    <w:p w14:paraId="4284412E" w14:textId="564115B6" w:rsidR="005A3926" w:rsidRPr="00EB6537" w:rsidRDefault="00966EEF" w:rsidP="005A3926">
      <w:pPr>
        <w:pStyle w:val="071IdentificationPartie"/>
        <w:rPr>
          <w:lang w:val="fr-CA"/>
        </w:rPr>
      </w:pPr>
      <w:bookmarkStart w:id="3" w:name="FinReqSignet"/>
      <w:bookmarkEnd w:id="3"/>
      <w:r w:rsidRPr="00EB6537">
        <w:rPr>
          <w:lang w:val="fr-CA"/>
        </w:rPr>
        <w:t>A.</w:t>
      </w:r>
      <w:r w:rsidR="008D03BD">
        <w:rPr>
          <w:lang w:val="fr-CA"/>
        </w:rPr>
        <w:t xml:space="preserve"> </w:t>
      </w:r>
      <w:r w:rsidRPr="00EB6537">
        <w:rPr>
          <w:lang w:val="fr-CA"/>
        </w:rPr>
        <w:t>S.</w:t>
      </w:r>
    </w:p>
    <w:p w14:paraId="66C558AA" w14:textId="77777777" w:rsidR="005A3926" w:rsidRPr="00EB6537" w:rsidRDefault="006C2D4A" w:rsidP="005A3926">
      <w:pPr>
        <w:pStyle w:val="073QualitePartie"/>
        <w:rPr>
          <w:lang w:val="fr-CA"/>
        </w:rPr>
      </w:pPr>
      <w:bookmarkStart w:id="4" w:name="FinReq"/>
      <w:bookmarkEnd w:id="4"/>
      <w:r w:rsidRPr="00EB6537">
        <w:rPr>
          <w:lang w:val="fr-CA"/>
        </w:rPr>
        <w:t>Applicant</w:t>
      </w:r>
    </w:p>
    <w:p w14:paraId="3BE756E9" w14:textId="77777777" w:rsidR="005A3926" w:rsidRPr="00EB6537" w:rsidRDefault="006C2D4A" w:rsidP="005A3926">
      <w:pPr>
        <w:pStyle w:val="071IdentificationPartie"/>
        <w:rPr>
          <w:lang w:val="fr-CA"/>
        </w:rPr>
      </w:pPr>
      <w:r w:rsidRPr="00EB6537">
        <w:rPr>
          <w:lang w:val="fr-CA"/>
        </w:rPr>
        <w:t>v.</w:t>
      </w:r>
    </w:p>
    <w:p w14:paraId="34FE0ABA" w14:textId="77777777" w:rsidR="005A3926" w:rsidRPr="00EB6537" w:rsidRDefault="006C2D4A" w:rsidP="005A3926">
      <w:pPr>
        <w:pStyle w:val="071IdentificationPartie"/>
        <w:rPr>
          <w:lang w:val="fr-CA"/>
        </w:rPr>
      </w:pPr>
      <w:bookmarkStart w:id="5" w:name="PageMise"/>
      <w:bookmarkStart w:id="6" w:name="sApresC"/>
      <w:bookmarkStart w:id="7" w:name="FinIntiSignet"/>
      <w:bookmarkEnd w:id="5"/>
      <w:bookmarkEnd w:id="6"/>
      <w:bookmarkEnd w:id="7"/>
      <w:r w:rsidRPr="00EB6537">
        <w:rPr>
          <w:lang w:val="fr-CA"/>
        </w:rPr>
        <w:t>SOCIÉTÉ DE L'ASSURANCE AUTOMOBILE DU QUÉBEC</w:t>
      </w:r>
    </w:p>
    <w:p w14:paraId="18129E54" w14:textId="60721FE9" w:rsidR="005A3926" w:rsidRPr="00BE0D96" w:rsidRDefault="006C2D4A" w:rsidP="0060445E">
      <w:pPr>
        <w:pStyle w:val="073QualitePartie"/>
        <w:rPr>
          <w:lang w:val="en-CA"/>
        </w:rPr>
      </w:pPr>
      <w:bookmarkStart w:id="8" w:name="FinInti"/>
      <w:bookmarkStart w:id="9" w:name="FinPageTitre"/>
      <w:bookmarkStart w:id="10" w:name="sAvant1Et"/>
      <w:bookmarkEnd w:id="8"/>
      <w:bookmarkEnd w:id="9"/>
      <w:bookmarkEnd w:id="10"/>
      <w:r w:rsidRPr="00BE0D96">
        <w:rPr>
          <w:lang w:val="en-CA"/>
        </w:rPr>
        <w:t>Respondent</w:t>
      </w:r>
      <w:bookmarkStart w:id="11" w:name="_GoBack"/>
      <w:bookmarkEnd w:id="11"/>
    </w:p>
    <w:p w14:paraId="1D50C486" w14:textId="77777777" w:rsidR="005A3926" w:rsidRPr="00BE0D96" w:rsidRDefault="005A3926" w:rsidP="005A3926">
      <w:pPr>
        <w:pStyle w:val="070FinDivParties"/>
        <w:rPr>
          <w:color w:val="auto"/>
          <w:lang w:val="en-CA"/>
        </w:rPr>
        <w:sectPr w:rsidR="005A3926" w:rsidRPr="00BE0D96" w:rsidSect="005A3926">
          <w:headerReference w:type="default" r:id="rId8"/>
          <w:headerReference w:type="first" r:id="rId9"/>
          <w:pgSz w:w="12240" w:h="15840"/>
          <w:pgMar w:top="2880" w:right="1080" w:bottom="2016" w:left="1440" w:header="1699" w:footer="706" w:gutter="0"/>
          <w:cols w:space="720"/>
          <w:titlePg/>
          <w:docGrid w:linePitch="326"/>
        </w:sectPr>
      </w:pPr>
      <w:bookmarkStart w:id="12" w:name="sEndLine"/>
      <w:bookmarkEnd w:id="12"/>
    </w:p>
    <w:p w14:paraId="3E901183" w14:textId="77777777" w:rsidR="005A3926" w:rsidRPr="00BE0D96" w:rsidRDefault="006C2D4A" w:rsidP="005A3926">
      <w:pPr>
        <w:pStyle w:val="10TypeDecision"/>
        <w:pBdr>
          <w:top w:val="single" w:sz="2" w:space="12" w:color="000000"/>
          <w:bottom w:val="single" w:sz="2" w:space="12" w:color="000000"/>
        </w:pBdr>
        <w:rPr>
          <w:lang w:val="en-CA"/>
        </w:rPr>
      </w:pPr>
      <w:bookmarkStart w:id="13" w:name="DebutSection2"/>
      <w:bookmarkStart w:id="14" w:name="sDecision"/>
      <w:bookmarkEnd w:id="13"/>
      <w:bookmarkEnd w:id="14"/>
      <w:r w:rsidRPr="00BE0D96">
        <w:rPr>
          <w:lang w:val="en-CA"/>
        </w:rPr>
        <w:lastRenderedPageBreak/>
        <w:t>INCIDENTAL DECISION</w:t>
      </w:r>
    </w:p>
    <w:p w14:paraId="37FC9759" w14:textId="77777777" w:rsidR="005A3926" w:rsidRPr="00BE0D96" w:rsidRDefault="005A3926" w:rsidP="005A3926">
      <w:pPr>
        <w:pStyle w:val="00NormalDecision"/>
        <w:rPr>
          <w:lang w:val="en-CA"/>
        </w:rPr>
        <w:sectPr w:rsidR="005A3926" w:rsidRPr="00BE0D96">
          <w:headerReference w:type="default" r:id="rId10"/>
          <w:pgSz w:w="12240" w:h="15840"/>
          <w:pgMar w:top="2792" w:right="1080" w:bottom="2016" w:left="1440" w:header="1699" w:footer="720" w:gutter="0"/>
          <w:cols w:space="720"/>
        </w:sectPr>
      </w:pPr>
      <w:bookmarkStart w:id="15" w:name="FinSection2"/>
      <w:bookmarkEnd w:id="15"/>
    </w:p>
    <w:p w14:paraId="7046F31E" w14:textId="77777777" w:rsidR="005A3926" w:rsidRPr="00BE0D96" w:rsidRDefault="005A3926" w:rsidP="005A3926">
      <w:pPr>
        <w:pStyle w:val="00NormalDecision"/>
        <w:rPr>
          <w:lang w:val="en-CA"/>
        </w:rPr>
        <w:sectPr w:rsidR="005A3926" w:rsidRPr="00BE0D96" w:rsidSect="005A3926">
          <w:type w:val="continuous"/>
          <w:pgSz w:w="12240" w:h="15840"/>
          <w:pgMar w:top="2792" w:right="1080" w:bottom="2016" w:left="1440" w:header="1699" w:footer="720" w:gutter="0"/>
          <w:cols w:space="720"/>
        </w:sectPr>
      </w:pPr>
    </w:p>
    <w:p w14:paraId="6CE9B22B" w14:textId="77777777" w:rsidR="005A3926" w:rsidRPr="00BE0D96" w:rsidRDefault="005A3926" w:rsidP="005A3926">
      <w:pPr>
        <w:pStyle w:val="00NormalDecision"/>
        <w:rPr>
          <w:lang w:val="en-CA"/>
        </w:rPr>
      </w:pPr>
    </w:p>
    <w:p w14:paraId="5C650797" w14:textId="77777777" w:rsidR="005A3926" w:rsidRPr="00BE0D96" w:rsidRDefault="005A3926" w:rsidP="005A3926">
      <w:pPr>
        <w:pStyle w:val="00NormalDecision"/>
        <w:rPr>
          <w:lang w:val="en-CA"/>
        </w:rPr>
        <w:sectPr w:rsidR="005A3926" w:rsidRPr="00BE0D96" w:rsidSect="005A3926">
          <w:type w:val="continuous"/>
          <w:pgSz w:w="12240" w:h="15840"/>
          <w:pgMar w:top="2792" w:right="1080" w:bottom="2016" w:left="1440" w:header="1699" w:footer="720" w:gutter="0"/>
          <w:cols w:space="720"/>
        </w:sectPr>
      </w:pPr>
    </w:p>
    <w:p w14:paraId="2AE12252" w14:textId="77777777" w:rsidR="005A3926" w:rsidRPr="00BE0D96" w:rsidRDefault="006C2D4A" w:rsidP="005A3926">
      <w:pPr>
        <w:pStyle w:val="F02-Texte"/>
        <w:numPr>
          <w:ilvl w:val="0"/>
          <w:numId w:val="0"/>
        </w:numPr>
        <w:rPr>
          <w:b/>
          <w:lang w:val="en-CA"/>
        </w:rPr>
      </w:pPr>
      <w:r w:rsidRPr="00BE0D96">
        <w:rPr>
          <w:b/>
          <w:lang w:val="en-CA"/>
        </w:rPr>
        <w:t>OVERVIEW</w:t>
      </w:r>
    </w:p>
    <w:p w14:paraId="19EE5DF0" w14:textId="04ADB5FE" w:rsidR="005A3926" w:rsidRPr="00BE0D96" w:rsidRDefault="000F4B0F" w:rsidP="005A3926">
      <w:pPr>
        <w:pStyle w:val="F02-Texte"/>
        <w:spacing w:before="360"/>
        <w:rPr>
          <w:lang w:val="en-CA"/>
        </w:rPr>
      </w:pPr>
      <w:r w:rsidRPr="00BE0D96">
        <w:rPr>
          <w:lang w:val="en-CA"/>
        </w:rPr>
        <w:t xml:space="preserve">As a preliminary matter, the </w:t>
      </w:r>
      <w:r w:rsidR="00966EEF" w:rsidRPr="00BE0D96">
        <w:rPr>
          <w:lang w:val="en-CA"/>
        </w:rPr>
        <w:t>Tribunal</w:t>
      </w:r>
      <w:r w:rsidRPr="00BE0D96">
        <w:rPr>
          <w:lang w:val="en-CA"/>
        </w:rPr>
        <w:t xml:space="preserve"> is asked to rule on </w:t>
      </w:r>
      <w:r w:rsidR="00D65EB8" w:rsidRPr="00BE0D96">
        <w:rPr>
          <w:lang w:val="en-CA"/>
        </w:rPr>
        <w:t xml:space="preserve">the applicant’s </w:t>
      </w:r>
      <w:r w:rsidRPr="00BE0D96">
        <w:rPr>
          <w:lang w:val="en-CA"/>
        </w:rPr>
        <w:t xml:space="preserve">motion </w:t>
      </w:r>
      <w:r w:rsidR="00D65EB8" w:rsidRPr="00BE0D96">
        <w:rPr>
          <w:lang w:val="en-CA"/>
        </w:rPr>
        <w:t xml:space="preserve">to dismiss and to reject evidence </w:t>
      </w:r>
      <w:r w:rsidR="00EB6537">
        <w:rPr>
          <w:lang w:val="en-CA"/>
        </w:rPr>
        <w:t>comprising</w:t>
      </w:r>
      <w:r w:rsidR="00D65EB8" w:rsidRPr="00BE0D96">
        <w:rPr>
          <w:lang w:val="en-CA"/>
        </w:rPr>
        <w:t xml:space="preserve"> the </w:t>
      </w:r>
      <w:r w:rsidR="00857FA3">
        <w:rPr>
          <w:lang w:val="en-CA"/>
        </w:rPr>
        <w:t>surveillance</w:t>
      </w:r>
      <w:r w:rsidR="00857FA3" w:rsidRPr="00BE0D96">
        <w:rPr>
          <w:lang w:val="en-CA"/>
        </w:rPr>
        <w:t xml:space="preserve"> </w:t>
      </w:r>
      <w:r w:rsidR="00D65EB8" w:rsidRPr="00BE0D96">
        <w:rPr>
          <w:lang w:val="en-CA"/>
        </w:rPr>
        <w:t xml:space="preserve">report, the recording, </w:t>
      </w:r>
      <w:r w:rsidR="00EB6537">
        <w:rPr>
          <w:lang w:val="en-CA"/>
        </w:rPr>
        <w:t xml:space="preserve">and </w:t>
      </w:r>
      <w:r w:rsidR="00D65EB8" w:rsidRPr="00BE0D96">
        <w:rPr>
          <w:lang w:val="en-CA"/>
        </w:rPr>
        <w:t xml:space="preserve">the </w:t>
      </w:r>
      <w:r w:rsidR="00857FA3">
        <w:rPr>
          <w:lang w:val="en-CA"/>
        </w:rPr>
        <w:t xml:space="preserve">physical </w:t>
      </w:r>
      <w:r w:rsidR="00966EEF" w:rsidRPr="00BE0D96">
        <w:rPr>
          <w:lang w:val="en-CA"/>
        </w:rPr>
        <w:t>surveillance</w:t>
      </w:r>
      <w:r w:rsidR="00D65EB8" w:rsidRPr="00BE0D96">
        <w:rPr>
          <w:i/>
          <w:lang w:val="en-CA"/>
        </w:rPr>
        <w:t xml:space="preserve"> </w:t>
      </w:r>
      <w:r w:rsidR="00D65EB8" w:rsidRPr="00BE0D96">
        <w:rPr>
          <w:lang w:val="en-CA"/>
        </w:rPr>
        <w:t xml:space="preserve">by the </w:t>
      </w:r>
      <w:r w:rsidR="00966EEF" w:rsidRPr="00BE0D96">
        <w:rPr>
          <w:lang w:val="en-CA"/>
        </w:rPr>
        <w:t>Société de l’assurance automobile du Québec (</w:t>
      </w:r>
      <w:r w:rsidR="00D65EB8" w:rsidRPr="00BE0D96">
        <w:rPr>
          <w:lang w:val="en-CA"/>
        </w:rPr>
        <w:t xml:space="preserve">the </w:t>
      </w:r>
      <w:r w:rsidR="00966EEF" w:rsidRPr="00BE0D96">
        <w:rPr>
          <w:lang w:val="en-CA"/>
        </w:rPr>
        <w:t>Société).</w:t>
      </w:r>
    </w:p>
    <w:p w14:paraId="689671DD" w14:textId="09E21098" w:rsidR="005A3926" w:rsidRPr="00BE0D96" w:rsidRDefault="007F62B6" w:rsidP="005A3926">
      <w:pPr>
        <w:pStyle w:val="F02-Texte"/>
        <w:spacing w:before="360"/>
        <w:rPr>
          <w:lang w:val="en-CA"/>
        </w:rPr>
      </w:pPr>
      <w:r w:rsidRPr="00BE0D96">
        <w:rPr>
          <w:lang w:val="en-CA"/>
        </w:rPr>
        <w:t>D</w:t>
      </w:r>
      <w:r w:rsidR="00EA7B06" w:rsidRPr="00BE0D96">
        <w:rPr>
          <w:lang w:val="en-CA"/>
        </w:rPr>
        <w:t xml:space="preserve">uring a </w:t>
      </w:r>
      <w:r w:rsidR="00966EEF" w:rsidRPr="00BE0D96">
        <w:rPr>
          <w:lang w:val="en-CA"/>
        </w:rPr>
        <w:t>case</w:t>
      </w:r>
      <w:r w:rsidRPr="00BE0D96">
        <w:rPr>
          <w:lang w:val="en-CA"/>
        </w:rPr>
        <w:t xml:space="preserve"> </w:t>
      </w:r>
      <w:r w:rsidR="00966EEF" w:rsidRPr="00BE0D96">
        <w:rPr>
          <w:lang w:val="en-CA"/>
        </w:rPr>
        <w:t>management</w:t>
      </w:r>
      <w:r w:rsidRPr="00BE0D96">
        <w:rPr>
          <w:lang w:val="en-CA"/>
        </w:rPr>
        <w:t xml:space="preserve"> </w:t>
      </w:r>
      <w:r w:rsidR="00966EEF" w:rsidRPr="00BE0D96">
        <w:rPr>
          <w:lang w:val="en-CA"/>
        </w:rPr>
        <w:t>conference</w:t>
      </w:r>
      <w:r w:rsidRPr="00BE0D96">
        <w:rPr>
          <w:lang w:val="en-CA"/>
        </w:rPr>
        <w:t xml:space="preserve">, it was agreed to split the proceeding so that the Tribunal could first rule on the </w:t>
      </w:r>
      <w:r w:rsidR="00966EEF" w:rsidRPr="00BE0D96">
        <w:rPr>
          <w:lang w:val="en-CA"/>
        </w:rPr>
        <w:t>preliminary</w:t>
      </w:r>
      <w:r w:rsidRPr="00BE0D96">
        <w:rPr>
          <w:lang w:val="en-CA"/>
        </w:rPr>
        <w:t xml:space="preserve"> </w:t>
      </w:r>
      <w:r w:rsidR="00966EEF" w:rsidRPr="00BE0D96">
        <w:rPr>
          <w:lang w:val="en-CA"/>
        </w:rPr>
        <w:t xml:space="preserve">exception. </w:t>
      </w:r>
      <w:r w:rsidRPr="00BE0D96">
        <w:rPr>
          <w:lang w:val="en-CA"/>
        </w:rPr>
        <w:t xml:space="preserve">This exception is part of the appellant’s </w:t>
      </w:r>
      <w:r w:rsidR="00966EEF" w:rsidRPr="00BE0D96">
        <w:rPr>
          <w:lang w:val="en-CA"/>
        </w:rPr>
        <w:t>contestation</w:t>
      </w:r>
      <w:r w:rsidRPr="00BE0D96">
        <w:rPr>
          <w:lang w:val="en-CA"/>
        </w:rPr>
        <w:t xml:space="preserve"> of a </w:t>
      </w:r>
      <w:r w:rsidR="00966EEF" w:rsidRPr="00BE0D96">
        <w:rPr>
          <w:lang w:val="en-CA"/>
        </w:rPr>
        <w:t>decision</w:t>
      </w:r>
      <w:r w:rsidRPr="00BE0D96">
        <w:rPr>
          <w:lang w:val="en-CA"/>
        </w:rPr>
        <w:t xml:space="preserve"> rendered by the </w:t>
      </w:r>
      <w:r w:rsidR="00966EEF" w:rsidRPr="00BE0D96">
        <w:rPr>
          <w:lang w:val="en-CA"/>
        </w:rPr>
        <w:t>Société</w:t>
      </w:r>
      <w:r w:rsidRPr="00BE0D96">
        <w:rPr>
          <w:lang w:val="en-CA"/>
        </w:rPr>
        <w:t xml:space="preserve"> on </w:t>
      </w:r>
      <w:r w:rsidR="00966EEF" w:rsidRPr="00BE0D96">
        <w:rPr>
          <w:lang w:val="en-CA"/>
        </w:rPr>
        <w:t>June</w:t>
      </w:r>
      <w:r w:rsidRPr="00BE0D96">
        <w:rPr>
          <w:lang w:val="en-CA"/>
        </w:rPr>
        <w:t xml:space="preserve"> 12,</w:t>
      </w:r>
      <w:r w:rsidR="00966EEF" w:rsidRPr="00BE0D96">
        <w:rPr>
          <w:lang w:val="en-CA"/>
        </w:rPr>
        <w:t> 2015</w:t>
      </w:r>
      <w:r w:rsidRPr="00BE0D96">
        <w:rPr>
          <w:lang w:val="en-CA"/>
        </w:rPr>
        <w:t xml:space="preserve">, finding that </w:t>
      </w:r>
      <w:r w:rsidR="00C70469" w:rsidRPr="00BE0D96">
        <w:rPr>
          <w:lang w:val="en-CA"/>
        </w:rPr>
        <w:t xml:space="preserve">no accident occurred on </w:t>
      </w:r>
      <w:r w:rsidR="00966EEF" w:rsidRPr="00BE0D96">
        <w:rPr>
          <w:lang w:val="en-CA"/>
        </w:rPr>
        <w:t>February</w:t>
      </w:r>
      <w:r w:rsidR="00C70469" w:rsidRPr="00BE0D96">
        <w:rPr>
          <w:lang w:val="en-CA"/>
        </w:rPr>
        <w:t xml:space="preserve"> 6,</w:t>
      </w:r>
      <w:r w:rsidR="00966EEF" w:rsidRPr="00BE0D96">
        <w:rPr>
          <w:lang w:val="en-CA"/>
        </w:rPr>
        <w:t> 2013</w:t>
      </w:r>
      <w:r w:rsidR="00C70469" w:rsidRPr="00BE0D96">
        <w:rPr>
          <w:lang w:val="en-CA"/>
        </w:rPr>
        <w:t>, and claiming $</w:t>
      </w:r>
      <w:r w:rsidR="00966EEF" w:rsidRPr="00BE0D96">
        <w:rPr>
          <w:lang w:val="en-CA"/>
        </w:rPr>
        <w:t>57</w:t>
      </w:r>
      <w:r w:rsidR="00C70469" w:rsidRPr="00BE0D96">
        <w:rPr>
          <w:lang w:val="en-CA"/>
        </w:rPr>
        <w:t>,</w:t>
      </w:r>
      <w:r w:rsidR="00966EEF" w:rsidRPr="00BE0D96">
        <w:rPr>
          <w:lang w:val="en-CA"/>
        </w:rPr>
        <w:t>847</w:t>
      </w:r>
      <w:r w:rsidR="00C70469" w:rsidRPr="00BE0D96">
        <w:rPr>
          <w:lang w:val="en-CA"/>
        </w:rPr>
        <w:t>.</w:t>
      </w:r>
      <w:r w:rsidR="00966EEF" w:rsidRPr="00BE0D96">
        <w:rPr>
          <w:lang w:val="en-CA"/>
        </w:rPr>
        <w:t>63</w:t>
      </w:r>
      <w:r w:rsidR="00C70469" w:rsidRPr="00BE0D96">
        <w:rPr>
          <w:lang w:val="en-CA"/>
        </w:rPr>
        <w:t xml:space="preserve"> in overpaid </w:t>
      </w:r>
      <w:r w:rsidR="00F86B38" w:rsidRPr="00BE0D96">
        <w:rPr>
          <w:lang w:val="en-CA"/>
        </w:rPr>
        <w:t>indemnities</w:t>
      </w:r>
      <w:r w:rsidR="00966EEF" w:rsidRPr="00BE0D96">
        <w:rPr>
          <w:lang w:val="en-CA"/>
        </w:rPr>
        <w:t xml:space="preserve">. </w:t>
      </w:r>
    </w:p>
    <w:p w14:paraId="6E9B1588" w14:textId="4C07D64C" w:rsidR="005A3926" w:rsidRPr="00BE0D96" w:rsidRDefault="003923BD" w:rsidP="005A3926">
      <w:pPr>
        <w:pStyle w:val="F02-Texte"/>
        <w:spacing w:before="360"/>
        <w:rPr>
          <w:lang w:val="en-CA"/>
        </w:rPr>
      </w:pPr>
      <w:r w:rsidRPr="00BE0D96">
        <w:rPr>
          <w:lang w:val="en-CA"/>
        </w:rPr>
        <w:t xml:space="preserve">In support of its </w:t>
      </w:r>
      <w:r w:rsidR="00966EEF" w:rsidRPr="00BE0D96">
        <w:rPr>
          <w:lang w:val="en-CA"/>
        </w:rPr>
        <w:t xml:space="preserve">position </w:t>
      </w:r>
      <w:r w:rsidRPr="00BE0D96">
        <w:rPr>
          <w:lang w:val="en-CA"/>
        </w:rPr>
        <w:t xml:space="preserve">on the merits, the </w:t>
      </w:r>
      <w:r w:rsidR="00966EEF" w:rsidRPr="00BE0D96">
        <w:rPr>
          <w:lang w:val="en-CA"/>
        </w:rPr>
        <w:t>Société</w:t>
      </w:r>
      <w:r w:rsidRPr="00BE0D96">
        <w:rPr>
          <w:lang w:val="en-CA"/>
        </w:rPr>
        <w:t xml:space="preserve"> filed an investigation and </w:t>
      </w:r>
      <w:r w:rsidR="00966EEF" w:rsidRPr="00BE0D96">
        <w:rPr>
          <w:lang w:val="en-CA"/>
        </w:rPr>
        <w:t>surveillance</w:t>
      </w:r>
      <w:r w:rsidRPr="00BE0D96">
        <w:rPr>
          <w:lang w:val="en-CA"/>
        </w:rPr>
        <w:t xml:space="preserve"> report that contains videos and the details of three</w:t>
      </w:r>
      <w:r w:rsidR="00966EEF" w:rsidRPr="00BE0D96">
        <w:rPr>
          <w:lang w:val="en-CA"/>
        </w:rPr>
        <w:t xml:space="preserve"> </w:t>
      </w:r>
      <w:r w:rsidR="00EB6537">
        <w:rPr>
          <w:lang w:val="en-CA"/>
        </w:rPr>
        <w:t>additional</w:t>
      </w:r>
      <w:r w:rsidRPr="00BE0D96">
        <w:rPr>
          <w:lang w:val="en-CA"/>
        </w:rPr>
        <w:t xml:space="preserve"> investigations</w:t>
      </w:r>
      <w:r w:rsidR="00966EEF" w:rsidRPr="00BE0D96">
        <w:rPr>
          <w:lang w:val="en-CA"/>
        </w:rPr>
        <w:t xml:space="preserve">. </w:t>
      </w:r>
    </w:p>
    <w:p w14:paraId="4E95F1F9" w14:textId="3742BA24" w:rsidR="005A3926" w:rsidRPr="00BE0D96" w:rsidRDefault="00A45D0C" w:rsidP="005A3926">
      <w:pPr>
        <w:pStyle w:val="F02-Texte"/>
        <w:spacing w:before="360"/>
        <w:rPr>
          <w:lang w:val="en-CA"/>
        </w:rPr>
      </w:pPr>
      <w:r w:rsidRPr="00BE0D96">
        <w:rPr>
          <w:lang w:val="en-CA"/>
        </w:rPr>
        <w:t xml:space="preserve">In her motion, the applicant asks the </w:t>
      </w:r>
      <w:r w:rsidR="00966EEF" w:rsidRPr="00BE0D96">
        <w:rPr>
          <w:lang w:val="en-CA"/>
        </w:rPr>
        <w:t>Tribunal</w:t>
      </w:r>
      <w:r w:rsidRPr="00BE0D96">
        <w:rPr>
          <w:lang w:val="en-CA"/>
        </w:rPr>
        <w:t xml:space="preserve"> to declare the investigation report dated </w:t>
      </w:r>
      <w:r w:rsidR="00966EEF" w:rsidRPr="00BE0D96">
        <w:rPr>
          <w:lang w:val="en-CA"/>
        </w:rPr>
        <w:t>July</w:t>
      </w:r>
      <w:r w:rsidRPr="00BE0D96">
        <w:rPr>
          <w:lang w:val="en-CA"/>
        </w:rPr>
        <w:t xml:space="preserve"> 24,</w:t>
      </w:r>
      <w:r w:rsidR="00966EEF" w:rsidRPr="00BE0D96">
        <w:rPr>
          <w:lang w:val="en-CA"/>
        </w:rPr>
        <w:t xml:space="preserve"> 2014, </w:t>
      </w:r>
      <w:r w:rsidRPr="00BE0D96">
        <w:rPr>
          <w:lang w:val="en-CA"/>
        </w:rPr>
        <w:t xml:space="preserve">its </w:t>
      </w:r>
      <w:r w:rsidR="00966EEF" w:rsidRPr="00BE0D96">
        <w:rPr>
          <w:lang w:val="en-CA"/>
        </w:rPr>
        <w:t>schedules</w:t>
      </w:r>
      <w:r w:rsidRPr="00BE0D96">
        <w:rPr>
          <w:lang w:val="en-CA"/>
        </w:rPr>
        <w:t xml:space="preserve"> and the </w:t>
      </w:r>
      <w:r w:rsidR="0042513F" w:rsidRPr="00BE0D96">
        <w:rPr>
          <w:lang w:val="en-CA"/>
        </w:rPr>
        <w:t xml:space="preserve">additional </w:t>
      </w:r>
      <w:r w:rsidRPr="00BE0D96">
        <w:rPr>
          <w:lang w:val="en-CA"/>
        </w:rPr>
        <w:t>investigation</w:t>
      </w:r>
      <w:r w:rsidR="005A3926" w:rsidRPr="00BE0D96">
        <w:rPr>
          <w:lang w:val="en-CA"/>
        </w:rPr>
        <w:t xml:space="preserve"> details</w:t>
      </w:r>
      <w:r w:rsidRPr="00BE0D96">
        <w:rPr>
          <w:lang w:val="en-CA"/>
        </w:rPr>
        <w:t xml:space="preserve"> inadmissible in evidence</w:t>
      </w:r>
      <w:r w:rsidR="00966EEF" w:rsidRPr="00BE0D96">
        <w:rPr>
          <w:lang w:val="en-CA"/>
        </w:rPr>
        <w:t xml:space="preserve">. </w:t>
      </w:r>
      <w:r w:rsidRPr="00BE0D96">
        <w:rPr>
          <w:lang w:val="en-CA"/>
        </w:rPr>
        <w:t xml:space="preserve">She argues that </w:t>
      </w:r>
      <w:r w:rsidR="00EB6537">
        <w:rPr>
          <w:lang w:val="en-CA"/>
        </w:rPr>
        <w:t>this evidence</w:t>
      </w:r>
      <w:r w:rsidRPr="00BE0D96">
        <w:rPr>
          <w:lang w:val="en-CA"/>
        </w:rPr>
        <w:t xml:space="preserve"> infringe</w:t>
      </w:r>
      <w:r w:rsidR="00966EEF" w:rsidRPr="00BE0D96">
        <w:rPr>
          <w:lang w:val="en-CA"/>
        </w:rPr>
        <w:t>s</w:t>
      </w:r>
      <w:r w:rsidRPr="00BE0D96">
        <w:rPr>
          <w:lang w:val="en-CA"/>
        </w:rPr>
        <w:t xml:space="preserve"> her </w:t>
      </w:r>
      <w:r w:rsidR="00966EEF" w:rsidRPr="00BE0D96">
        <w:rPr>
          <w:lang w:val="en-CA"/>
        </w:rPr>
        <w:t>right</w:t>
      </w:r>
      <w:r w:rsidRPr="00BE0D96">
        <w:rPr>
          <w:lang w:val="en-CA"/>
        </w:rPr>
        <w:t xml:space="preserve"> </w:t>
      </w:r>
      <w:r w:rsidR="00966EEF" w:rsidRPr="00BE0D96">
        <w:rPr>
          <w:lang w:val="en-CA"/>
        </w:rPr>
        <w:t>to</w:t>
      </w:r>
      <w:r w:rsidRPr="00BE0D96">
        <w:rPr>
          <w:lang w:val="en-CA"/>
        </w:rPr>
        <w:t xml:space="preserve"> </w:t>
      </w:r>
      <w:r w:rsidR="00966EEF" w:rsidRPr="00BE0D96">
        <w:rPr>
          <w:lang w:val="en-CA"/>
        </w:rPr>
        <w:t>privacy</w:t>
      </w:r>
      <w:r w:rsidRPr="00BE0D96">
        <w:rPr>
          <w:lang w:val="en-CA"/>
        </w:rPr>
        <w:t xml:space="preserve"> and her re</w:t>
      </w:r>
      <w:r w:rsidR="00966EEF" w:rsidRPr="00BE0D96">
        <w:rPr>
          <w:lang w:val="en-CA"/>
        </w:rPr>
        <w:t xml:space="preserve">putation, </w:t>
      </w:r>
      <w:r w:rsidRPr="00BE0D96">
        <w:rPr>
          <w:lang w:val="en-CA"/>
        </w:rPr>
        <w:t xml:space="preserve">that </w:t>
      </w:r>
      <w:r w:rsidR="00966EEF" w:rsidRPr="00BE0D96">
        <w:rPr>
          <w:lang w:val="en-CA"/>
        </w:rPr>
        <w:t>it</w:t>
      </w:r>
      <w:r w:rsidRPr="00BE0D96">
        <w:rPr>
          <w:lang w:val="en-CA"/>
        </w:rPr>
        <w:t xml:space="preserve"> bring</w:t>
      </w:r>
      <w:r w:rsidR="00966EEF" w:rsidRPr="00BE0D96">
        <w:rPr>
          <w:lang w:val="en-CA"/>
        </w:rPr>
        <w:t>s</w:t>
      </w:r>
      <w:r w:rsidRPr="00BE0D96">
        <w:rPr>
          <w:lang w:val="en-CA"/>
        </w:rPr>
        <w:t xml:space="preserve"> the </w:t>
      </w:r>
      <w:r w:rsidR="00966EEF" w:rsidRPr="00BE0D96">
        <w:rPr>
          <w:lang w:val="en-CA"/>
        </w:rPr>
        <w:t xml:space="preserve">administration </w:t>
      </w:r>
      <w:r w:rsidRPr="00BE0D96">
        <w:rPr>
          <w:lang w:val="en-CA"/>
        </w:rPr>
        <w:t>of</w:t>
      </w:r>
      <w:r w:rsidR="00966EEF" w:rsidRPr="00BE0D96">
        <w:rPr>
          <w:lang w:val="en-CA"/>
        </w:rPr>
        <w:t xml:space="preserve"> justice </w:t>
      </w:r>
      <w:r w:rsidRPr="00BE0D96">
        <w:rPr>
          <w:lang w:val="en-CA"/>
        </w:rPr>
        <w:t>into disrepute</w:t>
      </w:r>
      <w:r w:rsidR="00366868">
        <w:rPr>
          <w:lang w:val="en-CA"/>
        </w:rPr>
        <w:t xml:space="preserve"> because</w:t>
      </w:r>
      <w:r w:rsidRPr="00BE0D96">
        <w:rPr>
          <w:lang w:val="en-CA"/>
        </w:rPr>
        <w:t xml:space="preserve"> </w:t>
      </w:r>
      <w:r w:rsidR="00966EEF" w:rsidRPr="00BE0D96">
        <w:rPr>
          <w:lang w:val="en-CA"/>
        </w:rPr>
        <w:t>it was not initiated on rational and serious grounds, and that the investigation was not carried out through reasonable means.</w:t>
      </w:r>
    </w:p>
    <w:p w14:paraId="6970C920" w14:textId="620CF78D" w:rsidR="005A3926" w:rsidRPr="00BE0D96" w:rsidRDefault="004279DD" w:rsidP="005A3926">
      <w:pPr>
        <w:pStyle w:val="F02-Texte"/>
        <w:spacing w:before="360"/>
        <w:rPr>
          <w:lang w:val="en-CA"/>
        </w:rPr>
      </w:pPr>
      <w:r w:rsidRPr="00BE0D96">
        <w:rPr>
          <w:lang w:val="en-CA"/>
        </w:rPr>
        <w:t>In the alternative</w:t>
      </w:r>
      <w:r w:rsidR="00966EEF" w:rsidRPr="00BE0D96">
        <w:rPr>
          <w:lang w:val="en-CA"/>
        </w:rPr>
        <w:t>,</w:t>
      </w:r>
      <w:r w:rsidRPr="00BE0D96">
        <w:rPr>
          <w:lang w:val="en-CA"/>
        </w:rPr>
        <w:t xml:space="preserve"> if the Tribunal does not declare all of these </w:t>
      </w:r>
      <w:r w:rsidR="00966EEF" w:rsidRPr="00BE0D96">
        <w:rPr>
          <w:lang w:val="en-CA"/>
        </w:rPr>
        <w:t>documents inadmissible,</w:t>
      </w:r>
      <w:r w:rsidRPr="00BE0D96">
        <w:rPr>
          <w:lang w:val="en-CA"/>
        </w:rPr>
        <w:t xml:space="preserve"> she asks that it declare </w:t>
      </w:r>
      <w:r w:rsidR="006E744A">
        <w:rPr>
          <w:lang w:val="en-CA"/>
        </w:rPr>
        <w:t xml:space="preserve">inadmissible </w:t>
      </w:r>
      <w:r w:rsidRPr="00BE0D96">
        <w:rPr>
          <w:lang w:val="en-CA"/>
        </w:rPr>
        <w:t xml:space="preserve">the </w:t>
      </w:r>
      <w:r w:rsidR="00857FA3">
        <w:rPr>
          <w:lang w:val="en-CA"/>
        </w:rPr>
        <w:t xml:space="preserve">physical </w:t>
      </w:r>
      <w:r w:rsidR="00966EEF" w:rsidRPr="00BE0D96">
        <w:rPr>
          <w:lang w:val="en-CA"/>
        </w:rPr>
        <w:t>surveillance</w:t>
      </w:r>
      <w:r w:rsidRPr="00BE0D96">
        <w:rPr>
          <w:lang w:val="en-CA"/>
        </w:rPr>
        <w:t xml:space="preserve">, the video </w:t>
      </w:r>
      <w:r w:rsidR="00857FA3">
        <w:rPr>
          <w:lang w:val="en-CA"/>
        </w:rPr>
        <w:t>surveillance</w:t>
      </w:r>
      <w:r w:rsidRPr="00BE0D96">
        <w:rPr>
          <w:lang w:val="en-CA"/>
        </w:rPr>
        <w:t>, and the</w:t>
      </w:r>
      <w:r w:rsidR="009F1078" w:rsidRPr="00BE0D96">
        <w:rPr>
          <w:lang w:val="en-CA"/>
        </w:rPr>
        <w:t xml:space="preserve"> elements of the investigation that were obtained through th</w:t>
      </w:r>
      <w:r w:rsidR="006E744A">
        <w:rPr>
          <w:lang w:val="en-CA"/>
        </w:rPr>
        <w:t>e</w:t>
      </w:r>
      <w:r w:rsidR="009F1078" w:rsidRPr="00BE0D96">
        <w:rPr>
          <w:lang w:val="en-CA"/>
        </w:rPr>
        <w:t xml:space="preserve"> </w:t>
      </w:r>
      <w:r w:rsidR="00966EEF" w:rsidRPr="00BE0D96">
        <w:rPr>
          <w:lang w:val="en-CA"/>
        </w:rPr>
        <w:t>surveillance,</w:t>
      </w:r>
      <w:r w:rsidR="009F1078" w:rsidRPr="00BE0D96">
        <w:rPr>
          <w:lang w:val="en-CA"/>
        </w:rPr>
        <w:t xml:space="preserve"> that is, a portion of the statement made by the </w:t>
      </w:r>
      <w:r w:rsidR="00966EEF" w:rsidRPr="00BE0D96">
        <w:rPr>
          <w:lang w:val="en-CA"/>
        </w:rPr>
        <w:t>physioth</w:t>
      </w:r>
      <w:r w:rsidR="009F1078" w:rsidRPr="00BE0D96">
        <w:rPr>
          <w:lang w:val="en-CA"/>
        </w:rPr>
        <w:t>e</w:t>
      </w:r>
      <w:r w:rsidR="00966EEF" w:rsidRPr="00BE0D96">
        <w:rPr>
          <w:lang w:val="en-CA"/>
        </w:rPr>
        <w:t>rap</w:t>
      </w:r>
      <w:r w:rsidR="009F1078" w:rsidRPr="00BE0D96">
        <w:rPr>
          <w:lang w:val="en-CA"/>
        </w:rPr>
        <w:t xml:space="preserve">ist </w:t>
      </w:r>
      <w:r w:rsidR="00966EEF" w:rsidRPr="00BE0D96">
        <w:rPr>
          <w:lang w:val="en-CA"/>
        </w:rPr>
        <w:t xml:space="preserve">Martin Lussier. </w:t>
      </w:r>
    </w:p>
    <w:p w14:paraId="26E0D181" w14:textId="40F6D409" w:rsidR="005A3926" w:rsidRPr="00BE0D96" w:rsidRDefault="006E744A" w:rsidP="005A3926">
      <w:pPr>
        <w:pStyle w:val="F02-Texte"/>
        <w:spacing w:before="360"/>
        <w:rPr>
          <w:lang w:val="en-CA"/>
        </w:rPr>
      </w:pPr>
      <w:r>
        <w:rPr>
          <w:lang w:val="en-CA"/>
        </w:rPr>
        <w:t>F</w:t>
      </w:r>
      <w:r w:rsidRPr="00BE0D96">
        <w:rPr>
          <w:lang w:val="en-CA"/>
        </w:rPr>
        <w:t>or its part,</w:t>
      </w:r>
      <w:r>
        <w:rPr>
          <w:lang w:val="en-CA"/>
        </w:rPr>
        <w:t xml:space="preserve"> t</w:t>
      </w:r>
      <w:r w:rsidR="004E3527" w:rsidRPr="00BE0D96">
        <w:rPr>
          <w:lang w:val="en-CA"/>
        </w:rPr>
        <w:t xml:space="preserve">he </w:t>
      </w:r>
      <w:r w:rsidR="00966EEF" w:rsidRPr="00BE0D96">
        <w:rPr>
          <w:lang w:val="en-CA"/>
        </w:rPr>
        <w:t>Société</w:t>
      </w:r>
      <w:r w:rsidR="004E3527" w:rsidRPr="00BE0D96">
        <w:rPr>
          <w:lang w:val="en-CA"/>
        </w:rPr>
        <w:t xml:space="preserve"> </w:t>
      </w:r>
      <w:r w:rsidR="00966EEF" w:rsidRPr="00BE0D96">
        <w:rPr>
          <w:lang w:val="en-CA"/>
        </w:rPr>
        <w:t>submit</w:t>
      </w:r>
      <w:r w:rsidR="004E3527" w:rsidRPr="00BE0D96">
        <w:rPr>
          <w:lang w:val="en-CA"/>
        </w:rPr>
        <w:t xml:space="preserve">s that there were sufficient rational </w:t>
      </w:r>
      <w:r w:rsidR="00966EEF" w:rsidRPr="00BE0D96">
        <w:rPr>
          <w:lang w:val="en-CA"/>
        </w:rPr>
        <w:t>grounds</w:t>
      </w:r>
      <w:r w:rsidR="004E3527" w:rsidRPr="00BE0D96">
        <w:rPr>
          <w:lang w:val="en-CA"/>
        </w:rPr>
        <w:t xml:space="preserve"> to </w:t>
      </w:r>
      <w:r w:rsidR="00966EEF" w:rsidRPr="00BE0D96">
        <w:rPr>
          <w:lang w:val="en-CA"/>
        </w:rPr>
        <w:t>justif</w:t>
      </w:r>
      <w:r w:rsidR="004E3527" w:rsidRPr="00BE0D96">
        <w:rPr>
          <w:lang w:val="en-CA"/>
        </w:rPr>
        <w:t xml:space="preserve">y the </w:t>
      </w:r>
      <w:r w:rsidR="00667E14" w:rsidRPr="00BE0D96">
        <w:rPr>
          <w:lang w:val="en-CA"/>
        </w:rPr>
        <w:t xml:space="preserve">request for </w:t>
      </w:r>
      <w:r w:rsidR="009E5F37">
        <w:rPr>
          <w:lang w:val="en-CA"/>
        </w:rPr>
        <w:t xml:space="preserve">an investigation with physical </w:t>
      </w:r>
      <w:r w:rsidR="00966EEF" w:rsidRPr="00BE0D96">
        <w:rPr>
          <w:lang w:val="en-CA"/>
        </w:rPr>
        <w:t>surveillance</w:t>
      </w:r>
      <w:r w:rsidR="00667E14" w:rsidRPr="00BE0D96">
        <w:rPr>
          <w:lang w:val="en-CA"/>
        </w:rPr>
        <w:t xml:space="preserve"> and video </w:t>
      </w:r>
      <w:r w:rsidR="009E5F37">
        <w:rPr>
          <w:lang w:val="en-CA"/>
        </w:rPr>
        <w:t>surveillance</w:t>
      </w:r>
      <w:r w:rsidR="00667E14" w:rsidRPr="00BE0D96">
        <w:rPr>
          <w:lang w:val="en-CA"/>
        </w:rPr>
        <w:t>, and accordingly</w:t>
      </w:r>
      <w:r>
        <w:rPr>
          <w:lang w:val="en-CA"/>
        </w:rPr>
        <w:t>, it</w:t>
      </w:r>
      <w:r w:rsidR="00667E14" w:rsidRPr="00BE0D96">
        <w:rPr>
          <w:lang w:val="en-CA"/>
        </w:rPr>
        <w:t xml:space="preserve"> seeks the dismissal of the applicant’s </w:t>
      </w:r>
      <w:r w:rsidR="00966EEF" w:rsidRPr="00BE0D96">
        <w:rPr>
          <w:lang w:val="en-CA"/>
        </w:rPr>
        <w:t>motion</w:t>
      </w:r>
      <w:r w:rsidR="00667E14" w:rsidRPr="00BE0D96">
        <w:rPr>
          <w:lang w:val="en-CA"/>
        </w:rPr>
        <w:t xml:space="preserve"> </w:t>
      </w:r>
      <w:r w:rsidR="00966EEF" w:rsidRPr="00BE0D96">
        <w:rPr>
          <w:lang w:val="en-CA"/>
        </w:rPr>
        <w:t>to</w:t>
      </w:r>
      <w:r w:rsidR="00667E14" w:rsidRPr="00BE0D96">
        <w:rPr>
          <w:lang w:val="en-CA"/>
        </w:rPr>
        <w:t xml:space="preserve"> </w:t>
      </w:r>
      <w:r w:rsidR="00966EEF" w:rsidRPr="00BE0D96">
        <w:rPr>
          <w:lang w:val="en-CA"/>
        </w:rPr>
        <w:t>dismiss</w:t>
      </w:r>
      <w:r w:rsidR="00667E14" w:rsidRPr="00BE0D96">
        <w:rPr>
          <w:lang w:val="en-CA"/>
        </w:rPr>
        <w:t xml:space="preserve"> and to reject evidence</w:t>
      </w:r>
      <w:r w:rsidR="00966EEF" w:rsidRPr="00BE0D96">
        <w:rPr>
          <w:lang w:val="en-CA"/>
        </w:rPr>
        <w:t>.</w:t>
      </w:r>
    </w:p>
    <w:p w14:paraId="19D20587" w14:textId="0745922F" w:rsidR="005A3926" w:rsidRPr="00BE0D96" w:rsidRDefault="006E6CE8" w:rsidP="005A3926">
      <w:pPr>
        <w:pStyle w:val="F02-Texte"/>
        <w:spacing w:before="360"/>
        <w:rPr>
          <w:lang w:val="en-CA"/>
        </w:rPr>
      </w:pPr>
      <w:r w:rsidRPr="00BE0D96">
        <w:rPr>
          <w:lang w:val="en-CA"/>
        </w:rPr>
        <w:lastRenderedPageBreak/>
        <w:t xml:space="preserve">At the start of the hearing, the </w:t>
      </w:r>
      <w:r w:rsidR="00966EEF" w:rsidRPr="00BE0D96">
        <w:rPr>
          <w:lang w:val="en-CA"/>
        </w:rPr>
        <w:t>Tribunal</w:t>
      </w:r>
      <w:r w:rsidRPr="00BE0D96">
        <w:rPr>
          <w:lang w:val="en-CA"/>
        </w:rPr>
        <w:t xml:space="preserve"> was asked to rule on an</w:t>
      </w:r>
      <w:r w:rsidR="00966EEF" w:rsidRPr="00BE0D96">
        <w:rPr>
          <w:lang w:val="en-CA"/>
        </w:rPr>
        <w:t xml:space="preserve"> objection </w:t>
      </w:r>
      <w:r w:rsidRPr="00BE0D96">
        <w:rPr>
          <w:lang w:val="en-CA"/>
        </w:rPr>
        <w:t xml:space="preserve">raised by the </w:t>
      </w:r>
      <w:r w:rsidR="00966EEF" w:rsidRPr="00BE0D96">
        <w:rPr>
          <w:lang w:val="en-CA"/>
        </w:rPr>
        <w:t>Société</w:t>
      </w:r>
      <w:r w:rsidRPr="00BE0D96">
        <w:rPr>
          <w:lang w:val="en-CA"/>
        </w:rPr>
        <w:t xml:space="preserve"> based on the applicant’s late pre</w:t>
      </w:r>
      <w:r w:rsidR="00966EEF" w:rsidRPr="00BE0D96">
        <w:rPr>
          <w:lang w:val="en-CA"/>
        </w:rPr>
        <w:t xml:space="preserve">sentation </w:t>
      </w:r>
      <w:r w:rsidRPr="00BE0D96">
        <w:rPr>
          <w:lang w:val="en-CA"/>
        </w:rPr>
        <w:t xml:space="preserve">of her </w:t>
      </w:r>
      <w:r w:rsidR="00966EEF" w:rsidRPr="00BE0D96">
        <w:rPr>
          <w:lang w:val="en-CA"/>
        </w:rPr>
        <w:t>motion</w:t>
      </w:r>
      <w:r w:rsidRPr="00BE0D96">
        <w:rPr>
          <w:lang w:val="en-CA"/>
        </w:rPr>
        <w:t xml:space="preserve"> </w:t>
      </w:r>
      <w:r w:rsidR="00966EEF" w:rsidRPr="00BE0D96">
        <w:rPr>
          <w:lang w:val="en-CA"/>
        </w:rPr>
        <w:t>to</w:t>
      </w:r>
      <w:r w:rsidRPr="00BE0D96">
        <w:rPr>
          <w:lang w:val="en-CA"/>
        </w:rPr>
        <w:t xml:space="preserve"> </w:t>
      </w:r>
      <w:r w:rsidR="00966EEF" w:rsidRPr="00BE0D96">
        <w:rPr>
          <w:lang w:val="en-CA"/>
        </w:rPr>
        <w:t>dismiss.</w:t>
      </w:r>
      <w:r w:rsidR="0094293F" w:rsidRPr="00BE0D96">
        <w:rPr>
          <w:lang w:val="en-CA"/>
        </w:rPr>
        <w:t xml:space="preserve"> The </w:t>
      </w:r>
      <w:r w:rsidR="00966EEF" w:rsidRPr="00BE0D96">
        <w:rPr>
          <w:lang w:val="en-CA"/>
        </w:rPr>
        <w:t>Société</w:t>
      </w:r>
      <w:r w:rsidR="0094293F" w:rsidRPr="00BE0D96">
        <w:rPr>
          <w:lang w:val="en-CA"/>
        </w:rPr>
        <w:t xml:space="preserve"> submits that it is a dilatory </w:t>
      </w:r>
      <w:r w:rsidR="00331402">
        <w:rPr>
          <w:lang w:val="en-CA"/>
        </w:rPr>
        <w:t>tactic</w:t>
      </w:r>
      <w:r w:rsidR="0094293F" w:rsidRPr="00BE0D96">
        <w:rPr>
          <w:lang w:val="en-CA"/>
        </w:rPr>
        <w:t xml:space="preserve">, that the investigation has been in the </w:t>
      </w:r>
      <w:r w:rsidR="00966EEF" w:rsidRPr="00BE0D96">
        <w:rPr>
          <w:lang w:val="en-CA"/>
        </w:rPr>
        <w:t>record</w:t>
      </w:r>
      <w:r w:rsidR="0094293F" w:rsidRPr="00BE0D96">
        <w:rPr>
          <w:lang w:val="en-CA"/>
        </w:rPr>
        <w:t xml:space="preserve"> since </w:t>
      </w:r>
      <w:r w:rsidR="00966EEF" w:rsidRPr="00BE0D96">
        <w:rPr>
          <w:lang w:val="en-CA"/>
        </w:rPr>
        <w:t>2014</w:t>
      </w:r>
      <w:r w:rsidR="0094293F" w:rsidRPr="00BE0D96">
        <w:rPr>
          <w:lang w:val="en-CA"/>
        </w:rPr>
        <w:t>, and that the applicant should have presented her</w:t>
      </w:r>
      <w:r w:rsidR="0090141C" w:rsidRPr="00BE0D96">
        <w:rPr>
          <w:lang w:val="en-CA"/>
        </w:rPr>
        <w:t xml:space="preserve"> exception much earlier. It adds that counsel waived the right to present such a motion during the </w:t>
      </w:r>
      <w:r w:rsidR="00966EEF" w:rsidRPr="00BE0D96">
        <w:rPr>
          <w:lang w:val="en-CA"/>
        </w:rPr>
        <w:t>case</w:t>
      </w:r>
      <w:r w:rsidR="0090141C" w:rsidRPr="00BE0D96">
        <w:rPr>
          <w:lang w:val="en-CA"/>
        </w:rPr>
        <w:t xml:space="preserve"> </w:t>
      </w:r>
      <w:r w:rsidR="00966EEF" w:rsidRPr="00BE0D96">
        <w:rPr>
          <w:lang w:val="en-CA"/>
        </w:rPr>
        <w:t>management</w:t>
      </w:r>
      <w:r w:rsidR="0090141C" w:rsidRPr="00BE0D96">
        <w:rPr>
          <w:lang w:val="en-CA"/>
        </w:rPr>
        <w:t xml:space="preserve"> </w:t>
      </w:r>
      <w:r w:rsidR="00966EEF" w:rsidRPr="00BE0D96">
        <w:rPr>
          <w:lang w:val="en-CA"/>
        </w:rPr>
        <w:t>conference</w:t>
      </w:r>
      <w:r w:rsidR="0090141C" w:rsidRPr="00BE0D96">
        <w:rPr>
          <w:lang w:val="en-CA"/>
        </w:rPr>
        <w:t xml:space="preserve"> held on </w:t>
      </w:r>
      <w:r w:rsidR="00966EEF" w:rsidRPr="00BE0D96">
        <w:rPr>
          <w:lang w:val="en-CA"/>
        </w:rPr>
        <w:t>March </w:t>
      </w:r>
      <w:r w:rsidR="0090141C" w:rsidRPr="00BE0D96">
        <w:rPr>
          <w:lang w:val="en-CA"/>
        </w:rPr>
        <w:t xml:space="preserve">6, </w:t>
      </w:r>
      <w:r w:rsidR="00966EEF" w:rsidRPr="00BE0D96">
        <w:rPr>
          <w:lang w:val="en-CA"/>
        </w:rPr>
        <w:t>2020</w:t>
      </w:r>
      <w:r w:rsidR="0090141C" w:rsidRPr="00BE0D96">
        <w:rPr>
          <w:lang w:val="en-CA"/>
        </w:rPr>
        <w:t xml:space="preserve">, when she stated that she had no </w:t>
      </w:r>
      <w:r w:rsidR="00966EEF" w:rsidRPr="00BE0D96">
        <w:rPr>
          <w:lang w:val="en-CA"/>
        </w:rPr>
        <w:t xml:space="preserve">objection </w:t>
      </w:r>
      <w:r w:rsidR="0090141C" w:rsidRPr="00BE0D96">
        <w:rPr>
          <w:lang w:val="en-CA"/>
        </w:rPr>
        <w:t>to the admissibility of the investigation</w:t>
      </w:r>
      <w:r w:rsidR="00966EEF" w:rsidRPr="00BE0D96">
        <w:rPr>
          <w:lang w:val="en-CA"/>
        </w:rPr>
        <w:t>.</w:t>
      </w:r>
    </w:p>
    <w:p w14:paraId="292AC058" w14:textId="13C21527" w:rsidR="005A3926" w:rsidRPr="00BE0D96" w:rsidRDefault="006602BF" w:rsidP="005A3926">
      <w:pPr>
        <w:pStyle w:val="F02-Texte"/>
        <w:spacing w:before="360"/>
        <w:rPr>
          <w:lang w:val="en-CA"/>
        </w:rPr>
      </w:pPr>
      <w:r w:rsidRPr="00BE0D96">
        <w:rPr>
          <w:lang w:val="en-CA"/>
        </w:rPr>
        <w:t xml:space="preserve">Counsel for the applicant admits that it was in fact premature to answer that </w:t>
      </w:r>
      <w:r w:rsidR="00966EEF" w:rsidRPr="00BE0D96">
        <w:rPr>
          <w:lang w:val="en-CA"/>
        </w:rPr>
        <w:t>question</w:t>
      </w:r>
      <w:r w:rsidRPr="00BE0D96">
        <w:rPr>
          <w:lang w:val="en-CA"/>
        </w:rPr>
        <w:t xml:space="preserve"> during the </w:t>
      </w:r>
      <w:r w:rsidR="00966EEF" w:rsidRPr="00BE0D96">
        <w:rPr>
          <w:lang w:val="en-CA"/>
        </w:rPr>
        <w:t>case</w:t>
      </w:r>
      <w:r w:rsidRPr="00BE0D96">
        <w:rPr>
          <w:lang w:val="en-CA"/>
        </w:rPr>
        <w:t xml:space="preserve"> </w:t>
      </w:r>
      <w:r w:rsidR="00966EEF" w:rsidRPr="00BE0D96">
        <w:rPr>
          <w:lang w:val="en-CA"/>
        </w:rPr>
        <w:t>management</w:t>
      </w:r>
      <w:r w:rsidRPr="00BE0D96">
        <w:rPr>
          <w:lang w:val="en-CA"/>
        </w:rPr>
        <w:t xml:space="preserve"> </w:t>
      </w:r>
      <w:r w:rsidR="00966EEF" w:rsidRPr="00BE0D96">
        <w:rPr>
          <w:lang w:val="en-CA"/>
        </w:rPr>
        <w:t>conference</w:t>
      </w:r>
      <w:r w:rsidRPr="00BE0D96">
        <w:rPr>
          <w:lang w:val="en-CA"/>
        </w:rPr>
        <w:t xml:space="preserve"> held on </w:t>
      </w:r>
      <w:r w:rsidR="00966EEF" w:rsidRPr="00BE0D96">
        <w:rPr>
          <w:lang w:val="en-CA"/>
        </w:rPr>
        <w:t>March</w:t>
      </w:r>
      <w:r w:rsidRPr="00BE0D96">
        <w:rPr>
          <w:lang w:val="en-CA"/>
        </w:rPr>
        <w:t xml:space="preserve"> 6,</w:t>
      </w:r>
      <w:r w:rsidR="00966EEF" w:rsidRPr="00BE0D96">
        <w:rPr>
          <w:lang w:val="en-CA"/>
        </w:rPr>
        <w:t xml:space="preserve"> 2020, </w:t>
      </w:r>
      <w:r w:rsidRPr="00BE0D96">
        <w:rPr>
          <w:lang w:val="en-CA"/>
        </w:rPr>
        <w:t xml:space="preserve">but argues that this should not prevent her client from filing her motion in view of the subsequent change of </w:t>
      </w:r>
      <w:r w:rsidR="00966EEF" w:rsidRPr="00BE0D96">
        <w:rPr>
          <w:lang w:val="en-CA"/>
        </w:rPr>
        <w:t xml:space="preserve">direction </w:t>
      </w:r>
      <w:r w:rsidRPr="00BE0D96">
        <w:rPr>
          <w:lang w:val="en-CA"/>
        </w:rPr>
        <w:t xml:space="preserve">the file </w:t>
      </w:r>
      <w:r w:rsidR="006E744A">
        <w:rPr>
          <w:lang w:val="en-CA"/>
        </w:rPr>
        <w:t xml:space="preserve">took </w:t>
      </w:r>
      <w:r w:rsidRPr="00BE0D96">
        <w:rPr>
          <w:lang w:val="en-CA"/>
        </w:rPr>
        <w:t xml:space="preserve">due to the change in </w:t>
      </w:r>
      <w:r w:rsidR="008944B7" w:rsidRPr="00BE0D96">
        <w:rPr>
          <w:lang w:val="en-CA"/>
        </w:rPr>
        <w:t>counsel</w:t>
      </w:r>
      <w:r w:rsidR="00966EEF" w:rsidRPr="00BE0D96">
        <w:rPr>
          <w:lang w:val="en-CA"/>
        </w:rPr>
        <w:t xml:space="preserve">. </w:t>
      </w:r>
    </w:p>
    <w:p w14:paraId="6821C190" w14:textId="79F3DC73" w:rsidR="005A3926" w:rsidRPr="00BE0D96" w:rsidRDefault="008979C1" w:rsidP="005A3926">
      <w:pPr>
        <w:pStyle w:val="F02-Texte"/>
        <w:spacing w:before="360"/>
        <w:rPr>
          <w:lang w:val="en-CA"/>
        </w:rPr>
      </w:pPr>
      <w:r w:rsidRPr="00BE0D96">
        <w:rPr>
          <w:lang w:val="en-CA"/>
        </w:rPr>
        <w:t xml:space="preserve">For the reasons expressed orally at the hearing, the </w:t>
      </w:r>
      <w:r w:rsidR="00966EEF" w:rsidRPr="00BE0D96">
        <w:rPr>
          <w:lang w:val="en-CA"/>
        </w:rPr>
        <w:t>Tribunal</w:t>
      </w:r>
      <w:r w:rsidRPr="00BE0D96">
        <w:rPr>
          <w:lang w:val="en-CA"/>
        </w:rPr>
        <w:t xml:space="preserve"> dismissed the </w:t>
      </w:r>
      <w:r w:rsidR="00966EEF" w:rsidRPr="00BE0D96">
        <w:rPr>
          <w:lang w:val="en-CA"/>
        </w:rPr>
        <w:t xml:space="preserve">objection. </w:t>
      </w:r>
      <w:r w:rsidRPr="00BE0D96">
        <w:rPr>
          <w:lang w:val="en-CA"/>
        </w:rPr>
        <w:t xml:space="preserve">In short, the </w:t>
      </w:r>
      <w:r w:rsidR="00966EEF" w:rsidRPr="00BE0D96">
        <w:rPr>
          <w:lang w:val="en-CA"/>
        </w:rPr>
        <w:t>Tribunal</w:t>
      </w:r>
      <w:r w:rsidRPr="00BE0D96">
        <w:rPr>
          <w:lang w:val="en-CA"/>
        </w:rPr>
        <w:t xml:space="preserve"> is of the view that it would have been advisable for the applicant to announce</w:t>
      </w:r>
      <w:r w:rsidR="0042513F" w:rsidRPr="00BE0D96">
        <w:rPr>
          <w:lang w:val="en-CA"/>
        </w:rPr>
        <w:t xml:space="preserve"> the </w:t>
      </w:r>
      <w:r w:rsidR="00966EEF" w:rsidRPr="00BE0D96">
        <w:rPr>
          <w:lang w:val="en-CA"/>
        </w:rPr>
        <w:t>preliminary</w:t>
      </w:r>
      <w:r w:rsidR="0042513F" w:rsidRPr="00BE0D96">
        <w:rPr>
          <w:lang w:val="en-CA"/>
        </w:rPr>
        <w:t xml:space="preserve"> </w:t>
      </w:r>
      <w:r w:rsidR="00966EEF" w:rsidRPr="00BE0D96">
        <w:rPr>
          <w:lang w:val="en-CA"/>
        </w:rPr>
        <w:t>exception</w:t>
      </w:r>
      <w:r w:rsidR="0042513F" w:rsidRPr="00BE0D96">
        <w:rPr>
          <w:lang w:val="en-CA"/>
        </w:rPr>
        <w:t xml:space="preserve"> earlier. However, the </w:t>
      </w:r>
      <w:r w:rsidR="00966EEF" w:rsidRPr="00BE0D96">
        <w:rPr>
          <w:lang w:val="en-CA"/>
        </w:rPr>
        <w:t>Tribunal</w:t>
      </w:r>
      <w:r w:rsidR="0042513F" w:rsidRPr="00BE0D96">
        <w:rPr>
          <w:lang w:val="en-CA"/>
        </w:rPr>
        <w:t xml:space="preserve"> notes the change in counsel that resulted in the file taking a new </w:t>
      </w:r>
      <w:r w:rsidR="00966EEF" w:rsidRPr="00BE0D96">
        <w:rPr>
          <w:lang w:val="en-CA"/>
        </w:rPr>
        <w:t xml:space="preserve">direction </w:t>
      </w:r>
      <w:r w:rsidR="0042513F" w:rsidRPr="00BE0D96">
        <w:rPr>
          <w:lang w:val="en-CA"/>
        </w:rPr>
        <w:t xml:space="preserve">and the additional investigation conducted by the </w:t>
      </w:r>
      <w:r w:rsidR="00966EEF" w:rsidRPr="00BE0D96">
        <w:rPr>
          <w:lang w:val="en-CA"/>
        </w:rPr>
        <w:t>Société</w:t>
      </w:r>
      <w:r w:rsidR="0042513F" w:rsidRPr="00BE0D96">
        <w:rPr>
          <w:lang w:val="en-CA"/>
        </w:rPr>
        <w:t xml:space="preserve"> that had a potential </w:t>
      </w:r>
      <w:r w:rsidR="00966EEF" w:rsidRPr="00BE0D96">
        <w:rPr>
          <w:lang w:val="en-CA"/>
        </w:rPr>
        <w:t xml:space="preserve">impact </w:t>
      </w:r>
      <w:r w:rsidR="0042513F" w:rsidRPr="00BE0D96">
        <w:rPr>
          <w:lang w:val="en-CA"/>
        </w:rPr>
        <w:t xml:space="preserve">on the </w:t>
      </w:r>
      <w:r w:rsidR="00966EEF" w:rsidRPr="00BE0D96">
        <w:rPr>
          <w:lang w:val="en-CA"/>
        </w:rPr>
        <w:t xml:space="preserve">direction </w:t>
      </w:r>
      <w:r w:rsidR="0042513F" w:rsidRPr="00BE0D96">
        <w:rPr>
          <w:lang w:val="en-CA"/>
        </w:rPr>
        <w:t xml:space="preserve">that the file </w:t>
      </w:r>
      <w:r w:rsidR="005A3926" w:rsidRPr="00BE0D96">
        <w:rPr>
          <w:lang w:val="en-CA"/>
        </w:rPr>
        <w:t>would</w:t>
      </w:r>
      <w:r w:rsidR="0042513F" w:rsidRPr="00BE0D96">
        <w:rPr>
          <w:lang w:val="en-CA"/>
        </w:rPr>
        <w:t xml:space="preserve"> take</w:t>
      </w:r>
      <w:r w:rsidR="00966EEF" w:rsidRPr="00BE0D96">
        <w:rPr>
          <w:lang w:val="en-CA"/>
        </w:rPr>
        <w:t xml:space="preserve">. </w:t>
      </w:r>
    </w:p>
    <w:p w14:paraId="720BAA18" w14:textId="3D6783E5" w:rsidR="005A3926" w:rsidRPr="00BE0D96" w:rsidRDefault="0042513F" w:rsidP="005A3926">
      <w:pPr>
        <w:pStyle w:val="F02-Texte"/>
        <w:spacing w:before="360"/>
        <w:rPr>
          <w:lang w:val="en-CA"/>
        </w:rPr>
      </w:pPr>
      <w:r w:rsidRPr="00BE0D96">
        <w:rPr>
          <w:lang w:val="en-CA"/>
        </w:rPr>
        <w:t xml:space="preserve">The </w:t>
      </w:r>
      <w:r w:rsidR="00966EEF" w:rsidRPr="00BE0D96">
        <w:rPr>
          <w:lang w:val="en-CA"/>
        </w:rPr>
        <w:t>Tribunal</w:t>
      </w:r>
      <w:r w:rsidRPr="00BE0D96">
        <w:rPr>
          <w:lang w:val="en-CA"/>
        </w:rPr>
        <w:t xml:space="preserve"> notes that although the investigation report has been in the </w:t>
      </w:r>
      <w:r w:rsidR="00966EEF" w:rsidRPr="00BE0D96">
        <w:rPr>
          <w:lang w:val="en-CA"/>
        </w:rPr>
        <w:t>record</w:t>
      </w:r>
      <w:r w:rsidRPr="00BE0D96">
        <w:rPr>
          <w:lang w:val="en-CA"/>
        </w:rPr>
        <w:t xml:space="preserve"> since </w:t>
      </w:r>
      <w:r w:rsidR="00966EEF" w:rsidRPr="00BE0D96">
        <w:rPr>
          <w:lang w:val="en-CA"/>
        </w:rPr>
        <w:t xml:space="preserve">2014 </w:t>
      </w:r>
      <w:r w:rsidRPr="00BE0D96">
        <w:rPr>
          <w:lang w:val="en-CA"/>
        </w:rPr>
        <w:t xml:space="preserve">and that this </w:t>
      </w:r>
      <w:r w:rsidR="00966EEF" w:rsidRPr="00BE0D96">
        <w:rPr>
          <w:lang w:val="en-CA"/>
        </w:rPr>
        <w:t>preliminary</w:t>
      </w:r>
      <w:r w:rsidRPr="00BE0D96">
        <w:rPr>
          <w:lang w:val="en-CA"/>
        </w:rPr>
        <w:t xml:space="preserve"> </w:t>
      </w:r>
      <w:r w:rsidR="00966EEF" w:rsidRPr="00BE0D96">
        <w:rPr>
          <w:lang w:val="en-CA"/>
        </w:rPr>
        <w:t>exception</w:t>
      </w:r>
      <w:r w:rsidRPr="00BE0D96">
        <w:rPr>
          <w:lang w:val="en-CA"/>
        </w:rPr>
        <w:t xml:space="preserve"> was raised only much later, the </w:t>
      </w:r>
      <w:r w:rsidR="00966EEF" w:rsidRPr="00BE0D96">
        <w:rPr>
          <w:lang w:val="en-CA"/>
        </w:rPr>
        <w:t>Société</w:t>
      </w:r>
      <w:r w:rsidRPr="00BE0D96">
        <w:rPr>
          <w:lang w:val="en-CA"/>
        </w:rPr>
        <w:t xml:space="preserve"> has not been taken by surprise to the point that</w:t>
      </w:r>
      <w:r w:rsidR="00AA4279">
        <w:rPr>
          <w:lang w:val="en-CA"/>
        </w:rPr>
        <w:t xml:space="preserve"> this</w:t>
      </w:r>
      <w:r w:rsidRPr="00BE0D96">
        <w:rPr>
          <w:lang w:val="en-CA"/>
        </w:rPr>
        <w:t xml:space="preserve"> would infringe its </w:t>
      </w:r>
      <w:r w:rsidR="00966EEF" w:rsidRPr="00BE0D96">
        <w:rPr>
          <w:lang w:val="en-CA"/>
        </w:rPr>
        <w:t>rights,</w:t>
      </w:r>
      <w:r w:rsidRPr="00BE0D96">
        <w:rPr>
          <w:lang w:val="en-CA"/>
        </w:rPr>
        <w:t xml:space="preserve"> as the exception has been announced for several </w:t>
      </w:r>
      <w:r w:rsidR="00966EEF" w:rsidRPr="00BE0D96">
        <w:rPr>
          <w:lang w:val="en-CA"/>
        </w:rPr>
        <w:t>months</w:t>
      </w:r>
      <w:r w:rsidRPr="00BE0D96">
        <w:rPr>
          <w:lang w:val="en-CA"/>
        </w:rPr>
        <w:t xml:space="preserve"> and was provided to </w:t>
      </w:r>
      <w:r w:rsidR="00AA4279">
        <w:rPr>
          <w:lang w:val="en-CA"/>
        </w:rPr>
        <w:t>it</w:t>
      </w:r>
      <w:r w:rsidRPr="00BE0D96">
        <w:rPr>
          <w:lang w:val="en-CA"/>
        </w:rPr>
        <w:t xml:space="preserve"> in sufficient time before the hearing </w:t>
      </w:r>
      <w:r w:rsidR="00966EEF" w:rsidRPr="00BE0D96">
        <w:rPr>
          <w:lang w:val="en-CA"/>
        </w:rPr>
        <w:t>(</w:t>
      </w:r>
      <w:r w:rsidRPr="00BE0D96">
        <w:rPr>
          <w:lang w:val="en-CA"/>
        </w:rPr>
        <w:t xml:space="preserve">in </w:t>
      </w:r>
      <w:r w:rsidR="00966EEF" w:rsidRPr="00BE0D96">
        <w:rPr>
          <w:lang w:val="en-CA"/>
        </w:rPr>
        <w:t xml:space="preserve">January 2021) </w:t>
      </w:r>
      <w:r w:rsidR="00FC17FE">
        <w:rPr>
          <w:lang w:val="en-CA"/>
        </w:rPr>
        <w:t>such</w:t>
      </w:r>
      <w:r w:rsidR="00FC17FE" w:rsidRPr="00BE0D96">
        <w:rPr>
          <w:lang w:val="en-CA"/>
        </w:rPr>
        <w:t xml:space="preserve"> </w:t>
      </w:r>
      <w:r w:rsidRPr="00BE0D96">
        <w:rPr>
          <w:lang w:val="en-CA"/>
        </w:rPr>
        <w:t xml:space="preserve">that it could </w:t>
      </w:r>
      <w:r w:rsidR="00CA7ECB" w:rsidRPr="00BE0D96">
        <w:rPr>
          <w:lang w:val="en-CA"/>
        </w:rPr>
        <w:t>respond</w:t>
      </w:r>
      <w:r w:rsidR="00966EEF" w:rsidRPr="00BE0D96">
        <w:rPr>
          <w:lang w:val="en-CA"/>
        </w:rPr>
        <w:t>.</w:t>
      </w:r>
    </w:p>
    <w:p w14:paraId="4489536E" w14:textId="2C0F6564" w:rsidR="005A3926" w:rsidRPr="00BE0D96" w:rsidRDefault="00CA7ECB" w:rsidP="005A3926">
      <w:pPr>
        <w:pStyle w:val="F02-Texte"/>
        <w:spacing w:before="360"/>
        <w:rPr>
          <w:lang w:val="en-CA"/>
        </w:rPr>
      </w:pPr>
      <w:r w:rsidRPr="00BE0D96">
        <w:rPr>
          <w:lang w:val="en-CA"/>
        </w:rPr>
        <w:t xml:space="preserve">The interests of </w:t>
      </w:r>
      <w:r w:rsidR="00966EEF" w:rsidRPr="00BE0D96">
        <w:rPr>
          <w:lang w:val="en-CA"/>
        </w:rPr>
        <w:t xml:space="preserve">justice </w:t>
      </w:r>
      <w:r w:rsidRPr="00BE0D96">
        <w:rPr>
          <w:lang w:val="en-CA"/>
        </w:rPr>
        <w:t xml:space="preserve">require that the </w:t>
      </w:r>
      <w:r w:rsidR="00966EEF" w:rsidRPr="00BE0D96">
        <w:rPr>
          <w:lang w:val="en-CA"/>
        </w:rPr>
        <w:t>motion</w:t>
      </w:r>
      <w:r w:rsidRPr="00BE0D96">
        <w:rPr>
          <w:lang w:val="en-CA"/>
        </w:rPr>
        <w:t xml:space="preserve"> </w:t>
      </w:r>
      <w:r w:rsidR="00966EEF" w:rsidRPr="00BE0D96">
        <w:rPr>
          <w:lang w:val="en-CA"/>
        </w:rPr>
        <w:t>to</w:t>
      </w:r>
      <w:r w:rsidRPr="00BE0D96">
        <w:rPr>
          <w:lang w:val="en-CA"/>
        </w:rPr>
        <w:t xml:space="preserve"> </w:t>
      </w:r>
      <w:r w:rsidR="00966EEF" w:rsidRPr="00BE0D96">
        <w:rPr>
          <w:lang w:val="en-CA"/>
        </w:rPr>
        <w:t>dismiss</w:t>
      </w:r>
      <w:r w:rsidR="003F0CD9">
        <w:rPr>
          <w:lang w:val="en-CA"/>
        </w:rPr>
        <w:t xml:space="preserve"> be heard</w:t>
      </w:r>
      <w:r w:rsidR="00966EEF" w:rsidRPr="00BE0D96">
        <w:rPr>
          <w:lang w:val="en-CA"/>
        </w:rPr>
        <w:t xml:space="preserve">. </w:t>
      </w:r>
    </w:p>
    <w:p w14:paraId="63526E69" w14:textId="77777777" w:rsidR="005A3926" w:rsidRPr="00BE0D96" w:rsidRDefault="006C2D4A" w:rsidP="005A3926">
      <w:pPr>
        <w:pStyle w:val="F02-Texte"/>
        <w:numPr>
          <w:ilvl w:val="0"/>
          <w:numId w:val="0"/>
        </w:numPr>
        <w:spacing w:before="360"/>
        <w:rPr>
          <w:b/>
          <w:lang w:val="en-CA"/>
        </w:rPr>
      </w:pPr>
      <w:r w:rsidRPr="00BE0D96">
        <w:rPr>
          <w:b/>
          <w:lang w:val="en-CA"/>
        </w:rPr>
        <w:t>ISSUES</w:t>
      </w:r>
    </w:p>
    <w:p w14:paraId="6C62AEF9" w14:textId="709A11AA" w:rsidR="005A3926" w:rsidRPr="00BE0D96" w:rsidRDefault="006C2D4A" w:rsidP="005A3926">
      <w:pPr>
        <w:pStyle w:val="F02-Texte"/>
        <w:spacing w:before="360"/>
        <w:rPr>
          <w:lang w:val="en-CA"/>
        </w:rPr>
      </w:pPr>
      <w:r w:rsidRPr="00BE0D96">
        <w:rPr>
          <w:lang w:val="en-CA"/>
        </w:rPr>
        <w:t xml:space="preserve">The Tribunal must therefore </w:t>
      </w:r>
      <w:r w:rsidR="006246B2">
        <w:rPr>
          <w:lang w:val="en-CA"/>
        </w:rPr>
        <w:t>rule on</w:t>
      </w:r>
      <w:r w:rsidR="00FC17FE" w:rsidRPr="00BE0D96">
        <w:rPr>
          <w:lang w:val="en-CA"/>
        </w:rPr>
        <w:t xml:space="preserve"> </w:t>
      </w:r>
      <w:r w:rsidRPr="00BE0D96">
        <w:rPr>
          <w:lang w:val="en-CA"/>
        </w:rPr>
        <w:t xml:space="preserve">the following </w:t>
      </w:r>
      <w:r w:rsidR="006246B2" w:rsidRPr="00BE0D96">
        <w:rPr>
          <w:lang w:val="en-CA"/>
        </w:rPr>
        <w:t>two</w:t>
      </w:r>
      <w:r w:rsidR="006246B2">
        <w:rPr>
          <w:lang w:val="en-CA"/>
        </w:rPr>
        <w:t xml:space="preserve"> questions</w:t>
      </w:r>
      <w:r w:rsidRPr="00BE0D96">
        <w:rPr>
          <w:lang w:val="en-CA"/>
        </w:rPr>
        <w:t>:</w:t>
      </w:r>
      <w:r w:rsidR="00966EEF" w:rsidRPr="00BE0D96">
        <w:rPr>
          <w:lang w:val="en-CA"/>
        </w:rPr>
        <w:t xml:space="preserve"> </w:t>
      </w:r>
    </w:p>
    <w:p w14:paraId="20DF77D3" w14:textId="178B91A2" w:rsidR="005A3926" w:rsidRPr="00BE0D96" w:rsidRDefault="001358C1" w:rsidP="005A3926">
      <w:pPr>
        <w:pStyle w:val="F02-Texte"/>
        <w:numPr>
          <w:ilvl w:val="0"/>
          <w:numId w:val="20"/>
        </w:numPr>
        <w:spacing w:before="360"/>
        <w:rPr>
          <w:lang w:val="en-CA"/>
        </w:rPr>
      </w:pPr>
      <w:r w:rsidRPr="00BE0D96">
        <w:rPr>
          <w:lang w:val="en-CA"/>
        </w:rPr>
        <w:t xml:space="preserve">Did a </w:t>
      </w:r>
      <w:r w:rsidR="00966EEF" w:rsidRPr="00BE0D96">
        <w:rPr>
          <w:lang w:val="en-CA"/>
        </w:rPr>
        <w:t xml:space="preserve">violation </w:t>
      </w:r>
      <w:r w:rsidRPr="00BE0D96">
        <w:rPr>
          <w:lang w:val="en-CA"/>
        </w:rPr>
        <w:t xml:space="preserve">of </w:t>
      </w:r>
      <w:r w:rsidR="00966EEF" w:rsidRPr="00BE0D96">
        <w:rPr>
          <w:lang w:val="en-CA"/>
        </w:rPr>
        <w:t>privacy</w:t>
      </w:r>
      <w:r w:rsidRPr="00BE0D96">
        <w:rPr>
          <w:lang w:val="en-CA"/>
        </w:rPr>
        <w:t xml:space="preserve"> occur</w:t>
      </w:r>
      <w:r w:rsidR="00966EEF" w:rsidRPr="00BE0D96">
        <w:rPr>
          <w:lang w:val="en-CA"/>
        </w:rPr>
        <w:t xml:space="preserve">? </w:t>
      </w:r>
    </w:p>
    <w:p w14:paraId="3804ACC0" w14:textId="23BD4834" w:rsidR="005A3926" w:rsidRPr="00BE0D96" w:rsidRDefault="001358C1" w:rsidP="005A3926">
      <w:pPr>
        <w:pStyle w:val="F02-Texte"/>
        <w:numPr>
          <w:ilvl w:val="0"/>
          <w:numId w:val="20"/>
        </w:numPr>
        <w:spacing w:before="360"/>
        <w:rPr>
          <w:b/>
          <w:lang w:val="en-CA"/>
        </w:rPr>
      </w:pPr>
      <w:r w:rsidRPr="00BE0D96">
        <w:rPr>
          <w:lang w:val="en-CA"/>
        </w:rPr>
        <w:t xml:space="preserve">If yes, </w:t>
      </w:r>
      <w:r w:rsidR="00786043">
        <w:rPr>
          <w:lang w:val="en-CA"/>
        </w:rPr>
        <w:t>could</w:t>
      </w:r>
      <w:r w:rsidR="0024086D" w:rsidRPr="00BE0D96">
        <w:rPr>
          <w:lang w:val="en-CA"/>
        </w:rPr>
        <w:t xml:space="preserve"> </w:t>
      </w:r>
      <w:r w:rsidRPr="00BE0D96">
        <w:rPr>
          <w:lang w:val="en-CA"/>
        </w:rPr>
        <w:t xml:space="preserve">that </w:t>
      </w:r>
      <w:r w:rsidR="00966EEF" w:rsidRPr="00BE0D96">
        <w:rPr>
          <w:lang w:val="en-CA"/>
        </w:rPr>
        <w:t>violation bring</w:t>
      </w:r>
      <w:r w:rsidRPr="00BE0D96">
        <w:rPr>
          <w:lang w:val="en-CA"/>
        </w:rPr>
        <w:t xml:space="preserve"> </w:t>
      </w:r>
      <w:r w:rsidR="00966EEF" w:rsidRPr="00BE0D96">
        <w:rPr>
          <w:lang w:val="en-CA"/>
        </w:rPr>
        <w:t>the</w:t>
      </w:r>
      <w:r w:rsidRPr="00BE0D96">
        <w:rPr>
          <w:lang w:val="en-CA"/>
        </w:rPr>
        <w:t xml:space="preserve"> </w:t>
      </w:r>
      <w:r w:rsidR="00966EEF" w:rsidRPr="00BE0D96">
        <w:rPr>
          <w:lang w:val="en-CA"/>
        </w:rPr>
        <w:t>administration</w:t>
      </w:r>
      <w:r w:rsidRPr="00BE0D96">
        <w:rPr>
          <w:lang w:val="en-CA"/>
        </w:rPr>
        <w:t xml:space="preserve"> </w:t>
      </w:r>
      <w:r w:rsidR="00966EEF" w:rsidRPr="00BE0D96">
        <w:rPr>
          <w:lang w:val="en-CA"/>
        </w:rPr>
        <w:t>of</w:t>
      </w:r>
      <w:r w:rsidRPr="00BE0D96">
        <w:rPr>
          <w:lang w:val="en-CA"/>
        </w:rPr>
        <w:t xml:space="preserve"> </w:t>
      </w:r>
      <w:r w:rsidR="00966EEF" w:rsidRPr="00BE0D96">
        <w:rPr>
          <w:lang w:val="en-CA"/>
        </w:rPr>
        <w:t>justice</w:t>
      </w:r>
      <w:r w:rsidRPr="00BE0D96">
        <w:rPr>
          <w:lang w:val="en-CA"/>
        </w:rPr>
        <w:t xml:space="preserve"> </w:t>
      </w:r>
      <w:r w:rsidR="00966EEF" w:rsidRPr="00BE0D96">
        <w:rPr>
          <w:lang w:val="en-CA"/>
        </w:rPr>
        <w:t>into</w:t>
      </w:r>
      <w:r w:rsidRPr="00BE0D96">
        <w:rPr>
          <w:lang w:val="en-CA"/>
        </w:rPr>
        <w:t xml:space="preserve"> </w:t>
      </w:r>
      <w:r w:rsidR="00966EEF" w:rsidRPr="00BE0D96">
        <w:rPr>
          <w:lang w:val="en-CA"/>
        </w:rPr>
        <w:t xml:space="preserve">disrepute? </w:t>
      </w:r>
    </w:p>
    <w:p w14:paraId="26640616" w14:textId="7691C9A7" w:rsidR="005A3926" w:rsidRPr="00BE0D96" w:rsidRDefault="006C2D4A" w:rsidP="005A3926">
      <w:pPr>
        <w:pStyle w:val="F02-Texte"/>
        <w:spacing w:before="360"/>
        <w:rPr>
          <w:b/>
          <w:lang w:val="en-CA"/>
        </w:rPr>
      </w:pPr>
      <w:r w:rsidRPr="00BE0D96">
        <w:rPr>
          <w:lang w:val="en-CA"/>
        </w:rPr>
        <w:t xml:space="preserve">The </w:t>
      </w:r>
      <w:r w:rsidR="006246B2">
        <w:rPr>
          <w:lang w:val="en-CA"/>
        </w:rPr>
        <w:t>Tribunal</w:t>
      </w:r>
      <w:r w:rsidRPr="00BE0D96">
        <w:rPr>
          <w:lang w:val="en-CA"/>
        </w:rPr>
        <w:t xml:space="preserve"> answers the first question in the affirmative and the second question in the negative.</w:t>
      </w:r>
      <w:r w:rsidR="00966EEF" w:rsidRPr="00BE0D96">
        <w:rPr>
          <w:lang w:val="en-CA"/>
        </w:rPr>
        <w:t xml:space="preserve"> </w:t>
      </w:r>
      <w:r w:rsidRPr="00BE0D96">
        <w:rPr>
          <w:lang w:val="en-CA"/>
        </w:rPr>
        <w:t>Here is why.</w:t>
      </w:r>
    </w:p>
    <w:p w14:paraId="4A84FAD0" w14:textId="77777777" w:rsidR="005A3926" w:rsidRPr="00BE0D96" w:rsidRDefault="006C2D4A" w:rsidP="005A3926">
      <w:pPr>
        <w:pStyle w:val="F02-Texte"/>
        <w:numPr>
          <w:ilvl w:val="0"/>
          <w:numId w:val="0"/>
        </w:numPr>
        <w:spacing w:before="360"/>
        <w:rPr>
          <w:b/>
          <w:lang w:val="en-CA"/>
        </w:rPr>
      </w:pPr>
      <w:r w:rsidRPr="00BE0D96">
        <w:rPr>
          <w:b/>
          <w:lang w:val="en-CA"/>
        </w:rPr>
        <w:lastRenderedPageBreak/>
        <w:t>ANALYSIS AND REASONS</w:t>
      </w:r>
    </w:p>
    <w:p w14:paraId="6A96D35A" w14:textId="342B25E7" w:rsidR="005A3926" w:rsidRPr="00BE0D96" w:rsidRDefault="00614EA4" w:rsidP="005A3926">
      <w:pPr>
        <w:pStyle w:val="F02-Texte"/>
        <w:spacing w:before="360"/>
        <w:rPr>
          <w:lang w:val="en-CA"/>
        </w:rPr>
      </w:pPr>
      <w:r w:rsidRPr="00BE0D96">
        <w:rPr>
          <w:lang w:val="en-CA"/>
        </w:rPr>
        <w:t xml:space="preserve">As set out in </w:t>
      </w:r>
      <w:r w:rsidR="00966EEF" w:rsidRPr="00BE0D96">
        <w:rPr>
          <w:lang w:val="en-CA"/>
        </w:rPr>
        <w:t>section 11</w:t>
      </w:r>
      <w:r w:rsidRPr="00BE0D96">
        <w:rPr>
          <w:lang w:val="en-CA"/>
        </w:rPr>
        <w:t xml:space="preserve"> of the </w:t>
      </w:r>
      <w:r w:rsidRPr="00BE0D96">
        <w:rPr>
          <w:i/>
          <w:lang w:val="en-CA"/>
        </w:rPr>
        <w:t>Act respecting administrative justice</w:t>
      </w:r>
      <w:r w:rsidRPr="00BE0D96">
        <w:rPr>
          <w:lang w:val="en-CA"/>
        </w:rPr>
        <w:t>,</w:t>
      </w:r>
      <w:r w:rsidR="00966EEF" w:rsidRPr="00BE0D96">
        <w:rPr>
          <w:rStyle w:val="Appelnotedebasdep"/>
          <w:lang w:val="en-CA"/>
        </w:rPr>
        <w:footnoteReference w:id="1"/>
      </w:r>
      <w:r w:rsidRPr="00BE0D96">
        <w:rPr>
          <w:lang w:val="en-CA"/>
        </w:rPr>
        <w:t xml:space="preserve"> the </w:t>
      </w:r>
      <w:r w:rsidR="00966EEF" w:rsidRPr="00BE0D96">
        <w:rPr>
          <w:lang w:val="en-CA"/>
        </w:rPr>
        <w:t>Tribunal</w:t>
      </w:r>
      <w:r w:rsidRPr="00BE0D96">
        <w:rPr>
          <w:lang w:val="en-CA"/>
        </w:rPr>
        <w:t xml:space="preserve"> rules on the admissibility of evidence and means of proof and may, for that purpose, follow the ordinary rules of evidence applicable in civil matters. </w:t>
      </w:r>
      <w:r w:rsidR="006C2D4A" w:rsidRPr="00BE0D96">
        <w:rPr>
          <w:lang w:val="en-CA"/>
        </w:rPr>
        <w:t xml:space="preserve">It </w:t>
      </w:r>
      <w:r w:rsidRPr="00BE0D96">
        <w:rPr>
          <w:lang w:val="en-CA"/>
        </w:rPr>
        <w:t>must</w:t>
      </w:r>
      <w:r w:rsidR="006C2D4A" w:rsidRPr="00BE0D96">
        <w:rPr>
          <w:lang w:val="en-CA"/>
        </w:rPr>
        <w:t>, however, even of its own initiative, reject any evidence which was obtained under such circumstances that fundamental rights and freedoms are breached and the use of which could bring the administration of justice into disrepute.</w:t>
      </w:r>
      <w:r w:rsidR="00966EEF" w:rsidRPr="00BE0D96">
        <w:rPr>
          <w:rStyle w:val="Appelnotedebasdep"/>
          <w:lang w:val="en-CA"/>
        </w:rPr>
        <w:footnoteReference w:id="2"/>
      </w:r>
      <w:r w:rsidR="006C2D4A" w:rsidRPr="00BE0D96">
        <w:rPr>
          <w:lang w:val="en-CA"/>
        </w:rPr>
        <w:t xml:space="preserve"> </w:t>
      </w:r>
    </w:p>
    <w:p w14:paraId="37372313" w14:textId="750B2ED5" w:rsidR="005A3926" w:rsidRPr="00BE0D96" w:rsidRDefault="00614EA4" w:rsidP="005A3926">
      <w:pPr>
        <w:pStyle w:val="F02-Texte"/>
        <w:spacing w:before="360"/>
        <w:rPr>
          <w:lang w:val="en-CA"/>
        </w:rPr>
      </w:pPr>
      <w:r w:rsidRPr="00BE0D96">
        <w:rPr>
          <w:lang w:val="en-CA"/>
        </w:rPr>
        <w:t xml:space="preserve">First, it is appropriate to distinguish the investigation report </w:t>
      </w:r>
      <w:r w:rsidRPr="00BE0D96">
        <w:rPr>
          <w:i/>
          <w:lang w:val="en-CA"/>
        </w:rPr>
        <w:t xml:space="preserve">per se </w:t>
      </w:r>
      <w:r w:rsidRPr="00BE0D96">
        <w:rPr>
          <w:lang w:val="en-CA"/>
        </w:rPr>
        <w:t xml:space="preserve">from the </w:t>
      </w:r>
      <w:r w:rsidR="00966EEF" w:rsidRPr="00BE0D96">
        <w:rPr>
          <w:lang w:val="en-CA"/>
        </w:rPr>
        <w:t xml:space="preserve">surveillance. </w:t>
      </w:r>
    </w:p>
    <w:p w14:paraId="594961A6" w14:textId="423AD8A9" w:rsidR="005A3926" w:rsidRPr="00BE0D96" w:rsidRDefault="00614EA4" w:rsidP="005A3926">
      <w:pPr>
        <w:pStyle w:val="F02-Texte"/>
        <w:numPr>
          <w:ilvl w:val="0"/>
          <w:numId w:val="0"/>
        </w:numPr>
        <w:spacing w:before="360"/>
        <w:rPr>
          <w:b/>
          <w:lang w:val="en-CA"/>
        </w:rPr>
      </w:pPr>
      <w:r w:rsidRPr="00BE0D96">
        <w:rPr>
          <w:b/>
          <w:lang w:val="en-CA"/>
        </w:rPr>
        <w:t>THE INVESTIGATION REPORT</w:t>
      </w:r>
    </w:p>
    <w:p w14:paraId="6F33FDA9" w14:textId="73003A92" w:rsidR="005A3926" w:rsidRPr="00BE0D96" w:rsidRDefault="00775160" w:rsidP="005A3926">
      <w:pPr>
        <w:pStyle w:val="F02-Texte"/>
        <w:spacing w:before="360"/>
        <w:rPr>
          <w:lang w:val="en-CA"/>
        </w:rPr>
      </w:pPr>
      <w:r w:rsidRPr="00BE0D96">
        <w:rPr>
          <w:lang w:val="en-CA"/>
        </w:rPr>
        <w:t xml:space="preserve">The investigation report dated </w:t>
      </w:r>
      <w:r w:rsidR="00966EEF" w:rsidRPr="00BE0D96">
        <w:rPr>
          <w:lang w:val="en-CA"/>
        </w:rPr>
        <w:t>July</w:t>
      </w:r>
      <w:r w:rsidRPr="00BE0D96">
        <w:rPr>
          <w:lang w:val="en-CA"/>
        </w:rPr>
        <w:t xml:space="preserve"> 22,</w:t>
      </w:r>
      <w:r w:rsidR="00966EEF" w:rsidRPr="00BE0D96">
        <w:rPr>
          <w:lang w:val="en-CA"/>
        </w:rPr>
        <w:t> 2014</w:t>
      </w:r>
      <w:r w:rsidRPr="00BE0D96">
        <w:rPr>
          <w:lang w:val="en-CA"/>
        </w:rPr>
        <w:t xml:space="preserve">, </w:t>
      </w:r>
      <w:r w:rsidR="00823E4F">
        <w:rPr>
          <w:lang w:val="en-CA"/>
        </w:rPr>
        <w:t>includes</w:t>
      </w:r>
      <w:r w:rsidRPr="00BE0D96">
        <w:rPr>
          <w:lang w:val="en-CA"/>
        </w:rPr>
        <w:t xml:space="preserve"> the following elements</w:t>
      </w:r>
      <w:r w:rsidR="00966EEF" w:rsidRPr="00BE0D96">
        <w:rPr>
          <w:lang w:val="en-CA"/>
        </w:rPr>
        <w:t>:</w:t>
      </w:r>
    </w:p>
    <w:p w14:paraId="38972CDD" w14:textId="1AC35429" w:rsidR="005A3926" w:rsidRPr="00BE0D96" w:rsidRDefault="00BE7B82" w:rsidP="005A3926">
      <w:pPr>
        <w:pStyle w:val="F02-Texte"/>
        <w:numPr>
          <w:ilvl w:val="0"/>
          <w:numId w:val="21"/>
        </w:numPr>
        <w:spacing w:before="360"/>
        <w:rPr>
          <w:lang w:val="en-CA"/>
        </w:rPr>
      </w:pPr>
      <w:r w:rsidRPr="00BE0D96">
        <w:rPr>
          <w:lang w:val="en-CA"/>
        </w:rPr>
        <w:t>Reports</w:t>
      </w:r>
      <w:r w:rsidR="006440AF" w:rsidRPr="00BE0D96">
        <w:rPr>
          <w:lang w:val="en-CA"/>
        </w:rPr>
        <w:t xml:space="preserve"> of meetings with the owner of the damaged vehicle, the driver of the tow truck</w:t>
      </w:r>
      <w:r w:rsidR="00966EEF" w:rsidRPr="00BE0D96">
        <w:rPr>
          <w:lang w:val="en-CA"/>
        </w:rPr>
        <w:t>,</w:t>
      </w:r>
      <w:r w:rsidR="006440AF" w:rsidRPr="00BE0D96">
        <w:rPr>
          <w:lang w:val="en-CA"/>
        </w:rPr>
        <w:t xml:space="preserve"> the co-owner of </w:t>
      </w:r>
      <w:r w:rsidR="00966EEF" w:rsidRPr="00BE0D96">
        <w:rPr>
          <w:lang w:val="en-CA"/>
        </w:rPr>
        <w:t>[Compan</w:t>
      </w:r>
      <w:r w:rsidR="006440AF" w:rsidRPr="00BE0D96">
        <w:rPr>
          <w:lang w:val="en-CA"/>
        </w:rPr>
        <w:t>y</w:t>
      </w:r>
      <w:r w:rsidR="00966EEF" w:rsidRPr="00BE0D96">
        <w:rPr>
          <w:lang w:val="en-CA"/>
        </w:rPr>
        <w:t xml:space="preserve"> A], [Compan</w:t>
      </w:r>
      <w:r w:rsidR="006440AF" w:rsidRPr="00BE0D96">
        <w:rPr>
          <w:lang w:val="en-CA"/>
        </w:rPr>
        <w:t>y</w:t>
      </w:r>
      <w:r w:rsidR="00966EEF" w:rsidRPr="00BE0D96">
        <w:rPr>
          <w:lang w:val="en-CA"/>
        </w:rPr>
        <w:t xml:space="preserve"> B] (accountant</w:t>
      </w:r>
      <w:r w:rsidR="005D2898" w:rsidRPr="00BE0D96">
        <w:rPr>
          <w:lang w:val="en-CA"/>
        </w:rPr>
        <w:t>’s office</w:t>
      </w:r>
      <w:r w:rsidR="00966EEF" w:rsidRPr="00BE0D96">
        <w:rPr>
          <w:lang w:val="en-CA"/>
        </w:rPr>
        <w:t>),</w:t>
      </w:r>
      <w:r w:rsidR="005D2898" w:rsidRPr="00BE0D96">
        <w:rPr>
          <w:lang w:val="en-CA"/>
        </w:rPr>
        <w:t xml:space="preserve"> the </w:t>
      </w:r>
      <w:r w:rsidR="00966EEF" w:rsidRPr="00BE0D96">
        <w:rPr>
          <w:lang w:val="en-CA"/>
        </w:rPr>
        <w:t>accountant</w:t>
      </w:r>
      <w:r w:rsidR="005D2898" w:rsidRPr="00BE0D96">
        <w:rPr>
          <w:lang w:val="en-CA"/>
        </w:rPr>
        <w:t xml:space="preserve"> of </w:t>
      </w:r>
      <w:r w:rsidR="00966EEF" w:rsidRPr="00BE0D96">
        <w:rPr>
          <w:lang w:val="en-CA"/>
        </w:rPr>
        <w:t>[Compan</w:t>
      </w:r>
      <w:r w:rsidR="005D2898" w:rsidRPr="00BE0D96">
        <w:rPr>
          <w:lang w:val="en-CA"/>
        </w:rPr>
        <w:t>y</w:t>
      </w:r>
      <w:r w:rsidR="00966EEF" w:rsidRPr="00BE0D96">
        <w:rPr>
          <w:lang w:val="en-CA"/>
        </w:rPr>
        <w:t xml:space="preserve"> C],</w:t>
      </w:r>
      <w:r w:rsidR="005D2898" w:rsidRPr="00BE0D96">
        <w:rPr>
          <w:lang w:val="en-CA"/>
        </w:rPr>
        <w:t xml:space="preserve"> the director of a </w:t>
      </w:r>
      <w:r w:rsidR="00966EEF" w:rsidRPr="00BE0D96">
        <w:rPr>
          <w:lang w:val="en-CA"/>
        </w:rPr>
        <w:t>mandatary</w:t>
      </w:r>
      <w:r w:rsidR="005D2898" w:rsidRPr="00BE0D96">
        <w:rPr>
          <w:lang w:val="en-CA"/>
        </w:rPr>
        <w:t xml:space="preserve"> of the</w:t>
      </w:r>
      <w:r w:rsidR="00966EEF" w:rsidRPr="00BE0D96">
        <w:rPr>
          <w:lang w:val="en-CA"/>
        </w:rPr>
        <w:t xml:space="preserve"> Société</w:t>
      </w:r>
      <w:r w:rsidR="005D2898" w:rsidRPr="00BE0D96">
        <w:rPr>
          <w:lang w:val="en-CA"/>
        </w:rPr>
        <w:t xml:space="preserve"> </w:t>
      </w:r>
      <w:r w:rsidR="00966EEF" w:rsidRPr="00BE0D96">
        <w:rPr>
          <w:lang w:val="en-CA"/>
        </w:rPr>
        <w:t>(</w:t>
      </w:r>
      <w:r w:rsidR="00AC14F0" w:rsidRPr="00BE0D96">
        <w:rPr>
          <w:lang w:val="en-CA"/>
        </w:rPr>
        <w:t>registration</w:t>
      </w:r>
      <w:r w:rsidR="00966EEF" w:rsidRPr="00BE0D96">
        <w:rPr>
          <w:lang w:val="en-CA"/>
        </w:rPr>
        <w:t>-transaction</w:t>
      </w:r>
      <w:r w:rsidR="00AC14F0" w:rsidRPr="00BE0D96">
        <w:rPr>
          <w:lang w:val="en-CA"/>
        </w:rPr>
        <w:t xml:space="preserve"> office</w:t>
      </w:r>
      <w:r w:rsidR="00966EEF" w:rsidRPr="00BE0D96">
        <w:rPr>
          <w:lang w:val="en-CA"/>
        </w:rPr>
        <w:t xml:space="preserve">), six clients </w:t>
      </w:r>
      <w:r w:rsidR="00AC14F0" w:rsidRPr="00BE0D96">
        <w:rPr>
          <w:lang w:val="en-CA"/>
        </w:rPr>
        <w:t xml:space="preserve">of </w:t>
      </w:r>
      <w:r w:rsidR="00966EEF" w:rsidRPr="00BE0D96">
        <w:rPr>
          <w:lang w:val="en-CA"/>
        </w:rPr>
        <w:t>[Compan</w:t>
      </w:r>
      <w:r w:rsidR="00AC14F0" w:rsidRPr="00BE0D96">
        <w:rPr>
          <w:lang w:val="en-CA"/>
        </w:rPr>
        <w:t>y</w:t>
      </w:r>
      <w:r w:rsidR="00966EEF" w:rsidRPr="00BE0D96">
        <w:rPr>
          <w:lang w:val="en-CA"/>
        </w:rPr>
        <w:t xml:space="preserve"> D], </w:t>
      </w:r>
      <w:r w:rsidR="00AC14F0" w:rsidRPr="00BE0D96">
        <w:rPr>
          <w:lang w:val="en-CA"/>
        </w:rPr>
        <w:t xml:space="preserve">the </w:t>
      </w:r>
      <w:r w:rsidR="00966EEF" w:rsidRPr="00BE0D96">
        <w:rPr>
          <w:lang w:val="en-CA"/>
        </w:rPr>
        <w:t>analys</w:t>
      </w:r>
      <w:r w:rsidR="00AC14F0" w:rsidRPr="00BE0D96">
        <w:rPr>
          <w:lang w:val="en-CA"/>
        </w:rPr>
        <w:t xml:space="preserve">is of the automobile </w:t>
      </w:r>
      <w:r w:rsidR="00966EEF" w:rsidRPr="00BE0D96">
        <w:rPr>
          <w:lang w:val="en-CA"/>
        </w:rPr>
        <w:t xml:space="preserve">transactions </w:t>
      </w:r>
      <w:r w:rsidR="00AC14F0" w:rsidRPr="00BE0D96">
        <w:rPr>
          <w:lang w:val="en-CA"/>
        </w:rPr>
        <w:t xml:space="preserve">related to </w:t>
      </w:r>
      <w:r w:rsidR="00966EEF" w:rsidRPr="00BE0D96">
        <w:rPr>
          <w:lang w:val="en-CA"/>
        </w:rPr>
        <w:t>[Compan</w:t>
      </w:r>
      <w:r w:rsidR="00AC14F0" w:rsidRPr="00BE0D96">
        <w:rPr>
          <w:lang w:val="en-CA"/>
        </w:rPr>
        <w:t>y</w:t>
      </w:r>
      <w:r w:rsidR="00966EEF" w:rsidRPr="00BE0D96">
        <w:rPr>
          <w:lang w:val="en-CA"/>
        </w:rPr>
        <w:t xml:space="preserve"> C], </w:t>
      </w:r>
      <w:r w:rsidR="00AC14F0" w:rsidRPr="00BE0D96">
        <w:rPr>
          <w:lang w:val="en-CA"/>
        </w:rPr>
        <w:t>a</w:t>
      </w:r>
      <w:r w:rsidR="00966EEF" w:rsidRPr="00BE0D96">
        <w:rPr>
          <w:lang w:val="en-CA"/>
        </w:rPr>
        <w:t xml:space="preserve"> conversation </w:t>
      </w:r>
      <w:r w:rsidR="00AC14F0" w:rsidRPr="00BE0D96">
        <w:rPr>
          <w:lang w:val="en-CA"/>
        </w:rPr>
        <w:t xml:space="preserve">with a claims adjuster </w:t>
      </w:r>
      <w:r w:rsidR="00CB7415">
        <w:rPr>
          <w:lang w:val="en-CA"/>
        </w:rPr>
        <w:t>regarding</w:t>
      </w:r>
      <w:r w:rsidR="00AC14F0" w:rsidRPr="00BE0D96">
        <w:rPr>
          <w:lang w:val="en-CA"/>
        </w:rPr>
        <w:t xml:space="preserve"> another </w:t>
      </w:r>
      <w:r w:rsidR="009C4BA2" w:rsidRPr="00BE0D96">
        <w:rPr>
          <w:lang w:val="en-CA"/>
        </w:rPr>
        <w:t xml:space="preserve">automobile </w:t>
      </w:r>
      <w:r w:rsidR="00966EEF" w:rsidRPr="00BE0D96">
        <w:rPr>
          <w:lang w:val="en-CA"/>
        </w:rPr>
        <w:t xml:space="preserve">accident </w:t>
      </w:r>
      <w:r w:rsidR="00CB7415">
        <w:rPr>
          <w:lang w:val="en-CA"/>
        </w:rPr>
        <w:t xml:space="preserve">involving </w:t>
      </w:r>
      <w:r w:rsidR="009C4BA2" w:rsidRPr="00BE0D96">
        <w:rPr>
          <w:lang w:val="en-CA"/>
        </w:rPr>
        <w:t xml:space="preserve">the applicant, a telephone </w:t>
      </w:r>
      <w:r w:rsidR="00966EEF" w:rsidRPr="00BE0D96">
        <w:rPr>
          <w:lang w:val="en-CA"/>
        </w:rPr>
        <w:t xml:space="preserve">conversation </w:t>
      </w:r>
      <w:r w:rsidR="009C4BA2" w:rsidRPr="00BE0D96">
        <w:rPr>
          <w:lang w:val="en-CA"/>
        </w:rPr>
        <w:t xml:space="preserve">with the owner of </w:t>
      </w:r>
      <w:r w:rsidR="00966EEF" w:rsidRPr="00BE0D96">
        <w:rPr>
          <w:lang w:val="en-CA"/>
        </w:rPr>
        <w:t>[Compan</w:t>
      </w:r>
      <w:r w:rsidR="009C4BA2" w:rsidRPr="00BE0D96">
        <w:rPr>
          <w:lang w:val="en-CA"/>
        </w:rPr>
        <w:t>y</w:t>
      </w:r>
      <w:r w:rsidR="00966EEF" w:rsidRPr="00BE0D96">
        <w:rPr>
          <w:lang w:val="en-CA"/>
        </w:rPr>
        <w:t xml:space="preserve"> E]; </w:t>
      </w:r>
    </w:p>
    <w:p w14:paraId="1AA0E67D" w14:textId="7CDC304C" w:rsidR="005A3926" w:rsidRPr="00BE0D96" w:rsidRDefault="009C4BA2" w:rsidP="005A3926">
      <w:pPr>
        <w:pStyle w:val="F02-Texte"/>
        <w:numPr>
          <w:ilvl w:val="0"/>
          <w:numId w:val="21"/>
        </w:numPr>
        <w:spacing w:before="360"/>
        <w:rPr>
          <w:lang w:val="en-CA"/>
        </w:rPr>
      </w:pPr>
      <w:r w:rsidRPr="00BE0D96">
        <w:rPr>
          <w:lang w:val="en-CA"/>
        </w:rPr>
        <w:t xml:space="preserve">A report of a meeting with the applicant on </w:t>
      </w:r>
      <w:r w:rsidR="00966EEF" w:rsidRPr="00BE0D96">
        <w:rPr>
          <w:lang w:val="en-CA"/>
        </w:rPr>
        <w:t>June</w:t>
      </w:r>
      <w:r w:rsidRPr="00BE0D96">
        <w:rPr>
          <w:lang w:val="en-CA"/>
        </w:rPr>
        <w:t xml:space="preserve"> 11,</w:t>
      </w:r>
      <w:r w:rsidR="00966EEF" w:rsidRPr="00BE0D96">
        <w:rPr>
          <w:lang w:val="en-CA"/>
        </w:rPr>
        <w:t> 2014;</w:t>
      </w:r>
    </w:p>
    <w:p w14:paraId="29B718D6" w14:textId="7834BAA5" w:rsidR="005A3926" w:rsidRPr="00BE0D96" w:rsidRDefault="00011318" w:rsidP="005A3926">
      <w:pPr>
        <w:pStyle w:val="F02-Texte"/>
        <w:numPr>
          <w:ilvl w:val="0"/>
          <w:numId w:val="21"/>
        </w:numPr>
        <w:spacing w:before="360"/>
        <w:rPr>
          <w:lang w:val="en-CA"/>
        </w:rPr>
      </w:pPr>
      <w:r w:rsidRPr="00BE0D96">
        <w:rPr>
          <w:lang w:val="en-CA"/>
        </w:rPr>
        <w:t>Searches conducted in the records of the enterprise r</w:t>
      </w:r>
      <w:r w:rsidR="00966EEF" w:rsidRPr="00BE0D96">
        <w:rPr>
          <w:lang w:val="en-CA"/>
        </w:rPr>
        <w:t>egist</w:t>
      </w:r>
      <w:r w:rsidR="004C013D">
        <w:rPr>
          <w:lang w:val="en-CA"/>
        </w:rPr>
        <w:t>er</w:t>
      </w:r>
      <w:r w:rsidRPr="00BE0D96">
        <w:rPr>
          <w:lang w:val="en-CA"/>
        </w:rPr>
        <w:t xml:space="preserve"> and the </w:t>
      </w:r>
      <w:r w:rsidR="00DC21F6" w:rsidRPr="00BE0D96">
        <w:rPr>
          <w:lang w:val="en-CA"/>
        </w:rPr>
        <w:t>vehicle registration r</w:t>
      </w:r>
      <w:r w:rsidR="00966EEF" w:rsidRPr="00BE0D96">
        <w:rPr>
          <w:lang w:val="en-CA"/>
        </w:rPr>
        <w:t>egist</w:t>
      </w:r>
      <w:r w:rsidR="00823E4F">
        <w:rPr>
          <w:lang w:val="en-CA"/>
        </w:rPr>
        <w:t>e</w:t>
      </w:r>
      <w:r w:rsidR="00966EEF" w:rsidRPr="00BE0D96">
        <w:rPr>
          <w:lang w:val="en-CA"/>
        </w:rPr>
        <w:t>r</w:t>
      </w:r>
      <w:r w:rsidR="00DC21F6" w:rsidRPr="00BE0D96">
        <w:rPr>
          <w:lang w:val="en-CA"/>
        </w:rPr>
        <w:t xml:space="preserve">, </w:t>
      </w:r>
      <w:r w:rsidR="00CB7415">
        <w:rPr>
          <w:lang w:val="en-CA"/>
        </w:rPr>
        <w:t xml:space="preserve">and </w:t>
      </w:r>
      <w:r w:rsidR="00DC21F6" w:rsidRPr="00BE0D96">
        <w:rPr>
          <w:lang w:val="en-CA"/>
        </w:rPr>
        <w:t>the verification of a commercial address</w:t>
      </w:r>
      <w:r w:rsidR="00966EEF" w:rsidRPr="00BE0D96">
        <w:rPr>
          <w:lang w:val="en-CA"/>
        </w:rPr>
        <w:t>;</w:t>
      </w:r>
    </w:p>
    <w:p w14:paraId="704091E5" w14:textId="27F8879B" w:rsidR="005A3926" w:rsidRPr="00BE0D96" w:rsidRDefault="00DC21F6" w:rsidP="005A3926">
      <w:pPr>
        <w:pStyle w:val="F02-Texte"/>
        <w:numPr>
          <w:ilvl w:val="0"/>
          <w:numId w:val="21"/>
        </w:numPr>
        <w:spacing w:before="360"/>
        <w:rPr>
          <w:lang w:val="en-CA"/>
        </w:rPr>
      </w:pPr>
      <w:r w:rsidRPr="00BE0D96">
        <w:rPr>
          <w:lang w:val="en-CA"/>
        </w:rPr>
        <w:t>Bank statements and other information obtained from the TD Bank</w:t>
      </w:r>
      <w:r w:rsidR="00966EEF" w:rsidRPr="00BE0D96">
        <w:rPr>
          <w:lang w:val="en-CA"/>
        </w:rPr>
        <w:t>;</w:t>
      </w:r>
    </w:p>
    <w:p w14:paraId="7829FB52" w14:textId="53618279" w:rsidR="005A3926" w:rsidRPr="00BE0D96" w:rsidRDefault="00DC21F6" w:rsidP="005A3926">
      <w:pPr>
        <w:pStyle w:val="F02-Texte"/>
        <w:numPr>
          <w:ilvl w:val="0"/>
          <w:numId w:val="21"/>
        </w:numPr>
        <w:spacing w:before="360"/>
        <w:rPr>
          <w:lang w:val="en-CA"/>
        </w:rPr>
      </w:pPr>
      <w:r w:rsidRPr="00BE0D96">
        <w:rPr>
          <w:lang w:val="en-CA"/>
        </w:rPr>
        <w:t xml:space="preserve">A meeting with another investigator of the </w:t>
      </w:r>
      <w:r w:rsidR="00966EEF" w:rsidRPr="00BE0D96">
        <w:rPr>
          <w:lang w:val="en-CA"/>
        </w:rPr>
        <w:t>Société</w:t>
      </w:r>
      <w:r w:rsidRPr="00BE0D96">
        <w:rPr>
          <w:lang w:val="en-CA"/>
        </w:rPr>
        <w:t xml:space="preserve"> regarding </w:t>
      </w:r>
      <w:r w:rsidR="002941D5">
        <w:rPr>
          <w:lang w:val="en-CA"/>
        </w:rPr>
        <w:t xml:space="preserve">a </w:t>
      </w:r>
      <w:r w:rsidRPr="00BE0D96">
        <w:rPr>
          <w:lang w:val="en-CA"/>
        </w:rPr>
        <w:t>towing</w:t>
      </w:r>
      <w:r w:rsidR="002941D5">
        <w:rPr>
          <w:lang w:val="en-CA"/>
        </w:rPr>
        <w:t xml:space="preserve"> incident</w:t>
      </w:r>
      <w:r w:rsidRPr="00BE0D96">
        <w:rPr>
          <w:lang w:val="en-CA"/>
        </w:rPr>
        <w:t xml:space="preserve"> and the applicant’s meeting </w:t>
      </w:r>
      <w:r w:rsidR="00966EEF" w:rsidRPr="00BE0D96">
        <w:rPr>
          <w:lang w:val="en-CA"/>
        </w:rPr>
        <w:t>[</w:t>
      </w:r>
      <w:r w:rsidRPr="00BE0D96">
        <w:rPr>
          <w:lang w:val="en-CA"/>
        </w:rPr>
        <w:t xml:space="preserve">at </w:t>
      </w:r>
      <w:r w:rsidR="00966EEF" w:rsidRPr="00BE0D96">
        <w:rPr>
          <w:lang w:val="en-CA"/>
        </w:rPr>
        <w:t>Compan</w:t>
      </w:r>
      <w:r w:rsidRPr="00BE0D96">
        <w:rPr>
          <w:lang w:val="en-CA"/>
        </w:rPr>
        <w:t>y</w:t>
      </w:r>
      <w:r w:rsidR="00966EEF" w:rsidRPr="00BE0D96">
        <w:rPr>
          <w:lang w:val="en-CA"/>
        </w:rPr>
        <w:t xml:space="preserve"> C].</w:t>
      </w:r>
    </w:p>
    <w:p w14:paraId="7D9B5FD0" w14:textId="52C23EF5" w:rsidR="005A3926" w:rsidRPr="00BE0D96" w:rsidRDefault="00DC21F6" w:rsidP="005A3926">
      <w:pPr>
        <w:pStyle w:val="F02-Texte"/>
        <w:spacing w:before="360"/>
        <w:rPr>
          <w:lang w:val="en-CA"/>
        </w:rPr>
      </w:pPr>
      <w:r w:rsidRPr="00BE0D96">
        <w:rPr>
          <w:lang w:val="en-CA"/>
        </w:rPr>
        <w:lastRenderedPageBreak/>
        <w:t>The investigation report contains the</w:t>
      </w:r>
      <w:r w:rsidR="006A7F85">
        <w:rPr>
          <w:lang w:val="en-CA"/>
        </w:rPr>
        <w:t xml:space="preserve"> physical</w:t>
      </w:r>
      <w:r w:rsidRPr="00BE0D96">
        <w:rPr>
          <w:lang w:val="en-CA"/>
        </w:rPr>
        <w:t xml:space="preserve"> </w:t>
      </w:r>
      <w:r w:rsidR="00966EEF" w:rsidRPr="00BE0D96">
        <w:rPr>
          <w:lang w:val="en-CA"/>
        </w:rPr>
        <w:t>surveillance</w:t>
      </w:r>
      <w:r w:rsidRPr="00BE0D96">
        <w:rPr>
          <w:lang w:val="en-CA"/>
        </w:rPr>
        <w:t xml:space="preserve"> and video </w:t>
      </w:r>
      <w:r w:rsidR="006A7F85">
        <w:rPr>
          <w:lang w:val="en-CA"/>
        </w:rPr>
        <w:t>surveillance report</w:t>
      </w:r>
      <w:r w:rsidR="006A7F85" w:rsidRPr="00BE0D96">
        <w:rPr>
          <w:lang w:val="en-CA"/>
        </w:rPr>
        <w:t xml:space="preserve"> </w:t>
      </w:r>
      <w:r w:rsidR="00B6337D">
        <w:rPr>
          <w:lang w:val="en-CA"/>
        </w:rPr>
        <w:t>by</w:t>
      </w:r>
      <w:r w:rsidR="00B6337D" w:rsidRPr="00BE0D96">
        <w:rPr>
          <w:lang w:val="en-CA"/>
        </w:rPr>
        <w:t xml:space="preserve"> </w:t>
      </w:r>
      <w:r w:rsidRPr="00BE0D96">
        <w:rPr>
          <w:lang w:val="en-CA"/>
        </w:rPr>
        <w:t xml:space="preserve">the </w:t>
      </w:r>
      <w:r w:rsidR="00966EEF" w:rsidRPr="00BE0D96">
        <w:rPr>
          <w:lang w:val="en-CA"/>
        </w:rPr>
        <w:t xml:space="preserve">investigation </w:t>
      </w:r>
      <w:r w:rsidRPr="00BE0D96">
        <w:rPr>
          <w:lang w:val="en-CA"/>
        </w:rPr>
        <w:t xml:space="preserve">firm </w:t>
      </w:r>
      <w:r w:rsidR="00966EEF" w:rsidRPr="00BE0D96">
        <w:rPr>
          <w:lang w:val="en-CA"/>
        </w:rPr>
        <w:t xml:space="preserve">Gardium (schedule 12). </w:t>
      </w:r>
      <w:r w:rsidRPr="00BE0D96">
        <w:rPr>
          <w:lang w:val="en-CA"/>
        </w:rPr>
        <w:t>This part of the report will be addressed in the next section</w:t>
      </w:r>
      <w:r w:rsidR="005A64AD" w:rsidRPr="00BE0D96">
        <w:rPr>
          <w:lang w:val="en-CA"/>
        </w:rPr>
        <w:t xml:space="preserve"> along with the report of the meeting with the </w:t>
      </w:r>
      <w:r w:rsidR="00966EEF" w:rsidRPr="00BE0D96">
        <w:rPr>
          <w:lang w:val="en-CA"/>
        </w:rPr>
        <w:t>physioth</w:t>
      </w:r>
      <w:r w:rsidR="005A64AD" w:rsidRPr="00BE0D96">
        <w:rPr>
          <w:lang w:val="en-CA"/>
        </w:rPr>
        <w:t>e</w:t>
      </w:r>
      <w:r w:rsidR="00966EEF" w:rsidRPr="00BE0D96">
        <w:rPr>
          <w:lang w:val="en-CA"/>
        </w:rPr>
        <w:t>rap</w:t>
      </w:r>
      <w:r w:rsidR="005A64AD" w:rsidRPr="00BE0D96">
        <w:rPr>
          <w:lang w:val="en-CA"/>
        </w:rPr>
        <w:t>ist commenting on the applicant’s conduct on the videos</w:t>
      </w:r>
      <w:r w:rsidR="00966EEF" w:rsidRPr="00BE0D96">
        <w:rPr>
          <w:lang w:val="en-CA"/>
        </w:rPr>
        <w:t xml:space="preserve"> (schedule 20). </w:t>
      </w:r>
    </w:p>
    <w:p w14:paraId="4CB7A579" w14:textId="77E2DC9A" w:rsidR="005A3926" w:rsidRPr="00BE0D96" w:rsidRDefault="00511136" w:rsidP="005A3926">
      <w:pPr>
        <w:pStyle w:val="F02-Texte"/>
        <w:spacing w:before="360"/>
        <w:rPr>
          <w:lang w:val="en-CA"/>
        </w:rPr>
      </w:pPr>
      <w:r w:rsidRPr="00BE0D96">
        <w:rPr>
          <w:lang w:val="en-CA"/>
        </w:rPr>
        <w:t>The additional investigation</w:t>
      </w:r>
      <w:r w:rsidR="005A3926" w:rsidRPr="00BE0D96">
        <w:rPr>
          <w:lang w:val="en-CA"/>
        </w:rPr>
        <w:t xml:space="preserve"> details</w:t>
      </w:r>
      <w:r w:rsidRPr="00BE0D96">
        <w:rPr>
          <w:lang w:val="en-CA"/>
        </w:rPr>
        <w:t xml:space="preserve"> of </w:t>
      </w:r>
      <w:r w:rsidR="00966EEF" w:rsidRPr="00BE0D96">
        <w:rPr>
          <w:lang w:val="en-CA"/>
        </w:rPr>
        <w:t>September</w:t>
      </w:r>
      <w:r w:rsidRPr="00BE0D96">
        <w:rPr>
          <w:lang w:val="en-CA"/>
        </w:rPr>
        <w:t xml:space="preserve"> 3,</w:t>
      </w:r>
      <w:r w:rsidR="00966EEF" w:rsidRPr="00BE0D96">
        <w:rPr>
          <w:lang w:val="en-CA"/>
        </w:rPr>
        <w:t> 2014</w:t>
      </w:r>
      <w:r w:rsidRPr="00BE0D96">
        <w:rPr>
          <w:lang w:val="en-CA"/>
        </w:rPr>
        <w:t>, include the following</w:t>
      </w:r>
      <w:r w:rsidR="00966EEF" w:rsidRPr="00BE0D96">
        <w:rPr>
          <w:lang w:val="en-CA"/>
        </w:rPr>
        <w:t>:</w:t>
      </w:r>
    </w:p>
    <w:p w14:paraId="3C53F6FD" w14:textId="4ACAB1CE" w:rsidR="005A3926" w:rsidRPr="00BE0D96" w:rsidRDefault="00511136" w:rsidP="005A3926">
      <w:pPr>
        <w:pStyle w:val="F02-Texte"/>
        <w:numPr>
          <w:ilvl w:val="0"/>
          <w:numId w:val="22"/>
        </w:numPr>
        <w:spacing w:before="360"/>
        <w:rPr>
          <w:lang w:val="en-CA"/>
        </w:rPr>
      </w:pPr>
      <w:r w:rsidRPr="00BE0D96">
        <w:rPr>
          <w:lang w:val="en-CA"/>
        </w:rPr>
        <w:t xml:space="preserve">An accident scene reconstruction </w:t>
      </w:r>
      <w:r w:rsidR="00966EEF" w:rsidRPr="00BE0D96">
        <w:rPr>
          <w:lang w:val="en-CA"/>
        </w:rPr>
        <w:t>expert</w:t>
      </w:r>
      <w:r w:rsidRPr="00BE0D96">
        <w:rPr>
          <w:lang w:val="en-CA"/>
        </w:rPr>
        <w:t xml:space="preserve"> </w:t>
      </w:r>
      <w:r w:rsidR="00966EEF" w:rsidRPr="00BE0D96">
        <w:rPr>
          <w:lang w:val="en-CA"/>
        </w:rPr>
        <w:t>assessment;</w:t>
      </w:r>
    </w:p>
    <w:p w14:paraId="7C370E31" w14:textId="40A600A5" w:rsidR="005A3926" w:rsidRPr="00BE0D96" w:rsidRDefault="00CD37B6" w:rsidP="005A3926">
      <w:pPr>
        <w:pStyle w:val="F02-Texte"/>
        <w:numPr>
          <w:ilvl w:val="0"/>
          <w:numId w:val="22"/>
        </w:numPr>
        <w:spacing w:before="360"/>
        <w:rPr>
          <w:lang w:val="en-CA"/>
        </w:rPr>
      </w:pPr>
      <w:r w:rsidRPr="00BE0D96">
        <w:rPr>
          <w:lang w:val="en-CA"/>
        </w:rPr>
        <w:t xml:space="preserve">An account of the piano lessons that the applicant allegedly gave after the </w:t>
      </w:r>
      <w:r w:rsidR="00966EEF" w:rsidRPr="00BE0D96">
        <w:rPr>
          <w:lang w:val="en-CA"/>
        </w:rPr>
        <w:t>accident.</w:t>
      </w:r>
    </w:p>
    <w:p w14:paraId="6728562D" w14:textId="72AD304D" w:rsidR="005A3926" w:rsidRPr="00BE0D96" w:rsidRDefault="004355B8" w:rsidP="005A3926">
      <w:pPr>
        <w:pStyle w:val="F02-Texte"/>
        <w:spacing w:before="360"/>
        <w:rPr>
          <w:lang w:val="en-CA"/>
        </w:rPr>
      </w:pPr>
      <w:r w:rsidRPr="00BE0D96">
        <w:rPr>
          <w:lang w:val="en-CA"/>
        </w:rPr>
        <w:t>The additional investigation</w:t>
      </w:r>
      <w:r w:rsidR="005A3926" w:rsidRPr="00BE0D96">
        <w:rPr>
          <w:lang w:val="en-CA"/>
        </w:rPr>
        <w:t xml:space="preserve"> details</w:t>
      </w:r>
      <w:r w:rsidRPr="00BE0D96">
        <w:rPr>
          <w:lang w:val="en-CA"/>
        </w:rPr>
        <w:t xml:space="preserve"> of </w:t>
      </w:r>
      <w:r w:rsidR="00966EEF" w:rsidRPr="00BE0D96">
        <w:rPr>
          <w:lang w:val="en-CA"/>
        </w:rPr>
        <w:t>September</w:t>
      </w:r>
      <w:r w:rsidRPr="00BE0D96">
        <w:rPr>
          <w:lang w:val="en-CA"/>
        </w:rPr>
        <w:t xml:space="preserve"> 19,</w:t>
      </w:r>
      <w:r w:rsidR="00966EEF" w:rsidRPr="00BE0D96">
        <w:rPr>
          <w:lang w:val="en-CA"/>
        </w:rPr>
        <w:t> 2014</w:t>
      </w:r>
      <w:r w:rsidRPr="00BE0D96">
        <w:rPr>
          <w:lang w:val="en-CA"/>
        </w:rPr>
        <w:t xml:space="preserve">, </w:t>
      </w:r>
      <w:r w:rsidR="00A75DBA">
        <w:rPr>
          <w:lang w:val="en-CA"/>
        </w:rPr>
        <w:t>is made up of</w:t>
      </w:r>
      <w:r w:rsidR="00966EEF" w:rsidRPr="00BE0D96">
        <w:rPr>
          <w:lang w:val="en-CA"/>
        </w:rPr>
        <w:t xml:space="preserve">: </w:t>
      </w:r>
    </w:p>
    <w:p w14:paraId="117ED73D" w14:textId="008C8485" w:rsidR="005A3926" w:rsidRPr="00BE0D96" w:rsidRDefault="004355B8" w:rsidP="005A3926">
      <w:pPr>
        <w:pStyle w:val="F02-Texte"/>
        <w:numPr>
          <w:ilvl w:val="0"/>
          <w:numId w:val="23"/>
        </w:numPr>
        <w:spacing w:before="360"/>
        <w:rPr>
          <w:lang w:val="en-CA"/>
        </w:rPr>
      </w:pPr>
      <w:r w:rsidRPr="00BE0D96">
        <w:rPr>
          <w:lang w:val="en-CA"/>
        </w:rPr>
        <w:t xml:space="preserve">A verification with the integrated traffic management centre of </w:t>
      </w:r>
      <w:r w:rsidR="00966EEF" w:rsidRPr="00BE0D96">
        <w:rPr>
          <w:lang w:val="en-CA"/>
        </w:rPr>
        <w:t xml:space="preserve">A </w:t>
      </w:r>
      <w:r w:rsidRPr="00BE0D96">
        <w:rPr>
          <w:lang w:val="en-CA"/>
        </w:rPr>
        <w:t xml:space="preserve">for </w:t>
      </w:r>
      <w:r w:rsidR="00966EEF" w:rsidRPr="00BE0D96">
        <w:rPr>
          <w:lang w:val="en-CA"/>
        </w:rPr>
        <w:t>February</w:t>
      </w:r>
      <w:r w:rsidRPr="00BE0D96">
        <w:rPr>
          <w:lang w:val="en-CA"/>
        </w:rPr>
        <w:t xml:space="preserve"> 6,</w:t>
      </w:r>
      <w:r w:rsidR="00966EEF" w:rsidRPr="00BE0D96">
        <w:rPr>
          <w:lang w:val="en-CA"/>
        </w:rPr>
        <w:t> 2013.</w:t>
      </w:r>
    </w:p>
    <w:p w14:paraId="4A13FF4C" w14:textId="26924559" w:rsidR="005A3926" w:rsidRPr="00BE0D96" w:rsidRDefault="004355B8" w:rsidP="005A3926">
      <w:pPr>
        <w:pStyle w:val="F02-Texte"/>
        <w:spacing w:before="360"/>
        <w:rPr>
          <w:lang w:val="en-CA"/>
        </w:rPr>
      </w:pPr>
      <w:r w:rsidRPr="00BE0D96">
        <w:rPr>
          <w:lang w:val="en-CA"/>
        </w:rPr>
        <w:t xml:space="preserve">The additional investigation </w:t>
      </w:r>
      <w:r w:rsidR="005A3926" w:rsidRPr="00BE0D96">
        <w:rPr>
          <w:lang w:val="en-CA"/>
        </w:rPr>
        <w:t xml:space="preserve">details </w:t>
      </w:r>
      <w:r w:rsidRPr="00BE0D96">
        <w:rPr>
          <w:lang w:val="en-CA"/>
        </w:rPr>
        <w:t xml:space="preserve">of </w:t>
      </w:r>
      <w:r w:rsidR="00966EEF" w:rsidRPr="00BE0D96">
        <w:rPr>
          <w:lang w:val="en-CA"/>
        </w:rPr>
        <w:t>November</w:t>
      </w:r>
      <w:r w:rsidRPr="00BE0D96">
        <w:rPr>
          <w:lang w:val="en-CA"/>
        </w:rPr>
        <w:t xml:space="preserve"> 11,</w:t>
      </w:r>
      <w:r w:rsidR="00966EEF" w:rsidRPr="00BE0D96">
        <w:rPr>
          <w:lang w:val="en-CA"/>
        </w:rPr>
        <w:t> 2019</w:t>
      </w:r>
      <w:r w:rsidRPr="00BE0D96">
        <w:rPr>
          <w:lang w:val="en-CA"/>
        </w:rPr>
        <w:t>, concern</w:t>
      </w:r>
      <w:r w:rsidR="00966EEF" w:rsidRPr="00BE0D96">
        <w:rPr>
          <w:lang w:val="en-CA"/>
        </w:rPr>
        <w:t>:</w:t>
      </w:r>
    </w:p>
    <w:p w14:paraId="7C35F307" w14:textId="5408D966" w:rsidR="005A3926" w:rsidRPr="00BE0D96" w:rsidRDefault="00263CCE" w:rsidP="005A3926">
      <w:pPr>
        <w:pStyle w:val="F02-Texte"/>
        <w:numPr>
          <w:ilvl w:val="0"/>
          <w:numId w:val="23"/>
        </w:numPr>
        <w:spacing w:before="360"/>
        <w:rPr>
          <w:lang w:val="en-CA"/>
        </w:rPr>
      </w:pPr>
      <w:r w:rsidRPr="00BE0D96">
        <w:rPr>
          <w:lang w:val="en-CA"/>
        </w:rPr>
        <w:t>A v</w:t>
      </w:r>
      <w:r w:rsidR="00966EEF" w:rsidRPr="00BE0D96">
        <w:rPr>
          <w:lang w:val="en-CA"/>
        </w:rPr>
        <w:t xml:space="preserve">alidation </w:t>
      </w:r>
      <w:r w:rsidRPr="00BE0D96">
        <w:rPr>
          <w:lang w:val="en-CA"/>
        </w:rPr>
        <w:t xml:space="preserve">of </w:t>
      </w:r>
      <w:r w:rsidR="00966EEF" w:rsidRPr="00BE0D96">
        <w:rPr>
          <w:lang w:val="en-CA"/>
        </w:rPr>
        <w:t>information</w:t>
      </w:r>
      <w:r w:rsidRPr="00BE0D96">
        <w:rPr>
          <w:lang w:val="en-CA"/>
        </w:rPr>
        <w:t xml:space="preserve"> – meeting with the </w:t>
      </w:r>
      <w:r w:rsidR="00966EEF" w:rsidRPr="00BE0D96">
        <w:rPr>
          <w:lang w:val="en-CA"/>
        </w:rPr>
        <w:t>witness</w:t>
      </w:r>
      <w:r w:rsidRPr="00BE0D96">
        <w:rPr>
          <w:lang w:val="en-CA"/>
        </w:rPr>
        <w:t xml:space="preserve"> of the </w:t>
      </w:r>
      <w:r w:rsidR="00966EEF" w:rsidRPr="00BE0D96">
        <w:rPr>
          <w:lang w:val="en-CA"/>
        </w:rPr>
        <w:t xml:space="preserve">accident </w:t>
      </w:r>
      <w:r w:rsidRPr="00BE0D96">
        <w:rPr>
          <w:lang w:val="en-CA"/>
        </w:rPr>
        <w:t xml:space="preserve">to clarify certain aspects of her </w:t>
      </w:r>
      <w:r w:rsidR="00966EEF" w:rsidRPr="00BE0D96">
        <w:rPr>
          <w:lang w:val="en-CA"/>
        </w:rPr>
        <w:t xml:space="preserve">affidavit </w:t>
      </w:r>
      <w:r w:rsidRPr="00BE0D96">
        <w:rPr>
          <w:lang w:val="en-CA"/>
        </w:rPr>
        <w:t xml:space="preserve">filed by the applicant on </w:t>
      </w:r>
      <w:r w:rsidR="00966EEF" w:rsidRPr="00BE0D96">
        <w:rPr>
          <w:lang w:val="en-CA"/>
        </w:rPr>
        <w:t>August</w:t>
      </w:r>
      <w:r w:rsidRPr="00BE0D96">
        <w:rPr>
          <w:lang w:val="en-CA"/>
        </w:rPr>
        <w:t xml:space="preserve"> 19,</w:t>
      </w:r>
      <w:r w:rsidR="00966EEF" w:rsidRPr="00BE0D96">
        <w:rPr>
          <w:lang w:val="en-CA"/>
        </w:rPr>
        <w:t xml:space="preserve"> 2019.</w:t>
      </w:r>
    </w:p>
    <w:p w14:paraId="3CB94D60" w14:textId="30193B17" w:rsidR="005A3926" w:rsidRPr="00BE0D96" w:rsidRDefault="006C2D4A" w:rsidP="005A3926">
      <w:pPr>
        <w:pStyle w:val="F02-Texte"/>
        <w:spacing w:before="360"/>
        <w:rPr>
          <w:lang w:val="en-CA"/>
        </w:rPr>
      </w:pPr>
      <w:r w:rsidRPr="00BE0D96">
        <w:rPr>
          <w:lang w:val="en-CA"/>
        </w:rPr>
        <w:t>I</w:t>
      </w:r>
      <w:r w:rsidR="00966EEF" w:rsidRPr="00BE0D96">
        <w:rPr>
          <w:lang w:val="en-CA"/>
        </w:rPr>
        <w:t>n</w:t>
      </w:r>
      <w:r w:rsidRPr="00BE0D96">
        <w:rPr>
          <w:lang w:val="en-CA"/>
        </w:rPr>
        <w:t xml:space="preserve"> </w:t>
      </w:r>
      <w:r w:rsidR="00966EEF" w:rsidRPr="00BE0D96">
        <w:rPr>
          <w:lang w:val="en-CA"/>
        </w:rPr>
        <w:t>this</w:t>
      </w:r>
      <w:r w:rsidRPr="00BE0D96">
        <w:rPr>
          <w:lang w:val="en-CA"/>
        </w:rPr>
        <w:t xml:space="preserve"> </w:t>
      </w:r>
      <w:r w:rsidR="00966EEF" w:rsidRPr="00BE0D96">
        <w:rPr>
          <w:lang w:val="en-CA"/>
        </w:rPr>
        <w:t>respect,</w:t>
      </w:r>
      <w:r w:rsidRPr="00BE0D96">
        <w:rPr>
          <w:lang w:val="en-CA"/>
        </w:rPr>
        <w:t xml:space="preserve"> the</w:t>
      </w:r>
      <w:r w:rsidR="000125E3" w:rsidRPr="00BE0D96">
        <w:rPr>
          <w:lang w:val="en-CA"/>
        </w:rPr>
        <w:t xml:space="preserve"> </w:t>
      </w:r>
      <w:r w:rsidRPr="00BE0D96">
        <w:rPr>
          <w:i/>
          <w:lang w:val="en-CA"/>
        </w:rPr>
        <w:t>Act respecting the Société de l'assurance automobile du Québec</w:t>
      </w:r>
      <w:r w:rsidR="00966EEF" w:rsidRPr="00BE0D96">
        <w:rPr>
          <w:rStyle w:val="Appelnotedebasdep"/>
          <w:lang w:val="en-CA"/>
        </w:rPr>
        <w:footnoteReference w:id="3"/>
      </w:r>
      <w:r w:rsidR="00966EEF" w:rsidRPr="00BE0D96">
        <w:rPr>
          <w:lang w:val="en-CA"/>
        </w:rPr>
        <w:t xml:space="preserve"> </w:t>
      </w:r>
      <w:r w:rsidRPr="00BE0D96">
        <w:rPr>
          <w:lang w:val="en-CA"/>
        </w:rPr>
        <w:t xml:space="preserve">gives the </w:t>
      </w:r>
      <w:r w:rsidR="00966EEF" w:rsidRPr="00BE0D96">
        <w:rPr>
          <w:lang w:val="en-CA"/>
        </w:rPr>
        <w:t>Société</w:t>
      </w:r>
      <w:r w:rsidRPr="00BE0D96">
        <w:rPr>
          <w:lang w:val="en-CA"/>
        </w:rPr>
        <w:t>, itself or through a person it designates, the power to inquire into any matter within its jurisdiction</w:t>
      </w:r>
      <w:r w:rsidR="00966EEF" w:rsidRPr="00BE0D96">
        <w:rPr>
          <w:lang w:val="en-CA"/>
        </w:rPr>
        <w:t xml:space="preserve">. </w:t>
      </w:r>
      <w:r w:rsidRPr="00BE0D96">
        <w:rPr>
          <w:lang w:val="en-CA"/>
        </w:rPr>
        <w:t xml:space="preserve">For such purposes, the Société and any person it designates have the powers and immunities of commissioners appointed under the </w:t>
      </w:r>
      <w:r w:rsidRPr="00BE0D96">
        <w:rPr>
          <w:i/>
          <w:lang w:val="en-CA"/>
        </w:rPr>
        <w:t>Act respecting public inquiry commissions</w:t>
      </w:r>
      <w:r w:rsidRPr="00BE0D96">
        <w:rPr>
          <w:lang w:val="en-CA"/>
        </w:rPr>
        <w:t>,</w:t>
      </w:r>
      <w:r w:rsidR="00966EEF" w:rsidRPr="00BE0D96">
        <w:rPr>
          <w:rStyle w:val="Appelnotedebasdep"/>
          <w:lang w:val="en-CA"/>
        </w:rPr>
        <w:footnoteReference w:id="4"/>
      </w:r>
      <w:r w:rsidR="00966EEF" w:rsidRPr="00BE0D96">
        <w:rPr>
          <w:lang w:val="en-CA"/>
        </w:rPr>
        <w:t xml:space="preserve"> </w:t>
      </w:r>
      <w:r w:rsidRPr="00BE0D96">
        <w:rPr>
          <w:lang w:val="en-CA"/>
        </w:rPr>
        <w:t>except the power to impose i</w:t>
      </w:r>
      <w:r w:rsidR="00966EEF" w:rsidRPr="00BE0D96">
        <w:rPr>
          <w:lang w:val="en-CA"/>
        </w:rPr>
        <w:t>mprisonment.</w:t>
      </w:r>
    </w:p>
    <w:p w14:paraId="2BDA4334" w14:textId="668421D9" w:rsidR="005A3926" w:rsidRPr="00BE0D96" w:rsidRDefault="000C0C3C" w:rsidP="005A3926">
      <w:pPr>
        <w:pStyle w:val="F02-Texte"/>
        <w:spacing w:before="360"/>
        <w:rPr>
          <w:lang w:val="en-CA"/>
        </w:rPr>
      </w:pPr>
      <w:r w:rsidRPr="00BE0D96">
        <w:rPr>
          <w:lang w:val="en-CA"/>
        </w:rPr>
        <w:t xml:space="preserve">It is therefore perfectly legitimate, </w:t>
      </w:r>
      <w:r w:rsidR="00966EEF" w:rsidRPr="00BE0D96">
        <w:rPr>
          <w:lang w:val="en-CA"/>
        </w:rPr>
        <w:t>reasonable</w:t>
      </w:r>
      <w:r w:rsidRPr="00BE0D96">
        <w:rPr>
          <w:lang w:val="en-CA"/>
        </w:rPr>
        <w:t xml:space="preserve">, and even advisable for the </w:t>
      </w:r>
      <w:r w:rsidR="00966EEF" w:rsidRPr="00BE0D96">
        <w:rPr>
          <w:lang w:val="en-CA"/>
        </w:rPr>
        <w:t>Société</w:t>
      </w:r>
      <w:r w:rsidRPr="00BE0D96">
        <w:rPr>
          <w:lang w:val="en-CA"/>
        </w:rPr>
        <w:t xml:space="preserve"> to obtain </w:t>
      </w:r>
      <w:r w:rsidR="00966EEF" w:rsidRPr="00BE0D96">
        <w:rPr>
          <w:lang w:val="en-CA"/>
        </w:rPr>
        <w:t>documents, information</w:t>
      </w:r>
      <w:r w:rsidRPr="00BE0D96">
        <w:rPr>
          <w:lang w:val="en-CA"/>
        </w:rPr>
        <w:t xml:space="preserve">, or an </w:t>
      </w:r>
      <w:r w:rsidR="00966EEF" w:rsidRPr="00BE0D96">
        <w:rPr>
          <w:lang w:val="en-CA"/>
        </w:rPr>
        <w:t>expert</w:t>
      </w:r>
      <w:r w:rsidRPr="00BE0D96">
        <w:rPr>
          <w:lang w:val="en-CA"/>
        </w:rPr>
        <w:t xml:space="preserve"> </w:t>
      </w:r>
      <w:r w:rsidR="00966EEF" w:rsidRPr="00BE0D96">
        <w:rPr>
          <w:lang w:val="en-CA"/>
        </w:rPr>
        <w:t>assessment,</w:t>
      </w:r>
      <w:r w:rsidRPr="00BE0D96">
        <w:rPr>
          <w:lang w:val="en-CA"/>
        </w:rPr>
        <w:t xml:space="preserve"> to verify the facts and clarify a claim file</w:t>
      </w:r>
      <w:r w:rsidR="00966EEF" w:rsidRPr="00BE0D96">
        <w:rPr>
          <w:lang w:val="en-CA"/>
        </w:rPr>
        <w:t>.</w:t>
      </w:r>
    </w:p>
    <w:p w14:paraId="6F50E7DF" w14:textId="7BC4DECF" w:rsidR="005A3926" w:rsidRPr="00BE0D96" w:rsidRDefault="009D302D" w:rsidP="005A3926">
      <w:pPr>
        <w:pStyle w:val="F02-Texte"/>
        <w:spacing w:before="360"/>
        <w:rPr>
          <w:lang w:val="en-CA"/>
        </w:rPr>
      </w:pPr>
      <w:r w:rsidRPr="00BE0D96">
        <w:rPr>
          <w:lang w:val="en-CA"/>
        </w:rPr>
        <w:t xml:space="preserve">The </w:t>
      </w:r>
      <w:r w:rsidR="00966EEF" w:rsidRPr="00BE0D96">
        <w:rPr>
          <w:lang w:val="en-CA"/>
        </w:rPr>
        <w:t>Tribunal</w:t>
      </w:r>
      <w:r w:rsidRPr="00BE0D96">
        <w:rPr>
          <w:lang w:val="en-CA"/>
        </w:rPr>
        <w:t xml:space="preserve"> is</w:t>
      </w:r>
      <w:r w:rsidR="00BE0D96">
        <w:rPr>
          <w:lang w:val="en-CA"/>
        </w:rPr>
        <w:t xml:space="preserve"> </w:t>
      </w:r>
      <w:r w:rsidRPr="00BE0D96">
        <w:rPr>
          <w:lang w:val="en-CA"/>
        </w:rPr>
        <w:t>o</w:t>
      </w:r>
      <w:r w:rsidR="00BE0D96">
        <w:rPr>
          <w:lang w:val="en-CA"/>
        </w:rPr>
        <w:t xml:space="preserve">f </w:t>
      </w:r>
      <w:r w:rsidRPr="00BE0D96">
        <w:rPr>
          <w:lang w:val="en-CA"/>
        </w:rPr>
        <w:t xml:space="preserve">the view that no </w:t>
      </w:r>
      <w:r w:rsidR="00966EEF" w:rsidRPr="00BE0D96">
        <w:rPr>
          <w:lang w:val="en-CA"/>
        </w:rPr>
        <w:t>fundamental</w:t>
      </w:r>
      <w:r w:rsidRPr="00BE0D96">
        <w:rPr>
          <w:lang w:val="en-CA"/>
        </w:rPr>
        <w:t xml:space="preserve"> </w:t>
      </w:r>
      <w:r w:rsidR="00966EEF" w:rsidRPr="00BE0D96">
        <w:rPr>
          <w:lang w:val="en-CA"/>
        </w:rPr>
        <w:t>rights</w:t>
      </w:r>
      <w:r w:rsidRPr="00BE0D96">
        <w:rPr>
          <w:lang w:val="en-CA"/>
        </w:rPr>
        <w:t xml:space="preserve"> </w:t>
      </w:r>
      <w:r w:rsidR="00B84A00">
        <w:rPr>
          <w:lang w:val="en-CA"/>
        </w:rPr>
        <w:t>were</w:t>
      </w:r>
      <w:r w:rsidRPr="00BE0D96">
        <w:rPr>
          <w:lang w:val="en-CA"/>
        </w:rPr>
        <w:t xml:space="preserve"> breached by this portion of the</w:t>
      </w:r>
      <w:r w:rsidR="00966EEF" w:rsidRPr="00BE0D96">
        <w:rPr>
          <w:lang w:val="en-CA"/>
        </w:rPr>
        <w:t xml:space="preserve"> Société</w:t>
      </w:r>
      <w:r w:rsidRPr="00BE0D96">
        <w:rPr>
          <w:lang w:val="en-CA"/>
        </w:rPr>
        <w:t>’s evidence</w:t>
      </w:r>
      <w:r w:rsidR="00966EEF" w:rsidRPr="00BE0D96">
        <w:rPr>
          <w:lang w:val="en-CA"/>
        </w:rPr>
        <w:t xml:space="preserve">. </w:t>
      </w:r>
      <w:r w:rsidRPr="00BE0D96">
        <w:rPr>
          <w:lang w:val="en-CA"/>
        </w:rPr>
        <w:t xml:space="preserve">That goes without saying with respect to obtaining the various </w:t>
      </w:r>
      <w:r w:rsidR="00966EEF" w:rsidRPr="00BE0D96">
        <w:rPr>
          <w:lang w:val="en-CA"/>
        </w:rPr>
        <w:t xml:space="preserve">documents, </w:t>
      </w:r>
      <w:r w:rsidRPr="00BE0D96">
        <w:rPr>
          <w:lang w:val="en-CA"/>
        </w:rPr>
        <w:t xml:space="preserve">but also with respect to the </w:t>
      </w:r>
      <w:r w:rsidR="00AF5566" w:rsidRPr="00BE0D96">
        <w:rPr>
          <w:lang w:val="en-CA"/>
        </w:rPr>
        <w:t xml:space="preserve">Société’s investigator’s </w:t>
      </w:r>
      <w:r w:rsidR="00B84A00">
        <w:rPr>
          <w:lang w:val="en-CA"/>
        </w:rPr>
        <w:t>questioning</w:t>
      </w:r>
      <w:r w:rsidR="00B84A00" w:rsidRPr="00BE0D96">
        <w:rPr>
          <w:lang w:val="en-CA"/>
        </w:rPr>
        <w:t xml:space="preserve"> </w:t>
      </w:r>
      <w:r w:rsidR="00AF5566" w:rsidRPr="00BE0D96">
        <w:rPr>
          <w:lang w:val="en-CA"/>
        </w:rPr>
        <w:t xml:space="preserve">of the owners and employees of the companies </w:t>
      </w:r>
      <w:r w:rsidR="00FC155A">
        <w:rPr>
          <w:lang w:val="en-CA"/>
        </w:rPr>
        <w:t>concerned</w:t>
      </w:r>
      <w:r w:rsidR="00966EEF" w:rsidRPr="00BE0D96">
        <w:rPr>
          <w:lang w:val="en-CA"/>
        </w:rPr>
        <w:t xml:space="preserve">, </w:t>
      </w:r>
      <w:r w:rsidR="00AF5566" w:rsidRPr="00BE0D96">
        <w:rPr>
          <w:lang w:val="en-CA"/>
        </w:rPr>
        <w:t xml:space="preserve">the </w:t>
      </w:r>
      <w:r w:rsidR="00966EEF" w:rsidRPr="00BE0D96">
        <w:rPr>
          <w:lang w:val="en-CA"/>
        </w:rPr>
        <w:t>accountant,</w:t>
      </w:r>
      <w:r w:rsidR="00AF5566" w:rsidRPr="00BE0D96">
        <w:rPr>
          <w:lang w:val="en-CA"/>
        </w:rPr>
        <w:t xml:space="preserve"> the therapist, and the </w:t>
      </w:r>
      <w:r w:rsidR="00966EEF" w:rsidRPr="00BE0D96">
        <w:rPr>
          <w:lang w:val="en-CA"/>
        </w:rPr>
        <w:t xml:space="preserve">clients </w:t>
      </w:r>
      <w:r w:rsidR="00AF5566" w:rsidRPr="00BE0D96">
        <w:rPr>
          <w:lang w:val="en-CA"/>
        </w:rPr>
        <w:lastRenderedPageBreak/>
        <w:t xml:space="preserve">of the businesses </w:t>
      </w:r>
      <w:r w:rsidR="00966EEF" w:rsidRPr="00BE0D96">
        <w:rPr>
          <w:lang w:val="en-CA"/>
        </w:rPr>
        <w:t>concern</w:t>
      </w:r>
      <w:r w:rsidR="00AF5566" w:rsidRPr="00BE0D96">
        <w:rPr>
          <w:lang w:val="en-CA"/>
        </w:rPr>
        <w:t xml:space="preserve">ed. There is no </w:t>
      </w:r>
      <w:r w:rsidR="00966EEF" w:rsidRPr="00BE0D96">
        <w:rPr>
          <w:lang w:val="en-CA"/>
        </w:rPr>
        <w:t xml:space="preserve">violation </w:t>
      </w:r>
      <w:r w:rsidR="00AF5566" w:rsidRPr="00BE0D96">
        <w:rPr>
          <w:lang w:val="en-CA"/>
        </w:rPr>
        <w:t xml:space="preserve">of </w:t>
      </w:r>
      <w:r w:rsidR="00966EEF" w:rsidRPr="00BE0D96">
        <w:rPr>
          <w:lang w:val="en-CA"/>
        </w:rPr>
        <w:t>privacy</w:t>
      </w:r>
      <w:r w:rsidR="00AF5566" w:rsidRPr="00BE0D96">
        <w:rPr>
          <w:lang w:val="en-CA"/>
        </w:rPr>
        <w:t xml:space="preserve"> here, nor any infringement of dignity, honour, or re</w:t>
      </w:r>
      <w:r w:rsidR="00966EEF" w:rsidRPr="00BE0D96">
        <w:rPr>
          <w:lang w:val="en-CA"/>
        </w:rPr>
        <w:t xml:space="preserve">putation. </w:t>
      </w:r>
      <w:r w:rsidR="00AF5566" w:rsidRPr="00BE0D96">
        <w:rPr>
          <w:lang w:val="en-CA"/>
        </w:rPr>
        <w:t xml:space="preserve">Although the applicant invokes </w:t>
      </w:r>
      <w:r w:rsidR="00B50975" w:rsidRPr="00BE0D96">
        <w:rPr>
          <w:lang w:val="en-CA"/>
        </w:rPr>
        <w:t>such infringement</w:t>
      </w:r>
      <w:r w:rsidR="00AF5566" w:rsidRPr="00BE0D96">
        <w:rPr>
          <w:lang w:val="en-CA"/>
        </w:rPr>
        <w:t>, she did not establish</w:t>
      </w:r>
      <w:r w:rsidR="00B50975" w:rsidRPr="00BE0D96">
        <w:rPr>
          <w:lang w:val="en-CA"/>
        </w:rPr>
        <w:t xml:space="preserve"> it or anything beyond the inconvenience or</w:t>
      </w:r>
      <w:r w:rsidR="00966EEF" w:rsidRPr="00BE0D96">
        <w:rPr>
          <w:lang w:val="en-CA"/>
        </w:rPr>
        <w:t xml:space="preserve"> </w:t>
      </w:r>
      <w:r w:rsidR="00B50975" w:rsidRPr="00BE0D96">
        <w:rPr>
          <w:lang w:val="en-CA"/>
        </w:rPr>
        <w:t xml:space="preserve">annoyance of having persons in her circle questioned on subjects </w:t>
      </w:r>
      <w:r w:rsidR="00966EEF" w:rsidRPr="00BE0D96">
        <w:rPr>
          <w:lang w:val="en-CA"/>
        </w:rPr>
        <w:t>concern</w:t>
      </w:r>
      <w:r w:rsidR="00F86B38" w:rsidRPr="00BE0D96">
        <w:rPr>
          <w:lang w:val="en-CA"/>
        </w:rPr>
        <w:t>ing</w:t>
      </w:r>
      <w:r w:rsidR="00B50975" w:rsidRPr="00BE0D96">
        <w:rPr>
          <w:lang w:val="en-CA"/>
        </w:rPr>
        <w:t xml:space="preserve"> her</w:t>
      </w:r>
      <w:r w:rsidR="00966EEF" w:rsidRPr="00BE0D96">
        <w:rPr>
          <w:lang w:val="en-CA"/>
        </w:rPr>
        <w:t>.</w:t>
      </w:r>
    </w:p>
    <w:p w14:paraId="0DDC48E1" w14:textId="757ACA1B" w:rsidR="005A3926" w:rsidRPr="00BE0D96" w:rsidRDefault="00F86B38" w:rsidP="005A3926">
      <w:pPr>
        <w:pStyle w:val="F02-Texte"/>
        <w:spacing w:before="360"/>
        <w:rPr>
          <w:lang w:val="en-CA"/>
        </w:rPr>
      </w:pPr>
      <w:r w:rsidRPr="00BE0D96">
        <w:rPr>
          <w:lang w:val="en-CA"/>
        </w:rPr>
        <w:t xml:space="preserve">In </w:t>
      </w:r>
      <w:r w:rsidR="00966EEF" w:rsidRPr="00BE0D96">
        <w:rPr>
          <w:lang w:val="en-CA"/>
        </w:rPr>
        <w:t xml:space="preserve">conclusion, </w:t>
      </w:r>
      <w:r w:rsidRPr="00BE0D96">
        <w:rPr>
          <w:lang w:val="en-CA"/>
        </w:rPr>
        <w:t>in the co</w:t>
      </w:r>
      <w:r w:rsidR="00966EEF" w:rsidRPr="00BE0D96">
        <w:rPr>
          <w:lang w:val="en-CA"/>
        </w:rPr>
        <w:t>ntext</w:t>
      </w:r>
      <w:r w:rsidRPr="00BE0D96">
        <w:rPr>
          <w:lang w:val="en-CA"/>
        </w:rPr>
        <w:t xml:space="preserve"> of an </w:t>
      </w:r>
      <w:r w:rsidR="00966EEF" w:rsidRPr="00BE0D96">
        <w:rPr>
          <w:lang w:val="en-CA"/>
        </w:rPr>
        <w:t>application</w:t>
      </w:r>
      <w:r w:rsidRPr="00BE0D96">
        <w:rPr>
          <w:lang w:val="en-CA"/>
        </w:rPr>
        <w:t xml:space="preserve"> for an </w:t>
      </w:r>
      <w:r w:rsidR="00966EEF" w:rsidRPr="00BE0D96">
        <w:rPr>
          <w:lang w:val="en-CA"/>
        </w:rPr>
        <w:t>indemnity</w:t>
      </w:r>
      <w:r w:rsidRPr="00BE0D96">
        <w:rPr>
          <w:lang w:val="en-CA"/>
        </w:rPr>
        <w:t xml:space="preserve"> filed by the applicant, the </w:t>
      </w:r>
      <w:r w:rsidR="00966EEF" w:rsidRPr="00BE0D96">
        <w:rPr>
          <w:lang w:val="en-CA"/>
        </w:rPr>
        <w:t>Société</w:t>
      </w:r>
      <w:r w:rsidRPr="00BE0D96">
        <w:rPr>
          <w:lang w:val="en-CA"/>
        </w:rPr>
        <w:t xml:space="preserve"> was justified in pursuing its </w:t>
      </w:r>
      <w:r w:rsidR="00966EEF" w:rsidRPr="00BE0D96">
        <w:rPr>
          <w:lang w:val="en-CA"/>
        </w:rPr>
        <w:t>investigation</w:t>
      </w:r>
      <w:r w:rsidR="005A3926" w:rsidRPr="00BE0D96">
        <w:rPr>
          <w:lang w:val="en-CA"/>
        </w:rPr>
        <w:t xml:space="preserve"> further, and the </w:t>
      </w:r>
      <w:r w:rsidR="00966EEF" w:rsidRPr="00BE0D96">
        <w:rPr>
          <w:lang w:val="en-CA"/>
        </w:rPr>
        <w:t>Tribunal</w:t>
      </w:r>
      <w:r w:rsidR="005A3926" w:rsidRPr="00BE0D96">
        <w:rPr>
          <w:lang w:val="en-CA"/>
        </w:rPr>
        <w:t xml:space="preserve"> finds that the investigation report described above and the additional investigation details are </w:t>
      </w:r>
      <w:r w:rsidR="00966EEF" w:rsidRPr="00BE0D96">
        <w:rPr>
          <w:lang w:val="en-CA"/>
        </w:rPr>
        <w:t>admissible</w:t>
      </w:r>
      <w:r w:rsidR="005A3926" w:rsidRPr="00BE0D96">
        <w:rPr>
          <w:lang w:val="en-CA"/>
        </w:rPr>
        <w:t xml:space="preserve"> </w:t>
      </w:r>
      <w:r w:rsidR="00966EEF" w:rsidRPr="00BE0D96">
        <w:rPr>
          <w:lang w:val="en-CA"/>
        </w:rPr>
        <w:t>in</w:t>
      </w:r>
      <w:r w:rsidR="005A3926" w:rsidRPr="00BE0D96">
        <w:rPr>
          <w:lang w:val="en-CA"/>
        </w:rPr>
        <w:t xml:space="preserve"> </w:t>
      </w:r>
      <w:r w:rsidR="00966EEF" w:rsidRPr="00BE0D96">
        <w:rPr>
          <w:lang w:val="en-CA"/>
        </w:rPr>
        <w:t>evidence.</w:t>
      </w:r>
    </w:p>
    <w:p w14:paraId="56E4A4BF" w14:textId="110C4AC7" w:rsidR="005A3926" w:rsidRPr="00BE0D96" w:rsidRDefault="00BF5AFC" w:rsidP="005A3926">
      <w:pPr>
        <w:pStyle w:val="F02-Texte"/>
        <w:numPr>
          <w:ilvl w:val="0"/>
          <w:numId w:val="0"/>
        </w:numPr>
        <w:spacing w:before="360"/>
        <w:rPr>
          <w:b/>
          <w:lang w:val="en-CA"/>
        </w:rPr>
      </w:pPr>
      <w:r>
        <w:rPr>
          <w:b/>
          <w:lang w:val="en-CA"/>
        </w:rPr>
        <w:t xml:space="preserve">THE </w:t>
      </w:r>
      <w:r w:rsidR="00BF3F16" w:rsidRPr="00BE0D96">
        <w:rPr>
          <w:b/>
          <w:lang w:val="en-CA"/>
        </w:rPr>
        <w:t>SURVEILLANCE</w:t>
      </w:r>
    </w:p>
    <w:p w14:paraId="1C911864" w14:textId="532DB9F5" w:rsidR="005A3926" w:rsidRPr="00BE0D96" w:rsidRDefault="005A3926" w:rsidP="005A3926">
      <w:pPr>
        <w:pStyle w:val="F02-Texte"/>
        <w:spacing w:before="360"/>
        <w:rPr>
          <w:lang w:val="en-CA"/>
        </w:rPr>
      </w:pPr>
      <w:r w:rsidRPr="00BE0D96">
        <w:rPr>
          <w:lang w:val="en-CA"/>
        </w:rPr>
        <w:t xml:space="preserve">The </w:t>
      </w:r>
      <w:r w:rsidR="00966EEF" w:rsidRPr="00BE0D96">
        <w:rPr>
          <w:lang w:val="en-CA"/>
        </w:rPr>
        <w:t>Tribunal</w:t>
      </w:r>
      <w:r w:rsidRPr="00BE0D96">
        <w:rPr>
          <w:lang w:val="en-CA"/>
        </w:rPr>
        <w:t xml:space="preserve"> must now determine whether the </w:t>
      </w:r>
      <w:r w:rsidR="001F6D26">
        <w:rPr>
          <w:lang w:val="en-CA"/>
        </w:rPr>
        <w:t xml:space="preserve">physical </w:t>
      </w:r>
      <w:r w:rsidR="00966EEF" w:rsidRPr="00BE0D96">
        <w:rPr>
          <w:lang w:val="en-CA"/>
        </w:rPr>
        <w:t>surveillance,</w:t>
      </w:r>
      <w:r w:rsidRPr="00BE0D96">
        <w:rPr>
          <w:lang w:val="en-CA"/>
        </w:rPr>
        <w:t xml:space="preserve"> the </w:t>
      </w:r>
      <w:r w:rsidR="009219FE" w:rsidRPr="00BE0D96">
        <w:rPr>
          <w:lang w:val="en-CA"/>
        </w:rPr>
        <w:t>video</w:t>
      </w:r>
      <w:r w:rsidR="009219FE">
        <w:rPr>
          <w:lang w:val="en-CA"/>
        </w:rPr>
        <w:t xml:space="preserve"> </w:t>
      </w:r>
      <w:r w:rsidR="00C1712D">
        <w:rPr>
          <w:lang w:val="en-CA"/>
        </w:rPr>
        <w:t>surveillance</w:t>
      </w:r>
      <w:r w:rsidRPr="00BE0D96">
        <w:rPr>
          <w:lang w:val="en-CA"/>
        </w:rPr>
        <w:t xml:space="preserve">, and the portion of the </w:t>
      </w:r>
      <w:r w:rsidR="001F6D26" w:rsidRPr="001F6D26">
        <w:rPr>
          <w:lang w:val="en-CA"/>
        </w:rPr>
        <w:t xml:space="preserve">statement </w:t>
      </w:r>
      <w:r w:rsidR="006F41BA">
        <w:rPr>
          <w:lang w:val="en-CA"/>
        </w:rPr>
        <w:t>made by</w:t>
      </w:r>
      <w:r w:rsidR="001F6D26" w:rsidRPr="001F6D26">
        <w:rPr>
          <w:lang w:val="en-CA"/>
        </w:rPr>
        <w:t xml:space="preserve"> the applicant’s physiotherapist </w:t>
      </w:r>
      <w:r w:rsidRPr="00BE0D96">
        <w:rPr>
          <w:lang w:val="en-CA"/>
        </w:rPr>
        <w:t xml:space="preserve">commenting on the </w:t>
      </w:r>
      <w:r w:rsidR="00966EEF" w:rsidRPr="00BE0D96">
        <w:rPr>
          <w:lang w:val="en-CA"/>
        </w:rPr>
        <w:t>vid</w:t>
      </w:r>
      <w:r w:rsidRPr="00BE0D96">
        <w:rPr>
          <w:lang w:val="en-CA"/>
        </w:rPr>
        <w:t>e</w:t>
      </w:r>
      <w:r w:rsidR="00966EEF" w:rsidRPr="00BE0D96">
        <w:rPr>
          <w:lang w:val="en-CA"/>
        </w:rPr>
        <w:t>o</w:t>
      </w:r>
      <w:r w:rsidRPr="00BE0D96">
        <w:rPr>
          <w:lang w:val="en-CA"/>
        </w:rPr>
        <w:t xml:space="preserve"> are admissible</w:t>
      </w:r>
      <w:r w:rsidR="00966EEF" w:rsidRPr="00BE0D96">
        <w:rPr>
          <w:lang w:val="en-CA"/>
        </w:rPr>
        <w:t>.</w:t>
      </w:r>
    </w:p>
    <w:p w14:paraId="0561887A" w14:textId="76B0A2FA" w:rsidR="005A3926" w:rsidRPr="00BE0D96" w:rsidRDefault="005A3926" w:rsidP="005A3926">
      <w:pPr>
        <w:pStyle w:val="F02-Texte"/>
        <w:numPr>
          <w:ilvl w:val="0"/>
          <w:numId w:val="0"/>
        </w:numPr>
        <w:spacing w:before="360"/>
        <w:rPr>
          <w:b/>
          <w:lang w:val="en-CA"/>
        </w:rPr>
      </w:pPr>
      <w:r w:rsidRPr="00BE0D96">
        <w:rPr>
          <w:b/>
          <w:lang w:val="en-CA"/>
        </w:rPr>
        <w:t xml:space="preserve">DID A </w:t>
      </w:r>
      <w:r w:rsidR="00966EEF" w:rsidRPr="00BE0D96">
        <w:rPr>
          <w:b/>
          <w:lang w:val="en-CA"/>
        </w:rPr>
        <w:t xml:space="preserve">VIOLATION </w:t>
      </w:r>
      <w:r w:rsidRPr="00BE0D96">
        <w:rPr>
          <w:b/>
          <w:lang w:val="en-CA"/>
        </w:rPr>
        <w:t>OF PRIVACY OCCUR</w:t>
      </w:r>
      <w:r w:rsidR="00966EEF" w:rsidRPr="00BE0D96">
        <w:rPr>
          <w:b/>
          <w:lang w:val="en-CA"/>
        </w:rPr>
        <w:t>?</w:t>
      </w:r>
    </w:p>
    <w:p w14:paraId="09BD6320" w14:textId="5D9DC11A" w:rsidR="005A3926" w:rsidRPr="00BE0D96" w:rsidRDefault="005A3926" w:rsidP="005A3926">
      <w:pPr>
        <w:pStyle w:val="F02-Texte"/>
        <w:spacing w:before="360"/>
        <w:rPr>
          <w:lang w:val="en-CA"/>
        </w:rPr>
      </w:pPr>
      <w:r w:rsidRPr="00BE0D96">
        <w:rPr>
          <w:lang w:val="en-CA"/>
        </w:rPr>
        <w:t>Recall that according to the principles</w:t>
      </w:r>
      <w:r w:rsidR="00934A78" w:rsidRPr="00BE0D96">
        <w:rPr>
          <w:lang w:val="en-CA"/>
        </w:rPr>
        <w:t xml:space="preserve"> established by the </w:t>
      </w:r>
      <w:r w:rsidR="00966EEF" w:rsidRPr="00BE0D96">
        <w:rPr>
          <w:lang w:val="en-CA"/>
        </w:rPr>
        <w:t>Cour</w:t>
      </w:r>
      <w:r w:rsidR="00934A78" w:rsidRPr="00BE0D96">
        <w:rPr>
          <w:lang w:val="en-CA"/>
        </w:rPr>
        <w:t xml:space="preserve">t of Appeal in </w:t>
      </w:r>
      <w:r w:rsidR="00966EEF" w:rsidRPr="00BE0D96">
        <w:rPr>
          <w:i/>
          <w:lang w:val="en-CA"/>
        </w:rPr>
        <w:t>Bridgestone</w:t>
      </w:r>
      <w:r w:rsidR="00934A78" w:rsidRPr="00BE0D96">
        <w:rPr>
          <w:lang w:val="en-CA"/>
        </w:rPr>
        <w:t>,</w:t>
      </w:r>
      <w:r w:rsidR="00966EEF" w:rsidRPr="00BE0D96">
        <w:rPr>
          <w:rStyle w:val="Appelnotedebasdep"/>
          <w:lang w:val="en-CA"/>
        </w:rPr>
        <w:footnoteReference w:id="5"/>
      </w:r>
      <w:r w:rsidR="00934A78" w:rsidRPr="00BE0D96">
        <w:rPr>
          <w:lang w:val="en-CA"/>
        </w:rPr>
        <w:t xml:space="preserve"> the leading case </w:t>
      </w:r>
      <w:r w:rsidR="00C102B0" w:rsidRPr="00BE0D96">
        <w:rPr>
          <w:lang w:val="en-CA"/>
        </w:rPr>
        <w:t xml:space="preserve">on </w:t>
      </w:r>
      <w:r w:rsidR="00966EEF" w:rsidRPr="00BE0D96">
        <w:rPr>
          <w:lang w:val="en-CA"/>
        </w:rPr>
        <w:t>surveillance,</w:t>
      </w:r>
      <w:r w:rsidR="00E85BA9" w:rsidRPr="00BE0D96">
        <w:rPr>
          <w:lang w:val="en-CA"/>
        </w:rPr>
        <w:t xml:space="preserve"> these </w:t>
      </w:r>
      <w:r w:rsidR="00966EEF" w:rsidRPr="00BE0D96">
        <w:rPr>
          <w:lang w:val="en-CA"/>
        </w:rPr>
        <w:t>means</w:t>
      </w:r>
      <w:r w:rsidR="00E85BA9" w:rsidRPr="00BE0D96">
        <w:rPr>
          <w:lang w:val="en-CA"/>
        </w:rPr>
        <w:t xml:space="preserve"> </w:t>
      </w:r>
      <w:r w:rsidR="00966EEF" w:rsidRPr="00BE0D96">
        <w:rPr>
          <w:lang w:val="en-CA"/>
        </w:rPr>
        <w:t>of</w:t>
      </w:r>
      <w:r w:rsidR="00E85BA9" w:rsidRPr="00BE0D96">
        <w:rPr>
          <w:lang w:val="en-CA"/>
        </w:rPr>
        <w:t xml:space="preserve"> </w:t>
      </w:r>
      <w:r w:rsidR="00966EEF" w:rsidRPr="00BE0D96">
        <w:rPr>
          <w:lang w:val="en-CA"/>
        </w:rPr>
        <w:t>proof</w:t>
      </w:r>
      <w:r w:rsidR="00E85BA9" w:rsidRPr="00BE0D96">
        <w:rPr>
          <w:lang w:val="en-CA"/>
        </w:rPr>
        <w:t xml:space="preserve"> may constitute an infringement of </w:t>
      </w:r>
      <w:r w:rsidR="00966EEF" w:rsidRPr="00BE0D96">
        <w:rPr>
          <w:lang w:val="en-CA"/>
        </w:rPr>
        <w:t>privacy</w:t>
      </w:r>
      <w:r w:rsidR="00E85BA9" w:rsidRPr="00BE0D96">
        <w:rPr>
          <w:lang w:val="en-CA"/>
        </w:rPr>
        <w:t>.</w:t>
      </w:r>
      <w:r w:rsidR="00966EEF" w:rsidRPr="00BE0D96">
        <w:rPr>
          <w:rStyle w:val="Appelnotedebasdep"/>
          <w:lang w:val="en-CA"/>
        </w:rPr>
        <w:footnoteReference w:id="6"/>
      </w:r>
      <w:r w:rsidR="00966EEF" w:rsidRPr="00BE0D96">
        <w:rPr>
          <w:lang w:val="en-CA"/>
        </w:rPr>
        <w:t xml:space="preserve"> </w:t>
      </w:r>
    </w:p>
    <w:p w14:paraId="41907BF2" w14:textId="41742CB7" w:rsidR="005A3926" w:rsidRPr="00BE0D96" w:rsidRDefault="001E63D2" w:rsidP="005A3926">
      <w:pPr>
        <w:pStyle w:val="F02-Texte"/>
        <w:spacing w:before="360"/>
        <w:rPr>
          <w:lang w:val="en-CA"/>
        </w:rPr>
      </w:pPr>
      <w:r w:rsidRPr="00BE0D96">
        <w:rPr>
          <w:lang w:val="en-CA"/>
        </w:rPr>
        <w:t xml:space="preserve">However, despite this apparent infringement of the </w:t>
      </w:r>
      <w:r w:rsidR="00966EEF" w:rsidRPr="00BE0D96">
        <w:rPr>
          <w:lang w:val="en-CA"/>
        </w:rPr>
        <w:t>right</w:t>
      </w:r>
      <w:r w:rsidRPr="00BE0D96">
        <w:rPr>
          <w:lang w:val="en-CA"/>
        </w:rPr>
        <w:t xml:space="preserve"> </w:t>
      </w:r>
      <w:r w:rsidR="00966EEF" w:rsidRPr="00BE0D96">
        <w:rPr>
          <w:lang w:val="en-CA"/>
        </w:rPr>
        <w:t>to</w:t>
      </w:r>
      <w:r w:rsidRPr="00BE0D96">
        <w:rPr>
          <w:lang w:val="en-CA"/>
        </w:rPr>
        <w:t xml:space="preserve"> </w:t>
      </w:r>
      <w:r w:rsidR="00966EEF" w:rsidRPr="00BE0D96">
        <w:rPr>
          <w:lang w:val="en-CA"/>
        </w:rPr>
        <w:t>privacy,</w:t>
      </w:r>
      <w:r w:rsidRPr="00BE0D96">
        <w:rPr>
          <w:lang w:val="en-CA"/>
        </w:rPr>
        <w:t xml:space="preserve"> the </w:t>
      </w:r>
      <w:r w:rsidR="00966EEF" w:rsidRPr="00BE0D96">
        <w:rPr>
          <w:lang w:val="en-CA"/>
        </w:rPr>
        <w:t>Cour</w:t>
      </w:r>
      <w:r w:rsidRPr="00BE0D96">
        <w:rPr>
          <w:lang w:val="en-CA"/>
        </w:rPr>
        <w:t xml:space="preserve">t of Appeal found that </w:t>
      </w:r>
      <w:r w:rsidR="00966EEF" w:rsidRPr="00BE0D96">
        <w:rPr>
          <w:lang w:val="en-CA"/>
        </w:rPr>
        <w:t xml:space="preserve">surveillance </w:t>
      </w:r>
      <w:r w:rsidRPr="00BE0D96">
        <w:rPr>
          <w:lang w:val="en-CA"/>
        </w:rPr>
        <w:t>evidence is admitted if it is justified on rational grounds</w:t>
      </w:r>
      <w:r w:rsidR="006E1FA3" w:rsidRPr="00BE0D96">
        <w:rPr>
          <w:lang w:val="en-CA"/>
        </w:rPr>
        <w:t xml:space="preserve"> and carried out through reasonable means</w:t>
      </w:r>
      <w:r w:rsidR="00966EEF" w:rsidRPr="00BE0D96">
        <w:rPr>
          <w:lang w:val="en-CA"/>
        </w:rPr>
        <w:t>.</w:t>
      </w:r>
      <w:r w:rsidR="006E1FA3" w:rsidRPr="00BE0D96">
        <w:rPr>
          <w:lang w:val="en-CA"/>
        </w:rPr>
        <w:t xml:space="preserve"> Such rational </w:t>
      </w:r>
      <w:r w:rsidR="00966EEF" w:rsidRPr="00BE0D96">
        <w:rPr>
          <w:lang w:val="en-CA"/>
        </w:rPr>
        <w:t>grounds</w:t>
      </w:r>
      <w:r w:rsidR="006E1FA3" w:rsidRPr="00BE0D96">
        <w:rPr>
          <w:lang w:val="en-CA"/>
        </w:rPr>
        <w:t xml:space="preserve"> must exist before initiating the </w:t>
      </w:r>
      <w:r w:rsidR="00357F4E">
        <w:rPr>
          <w:lang w:val="en-CA"/>
        </w:rPr>
        <w:t>surveillance</w:t>
      </w:r>
      <w:r w:rsidR="00357F4E" w:rsidRPr="00BE0D96">
        <w:rPr>
          <w:lang w:val="en-CA"/>
        </w:rPr>
        <w:t xml:space="preserve"> </w:t>
      </w:r>
      <w:r w:rsidR="006E1FA3" w:rsidRPr="00BE0D96">
        <w:rPr>
          <w:lang w:val="en-CA"/>
        </w:rPr>
        <w:t>process, and the means used must not be abusive or infringe the dignity of the person concerned.</w:t>
      </w:r>
      <w:r w:rsidR="00966EEF" w:rsidRPr="00BE0D96">
        <w:rPr>
          <w:rStyle w:val="Appelnotedebasdep"/>
          <w:sz w:val="22"/>
          <w:szCs w:val="22"/>
          <w:lang w:val="en-CA"/>
        </w:rPr>
        <w:footnoteReference w:id="7"/>
      </w:r>
    </w:p>
    <w:p w14:paraId="5EEFCB07" w14:textId="044C5D10" w:rsidR="005A3926" w:rsidRPr="00BE0D96" w:rsidRDefault="00395D5E" w:rsidP="005A3926">
      <w:pPr>
        <w:pStyle w:val="F02-Texte"/>
        <w:spacing w:before="360"/>
        <w:rPr>
          <w:lang w:val="en-CA"/>
        </w:rPr>
      </w:pPr>
      <w:r w:rsidRPr="00BE0D96">
        <w:rPr>
          <w:lang w:val="en-CA"/>
        </w:rPr>
        <w:t xml:space="preserve">Regarding the meaning of </w:t>
      </w:r>
      <w:r w:rsidR="00966EEF" w:rsidRPr="00BE0D96">
        <w:rPr>
          <w:lang w:val="en-CA"/>
        </w:rPr>
        <w:t>reasonable</w:t>
      </w:r>
      <w:r w:rsidRPr="00BE0D96">
        <w:rPr>
          <w:lang w:val="en-CA"/>
        </w:rPr>
        <w:t xml:space="preserve"> and serious </w:t>
      </w:r>
      <w:r w:rsidR="00966EEF" w:rsidRPr="00BE0D96">
        <w:rPr>
          <w:lang w:val="en-CA"/>
        </w:rPr>
        <w:t>grounds</w:t>
      </w:r>
      <w:r w:rsidR="00537588" w:rsidRPr="00BE0D96">
        <w:rPr>
          <w:lang w:val="en-CA"/>
        </w:rPr>
        <w:t xml:space="preserve"> to which the Court of Appeals refers to in </w:t>
      </w:r>
      <w:r w:rsidR="00966EEF" w:rsidRPr="00BE0D96">
        <w:rPr>
          <w:i/>
          <w:lang w:val="en-CA"/>
        </w:rPr>
        <w:t>Bridgestone</w:t>
      </w:r>
      <w:r w:rsidR="00966EEF" w:rsidRPr="00BE0D96">
        <w:rPr>
          <w:lang w:val="en-CA"/>
        </w:rPr>
        <w:t xml:space="preserve">, </w:t>
      </w:r>
      <w:r w:rsidR="00537588" w:rsidRPr="00BE0D96">
        <w:rPr>
          <w:lang w:val="en-CA"/>
        </w:rPr>
        <w:t xml:space="preserve">it is useful to cite the words of </w:t>
      </w:r>
      <w:r w:rsidR="00966EEF" w:rsidRPr="00BE0D96">
        <w:rPr>
          <w:lang w:val="en-CA"/>
        </w:rPr>
        <w:t>François Tôth</w:t>
      </w:r>
      <w:r w:rsidR="00537588" w:rsidRPr="00BE0D96">
        <w:rPr>
          <w:lang w:val="en-CA"/>
        </w:rPr>
        <w:t xml:space="preserve">, J. of the </w:t>
      </w:r>
      <w:r w:rsidR="00966EEF" w:rsidRPr="00BE0D96">
        <w:rPr>
          <w:lang w:val="en-CA"/>
        </w:rPr>
        <w:t>Superior</w:t>
      </w:r>
      <w:r w:rsidR="00537588" w:rsidRPr="00BE0D96">
        <w:rPr>
          <w:lang w:val="en-CA"/>
        </w:rPr>
        <w:t xml:space="preserve"> </w:t>
      </w:r>
      <w:r w:rsidR="00966EEF" w:rsidRPr="00BE0D96">
        <w:rPr>
          <w:lang w:val="en-CA"/>
        </w:rPr>
        <w:t>Court</w:t>
      </w:r>
      <w:r w:rsidR="00537588" w:rsidRPr="00BE0D96">
        <w:rPr>
          <w:lang w:val="en-CA"/>
        </w:rPr>
        <w:t xml:space="preserve">, who, in his 2009 judgment in </w:t>
      </w:r>
      <w:r w:rsidR="00966EEF" w:rsidRPr="00BE0D96">
        <w:rPr>
          <w:i/>
          <w:lang w:val="en-CA"/>
        </w:rPr>
        <w:t>Ville de Sherbrooke c. Turcotte</w:t>
      </w:r>
      <w:r w:rsidR="00537588" w:rsidRPr="00BE0D96">
        <w:rPr>
          <w:lang w:val="en-CA"/>
        </w:rPr>
        <w:t>,</w:t>
      </w:r>
      <w:r w:rsidR="00966EEF" w:rsidRPr="00BE0D96">
        <w:rPr>
          <w:rStyle w:val="Appelnotedebasdep"/>
          <w:lang w:val="en-CA"/>
        </w:rPr>
        <w:footnoteReference w:id="8"/>
      </w:r>
      <w:r w:rsidR="00537588" w:rsidRPr="00BE0D96">
        <w:rPr>
          <w:lang w:val="en-CA"/>
        </w:rPr>
        <w:t xml:space="preserve"> </w:t>
      </w:r>
      <w:r w:rsidR="00CB7415">
        <w:rPr>
          <w:lang w:val="en-CA"/>
        </w:rPr>
        <w:t xml:space="preserve">provided the following </w:t>
      </w:r>
      <w:r w:rsidR="004D5A8B" w:rsidRPr="00BE0D96">
        <w:rPr>
          <w:lang w:val="en-CA"/>
        </w:rPr>
        <w:t>defin</w:t>
      </w:r>
      <w:r w:rsidR="004D5A8B">
        <w:rPr>
          <w:lang w:val="en-CA"/>
        </w:rPr>
        <w:t>ition</w:t>
      </w:r>
      <w:r w:rsidR="00966EEF" w:rsidRPr="00BE0D96">
        <w:rPr>
          <w:lang w:val="en-CA"/>
        </w:rPr>
        <w:t>:</w:t>
      </w:r>
    </w:p>
    <w:p w14:paraId="366BB4F7" w14:textId="6B676C94" w:rsidR="00537588" w:rsidRPr="00BE0D96" w:rsidRDefault="00537588" w:rsidP="00537588">
      <w:pPr>
        <w:pStyle w:val="F04-Retrait"/>
        <w:spacing w:before="360"/>
        <w:ind w:firstLine="1"/>
        <w:rPr>
          <w:i w:val="0"/>
          <w:sz w:val="22"/>
          <w:szCs w:val="22"/>
          <w:lang w:val="en-CA"/>
        </w:rPr>
      </w:pPr>
      <w:r w:rsidRPr="00BE0D96">
        <w:rPr>
          <w:i w:val="0"/>
          <w:sz w:val="22"/>
          <w:szCs w:val="22"/>
          <w:lang w:val="en-CA"/>
        </w:rPr>
        <w:lastRenderedPageBreak/>
        <w:t>[</w:t>
      </w:r>
      <w:r w:rsidRPr="00BE0D96">
        <w:rPr>
          <w:i w:val="0"/>
          <w:smallCaps/>
          <w:sz w:val="22"/>
          <w:szCs w:val="22"/>
          <w:lang w:val="en-CA"/>
        </w:rPr>
        <w:t>translation</w:t>
      </w:r>
      <w:r w:rsidRPr="00BE0D96">
        <w:rPr>
          <w:i w:val="0"/>
          <w:sz w:val="22"/>
          <w:szCs w:val="22"/>
          <w:lang w:val="en-CA"/>
        </w:rPr>
        <w:t>]</w:t>
      </w:r>
    </w:p>
    <w:p w14:paraId="304CBCC3" w14:textId="37C5728E" w:rsidR="005A3926" w:rsidRPr="00BE0D96" w:rsidRDefault="00966EEF" w:rsidP="00537588">
      <w:pPr>
        <w:pStyle w:val="F04-Retrait"/>
        <w:spacing w:before="360"/>
        <w:ind w:firstLine="1"/>
        <w:rPr>
          <w:i w:val="0"/>
          <w:sz w:val="22"/>
          <w:szCs w:val="22"/>
          <w:lang w:val="en-CA"/>
        </w:rPr>
      </w:pPr>
      <w:r w:rsidRPr="00BE0D96">
        <w:rPr>
          <w:i w:val="0"/>
          <w:sz w:val="22"/>
          <w:szCs w:val="22"/>
          <w:lang w:val="en-CA"/>
        </w:rPr>
        <w:t xml:space="preserve">[81] </w:t>
      </w:r>
      <w:r w:rsidR="00537588" w:rsidRPr="00BE0D96">
        <w:rPr>
          <w:i w:val="0"/>
          <w:sz w:val="22"/>
          <w:szCs w:val="22"/>
          <w:lang w:val="en-CA"/>
        </w:rPr>
        <w:t xml:space="preserve">Not every suspicion will justify </w:t>
      </w:r>
      <w:r w:rsidRPr="00BE0D96">
        <w:rPr>
          <w:i w:val="0"/>
          <w:sz w:val="22"/>
          <w:szCs w:val="22"/>
          <w:lang w:val="en-CA"/>
        </w:rPr>
        <w:t>surveillance.</w:t>
      </w:r>
      <w:r w:rsidR="00537588" w:rsidRPr="00BE0D96">
        <w:rPr>
          <w:i w:val="0"/>
          <w:sz w:val="22"/>
          <w:szCs w:val="22"/>
          <w:lang w:val="en-CA"/>
        </w:rPr>
        <w:t xml:space="preserve"> The </w:t>
      </w:r>
      <w:r w:rsidRPr="00BE0D96">
        <w:rPr>
          <w:i w:val="0"/>
          <w:sz w:val="22"/>
          <w:szCs w:val="22"/>
          <w:lang w:val="en-CA"/>
        </w:rPr>
        <w:t>Cour</w:t>
      </w:r>
      <w:r w:rsidR="00537588" w:rsidRPr="00BE0D96">
        <w:rPr>
          <w:i w:val="0"/>
          <w:sz w:val="22"/>
          <w:szCs w:val="22"/>
          <w:lang w:val="en-CA"/>
        </w:rPr>
        <w:t xml:space="preserve">t of Appeal refers to serious and </w:t>
      </w:r>
      <w:r w:rsidRPr="00BE0D96">
        <w:rPr>
          <w:i w:val="0"/>
          <w:sz w:val="22"/>
          <w:szCs w:val="22"/>
          <w:lang w:val="en-CA"/>
        </w:rPr>
        <w:t>reasonable</w:t>
      </w:r>
      <w:r w:rsidR="00537588" w:rsidRPr="00BE0D96">
        <w:rPr>
          <w:i w:val="0"/>
          <w:sz w:val="22"/>
          <w:szCs w:val="22"/>
          <w:lang w:val="en-CA"/>
        </w:rPr>
        <w:t xml:space="preserve"> ground</w:t>
      </w:r>
      <w:r w:rsidRPr="00BE0D96">
        <w:rPr>
          <w:i w:val="0"/>
          <w:sz w:val="22"/>
          <w:szCs w:val="22"/>
          <w:lang w:val="en-CA"/>
        </w:rPr>
        <w:t xml:space="preserve">s. </w:t>
      </w:r>
      <w:r w:rsidR="00840B3C" w:rsidRPr="00BE0D96">
        <w:rPr>
          <w:i w:val="0"/>
          <w:sz w:val="22"/>
          <w:szCs w:val="22"/>
          <w:u w:val="single"/>
          <w:lang w:val="en-CA"/>
        </w:rPr>
        <w:t>R</w:t>
      </w:r>
      <w:r w:rsidRPr="00CB7415">
        <w:rPr>
          <w:i w:val="0"/>
          <w:sz w:val="22"/>
          <w:szCs w:val="22"/>
          <w:u w:val="single"/>
          <w:lang w:val="en-CA"/>
        </w:rPr>
        <w:t>easonable</w:t>
      </w:r>
      <w:r w:rsidR="00840B3C" w:rsidRPr="00CB7415">
        <w:rPr>
          <w:i w:val="0"/>
          <w:sz w:val="22"/>
          <w:szCs w:val="22"/>
          <w:u w:val="single"/>
          <w:lang w:val="en-CA"/>
        </w:rPr>
        <w:t xml:space="preserve"> </w:t>
      </w:r>
      <w:r w:rsidRPr="00CB7415">
        <w:rPr>
          <w:i w:val="0"/>
          <w:sz w:val="22"/>
          <w:szCs w:val="22"/>
          <w:u w:val="single"/>
          <w:lang w:val="en-CA"/>
        </w:rPr>
        <w:t>grounds</w:t>
      </w:r>
      <w:r w:rsidRPr="00BE0D96">
        <w:rPr>
          <w:i w:val="0"/>
          <w:sz w:val="22"/>
          <w:szCs w:val="22"/>
          <w:lang w:val="en-CA"/>
        </w:rPr>
        <w:t xml:space="preserve"> </w:t>
      </w:r>
      <w:r w:rsidR="00840B3C" w:rsidRPr="00BE0D96">
        <w:rPr>
          <w:i w:val="0"/>
          <w:sz w:val="22"/>
          <w:szCs w:val="22"/>
          <w:lang w:val="en-CA"/>
        </w:rPr>
        <w:t xml:space="preserve">are </w:t>
      </w:r>
      <w:r w:rsidRPr="00BE0D96">
        <w:rPr>
          <w:i w:val="0"/>
          <w:sz w:val="22"/>
          <w:szCs w:val="22"/>
          <w:lang w:val="en-CA"/>
        </w:rPr>
        <w:t>grounds</w:t>
      </w:r>
      <w:r w:rsidR="00840B3C" w:rsidRPr="00BE0D96">
        <w:rPr>
          <w:i w:val="0"/>
          <w:sz w:val="22"/>
          <w:szCs w:val="22"/>
          <w:lang w:val="en-CA"/>
        </w:rPr>
        <w:t xml:space="preserve"> that are based on reason rather than on bias, first </w:t>
      </w:r>
      <w:r w:rsidRPr="00BE0D96">
        <w:rPr>
          <w:i w:val="0"/>
          <w:sz w:val="22"/>
          <w:szCs w:val="22"/>
          <w:lang w:val="en-CA"/>
        </w:rPr>
        <w:t>impression</w:t>
      </w:r>
      <w:r w:rsidR="00840B3C" w:rsidRPr="00BE0D96">
        <w:rPr>
          <w:i w:val="0"/>
          <w:sz w:val="22"/>
          <w:szCs w:val="22"/>
          <w:lang w:val="en-CA"/>
        </w:rPr>
        <w:t>s</w:t>
      </w:r>
      <w:r w:rsidRPr="00BE0D96">
        <w:rPr>
          <w:i w:val="0"/>
          <w:sz w:val="22"/>
          <w:szCs w:val="22"/>
          <w:lang w:val="en-CA"/>
        </w:rPr>
        <w:t>,</w:t>
      </w:r>
      <w:r w:rsidR="00840B3C" w:rsidRPr="00BE0D96">
        <w:rPr>
          <w:i w:val="0"/>
          <w:sz w:val="22"/>
          <w:szCs w:val="22"/>
          <w:lang w:val="en-CA"/>
        </w:rPr>
        <w:t xml:space="preserve"> received ideas, or mere rumours. They are </w:t>
      </w:r>
      <w:r w:rsidRPr="00BE0D96">
        <w:rPr>
          <w:i w:val="0"/>
          <w:sz w:val="22"/>
          <w:szCs w:val="22"/>
          <w:lang w:val="en-CA"/>
        </w:rPr>
        <w:t xml:space="preserve">grounds </w:t>
      </w:r>
      <w:r w:rsidR="00840B3C" w:rsidRPr="00BE0D96">
        <w:rPr>
          <w:i w:val="0"/>
          <w:sz w:val="22"/>
          <w:szCs w:val="22"/>
          <w:lang w:val="en-CA"/>
        </w:rPr>
        <w:t xml:space="preserve">that may be objectivized. </w:t>
      </w:r>
      <w:r w:rsidR="00840B3C" w:rsidRPr="00BE0D96">
        <w:rPr>
          <w:i w:val="0"/>
          <w:sz w:val="22"/>
          <w:szCs w:val="22"/>
          <w:u w:val="single"/>
          <w:lang w:val="en-CA"/>
        </w:rPr>
        <w:t xml:space="preserve">Serious </w:t>
      </w:r>
      <w:r w:rsidRPr="00CB7415">
        <w:rPr>
          <w:i w:val="0"/>
          <w:sz w:val="22"/>
          <w:szCs w:val="22"/>
          <w:u w:val="single"/>
          <w:lang w:val="en-CA"/>
        </w:rPr>
        <w:t>grounds</w:t>
      </w:r>
      <w:r w:rsidR="00840B3C" w:rsidRPr="00BE0D96">
        <w:rPr>
          <w:i w:val="0"/>
          <w:sz w:val="22"/>
          <w:szCs w:val="22"/>
          <w:lang w:val="en-CA"/>
        </w:rPr>
        <w:t xml:space="preserve"> are </w:t>
      </w:r>
      <w:r w:rsidRPr="00BE0D96">
        <w:rPr>
          <w:i w:val="0"/>
          <w:sz w:val="22"/>
          <w:szCs w:val="22"/>
          <w:lang w:val="en-CA"/>
        </w:rPr>
        <w:t>grounds</w:t>
      </w:r>
      <w:r w:rsidR="00840B3C" w:rsidRPr="00BE0D96">
        <w:rPr>
          <w:i w:val="0"/>
          <w:sz w:val="22"/>
          <w:szCs w:val="22"/>
          <w:lang w:val="en-CA"/>
        </w:rPr>
        <w:t xml:space="preserve"> that denote </w:t>
      </w:r>
      <w:r w:rsidRPr="00BE0D96">
        <w:rPr>
          <w:i w:val="0"/>
          <w:sz w:val="22"/>
          <w:szCs w:val="22"/>
          <w:lang w:val="en-CA"/>
        </w:rPr>
        <w:t xml:space="preserve">importance, </w:t>
      </w:r>
      <w:r w:rsidR="00840B3C" w:rsidRPr="00BE0D96">
        <w:rPr>
          <w:i w:val="0"/>
          <w:sz w:val="22"/>
          <w:szCs w:val="22"/>
          <w:lang w:val="en-CA"/>
        </w:rPr>
        <w:t>that are not minor, frivolous, or superficial</w:t>
      </w:r>
      <w:r w:rsidRPr="00BE0D96">
        <w:rPr>
          <w:i w:val="0"/>
          <w:sz w:val="22"/>
          <w:szCs w:val="22"/>
          <w:lang w:val="en-CA"/>
        </w:rPr>
        <w:t xml:space="preserve">. </w:t>
      </w:r>
    </w:p>
    <w:p w14:paraId="0AF249ED" w14:textId="6D9C5276" w:rsidR="005A3926" w:rsidRPr="00BE0D96" w:rsidRDefault="00966EEF" w:rsidP="005A3926">
      <w:pPr>
        <w:pStyle w:val="F04-Retrait"/>
        <w:spacing w:before="360"/>
        <w:rPr>
          <w:i w:val="0"/>
          <w:sz w:val="22"/>
          <w:szCs w:val="22"/>
          <w:lang w:val="en-CA"/>
        </w:rPr>
      </w:pPr>
      <w:r w:rsidRPr="00BE0D96">
        <w:rPr>
          <w:i w:val="0"/>
          <w:sz w:val="22"/>
          <w:szCs w:val="22"/>
          <w:lang w:val="en-CA"/>
        </w:rPr>
        <w:t xml:space="preserve">[82] </w:t>
      </w:r>
      <w:r w:rsidR="0068656E" w:rsidRPr="00BE0D96">
        <w:rPr>
          <w:i w:val="0"/>
          <w:sz w:val="22"/>
          <w:szCs w:val="22"/>
          <w:lang w:val="en-CA"/>
        </w:rPr>
        <w:t>Thus</w:t>
      </w:r>
      <w:r w:rsidR="00F531BE">
        <w:rPr>
          <w:i w:val="0"/>
          <w:sz w:val="22"/>
          <w:szCs w:val="22"/>
          <w:lang w:val="en-CA"/>
        </w:rPr>
        <w:t>,</w:t>
      </w:r>
      <w:r w:rsidR="0068656E" w:rsidRPr="00BE0D96">
        <w:rPr>
          <w:i w:val="0"/>
          <w:sz w:val="22"/>
          <w:szCs w:val="22"/>
          <w:lang w:val="en-CA"/>
        </w:rPr>
        <w:t xml:space="preserve"> a superficial or sloppy investigation or </w:t>
      </w:r>
      <w:r w:rsidRPr="00BE0D96">
        <w:rPr>
          <w:i w:val="0"/>
          <w:sz w:val="22"/>
          <w:szCs w:val="22"/>
          <w:lang w:val="en-CA"/>
        </w:rPr>
        <w:t>surveillance</w:t>
      </w:r>
      <w:r w:rsidR="0068656E" w:rsidRPr="00BE0D96">
        <w:rPr>
          <w:i w:val="0"/>
          <w:sz w:val="22"/>
          <w:szCs w:val="22"/>
          <w:lang w:val="en-CA"/>
        </w:rPr>
        <w:t xml:space="preserve"> that is nothing more than a fishing expedition will be judged harshly</w:t>
      </w:r>
      <w:r w:rsidRPr="00BE0D96">
        <w:rPr>
          <w:i w:val="0"/>
          <w:sz w:val="22"/>
          <w:szCs w:val="22"/>
          <w:lang w:val="en-CA"/>
        </w:rPr>
        <w:t>.</w:t>
      </w:r>
    </w:p>
    <w:p w14:paraId="0C0ACEB6" w14:textId="05B6AE47" w:rsidR="005A3926" w:rsidRPr="00BE0D96" w:rsidRDefault="006A1E84" w:rsidP="005A3926">
      <w:pPr>
        <w:pStyle w:val="F02-Texte"/>
        <w:spacing w:before="360"/>
        <w:rPr>
          <w:lang w:val="en-CA"/>
        </w:rPr>
      </w:pPr>
      <w:r w:rsidRPr="00BE0D96">
        <w:rPr>
          <w:lang w:val="en-CA"/>
        </w:rPr>
        <w:t xml:space="preserve">On the issue of </w:t>
      </w:r>
      <w:r w:rsidR="00966EEF" w:rsidRPr="00BE0D96">
        <w:rPr>
          <w:lang w:val="en-CA"/>
        </w:rPr>
        <w:t xml:space="preserve">privacy, </w:t>
      </w:r>
      <w:r w:rsidR="00966EEF" w:rsidRPr="00BE0D96">
        <w:rPr>
          <w:i/>
          <w:lang w:val="en-CA"/>
        </w:rPr>
        <w:t>Hunter</w:t>
      </w:r>
      <w:r w:rsidRPr="00BE0D96">
        <w:rPr>
          <w:i/>
          <w:lang w:val="en-CA"/>
        </w:rPr>
        <w:t xml:space="preserve"> et al.</w:t>
      </w:r>
      <w:r w:rsidR="00966EEF" w:rsidRPr="00BE0D96">
        <w:rPr>
          <w:i/>
          <w:lang w:val="en-CA"/>
        </w:rPr>
        <w:t xml:space="preserve"> </w:t>
      </w:r>
      <w:r w:rsidRPr="00BE0D96">
        <w:rPr>
          <w:i/>
          <w:lang w:val="en-CA"/>
        </w:rPr>
        <w:t>v</w:t>
      </w:r>
      <w:r w:rsidR="00966EEF" w:rsidRPr="00BE0D96">
        <w:rPr>
          <w:i/>
          <w:lang w:val="en-CA"/>
        </w:rPr>
        <w:t xml:space="preserve">. Southam </w:t>
      </w:r>
      <w:r w:rsidRPr="00BE0D96">
        <w:rPr>
          <w:i/>
          <w:lang w:val="en-CA"/>
        </w:rPr>
        <w:t>I</w:t>
      </w:r>
      <w:r w:rsidR="00966EEF" w:rsidRPr="00BE0D96">
        <w:rPr>
          <w:i/>
          <w:lang w:val="en-CA"/>
        </w:rPr>
        <w:t>nc.</w:t>
      </w:r>
      <w:r w:rsidR="00966EEF" w:rsidRPr="00BE0D96">
        <w:rPr>
          <w:lang w:val="en-CA"/>
        </w:rPr>
        <w:t>,</w:t>
      </w:r>
      <w:r w:rsidRPr="00BE0D96">
        <w:rPr>
          <w:lang w:val="en-CA"/>
        </w:rPr>
        <w:t xml:space="preserve"> one of the first judgments rendered by the </w:t>
      </w:r>
      <w:r w:rsidR="00966EEF" w:rsidRPr="00BE0D96">
        <w:rPr>
          <w:lang w:val="en-CA"/>
        </w:rPr>
        <w:t>Supreme</w:t>
      </w:r>
      <w:r w:rsidRPr="00BE0D96">
        <w:rPr>
          <w:lang w:val="en-CA"/>
        </w:rPr>
        <w:t xml:space="preserve"> </w:t>
      </w:r>
      <w:r w:rsidR="00966EEF" w:rsidRPr="00BE0D96">
        <w:rPr>
          <w:lang w:val="en-CA"/>
        </w:rPr>
        <w:t>Court</w:t>
      </w:r>
      <w:r w:rsidRPr="00BE0D96">
        <w:rPr>
          <w:lang w:val="en-CA"/>
        </w:rPr>
        <w:t xml:space="preserve"> under the </w:t>
      </w:r>
      <w:r w:rsidR="00966EEF" w:rsidRPr="00BE0D96">
        <w:rPr>
          <w:i/>
          <w:lang w:val="en-CA"/>
        </w:rPr>
        <w:t>Canadian</w:t>
      </w:r>
      <w:r w:rsidRPr="00BE0D96">
        <w:rPr>
          <w:i/>
          <w:lang w:val="en-CA"/>
        </w:rPr>
        <w:t xml:space="preserve"> </w:t>
      </w:r>
      <w:r w:rsidR="00966EEF" w:rsidRPr="00BE0D96">
        <w:rPr>
          <w:i/>
          <w:lang w:val="en-CA"/>
        </w:rPr>
        <w:t>Charter</w:t>
      </w:r>
      <w:r w:rsidRPr="00BE0D96">
        <w:rPr>
          <w:i/>
          <w:lang w:val="en-CA"/>
        </w:rPr>
        <w:t xml:space="preserve"> </w:t>
      </w:r>
      <w:r w:rsidR="00966EEF" w:rsidRPr="00BE0D96">
        <w:rPr>
          <w:i/>
          <w:lang w:val="en-CA"/>
        </w:rPr>
        <w:t>of</w:t>
      </w:r>
      <w:r w:rsidRPr="00BE0D96">
        <w:rPr>
          <w:i/>
          <w:lang w:val="en-CA"/>
        </w:rPr>
        <w:t xml:space="preserve"> </w:t>
      </w:r>
      <w:r w:rsidR="00966EEF" w:rsidRPr="00BE0D96">
        <w:rPr>
          <w:i/>
          <w:lang w:val="en-CA"/>
        </w:rPr>
        <w:t>Rights</w:t>
      </w:r>
      <w:r w:rsidRPr="00BE0D96">
        <w:rPr>
          <w:i/>
          <w:lang w:val="en-CA"/>
        </w:rPr>
        <w:t xml:space="preserve"> </w:t>
      </w:r>
      <w:r w:rsidR="00966EEF" w:rsidRPr="00BE0D96">
        <w:rPr>
          <w:i/>
          <w:lang w:val="en-CA"/>
        </w:rPr>
        <w:t>and</w:t>
      </w:r>
      <w:r w:rsidRPr="00BE0D96">
        <w:rPr>
          <w:i/>
          <w:lang w:val="en-CA"/>
        </w:rPr>
        <w:t xml:space="preserve"> </w:t>
      </w:r>
      <w:r w:rsidR="00966EEF" w:rsidRPr="00BE0D96">
        <w:rPr>
          <w:i/>
          <w:lang w:val="en-CA"/>
        </w:rPr>
        <w:t>Freedoms</w:t>
      </w:r>
      <w:r w:rsidR="00966EEF" w:rsidRPr="00BE0D96">
        <w:rPr>
          <w:lang w:val="en-CA"/>
        </w:rPr>
        <w:t xml:space="preserve"> </w:t>
      </w:r>
      <w:r w:rsidR="002D279C" w:rsidRPr="00BE0D96">
        <w:rPr>
          <w:lang w:val="en-CA"/>
        </w:rPr>
        <w:t xml:space="preserve">stated that the </w:t>
      </w:r>
      <w:r w:rsidR="00966EEF" w:rsidRPr="00BE0D96">
        <w:rPr>
          <w:lang w:val="en-CA"/>
        </w:rPr>
        <w:t>right</w:t>
      </w:r>
      <w:r w:rsidR="002D279C" w:rsidRPr="00BE0D96">
        <w:rPr>
          <w:lang w:val="en-CA"/>
        </w:rPr>
        <w:t xml:space="preserve"> </w:t>
      </w:r>
      <w:r w:rsidR="00966EEF" w:rsidRPr="00BE0D96">
        <w:rPr>
          <w:lang w:val="en-CA"/>
        </w:rPr>
        <w:t>to</w:t>
      </w:r>
      <w:r w:rsidR="002D279C" w:rsidRPr="00BE0D96">
        <w:rPr>
          <w:lang w:val="en-CA"/>
        </w:rPr>
        <w:t xml:space="preserve"> </w:t>
      </w:r>
      <w:r w:rsidR="00966EEF" w:rsidRPr="00BE0D96">
        <w:rPr>
          <w:lang w:val="en-CA"/>
        </w:rPr>
        <w:t>privacy</w:t>
      </w:r>
      <w:r w:rsidR="002D279C" w:rsidRPr="00BE0D96">
        <w:rPr>
          <w:lang w:val="en-CA"/>
        </w:rPr>
        <w:t xml:space="preserve"> is a personal </w:t>
      </w:r>
      <w:r w:rsidR="00966EEF" w:rsidRPr="00BE0D96">
        <w:rPr>
          <w:lang w:val="en-CA"/>
        </w:rPr>
        <w:t>right</w:t>
      </w:r>
      <w:r w:rsidR="002D279C" w:rsidRPr="00BE0D96">
        <w:rPr>
          <w:lang w:val="en-CA"/>
        </w:rPr>
        <w:t>, which protects “</w:t>
      </w:r>
      <w:r w:rsidR="002D279C" w:rsidRPr="00BE0D96">
        <w:rPr>
          <w:rFonts w:cs="Arial"/>
          <w:color w:val="000000"/>
          <w:lang w:val="en-CA"/>
        </w:rPr>
        <w:t>people, not places”</w:t>
      </w:r>
      <w:r w:rsidR="00966EEF" w:rsidRPr="00BE0D96">
        <w:rPr>
          <w:lang w:val="en-CA"/>
        </w:rPr>
        <w:t>.</w:t>
      </w:r>
    </w:p>
    <w:p w14:paraId="15A8C5C8" w14:textId="6AA325A1" w:rsidR="005A3926" w:rsidRPr="00BE0D96" w:rsidRDefault="002D279C" w:rsidP="005A3926">
      <w:pPr>
        <w:pStyle w:val="F02-Texte"/>
        <w:spacing w:before="360"/>
        <w:rPr>
          <w:lang w:val="en-CA"/>
        </w:rPr>
      </w:pPr>
      <w:r w:rsidRPr="00BE0D96">
        <w:rPr>
          <w:lang w:val="en-CA"/>
        </w:rPr>
        <w:t>Thus, the right to privacy applies whether a person is in a public or private place because “</w:t>
      </w:r>
      <w:r w:rsidR="00AE3430" w:rsidRPr="00BE0D96">
        <w:rPr>
          <w:lang w:val="en-CA"/>
        </w:rPr>
        <w:t xml:space="preserve">privacy </w:t>
      </w:r>
      <w:r w:rsidRPr="00BE0D96">
        <w:rPr>
          <w:color w:val="000000"/>
          <w:lang w:val="en-CA"/>
        </w:rPr>
        <w:t>is at the heart of liberty in a modern state”</w:t>
      </w:r>
      <w:r w:rsidR="00966EEF" w:rsidRPr="00BE0D96">
        <w:rPr>
          <w:lang w:val="en-CA"/>
        </w:rPr>
        <w:t>.</w:t>
      </w:r>
    </w:p>
    <w:p w14:paraId="06B83CD6" w14:textId="0D0B86FC" w:rsidR="005A3926" w:rsidRPr="00BE0D96" w:rsidRDefault="00BF3F16" w:rsidP="005A3926">
      <w:pPr>
        <w:pStyle w:val="F02-Texte"/>
        <w:spacing w:before="360"/>
        <w:rPr>
          <w:lang w:val="en-CA"/>
        </w:rPr>
      </w:pPr>
      <w:r w:rsidRPr="00BE0D96">
        <w:rPr>
          <w:lang w:val="en-CA"/>
        </w:rPr>
        <w:t>However, it is important to recognize that the right to privacy is not absolute.</w:t>
      </w:r>
    </w:p>
    <w:p w14:paraId="6502938A" w14:textId="1CD88F62" w:rsidR="005A3926" w:rsidRPr="00BE0D96" w:rsidRDefault="00AE3430" w:rsidP="005A3926">
      <w:pPr>
        <w:pStyle w:val="F02-Texte"/>
        <w:spacing w:before="360"/>
        <w:rPr>
          <w:lang w:val="en-CA"/>
        </w:rPr>
      </w:pPr>
      <w:r w:rsidRPr="00BE0D96">
        <w:rPr>
          <w:lang w:val="en-CA"/>
        </w:rPr>
        <w:t xml:space="preserve">That is what the </w:t>
      </w:r>
      <w:r w:rsidR="00966EEF" w:rsidRPr="00BE0D96">
        <w:rPr>
          <w:lang w:val="en-CA"/>
        </w:rPr>
        <w:t>Supreme</w:t>
      </w:r>
      <w:r w:rsidRPr="00BE0D96">
        <w:rPr>
          <w:lang w:val="en-CA"/>
        </w:rPr>
        <w:t xml:space="preserve"> </w:t>
      </w:r>
      <w:r w:rsidR="00966EEF" w:rsidRPr="00BE0D96">
        <w:rPr>
          <w:lang w:val="en-CA"/>
        </w:rPr>
        <w:t>Court</w:t>
      </w:r>
      <w:r w:rsidRPr="00BE0D96">
        <w:rPr>
          <w:lang w:val="en-CA"/>
        </w:rPr>
        <w:t xml:space="preserve"> stated in </w:t>
      </w:r>
      <w:r w:rsidR="00966EEF" w:rsidRPr="00BE0D96">
        <w:rPr>
          <w:i/>
          <w:lang w:val="en-CA"/>
        </w:rPr>
        <w:t>R. v. Cole</w:t>
      </w:r>
      <w:r w:rsidR="00BF3F16" w:rsidRPr="00BE0D96">
        <w:rPr>
          <w:lang w:val="en-CA"/>
        </w:rPr>
        <w:t>:</w:t>
      </w:r>
      <w:r w:rsidR="00966EEF" w:rsidRPr="00BE0D96">
        <w:rPr>
          <w:rStyle w:val="Appelnotedebasdep"/>
          <w:lang w:val="en-CA"/>
        </w:rPr>
        <w:footnoteReference w:id="9"/>
      </w:r>
    </w:p>
    <w:p w14:paraId="2EE2FF02" w14:textId="45338BC6" w:rsidR="005A3926" w:rsidRPr="00BE0D96" w:rsidRDefault="00BF3F16" w:rsidP="005A3926">
      <w:pPr>
        <w:pStyle w:val="F02-Texte"/>
        <w:numPr>
          <w:ilvl w:val="0"/>
          <w:numId w:val="0"/>
        </w:numPr>
        <w:spacing w:before="360"/>
        <w:ind w:left="709"/>
        <w:rPr>
          <w:i/>
          <w:lang w:val="en-CA"/>
        </w:rPr>
      </w:pPr>
      <w:r w:rsidRPr="00BE0D96">
        <w:rPr>
          <w:color w:val="000000"/>
          <w:lang w:val="en-CA"/>
        </w:rPr>
        <w:t>Privacy is a matter of reasonable expectations.  An expectation of privacy will attract </w:t>
      </w:r>
      <w:r w:rsidRPr="00BE0D96">
        <w:rPr>
          <w:i/>
          <w:iCs/>
          <w:color w:val="000000"/>
          <w:lang w:val="en-CA"/>
        </w:rPr>
        <w:t>Charter </w:t>
      </w:r>
      <w:r w:rsidRPr="00BE0D96">
        <w:rPr>
          <w:color w:val="000000"/>
          <w:lang w:val="en-CA"/>
        </w:rPr>
        <w:t>protection if reasonable and informed people in the position of the accused would expect privacy</w:t>
      </w:r>
      <w:r w:rsidR="00966EEF" w:rsidRPr="00BE0D96">
        <w:rPr>
          <w:i/>
          <w:lang w:val="en-CA"/>
        </w:rPr>
        <w:t>.</w:t>
      </w:r>
    </w:p>
    <w:p w14:paraId="555DBC74" w14:textId="4E74F2A0" w:rsidR="005A3926" w:rsidRPr="00BE0D96" w:rsidRDefault="00D0785A" w:rsidP="005A3926">
      <w:pPr>
        <w:pStyle w:val="F02-Texte"/>
        <w:spacing w:before="360"/>
        <w:rPr>
          <w:lang w:val="en-CA"/>
        </w:rPr>
      </w:pPr>
      <w:r w:rsidRPr="00BE0D96">
        <w:rPr>
          <w:lang w:val="en-CA"/>
        </w:rPr>
        <w:t>Applied to the facts of this case</w:t>
      </w:r>
      <w:r w:rsidR="00966EEF" w:rsidRPr="00BE0D96">
        <w:rPr>
          <w:lang w:val="en-CA"/>
        </w:rPr>
        <w:t>,</w:t>
      </w:r>
      <w:r w:rsidRPr="00BE0D96">
        <w:rPr>
          <w:lang w:val="en-CA"/>
        </w:rPr>
        <w:t xml:space="preserve"> the applicant did not lose all expectation of privacy </w:t>
      </w:r>
      <w:r w:rsidR="00074E50" w:rsidRPr="00BE0D96">
        <w:rPr>
          <w:lang w:val="en-CA"/>
        </w:rPr>
        <w:t>even though she was in the parking lot of her re</w:t>
      </w:r>
      <w:r w:rsidR="00966EEF" w:rsidRPr="00BE0D96">
        <w:rPr>
          <w:lang w:val="en-CA"/>
        </w:rPr>
        <w:t xml:space="preserve">sidence, </w:t>
      </w:r>
      <w:r w:rsidR="00074E50" w:rsidRPr="00BE0D96">
        <w:rPr>
          <w:lang w:val="en-CA"/>
        </w:rPr>
        <w:t>in front of an elementary school, in the parking lot of a shopping centre, in her car on the road, outside at a flower shop, outside Hospital</w:t>
      </w:r>
      <w:r w:rsidR="00966EEF" w:rsidRPr="00BE0D96">
        <w:rPr>
          <w:lang w:val="en-CA"/>
        </w:rPr>
        <w:t xml:space="preserve"> A, </w:t>
      </w:r>
      <w:r w:rsidR="009E63EC" w:rsidRPr="00BE0D96">
        <w:rPr>
          <w:lang w:val="en-CA"/>
        </w:rPr>
        <w:t xml:space="preserve">in a parking lot in front of </w:t>
      </w:r>
      <w:r w:rsidR="00966EEF" w:rsidRPr="00BE0D96">
        <w:rPr>
          <w:lang w:val="en-CA"/>
        </w:rPr>
        <w:t>[Compan</w:t>
      </w:r>
      <w:r w:rsidR="009E63EC" w:rsidRPr="00BE0D96">
        <w:rPr>
          <w:lang w:val="en-CA"/>
        </w:rPr>
        <w:t>y</w:t>
      </w:r>
      <w:r w:rsidR="00966EEF" w:rsidRPr="00BE0D96">
        <w:rPr>
          <w:lang w:val="en-CA"/>
        </w:rPr>
        <w:t xml:space="preserve"> C],</w:t>
      </w:r>
      <w:r w:rsidR="009E63EC" w:rsidRPr="00BE0D96">
        <w:rPr>
          <w:lang w:val="en-CA"/>
        </w:rPr>
        <w:t xml:space="preserve"> at the gas s</w:t>
      </w:r>
      <w:r w:rsidR="00966EEF" w:rsidRPr="00BE0D96">
        <w:rPr>
          <w:lang w:val="en-CA"/>
        </w:rPr>
        <w:t>tation</w:t>
      </w:r>
      <w:r w:rsidR="009E63EC" w:rsidRPr="00BE0D96">
        <w:rPr>
          <w:lang w:val="en-CA"/>
        </w:rPr>
        <w:t xml:space="preserve">, in the parking lot of </w:t>
      </w:r>
      <w:r w:rsidR="00966EEF" w:rsidRPr="00BE0D96">
        <w:rPr>
          <w:lang w:val="en-CA"/>
        </w:rPr>
        <w:t>[Compan</w:t>
      </w:r>
      <w:r w:rsidR="009E63EC" w:rsidRPr="00BE0D96">
        <w:rPr>
          <w:lang w:val="en-CA"/>
        </w:rPr>
        <w:t>y</w:t>
      </w:r>
      <w:r w:rsidR="00966EEF" w:rsidRPr="00BE0D96">
        <w:rPr>
          <w:lang w:val="en-CA"/>
        </w:rPr>
        <w:t xml:space="preserve"> F], </w:t>
      </w:r>
      <w:r w:rsidR="009E63EC" w:rsidRPr="00BE0D96">
        <w:rPr>
          <w:lang w:val="en-CA"/>
        </w:rPr>
        <w:t>and in the parking lot of a medical and dental centre</w:t>
      </w:r>
      <w:r w:rsidR="00966EEF" w:rsidRPr="00BE0D96">
        <w:rPr>
          <w:lang w:val="en-CA"/>
        </w:rPr>
        <w:t xml:space="preserve">. </w:t>
      </w:r>
    </w:p>
    <w:p w14:paraId="081387FC" w14:textId="3E5EC8A3" w:rsidR="005A3926" w:rsidRPr="00BE0D96" w:rsidRDefault="009E63EC" w:rsidP="005A3926">
      <w:pPr>
        <w:pStyle w:val="F02-Texte"/>
        <w:spacing w:before="360"/>
        <w:rPr>
          <w:lang w:val="en-CA"/>
        </w:rPr>
      </w:pPr>
      <w:r w:rsidRPr="00BE0D96">
        <w:rPr>
          <w:lang w:val="en-CA"/>
        </w:rPr>
        <w:t xml:space="preserve">Clearly, the expectations are lower than if the places where the applicant was the subject of </w:t>
      </w:r>
      <w:r w:rsidR="00966EEF" w:rsidRPr="00BE0D96">
        <w:rPr>
          <w:lang w:val="en-CA"/>
        </w:rPr>
        <w:t>surveillance</w:t>
      </w:r>
      <w:r w:rsidRPr="00BE0D96">
        <w:rPr>
          <w:lang w:val="en-CA"/>
        </w:rPr>
        <w:t xml:space="preserve"> and was filmed had been private places, or even public places with restricted access</w:t>
      </w:r>
      <w:r w:rsidR="00966EEF" w:rsidRPr="00BE0D96">
        <w:rPr>
          <w:lang w:val="en-CA"/>
        </w:rPr>
        <w:t xml:space="preserve">. </w:t>
      </w:r>
      <w:r w:rsidR="001675EB">
        <w:rPr>
          <w:lang w:val="en-CA"/>
        </w:rPr>
        <w:t>In such case</w:t>
      </w:r>
      <w:r w:rsidRPr="00BE0D96">
        <w:rPr>
          <w:lang w:val="en-CA"/>
        </w:rPr>
        <w:t>, privacy expectations would and should have been higher</w:t>
      </w:r>
      <w:r w:rsidR="00966EEF" w:rsidRPr="00BE0D96">
        <w:rPr>
          <w:lang w:val="en-CA"/>
        </w:rPr>
        <w:t xml:space="preserve">. </w:t>
      </w:r>
    </w:p>
    <w:p w14:paraId="705479DA" w14:textId="1F44A925" w:rsidR="005A3926" w:rsidRPr="00BE0D96" w:rsidRDefault="009E63EC" w:rsidP="005A3926">
      <w:pPr>
        <w:pStyle w:val="F02-Texte"/>
        <w:spacing w:before="360"/>
        <w:rPr>
          <w:lang w:val="en-CA"/>
        </w:rPr>
      </w:pPr>
      <w:r w:rsidRPr="00BE0D96">
        <w:rPr>
          <w:lang w:val="en-CA"/>
        </w:rPr>
        <w:lastRenderedPageBreak/>
        <w:t xml:space="preserve">In summary, there is no doubt that the information in the </w:t>
      </w:r>
      <w:r w:rsidR="00966EEF" w:rsidRPr="00BE0D96">
        <w:rPr>
          <w:lang w:val="en-CA"/>
        </w:rPr>
        <w:t>video</w:t>
      </w:r>
      <w:r w:rsidRPr="00BE0D96">
        <w:rPr>
          <w:lang w:val="en-CA"/>
        </w:rPr>
        <w:t xml:space="preserve"> </w:t>
      </w:r>
      <w:r w:rsidR="00966EEF" w:rsidRPr="00BE0D96">
        <w:rPr>
          <w:lang w:val="en-CA"/>
        </w:rPr>
        <w:t>recording</w:t>
      </w:r>
      <w:r w:rsidRPr="00BE0D96">
        <w:rPr>
          <w:lang w:val="en-CA"/>
        </w:rPr>
        <w:t xml:space="preserve">s </w:t>
      </w:r>
      <w:r w:rsidR="0069045A" w:rsidRPr="00BE0D96">
        <w:rPr>
          <w:lang w:val="en-CA"/>
        </w:rPr>
        <w:t xml:space="preserve">are related to the applicant’s </w:t>
      </w:r>
      <w:r w:rsidR="00966EEF" w:rsidRPr="00BE0D96">
        <w:rPr>
          <w:lang w:val="en-CA"/>
        </w:rPr>
        <w:t>privacy</w:t>
      </w:r>
      <w:r w:rsidR="0069045A" w:rsidRPr="00BE0D96">
        <w:rPr>
          <w:lang w:val="en-CA"/>
        </w:rPr>
        <w:t xml:space="preserve"> and that she had expectations in regard to her right to </w:t>
      </w:r>
      <w:r w:rsidR="00966EEF" w:rsidRPr="00BE0D96">
        <w:rPr>
          <w:lang w:val="en-CA"/>
        </w:rPr>
        <w:t>privacy,</w:t>
      </w:r>
      <w:r w:rsidR="0069045A" w:rsidRPr="00BE0D96">
        <w:rPr>
          <w:lang w:val="en-CA"/>
        </w:rPr>
        <w:t xml:space="preserve"> but these expectations were on the lower end of the scale</w:t>
      </w:r>
      <w:r w:rsidR="00966EEF" w:rsidRPr="00BE0D96">
        <w:rPr>
          <w:lang w:val="en-CA"/>
        </w:rPr>
        <w:t>.</w:t>
      </w:r>
    </w:p>
    <w:p w14:paraId="73D39FF2" w14:textId="7F454209" w:rsidR="005A3926" w:rsidRPr="00BE0D96" w:rsidRDefault="0069045A" w:rsidP="005A3926">
      <w:pPr>
        <w:pStyle w:val="F02-Texte"/>
        <w:spacing w:before="360"/>
        <w:rPr>
          <w:lang w:val="en-CA"/>
        </w:rPr>
      </w:pPr>
      <w:r w:rsidRPr="00BE0D96">
        <w:rPr>
          <w:lang w:val="en-CA"/>
        </w:rPr>
        <w:t>This con</w:t>
      </w:r>
      <w:r w:rsidR="00966EEF" w:rsidRPr="00BE0D96">
        <w:rPr>
          <w:lang w:val="en-CA"/>
        </w:rPr>
        <w:t>clusion</w:t>
      </w:r>
      <w:r w:rsidRPr="00BE0D96">
        <w:rPr>
          <w:lang w:val="en-CA"/>
        </w:rPr>
        <w:t xml:space="preserve"> having been reached, the Tribunal must now determine whether this </w:t>
      </w:r>
      <w:r w:rsidR="00966EEF" w:rsidRPr="00BE0D96">
        <w:rPr>
          <w:lang w:val="en-CA"/>
        </w:rPr>
        <w:t>surveillance</w:t>
      </w:r>
      <w:r w:rsidRPr="00BE0D96">
        <w:rPr>
          <w:lang w:val="en-CA"/>
        </w:rPr>
        <w:t xml:space="preserve"> and the </w:t>
      </w:r>
      <w:r w:rsidR="00966EEF" w:rsidRPr="00BE0D96">
        <w:rPr>
          <w:lang w:val="en-CA"/>
        </w:rPr>
        <w:t>video</w:t>
      </w:r>
      <w:r w:rsidRPr="00BE0D96">
        <w:rPr>
          <w:lang w:val="en-CA"/>
        </w:rPr>
        <w:t xml:space="preserve"> </w:t>
      </w:r>
      <w:r w:rsidR="00966EEF" w:rsidRPr="00BE0D96">
        <w:rPr>
          <w:lang w:val="en-CA"/>
        </w:rPr>
        <w:t>recording</w:t>
      </w:r>
      <w:r w:rsidRPr="00BE0D96">
        <w:rPr>
          <w:lang w:val="en-CA"/>
        </w:rPr>
        <w:t xml:space="preserve">s </w:t>
      </w:r>
      <w:r w:rsidR="00286EF7">
        <w:rPr>
          <w:lang w:val="en-CA"/>
        </w:rPr>
        <w:t>could</w:t>
      </w:r>
      <w:r w:rsidRPr="00BE0D96">
        <w:rPr>
          <w:lang w:val="en-CA"/>
        </w:rPr>
        <w:t xml:space="preserve"> </w:t>
      </w:r>
      <w:r w:rsidR="00966EEF" w:rsidRPr="00BE0D96">
        <w:rPr>
          <w:lang w:val="en-CA"/>
        </w:rPr>
        <w:t>bring</w:t>
      </w:r>
      <w:r w:rsidRPr="00BE0D96">
        <w:rPr>
          <w:lang w:val="en-CA"/>
        </w:rPr>
        <w:t xml:space="preserve"> </w:t>
      </w:r>
      <w:r w:rsidR="00966EEF" w:rsidRPr="00BE0D96">
        <w:rPr>
          <w:lang w:val="en-CA"/>
        </w:rPr>
        <w:t>the</w:t>
      </w:r>
      <w:r w:rsidRPr="00BE0D96">
        <w:rPr>
          <w:lang w:val="en-CA"/>
        </w:rPr>
        <w:t xml:space="preserve"> </w:t>
      </w:r>
      <w:r w:rsidR="00966EEF" w:rsidRPr="00BE0D96">
        <w:rPr>
          <w:lang w:val="en-CA"/>
        </w:rPr>
        <w:t>administration</w:t>
      </w:r>
      <w:r w:rsidRPr="00BE0D96">
        <w:rPr>
          <w:lang w:val="en-CA"/>
        </w:rPr>
        <w:t xml:space="preserve"> </w:t>
      </w:r>
      <w:r w:rsidR="00966EEF" w:rsidRPr="00BE0D96">
        <w:rPr>
          <w:lang w:val="en-CA"/>
        </w:rPr>
        <w:t>of</w:t>
      </w:r>
      <w:r w:rsidRPr="00BE0D96">
        <w:rPr>
          <w:lang w:val="en-CA"/>
        </w:rPr>
        <w:t xml:space="preserve"> </w:t>
      </w:r>
      <w:r w:rsidR="00966EEF" w:rsidRPr="00BE0D96">
        <w:rPr>
          <w:lang w:val="en-CA"/>
        </w:rPr>
        <w:t>justice</w:t>
      </w:r>
      <w:r w:rsidRPr="00BE0D96">
        <w:rPr>
          <w:lang w:val="en-CA"/>
        </w:rPr>
        <w:t xml:space="preserve"> </w:t>
      </w:r>
      <w:r w:rsidR="00966EEF" w:rsidRPr="00BE0D96">
        <w:rPr>
          <w:lang w:val="en-CA"/>
        </w:rPr>
        <w:t>into</w:t>
      </w:r>
      <w:r w:rsidRPr="00BE0D96">
        <w:rPr>
          <w:lang w:val="en-CA"/>
        </w:rPr>
        <w:t xml:space="preserve"> </w:t>
      </w:r>
      <w:r w:rsidR="00966EEF" w:rsidRPr="00BE0D96">
        <w:rPr>
          <w:lang w:val="en-CA"/>
        </w:rPr>
        <w:t>disrepute.</w:t>
      </w:r>
    </w:p>
    <w:p w14:paraId="18ABFB95" w14:textId="51766695" w:rsidR="005A3926" w:rsidRPr="00BE0D96" w:rsidRDefault="00BD7B09" w:rsidP="005A3926">
      <w:pPr>
        <w:pStyle w:val="F02-Texte"/>
        <w:numPr>
          <w:ilvl w:val="0"/>
          <w:numId w:val="0"/>
        </w:numPr>
        <w:spacing w:before="360"/>
        <w:rPr>
          <w:b/>
          <w:lang w:val="en-CA"/>
        </w:rPr>
      </w:pPr>
      <w:r>
        <w:rPr>
          <w:b/>
          <w:lang w:val="en-CA"/>
        </w:rPr>
        <w:t>COULD</w:t>
      </w:r>
      <w:r w:rsidR="00286EF7">
        <w:rPr>
          <w:b/>
          <w:lang w:val="en-CA"/>
        </w:rPr>
        <w:t xml:space="preserve"> </w:t>
      </w:r>
      <w:r w:rsidR="00BF3F16" w:rsidRPr="00BE0D96">
        <w:rPr>
          <w:b/>
          <w:lang w:val="en-CA"/>
        </w:rPr>
        <w:t xml:space="preserve">THE </w:t>
      </w:r>
      <w:r w:rsidR="00D75A73" w:rsidRPr="00BE0D96">
        <w:rPr>
          <w:b/>
          <w:lang w:val="en-CA"/>
        </w:rPr>
        <w:t>VIOLATION</w:t>
      </w:r>
      <w:r w:rsidR="00BF3F16" w:rsidRPr="00BE0D96">
        <w:rPr>
          <w:b/>
          <w:lang w:val="en-CA"/>
        </w:rPr>
        <w:t xml:space="preserve"> BRING THE ADMINISTRATION OF JUSTICE INTO DISREPUTE</w:t>
      </w:r>
      <w:r>
        <w:rPr>
          <w:b/>
          <w:lang w:val="en-CA"/>
        </w:rPr>
        <w:t>?</w:t>
      </w:r>
    </w:p>
    <w:p w14:paraId="18DF2F90" w14:textId="67C86F9C" w:rsidR="005A3926" w:rsidRPr="00BE0D96" w:rsidRDefault="00D75A73" w:rsidP="005A3926">
      <w:pPr>
        <w:pStyle w:val="F02-Texte"/>
        <w:spacing w:before="360"/>
        <w:rPr>
          <w:lang w:val="en-CA"/>
        </w:rPr>
      </w:pPr>
      <w:r w:rsidRPr="00BE0D96">
        <w:rPr>
          <w:lang w:val="en-CA"/>
        </w:rPr>
        <w:t xml:space="preserve">In support of her motion, the applicant submits that the </w:t>
      </w:r>
      <w:r w:rsidR="00966EEF" w:rsidRPr="00BE0D96">
        <w:rPr>
          <w:lang w:val="en-CA"/>
        </w:rPr>
        <w:t>Société</w:t>
      </w:r>
      <w:r w:rsidRPr="00BE0D96">
        <w:rPr>
          <w:lang w:val="en-CA"/>
        </w:rPr>
        <w:t xml:space="preserve"> had no serious, legitimate, and rational g</w:t>
      </w:r>
      <w:r w:rsidR="00966EEF" w:rsidRPr="00BE0D96">
        <w:rPr>
          <w:lang w:val="en-CA"/>
        </w:rPr>
        <w:t>round</w:t>
      </w:r>
      <w:r w:rsidRPr="00BE0D96">
        <w:rPr>
          <w:lang w:val="en-CA"/>
        </w:rPr>
        <w:t xml:space="preserve">s to support its request for investigation and </w:t>
      </w:r>
      <w:r w:rsidR="00966EEF" w:rsidRPr="00BE0D96">
        <w:rPr>
          <w:lang w:val="en-CA"/>
        </w:rPr>
        <w:t xml:space="preserve">surveillance. </w:t>
      </w:r>
      <w:r w:rsidR="00E220C7" w:rsidRPr="00BE0D96">
        <w:rPr>
          <w:lang w:val="en-CA"/>
        </w:rPr>
        <w:t xml:space="preserve">She argues that such </w:t>
      </w:r>
      <w:r w:rsidR="00966EEF" w:rsidRPr="00BE0D96">
        <w:rPr>
          <w:lang w:val="en-CA"/>
        </w:rPr>
        <w:t>grounds</w:t>
      </w:r>
      <w:r w:rsidR="00E220C7" w:rsidRPr="00BE0D96">
        <w:rPr>
          <w:lang w:val="en-CA"/>
        </w:rPr>
        <w:t xml:space="preserve"> must exist before they are </w:t>
      </w:r>
      <w:r w:rsidR="00966EEF" w:rsidRPr="00BE0D96">
        <w:rPr>
          <w:lang w:val="en-CA"/>
        </w:rPr>
        <w:t>aut</w:t>
      </w:r>
      <w:r w:rsidR="00E220C7" w:rsidRPr="00BE0D96">
        <w:rPr>
          <w:lang w:val="en-CA"/>
        </w:rPr>
        <w:t>h</w:t>
      </w:r>
      <w:r w:rsidR="00966EEF" w:rsidRPr="00BE0D96">
        <w:rPr>
          <w:lang w:val="en-CA"/>
        </w:rPr>
        <w:t>ori</w:t>
      </w:r>
      <w:r w:rsidR="00E220C7" w:rsidRPr="00BE0D96">
        <w:rPr>
          <w:lang w:val="en-CA"/>
        </w:rPr>
        <w:t xml:space="preserve">zed, not </w:t>
      </w:r>
      <w:r w:rsidR="00966EEF" w:rsidRPr="00BE0D96">
        <w:rPr>
          <w:i/>
          <w:lang w:val="en-CA"/>
        </w:rPr>
        <w:t>a posteriori</w:t>
      </w:r>
      <w:r w:rsidR="00966EEF" w:rsidRPr="00BE0D96">
        <w:rPr>
          <w:lang w:val="en-CA"/>
        </w:rPr>
        <w:t xml:space="preserve">, </w:t>
      </w:r>
      <w:r w:rsidR="00E220C7" w:rsidRPr="00BE0D96">
        <w:rPr>
          <w:lang w:val="en-CA"/>
        </w:rPr>
        <w:t xml:space="preserve">to avoid a </w:t>
      </w:r>
      <w:r w:rsidR="00BD7B09">
        <w:rPr>
          <w:lang w:val="en-CA"/>
        </w:rPr>
        <w:t>[</w:t>
      </w:r>
      <w:r w:rsidR="00BD7B09" w:rsidRPr="00286EF7">
        <w:rPr>
          <w:smallCaps/>
          <w:lang w:val="en-CA"/>
        </w:rPr>
        <w:t>translation</w:t>
      </w:r>
      <w:r w:rsidR="00BD7B09">
        <w:rPr>
          <w:lang w:val="en-CA"/>
        </w:rPr>
        <w:t xml:space="preserve">] </w:t>
      </w:r>
      <w:r w:rsidR="00E220C7" w:rsidRPr="00BE0D96">
        <w:rPr>
          <w:lang w:val="en-CA"/>
        </w:rPr>
        <w:t>“fishing expedition”</w:t>
      </w:r>
      <w:r w:rsidR="00966EEF" w:rsidRPr="00BE0D96">
        <w:rPr>
          <w:lang w:val="en-CA"/>
        </w:rPr>
        <w:t xml:space="preserve">. </w:t>
      </w:r>
    </w:p>
    <w:p w14:paraId="45307623" w14:textId="02536CCF" w:rsidR="005A3926" w:rsidRPr="00BE0D96" w:rsidRDefault="007B40A9" w:rsidP="005A3926">
      <w:pPr>
        <w:pStyle w:val="F02-Texte"/>
        <w:spacing w:before="360"/>
        <w:rPr>
          <w:lang w:val="en-CA"/>
        </w:rPr>
      </w:pPr>
      <w:r w:rsidRPr="00BE0D96">
        <w:rPr>
          <w:lang w:val="en-CA"/>
        </w:rPr>
        <w:t xml:space="preserve">Also, she notes that the </w:t>
      </w:r>
      <w:r w:rsidR="00966EEF" w:rsidRPr="00BE0D96">
        <w:rPr>
          <w:lang w:val="en-CA"/>
        </w:rPr>
        <w:t>Société</w:t>
      </w:r>
      <w:r w:rsidRPr="00BE0D96">
        <w:rPr>
          <w:lang w:val="en-CA"/>
        </w:rPr>
        <w:t xml:space="preserve"> did not comply with the </w:t>
      </w:r>
      <w:r w:rsidR="00966EEF" w:rsidRPr="00BE0D96">
        <w:rPr>
          <w:lang w:val="en-CA"/>
        </w:rPr>
        <w:t>principle</w:t>
      </w:r>
      <w:r w:rsidRPr="00BE0D96">
        <w:rPr>
          <w:lang w:val="en-CA"/>
        </w:rPr>
        <w:t xml:space="preserve"> that </w:t>
      </w:r>
      <w:r w:rsidR="00966EEF" w:rsidRPr="00BE0D96">
        <w:rPr>
          <w:lang w:val="en-CA"/>
        </w:rPr>
        <w:t>surveillance</w:t>
      </w:r>
      <w:r w:rsidRPr="00BE0D96">
        <w:rPr>
          <w:lang w:val="en-CA"/>
        </w:rPr>
        <w:t xml:space="preserve"> should be used only as a last resort. In this regard, she criticizes the </w:t>
      </w:r>
      <w:r w:rsidR="00966EEF" w:rsidRPr="00BE0D96">
        <w:rPr>
          <w:lang w:val="en-CA"/>
        </w:rPr>
        <w:t>Société</w:t>
      </w:r>
      <w:r w:rsidRPr="00BE0D96">
        <w:rPr>
          <w:lang w:val="en-CA"/>
        </w:rPr>
        <w:t xml:space="preserve"> for having favoured </w:t>
      </w:r>
      <w:r w:rsidR="00966EEF" w:rsidRPr="00BE0D96">
        <w:rPr>
          <w:lang w:val="en-CA"/>
        </w:rPr>
        <w:t>surveillance</w:t>
      </w:r>
      <w:r w:rsidRPr="00BE0D96">
        <w:rPr>
          <w:lang w:val="en-CA"/>
        </w:rPr>
        <w:t xml:space="preserve"> rather than meeting with her or having her reassessed by an </w:t>
      </w:r>
      <w:r w:rsidR="00966EEF" w:rsidRPr="00BE0D96">
        <w:rPr>
          <w:lang w:val="en-CA"/>
        </w:rPr>
        <w:t>expert.</w:t>
      </w:r>
    </w:p>
    <w:p w14:paraId="6F30F9D9" w14:textId="210D5FD6" w:rsidR="005A3926" w:rsidRPr="00BE0D96" w:rsidRDefault="001473F9" w:rsidP="005A3926">
      <w:pPr>
        <w:pStyle w:val="F02-Texte"/>
        <w:spacing w:before="360"/>
        <w:rPr>
          <w:lang w:val="en-CA"/>
        </w:rPr>
      </w:pPr>
      <w:r w:rsidRPr="00BE0D96">
        <w:rPr>
          <w:lang w:val="en-CA"/>
        </w:rPr>
        <w:t xml:space="preserve">Last, referring to the </w:t>
      </w:r>
      <w:r w:rsidR="00966EEF" w:rsidRPr="00BE0D96">
        <w:rPr>
          <w:lang w:val="en-CA"/>
        </w:rPr>
        <w:t>statutory</w:t>
      </w:r>
      <w:r w:rsidRPr="00BE0D96">
        <w:rPr>
          <w:lang w:val="en-CA"/>
        </w:rPr>
        <w:t xml:space="preserve"> </w:t>
      </w:r>
      <w:r w:rsidR="00966EEF" w:rsidRPr="00BE0D96">
        <w:rPr>
          <w:lang w:val="en-CA"/>
        </w:rPr>
        <w:t>provisions</w:t>
      </w:r>
      <w:r w:rsidRPr="00BE0D96">
        <w:rPr>
          <w:lang w:val="en-CA"/>
        </w:rPr>
        <w:t xml:space="preserve"> relevant to this dispute and to the criteria for the ad</w:t>
      </w:r>
      <w:r w:rsidR="00966EEF" w:rsidRPr="00BE0D96">
        <w:rPr>
          <w:lang w:val="en-CA"/>
        </w:rPr>
        <w:t>missibility</w:t>
      </w:r>
      <w:r w:rsidRPr="00BE0D96">
        <w:rPr>
          <w:lang w:val="en-CA"/>
        </w:rPr>
        <w:t xml:space="preserve"> </w:t>
      </w:r>
      <w:r w:rsidR="00966EEF" w:rsidRPr="00BE0D96">
        <w:rPr>
          <w:lang w:val="en-CA"/>
        </w:rPr>
        <w:t>in</w:t>
      </w:r>
      <w:r w:rsidRPr="00BE0D96">
        <w:rPr>
          <w:lang w:val="en-CA"/>
        </w:rPr>
        <w:t xml:space="preserve"> </w:t>
      </w:r>
      <w:r w:rsidR="00966EEF" w:rsidRPr="00BE0D96">
        <w:rPr>
          <w:lang w:val="en-CA"/>
        </w:rPr>
        <w:t>evidence</w:t>
      </w:r>
      <w:r w:rsidRPr="00BE0D96">
        <w:rPr>
          <w:lang w:val="en-CA"/>
        </w:rPr>
        <w:t xml:space="preserve"> of </w:t>
      </w:r>
      <w:r w:rsidR="00966EEF" w:rsidRPr="00BE0D96">
        <w:rPr>
          <w:lang w:val="en-CA"/>
        </w:rPr>
        <w:t>surveillance</w:t>
      </w:r>
      <w:r w:rsidR="00286EF7">
        <w:rPr>
          <w:lang w:val="en-CA"/>
        </w:rPr>
        <w:t xml:space="preserve"> that emerge</w:t>
      </w:r>
      <w:r w:rsidRPr="00BE0D96">
        <w:rPr>
          <w:lang w:val="en-CA"/>
        </w:rPr>
        <w:t xml:space="preserve"> from the case law on the subject, counsel for the applicant went over the </w:t>
      </w:r>
      <w:r w:rsidR="00966EEF" w:rsidRPr="00BE0D96">
        <w:rPr>
          <w:lang w:val="en-CA"/>
        </w:rPr>
        <w:t>evidence</w:t>
      </w:r>
      <w:r w:rsidRPr="00BE0D96">
        <w:rPr>
          <w:lang w:val="en-CA"/>
        </w:rPr>
        <w:t xml:space="preserve"> in the record that, in her view, is insufficient to </w:t>
      </w:r>
      <w:r w:rsidR="00BB2953" w:rsidRPr="00BE0D96">
        <w:rPr>
          <w:lang w:val="en-CA"/>
        </w:rPr>
        <w:t>warrant</w:t>
      </w:r>
      <w:r w:rsidRPr="00BE0D96">
        <w:rPr>
          <w:lang w:val="en-CA"/>
        </w:rPr>
        <w:t xml:space="preserve"> </w:t>
      </w:r>
      <w:r w:rsidR="00BB2953" w:rsidRPr="00BE0D96">
        <w:rPr>
          <w:lang w:val="en-CA"/>
        </w:rPr>
        <w:t>the</w:t>
      </w:r>
      <w:r w:rsidRPr="00BE0D96">
        <w:rPr>
          <w:lang w:val="en-CA"/>
        </w:rPr>
        <w:t xml:space="preserve"> investigation, </w:t>
      </w:r>
      <w:r w:rsidR="0080314B">
        <w:rPr>
          <w:lang w:val="en-CA"/>
        </w:rPr>
        <w:t xml:space="preserve">physical </w:t>
      </w:r>
      <w:r w:rsidR="00966EEF" w:rsidRPr="00BE0D96">
        <w:rPr>
          <w:lang w:val="en-CA"/>
        </w:rPr>
        <w:t>surveillance</w:t>
      </w:r>
      <w:r w:rsidR="00BB2953" w:rsidRPr="00BE0D96">
        <w:rPr>
          <w:lang w:val="en-CA"/>
        </w:rPr>
        <w:t xml:space="preserve">, and video </w:t>
      </w:r>
      <w:r w:rsidR="0080314B">
        <w:rPr>
          <w:lang w:val="en-CA"/>
        </w:rPr>
        <w:t xml:space="preserve">surveillance </w:t>
      </w:r>
      <w:r w:rsidR="00BB2953" w:rsidRPr="00BE0D96">
        <w:rPr>
          <w:lang w:val="en-CA"/>
        </w:rPr>
        <w:t xml:space="preserve">of her </w:t>
      </w:r>
      <w:r w:rsidR="00966EEF" w:rsidRPr="00BE0D96">
        <w:rPr>
          <w:lang w:val="en-CA"/>
        </w:rPr>
        <w:t xml:space="preserve">client. </w:t>
      </w:r>
    </w:p>
    <w:p w14:paraId="44EDF191" w14:textId="636A6CCB" w:rsidR="005A3926" w:rsidRPr="00BE0D96" w:rsidRDefault="00BB2953" w:rsidP="005A3926">
      <w:pPr>
        <w:pStyle w:val="F02-Texte"/>
        <w:spacing w:before="360"/>
        <w:rPr>
          <w:lang w:val="en-CA"/>
        </w:rPr>
      </w:pPr>
      <w:r w:rsidRPr="00BE0D96">
        <w:rPr>
          <w:lang w:val="en-CA"/>
        </w:rPr>
        <w:t xml:space="preserve">In </w:t>
      </w:r>
      <w:r w:rsidR="00966EEF" w:rsidRPr="00BE0D96">
        <w:rPr>
          <w:lang w:val="en-CA"/>
        </w:rPr>
        <w:t xml:space="preserve">conclusion, </w:t>
      </w:r>
      <w:r w:rsidRPr="00BE0D96">
        <w:rPr>
          <w:lang w:val="en-CA"/>
        </w:rPr>
        <w:t xml:space="preserve">she asks the </w:t>
      </w:r>
      <w:r w:rsidR="00966EEF" w:rsidRPr="00BE0D96">
        <w:rPr>
          <w:lang w:val="en-CA"/>
        </w:rPr>
        <w:t>Tribunal</w:t>
      </w:r>
      <w:r w:rsidRPr="00BE0D96">
        <w:rPr>
          <w:lang w:val="en-CA"/>
        </w:rPr>
        <w:t xml:space="preserve"> to exclude all the </w:t>
      </w:r>
      <w:r w:rsidR="00966EEF" w:rsidRPr="00BE0D96">
        <w:rPr>
          <w:lang w:val="en-CA"/>
        </w:rPr>
        <w:t>evidence obt</w:t>
      </w:r>
      <w:r w:rsidRPr="00BE0D96">
        <w:rPr>
          <w:lang w:val="en-CA"/>
        </w:rPr>
        <w:t xml:space="preserve">ained in violation of </w:t>
      </w:r>
      <w:r w:rsidR="00966EEF" w:rsidRPr="00BE0D96">
        <w:rPr>
          <w:lang w:val="en-CA"/>
        </w:rPr>
        <w:t>fundamental</w:t>
      </w:r>
      <w:r w:rsidRPr="00BE0D96">
        <w:rPr>
          <w:lang w:val="en-CA"/>
        </w:rPr>
        <w:t xml:space="preserve"> </w:t>
      </w:r>
      <w:r w:rsidR="00966EEF" w:rsidRPr="00BE0D96">
        <w:rPr>
          <w:lang w:val="en-CA"/>
        </w:rPr>
        <w:t>rights</w:t>
      </w:r>
      <w:r w:rsidRPr="00BE0D96">
        <w:rPr>
          <w:lang w:val="en-CA"/>
        </w:rPr>
        <w:t xml:space="preserve"> because its use </w:t>
      </w:r>
      <w:r w:rsidR="00286EF7">
        <w:rPr>
          <w:lang w:val="en-CA"/>
        </w:rPr>
        <w:t>c</w:t>
      </w:r>
      <w:r w:rsidR="002025B5">
        <w:rPr>
          <w:lang w:val="en-CA"/>
        </w:rPr>
        <w:t xml:space="preserve">ould </w:t>
      </w:r>
      <w:r w:rsidR="00966EEF" w:rsidRPr="00BE0D96">
        <w:rPr>
          <w:lang w:val="en-CA"/>
        </w:rPr>
        <w:t>bring</w:t>
      </w:r>
      <w:r w:rsidRPr="00BE0D96">
        <w:rPr>
          <w:lang w:val="en-CA"/>
        </w:rPr>
        <w:t xml:space="preserve"> </w:t>
      </w:r>
      <w:r w:rsidR="00966EEF" w:rsidRPr="00BE0D96">
        <w:rPr>
          <w:lang w:val="en-CA"/>
        </w:rPr>
        <w:t>the</w:t>
      </w:r>
      <w:r w:rsidRPr="00BE0D96">
        <w:rPr>
          <w:lang w:val="en-CA"/>
        </w:rPr>
        <w:t xml:space="preserve"> </w:t>
      </w:r>
      <w:r w:rsidR="00966EEF" w:rsidRPr="00BE0D96">
        <w:rPr>
          <w:lang w:val="en-CA"/>
        </w:rPr>
        <w:t>administration</w:t>
      </w:r>
      <w:r w:rsidRPr="00BE0D96">
        <w:rPr>
          <w:lang w:val="en-CA"/>
        </w:rPr>
        <w:t xml:space="preserve"> </w:t>
      </w:r>
      <w:r w:rsidR="00966EEF" w:rsidRPr="00BE0D96">
        <w:rPr>
          <w:lang w:val="en-CA"/>
        </w:rPr>
        <w:t>of</w:t>
      </w:r>
      <w:r w:rsidRPr="00BE0D96">
        <w:rPr>
          <w:lang w:val="en-CA"/>
        </w:rPr>
        <w:t xml:space="preserve"> </w:t>
      </w:r>
      <w:r w:rsidR="00966EEF" w:rsidRPr="00BE0D96">
        <w:rPr>
          <w:lang w:val="en-CA"/>
        </w:rPr>
        <w:t>justice</w:t>
      </w:r>
      <w:r w:rsidRPr="00BE0D96">
        <w:rPr>
          <w:lang w:val="en-CA"/>
        </w:rPr>
        <w:t xml:space="preserve"> </w:t>
      </w:r>
      <w:r w:rsidR="00966EEF" w:rsidRPr="00BE0D96">
        <w:rPr>
          <w:lang w:val="en-CA"/>
        </w:rPr>
        <w:t>into</w:t>
      </w:r>
      <w:r w:rsidRPr="00BE0D96">
        <w:rPr>
          <w:lang w:val="en-CA"/>
        </w:rPr>
        <w:t xml:space="preserve"> </w:t>
      </w:r>
      <w:r w:rsidR="00966EEF" w:rsidRPr="00BE0D96">
        <w:rPr>
          <w:lang w:val="en-CA"/>
        </w:rPr>
        <w:t>disrepute.</w:t>
      </w:r>
    </w:p>
    <w:p w14:paraId="77592BB4" w14:textId="1CC9E719" w:rsidR="005A3926" w:rsidRPr="00BE0D96" w:rsidRDefault="001864B5" w:rsidP="005A3926">
      <w:pPr>
        <w:pStyle w:val="F02-Texte"/>
        <w:spacing w:before="360"/>
        <w:rPr>
          <w:lang w:val="en-CA"/>
        </w:rPr>
      </w:pPr>
      <w:r w:rsidRPr="00BE0D96">
        <w:rPr>
          <w:lang w:val="en-CA"/>
        </w:rPr>
        <w:t xml:space="preserve">For its part, the </w:t>
      </w:r>
      <w:r w:rsidR="00966EEF" w:rsidRPr="00BE0D96">
        <w:rPr>
          <w:lang w:val="en-CA"/>
        </w:rPr>
        <w:t>Société</w:t>
      </w:r>
      <w:r w:rsidRPr="00BE0D96">
        <w:rPr>
          <w:lang w:val="en-CA"/>
        </w:rPr>
        <w:t xml:space="preserve"> submits that the reasons supporting its request for </w:t>
      </w:r>
      <w:r w:rsidR="00966EEF" w:rsidRPr="00BE0D96">
        <w:rPr>
          <w:lang w:val="en-CA"/>
        </w:rPr>
        <w:t>surveillance</w:t>
      </w:r>
      <w:r w:rsidRPr="00BE0D96">
        <w:rPr>
          <w:lang w:val="en-CA"/>
        </w:rPr>
        <w:t xml:space="preserve"> must be taken as a whole, not </w:t>
      </w:r>
      <w:r w:rsidR="00966EEF" w:rsidRPr="00BE0D96">
        <w:rPr>
          <w:lang w:val="en-CA"/>
        </w:rPr>
        <w:t>individu</w:t>
      </w:r>
      <w:r w:rsidRPr="00BE0D96">
        <w:rPr>
          <w:lang w:val="en-CA"/>
        </w:rPr>
        <w:t xml:space="preserve">ally, and that the context shows that it had </w:t>
      </w:r>
      <w:r w:rsidR="00966EEF" w:rsidRPr="00BE0D96">
        <w:rPr>
          <w:lang w:val="en-CA"/>
        </w:rPr>
        <w:t>reasonable</w:t>
      </w:r>
      <w:r w:rsidRPr="00BE0D96">
        <w:rPr>
          <w:lang w:val="en-CA"/>
        </w:rPr>
        <w:t xml:space="preserve"> </w:t>
      </w:r>
      <w:r w:rsidR="00966EEF" w:rsidRPr="00BE0D96">
        <w:rPr>
          <w:lang w:val="en-CA"/>
        </w:rPr>
        <w:t>grounds</w:t>
      </w:r>
      <w:r w:rsidRPr="00BE0D96">
        <w:rPr>
          <w:lang w:val="en-CA"/>
        </w:rPr>
        <w:t xml:space="preserve"> to </w:t>
      </w:r>
      <w:r w:rsidR="00713635">
        <w:rPr>
          <w:lang w:val="en-CA"/>
        </w:rPr>
        <w:t>investigate the applicant and place her under  surveillance</w:t>
      </w:r>
      <w:r w:rsidR="00966EEF" w:rsidRPr="00BE0D96">
        <w:rPr>
          <w:lang w:val="en-CA"/>
        </w:rPr>
        <w:t>.</w:t>
      </w:r>
    </w:p>
    <w:p w14:paraId="32EE850A" w14:textId="53AF2283" w:rsidR="005A3926" w:rsidRPr="00BE0D96" w:rsidRDefault="00C81658" w:rsidP="005A3926">
      <w:pPr>
        <w:pStyle w:val="F02-Texte"/>
        <w:spacing w:before="360"/>
        <w:rPr>
          <w:lang w:val="en-CA"/>
        </w:rPr>
      </w:pPr>
      <w:r w:rsidRPr="00BE0D96">
        <w:rPr>
          <w:lang w:val="en-CA"/>
        </w:rPr>
        <w:t xml:space="preserve">After analyzing all the </w:t>
      </w:r>
      <w:r w:rsidR="00966EEF" w:rsidRPr="00BE0D96">
        <w:rPr>
          <w:lang w:val="en-CA"/>
        </w:rPr>
        <w:t>evidence</w:t>
      </w:r>
      <w:r w:rsidRPr="00BE0D96">
        <w:rPr>
          <w:lang w:val="en-CA"/>
        </w:rPr>
        <w:t xml:space="preserve"> in the </w:t>
      </w:r>
      <w:r w:rsidR="00966EEF" w:rsidRPr="00BE0D96">
        <w:rPr>
          <w:lang w:val="en-CA"/>
        </w:rPr>
        <w:t>record</w:t>
      </w:r>
      <w:r w:rsidRPr="00BE0D96">
        <w:rPr>
          <w:lang w:val="en-CA"/>
        </w:rPr>
        <w:t xml:space="preserve"> and the </w:t>
      </w:r>
      <w:r w:rsidR="00966EEF" w:rsidRPr="00BE0D96">
        <w:rPr>
          <w:lang w:val="en-CA"/>
        </w:rPr>
        <w:t>argument</w:t>
      </w:r>
      <w:r w:rsidRPr="00BE0D96">
        <w:rPr>
          <w:lang w:val="en-CA"/>
        </w:rPr>
        <w:t xml:space="preserve">s </w:t>
      </w:r>
      <w:r w:rsidR="00966EEF" w:rsidRPr="00BE0D96">
        <w:rPr>
          <w:lang w:val="en-CA"/>
        </w:rPr>
        <w:t>presented</w:t>
      </w:r>
      <w:r w:rsidRPr="00BE0D96">
        <w:rPr>
          <w:lang w:val="en-CA"/>
        </w:rPr>
        <w:t xml:space="preserve"> by the </w:t>
      </w:r>
      <w:r w:rsidR="00966EEF" w:rsidRPr="00BE0D96">
        <w:rPr>
          <w:lang w:val="en-CA"/>
        </w:rPr>
        <w:t xml:space="preserve">parties, </w:t>
      </w:r>
      <w:r w:rsidRPr="00BE0D96">
        <w:rPr>
          <w:lang w:val="en-CA"/>
        </w:rPr>
        <w:t>th</w:t>
      </w:r>
      <w:r w:rsidR="00966EEF" w:rsidRPr="00BE0D96">
        <w:rPr>
          <w:lang w:val="en-CA"/>
        </w:rPr>
        <w:t>e</w:t>
      </w:r>
      <w:r w:rsidRPr="00BE0D96">
        <w:rPr>
          <w:lang w:val="en-CA"/>
        </w:rPr>
        <w:t xml:space="preserve"> </w:t>
      </w:r>
      <w:r w:rsidR="00966EEF" w:rsidRPr="00BE0D96">
        <w:rPr>
          <w:lang w:val="en-CA"/>
        </w:rPr>
        <w:t>Tribunal</w:t>
      </w:r>
      <w:r w:rsidRPr="00BE0D96">
        <w:rPr>
          <w:lang w:val="en-CA"/>
        </w:rPr>
        <w:t xml:space="preserve"> finds that the </w:t>
      </w:r>
      <w:r w:rsidR="00E60074">
        <w:rPr>
          <w:lang w:val="en-CA"/>
        </w:rPr>
        <w:t xml:space="preserve">physical </w:t>
      </w:r>
      <w:r w:rsidR="00966EEF" w:rsidRPr="00BE0D96">
        <w:rPr>
          <w:lang w:val="en-CA"/>
        </w:rPr>
        <w:t>surveillance</w:t>
      </w:r>
      <w:r w:rsidRPr="00BE0D96">
        <w:rPr>
          <w:lang w:val="en-CA"/>
        </w:rPr>
        <w:t xml:space="preserve"> and video </w:t>
      </w:r>
      <w:r w:rsidR="00E60074">
        <w:rPr>
          <w:lang w:val="en-CA"/>
        </w:rPr>
        <w:t>surveillance</w:t>
      </w:r>
      <w:r w:rsidR="00E60074" w:rsidRPr="00BE0D96">
        <w:rPr>
          <w:lang w:val="en-CA"/>
        </w:rPr>
        <w:t xml:space="preserve"> </w:t>
      </w:r>
      <w:r w:rsidRPr="00BE0D96">
        <w:rPr>
          <w:lang w:val="en-CA"/>
        </w:rPr>
        <w:t xml:space="preserve">must be declared </w:t>
      </w:r>
      <w:r w:rsidR="00966EEF" w:rsidRPr="00BE0D96">
        <w:rPr>
          <w:lang w:val="en-CA"/>
        </w:rPr>
        <w:t xml:space="preserve">admissible. </w:t>
      </w:r>
    </w:p>
    <w:p w14:paraId="037292CC" w14:textId="4CE44BCB" w:rsidR="005A3926" w:rsidRPr="00BE0D96" w:rsidRDefault="00C81658" w:rsidP="005A3926">
      <w:pPr>
        <w:pStyle w:val="F02-Texte"/>
        <w:spacing w:before="360"/>
        <w:rPr>
          <w:lang w:val="en-CA"/>
        </w:rPr>
      </w:pPr>
      <w:r w:rsidRPr="00BE0D96">
        <w:rPr>
          <w:lang w:val="en-CA"/>
        </w:rPr>
        <w:t xml:space="preserve">When it requested the investigation with </w:t>
      </w:r>
      <w:r w:rsidR="00966EEF" w:rsidRPr="00BE0D96">
        <w:rPr>
          <w:lang w:val="en-CA"/>
        </w:rPr>
        <w:t xml:space="preserve">surveillance, </w:t>
      </w:r>
      <w:r w:rsidRPr="00BE0D96">
        <w:rPr>
          <w:lang w:val="en-CA"/>
        </w:rPr>
        <w:t>the</w:t>
      </w:r>
      <w:r w:rsidR="00966EEF" w:rsidRPr="00BE0D96">
        <w:rPr>
          <w:lang w:val="en-CA"/>
        </w:rPr>
        <w:t xml:space="preserve"> Société </w:t>
      </w:r>
      <w:r w:rsidRPr="00BE0D96">
        <w:rPr>
          <w:lang w:val="en-CA"/>
        </w:rPr>
        <w:t>was dealing with</w:t>
      </w:r>
      <w:r w:rsidR="00966EEF" w:rsidRPr="00BE0D96">
        <w:rPr>
          <w:lang w:val="en-CA"/>
        </w:rPr>
        <w:t>:</w:t>
      </w:r>
    </w:p>
    <w:p w14:paraId="5D765E7F" w14:textId="417B17A2" w:rsidR="005A3926" w:rsidRPr="00BE0D96" w:rsidRDefault="00C81658" w:rsidP="005A3926">
      <w:pPr>
        <w:pStyle w:val="F02-Texte"/>
        <w:numPr>
          <w:ilvl w:val="0"/>
          <w:numId w:val="23"/>
        </w:numPr>
        <w:spacing w:before="360"/>
        <w:rPr>
          <w:lang w:val="en-CA"/>
        </w:rPr>
      </w:pPr>
      <w:r w:rsidRPr="00BE0D96">
        <w:rPr>
          <w:lang w:val="en-CA"/>
        </w:rPr>
        <w:lastRenderedPageBreak/>
        <w:t>An</w:t>
      </w:r>
      <w:r w:rsidR="00966EEF" w:rsidRPr="00BE0D96">
        <w:rPr>
          <w:lang w:val="en-CA"/>
        </w:rPr>
        <w:t xml:space="preserve"> automobile </w:t>
      </w:r>
      <w:r w:rsidRPr="00BE0D96">
        <w:rPr>
          <w:lang w:val="en-CA"/>
        </w:rPr>
        <w:t xml:space="preserve">accident without </w:t>
      </w:r>
      <w:r w:rsidR="00966EEF" w:rsidRPr="00BE0D96">
        <w:rPr>
          <w:lang w:val="en-CA"/>
        </w:rPr>
        <w:t>transport</w:t>
      </w:r>
      <w:r w:rsidRPr="00BE0D96">
        <w:rPr>
          <w:lang w:val="en-CA"/>
        </w:rPr>
        <w:t>ation by</w:t>
      </w:r>
      <w:r w:rsidR="00966EEF" w:rsidRPr="00BE0D96">
        <w:rPr>
          <w:lang w:val="en-CA"/>
        </w:rPr>
        <w:t xml:space="preserve"> ambulance </w:t>
      </w:r>
      <w:r w:rsidRPr="00BE0D96">
        <w:rPr>
          <w:lang w:val="en-CA"/>
        </w:rPr>
        <w:t>or a police report</w:t>
      </w:r>
      <w:r w:rsidR="00966EEF" w:rsidRPr="00BE0D96">
        <w:rPr>
          <w:lang w:val="en-CA"/>
        </w:rPr>
        <w:t xml:space="preserve">. </w:t>
      </w:r>
    </w:p>
    <w:p w14:paraId="2114056E" w14:textId="6F8F6B77" w:rsidR="005A3926" w:rsidRPr="00BE0D96" w:rsidRDefault="0037421B" w:rsidP="005A3926">
      <w:pPr>
        <w:pStyle w:val="F02-Texte"/>
        <w:numPr>
          <w:ilvl w:val="0"/>
          <w:numId w:val="23"/>
        </w:numPr>
        <w:spacing w:before="360"/>
        <w:rPr>
          <w:lang w:val="en-CA"/>
        </w:rPr>
      </w:pPr>
      <w:r w:rsidRPr="00BE0D96">
        <w:rPr>
          <w:lang w:val="en-CA"/>
        </w:rPr>
        <w:t>A diagnosis of trivial m</w:t>
      </w:r>
      <w:r w:rsidRPr="00BE0D96">
        <w:rPr>
          <w:color w:val="000000"/>
          <w:lang w:val="en-CA"/>
        </w:rPr>
        <w:t xml:space="preserve">ild craniocerebral trauma with a balance disorder (severity </w:t>
      </w:r>
      <w:r w:rsidR="00E40599" w:rsidRPr="00BE0D96">
        <w:rPr>
          <w:color w:val="000000"/>
          <w:lang w:val="en-CA"/>
        </w:rPr>
        <w:t>4), which is a high level of severity, but without the symptoms being objectivized by various tests and professionals</w:t>
      </w:r>
      <w:r w:rsidR="00966EEF" w:rsidRPr="00BE0D96">
        <w:rPr>
          <w:lang w:val="en-CA"/>
        </w:rPr>
        <w:t>.</w:t>
      </w:r>
    </w:p>
    <w:p w14:paraId="182117E4" w14:textId="66E83AC8" w:rsidR="005A3926" w:rsidRPr="00BE0D96" w:rsidRDefault="00E40599" w:rsidP="005A3926">
      <w:pPr>
        <w:pStyle w:val="F02-Texte"/>
        <w:numPr>
          <w:ilvl w:val="0"/>
          <w:numId w:val="23"/>
        </w:numPr>
        <w:spacing w:before="360"/>
        <w:rPr>
          <w:lang w:val="en-CA"/>
        </w:rPr>
      </w:pPr>
      <w:r w:rsidRPr="00BE0D96">
        <w:rPr>
          <w:lang w:val="en-CA"/>
        </w:rPr>
        <w:t>The applicant’s apparent lack of cooperation, as reported by the nurse from Hospital A’s traumatology program, and the closing of the applicant’s file due to a lack of follow-up</w:t>
      </w:r>
      <w:r w:rsidR="00966EEF" w:rsidRPr="00BE0D96">
        <w:rPr>
          <w:lang w:val="en-CA"/>
        </w:rPr>
        <w:t>.</w:t>
      </w:r>
    </w:p>
    <w:p w14:paraId="489E51E1" w14:textId="453DA210" w:rsidR="005A3926" w:rsidRPr="00BE0D96" w:rsidRDefault="00330E72" w:rsidP="005A3926">
      <w:pPr>
        <w:pStyle w:val="F02-Texte"/>
        <w:numPr>
          <w:ilvl w:val="0"/>
          <w:numId w:val="23"/>
        </w:numPr>
        <w:spacing w:before="360"/>
        <w:rPr>
          <w:lang w:val="en-CA"/>
        </w:rPr>
      </w:pPr>
      <w:r w:rsidRPr="00BE0D96">
        <w:rPr>
          <w:lang w:val="en-CA"/>
        </w:rPr>
        <w:t xml:space="preserve">The applicant’s apparent failure to follow through with her </w:t>
      </w:r>
      <w:r w:rsidRPr="00BE0D96">
        <w:rPr>
          <w:color w:val="000000"/>
          <w:lang w:val="en-CA"/>
        </w:rPr>
        <w:t>vestibular physiotherapy treatments</w:t>
      </w:r>
      <w:r w:rsidR="00966EEF" w:rsidRPr="00BE0D96">
        <w:rPr>
          <w:lang w:val="en-CA"/>
        </w:rPr>
        <w:t>.</w:t>
      </w:r>
    </w:p>
    <w:p w14:paraId="7CB80C96" w14:textId="1DFEB0FD" w:rsidR="005A3926" w:rsidRPr="00BE0D96" w:rsidRDefault="00330E72" w:rsidP="005A3926">
      <w:pPr>
        <w:pStyle w:val="F02-Texte"/>
        <w:numPr>
          <w:ilvl w:val="0"/>
          <w:numId w:val="23"/>
        </w:numPr>
        <w:spacing w:before="360"/>
        <w:rPr>
          <w:lang w:val="en-CA"/>
        </w:rPr>
      </w:pPr>
      <w:r w:rsidRPr="00BE0D96">
        <w:rPr>
          <w:lang w:val="en-CA"/>
        </w:rPr>
        <w:t xml:space="preserve">A medical note from Dr. </w:t>
      </w:r>
      <w:r w:rsidR="00966EEF" w:rsidRPr="00BE0D96">
        <w:rPr>
          <w:lang w:val="en-CA"/>
        </w:rPr>
        <w:t xml:space="preserve">Céline Jobin </w:t>
      </w:r>
      <w:r w:rsidRPr="00BE0D96">
        <w:rPr>
          <w:lang w:val="en-CA"/>
        </w:rPr>
        <w:t xml:space="preserve">of the Hospital A neurology department noting that the applicant is very dissatisfied with her job and does not want to return. The same note states that there appears to be </w:t>
      </w:r>
      <w:r w:rsidR="00966EEF" w:rsidRPr="00BE0D96">
        <w:rPr>
          <w:lang w:val="en-CA"/>
        </w:rPr>
        <w:t>psychosomati</w:t>
      </w:r>
      <w:r w:rsidR="00210BC5" w:rsidRPr="00BE0D96">
        <w:rPr>
          <w:lang w:val="en-CA"/>
        </w:rPr>
        <w:t>c elements explaining the persistence of certain symptoms</w:t>
      </w:r>
      <w:r w:rsidR="00966EEF" w:rsidRPr="00BE0D96">
        <w:rPr>
          <w:lang w:val="en-CA"/>
        </w:rPr>
        <w:t>.</w:t>
      </w:r>
    </w:p>
    <w:p w14:paraId="3BC7CD41" w14:textId="1E27CC55" w:rsidR="005A3926" w:rsidRPr="00BE0D96" w:rsidRDefault="00210BC5" w:rsidP="005A3926">
      <w:pPr>
        <w:pStyle w:val="F02-Texte"/>
        <w:numPr>
          <w:ilvl w:val="0"/>
          <w:numId w:val="23"/>
        </w:numPr>
        <w:spacing w:before="360"/>
        <w:rPr>
          <w:lang w:val="en-CA"/>
        </w:rPr>
      </w:pPr>
      <w:r w:rsidRPr="00BE0D96">
        <w:rPr>
          <w:lang w:val="en-CA"/>
        </w:rPr>
        <w:t>Atypical prog</w:t>
      </w:r>
      <w:r w:rsidR="00654DBA" w:rsidRPr="00BE0D96">
        <w:rPr>
          <w:lang w:val="en-CA"/>
        </w:rPr>
        <w:t>r</w:t>
      </w:r>
      <w:r w:rsidRPr="00BE0D96">
        <w:rPr>
          <w:lang w:val="en-CA"/>
        </w:rPr>
        <w:t>ess of mild CCT</w:t>
      </w:r>
      <w:r w:rsidR="00966EEF" w:rsidRPr="00BE0D96">
        <w:rPr>
          <w:lang w:val="en-CA"/>
        </w:rPr>
        <w:t xml:space="preserve">. </w:t>
      </w:r>
    </w:p>
    <w:p w14:paraId="7B1A0CB4" w14:textId="49458146" w:rsidR="005A3926" w:rsidRPr="00BE0D96" w:rsidRDefault="00654DBA" w:rsidP="005A3926">
      <w:pPr>
        <w:pStyle w:val="F02-Texte"/>
        <w:numPr>
          <w:ilvl w:val="0"/>
          <w:numId w:val="23"/>
        </w:numPr>
        <w:spacing w:before="360"/>
        <w:rPr>
          <w:lang w:val="en-CA"/>
        </w:rPr>
      </w:pPr>
      <w:r w:rsidRPr="00BE0D96">
        <w:rPr>
          <w:lang w:val="en-CA"/>
        </w:rPr>
        <w:t xml:space="preserve">A comment of the </w:t>
      </w:r>
      <w:r w:rsidR="00966EEF" w:rsidRPr="00BE0D96">
        <w:rPr>
          <w:lang w:val="en-CA"/>
        </w:rPr>
        <w:t xml:space="preserve">CSA </w:t>
      </w:r>
      <w:r w:rsidRPr="00BE0D96">
        <w:rPr>
          <w:lang w:val="en-CA"/>
        </w:rPr>
        <w:t>complaining that the applicant never calls back</w:t>
      </w:r>
      <w:r w:rsidR="00966EEF" w:rsidRPr="00BE0D96">
        <w:rPr>
          <w:lang w:val="en-CA"/>
        </w:rPr>
        <w:t xml:space="preserve">. </w:t>
      </w:r>
    </w:p>
    <w:p w14:paraId="31664A48" w14:textId="683E0F7F" w:rsidR="005A3926" w:rsidRPr="00BE0D96" w:rsidRDefault="00654DBA" w:rsidP="005A3926">
      <w:pPr>
        <w:pStyle w:val="F02-Texte"/>
        <w:numPr>
          <w:ilvl w:val="0"/>
          <w:numId w:val="23"/>
        </w:numPr>
        <w:spacing w:before="360"/>
        <w:rPr>
          <w:lang w:val="en-CA"/>
        </w:rPr>
      </w:pPr>
      <w:r w:rsidRPr="00BE0D96">
        <w:rPr>
          <w:lang w:val="en-CA"/>
        </w:rPr>
        <w:t xml:space="preserve">A suspicious call on </w:t>
      </w:r>
      <w:r w:rsidR="00966EEF" w:rsidRPr="00BE0D96">
        <w:rPr>
          <w:lang w:val="en-CA"/>
        </w:rPr>
        <w:t>July</w:t>
      </w:r>
      <w:r w:rsidRPr="00BE0D96">
        <w:rPr>
          <w:lang w:val="en-CA"/>
        </w:rPr>
        <w:t xml:space="preserve"> 9,</w:t>
      </w:r>
      <w:r w:rsidR="00966EEF" w:rsidRPr="00BE0D96">
        <w:rPr>
          <w:lang w:val="en-CA"/>
        </w:rPr>
        <w:t> 2013</w:t>
      </w:r>
      <w:r w:rsidRPr="00BE0D96">
        <w:rPr>
          <w:lang w:val="en-CA"/>
        </w:rPr>
        <w:t>,</w:t>
      </w:r>
      <w:r w:rsidR="00966EEF" w:rsidRPr="00BE0D96">
        <w:rPr>
          <w:lang w:val="en-CA"/>
        </w:rPr>
        <w:t xml:space="preserve"> </w:t>
      </w:r>
      <w:r w:rsidRPr="00BE0D96">
        <w:rPr>
          <w:lang w:val="en-CA"/>
        </w:rPr>
        <w:t xml:space="preserve">where, after leaving a </w:t>
      </w:r>
      <w:r w:rsidR="00966EEF" w:rsidRPr="00BE0D96">
        <w:rPr>
          <w:lang w:val="en-CA"/>
        </w:rPr>
        <w:t>message</w:t>
      </w:r>
      <w:r w:rsidRPr="00BE0D96">
        <w:rPr>
          <w:lang w:val="en-CA"/>
        </w:rPr>
        <w:t xml:space="preserve"> on the answering machine at home, the applicant’s husband answered her cellular phone and said that she would be at work in the afternoon, whereas she said she was</w:t>
      </w:r>
      <w:r w:rsidR="00966EEF" w:rsidRPr="00BE0D96">
        <w:rPr>
          <w:lang w:val="en-CA"/>
        </w:rPr>
        <w:t xml:space="preserve"> </w:t>
      </w:r>
      <w:r w:rsidR="0093359A" w:rsidRPr="00BE0D96">
        <w:rPr>
          <w:lang w:val="en-CA"/>
        </w:rPr>
        <w:t>unable to work</w:t>
      </w:r>
      <w:r w:rsidR="001675EB">
        <w:rPr>
          <w:lang w:val="en-CA"/>
        </w:rPr>
        <w:t xml:space="preserve"> at that time</w:t>
      </w:r>
      <w:r w:rsidR="00966EEF" w:rsidRPr="00BE0D96">
        <w:rPr>
          <w:lang w:val="en-CA"/>
        </w:rPr>
        <w:t>.</w:t>
      </w:r>
    </w:p>
    <w:p w14:paraId="3C3C6D6B" w14:textId="7DEA69C4" w:rsidR="005A3926" w:rsidRPr="00BE0D96" w:rsidRDefault="0093359A" w:rsidP="005A3926">
      <w:pPr>
        <w:pStyle w:val="F02-Texte"/>
        <w:numPr>
          <w:ilvl w:val="0"/>
          <w:numId w:val="23"/>
        </w:numPr>
        <w:spacing w:before="360"/>
        <w:rPr>
          <w:lang w:val="en-CA"/>
        </w:rPr>
      </w:pPr>
      <w:r w:rsidRPr="00BE0D96">
        <w:rPr>
          <w:lang w:val="en-CA"/>
        </w:rPr>
        <w:t xml:space="preserve">An undeclared automobile </w:t>
      </w:r>
      <w:r w:rsidR="00966EEF" w:rsidRPr="00BE0D96">
        <w:rPr>
          <w:lang w:val="en-CA"/>
        </w:rPr>
        <w:t>accident.</w:t>
      </w:r>
    </w:p>
    <w:p w14:paraId="753E83B9" w14:textId="0DE1680A" w:rsidR="005A3926" w:rsidRPr="00BE0D96" w:rsidRDefault="00FA01DE" w:rsidP="005A3926">
      <w:pPr>
        <w:pStyle w:val="F02-Texte"/>
        <w:spacing w:before="360"/>
        <w:rPr>
          <w:lang w:val="en-CA"/>
        </w:rPr>
      </w:pPr>
      <w:r w:rsidRPr="00BE0D96">
        <w:rPr>
          <w:lang w:val="en-CA"/>
        </w:rPr>
        <w:t xml:space="preserve">All of the elements described above, </w:t>
      </w:r>
      <w:r w:rsidR="00E60074">
        <w:rPr>
          <w:lang w:val="en-CA"/>
        </w:rPr>
        <w:t xml:space="preserve">when </w:t>
      </w:r>
      <w:r w:rsidR="00966EEF" w:rsidRPr="00BE0D96">
        <w:rPr>
          <w:lang w:val="en-CA"/>
        </w:rPr>
        <w:t>juxtapo</w:t>
      </w:r>
      <w:r w:rsidRPr="00BE0D96">
        <w:rPr>
          <w:lang w:val="en-CA"/>
        </w:rPr>
        <w:t xml:space="preserve">sed, were sufficient for the </w:t>
      </w:r>
      <w:r w:rsidR="00966EEF" w:rsidRPr="00BE0D96">
        <w:rPr>
          <w:lang w:val="en-CA"/>
        </w:rPr>
        <w:t>Société</w:t>
      </w:r>
      <w:r w:rsidRPr="00BE0D96">
        <w:rPr>
          <w:lang w:val="en-CA"/>
        </w:rPr>
        <w:t xml:space="preserve"> to seek and</w:t>
      </w:r>
      <w:r w:rsidR="003D7F30" w:rsidRPr="00BE0D96">
        <w:rPr>
          <w:lang w:val="en-CA"/>
        </w:rPr>
        <w:t xml:space="preserve"> request </w:t>
      </w:r>
      <w:r w:rsidR="00966EEF" w:rsidRPr="00BE0D96">
        <w:rPr>
          <w:lang w:val="en-CA"/>
        </w:rPr>
        <w:t>surveillance</w:t>
      </w:r>
      <w:r w:rsidR="005D2BD4" w:rsidRPr="00BE0D96">
        <w:rPr>
          <w:lang w:val="en-CA"/>
        </w:rPr>
        <w:t xml:space="preserve"> for the purpose of identifying the true </w:t>
      </w:r>
      <w:r w:rsidR="00966EEF" w:rsidRPr="00BE0D96">
        <w:rPr>
          <w:lang w:val="en-CA"/>
        </w:rPr>
        <w:t>param</w:t>
      </w:r>
      <w:r w:rsidR="005D2BD4" w:rsidRPr="00BE0D96">
        <w:rPr>
          <w:lang w:val="en-CA"/>
        </w:rPr>
        <w:t xml:space="preserve">eters of the dispute. The </w:t>
      </w:r>
      <w:r w:rsidR="00966EEF" w:rsidRPr="00BE0D96">
        <w:rPr>
          <w:lang w:val="en-CA"/>
        </w:rPr>
        <w:t>Tribunal</w:t>
      </w:r>
      <w:r w:rsidR="005D2BD4" w:rsidRPr="00BE0D96">
        <w:rPr>
          <w:lang w:val="en-CA"/>
        </w:rPr>
        <w:t xml:space="preserve"> is of the view that</w:t>
      </w:r>
      <w:r w:rsidR="00C5670E" w:rsidRPr="00BE0D96">
        <w:rPr>
          <w:lang w:val="en-CA"/>
        </w:rPr>
        <w:t>,</w:t>
      </w:r>
      <w:r w:rsidR="005D2BD4" w:rsidRPr="00BE0D96">
        <w:rPr>
          <w:lang w:val="en-CA"/>
        </w:rPr>
        <w:t xml:space="preserve"> </w:t>
      </w:r>
      <w:r w:rsidR="00C5670E" w:rsidRPr="00BE0D96">
        <w:rPr>
          <w:lang w:val="en-CA"/>
        </w:rPr>
        <w:t xml:space="preserve">taken together, </w:t>
      </w:r>
      <w:r w:rsidR="005D2BD4" w:rsidRPr="00BE0D96">
        <w:rPr>
          <w:lang w:val="en-CA"/>
        </w:rPr>
        <w:t>there were sufficient elements to jus</w:t>
      </w:r>
      <w:r w:rsidR="00C5670E" w:rsidRPr="00BE0D96">
        <w:rPr>
          <w:lang w:val="en-CA"/>
        </w:rPr>
        <w:t>t</w:t>
      </w:r>
      <w:r w:rsidR="005D2BD4" w:rsidRPr="00BE0D96">
        <w:rPr>
          <w:lang w:val="en-CA"/>
        </w:rPr>
        <w:t xml:space="preserve">ify the </w:t>
      </w:r>
      <w:r w:rsidR="00966EEF" w:rsidRPr="00BE0D96">
        <w:rPr>
          <w:lang w:val="en-CA"/>
        </w:rPr>
        <w:t>Société</w:t>
      </w:r>
      <w:r w:rsidR="005D2BD4" w:rsidRPr="00BE0D96">
        <w:rPr>
          <w:lang w:val="en-CA"/>
        </w:rPr>
        <w:t xml:space="preserve">’s </w:t>
      </w:r>
      <w:r w:rsidR="00C5670E" w:rsidRPr="00BE0D96">
        <w:rPr>
          <w:lang w:val="en-CA"/>
        </w:rPr>
        <w:t xml:space="preserve">doubt </w:t>
      </w:r>
      <w:r w:rsidR="001675EB">
        <w:rPr>
          <w:lang w:val="en-CA"/>
        </w:rPr>
        <w:t>regarding</w:t>
      </w:r>
      <w:r w:rsidR="00C5670E" w:rsidRPr="00BE0D96">
        <w:rPr>
          <w:lang w:val="en-CA"/>
        </w:rPr>
        <w:t xml:space="preserve"> the honesty of the applicant’s conduct. That </w:t>
      </w:r>
      <w:r w:rsidR="00966EEF" w:rsidRPr="00BE0D96">
        <w:rPr>
          <w:lang w:val="en-CA"/>
        </w:rPr>
        <w:t>decision</w:t>
      </w:r>
      <w:r w:rsidR="00C5670E" w:rsidRPr="00BE0D96">
        <w:rPr>
          <w:lang w:val="en-CA"/>
        </w:rPr>
        <w:t xml:space="preserve"> was neither </w:t>
      </w:r>
      <w:r w:rsidR="00966EEF" w:rsidRPr="00BE0D96">
        <w:rPr>
          <w:lang w:val="en-CA"/>
        </w:rPr>
        <w:t>arbitra</w:t>
      </w:r>
      <w:r w:rsidR="00C5670E" w:rsidRPr="00BE0D96">
        <w:rPr>
          <w:lang w:val="en-CA"/>
        </w:rPr>
        <w:t>ry, nor applied in a haphazard manner</w:t>
      </w:r>
      <w:r w:rsidR="00966EEF" w:rsidRPr="00BE0D96">
        <w:rPr>
          <w:lang w:val="en-CA"/>
        </w:rPr>
        <w:t>.</w:t>
      </w:r>
    </w:p>
    <w:p w14:paraId="7A5058F3" w14:textId="5A8406DD" w:rsidR="005A3926" w:rsidRPr="00BE0D96" w:rsidRDefault="00764899" w:rsidP="005A3926">
      <w:pPr>
        <w:pStyle w:val="F02-Texte"/>
        <w:spacing w:before="360"/>
        <w:rPr>
          <w:lang w:val="en-CA"/>
        </w:rPr>
      </w:pPr>
      <w:r w:rsidRPr="00BE0D96">
        <w:rPr>
          <w:lang w:val="en-CA"/>
        </w:rPr>
        <w:lastRenderedPageBreak/>
        <w:t xml:space="preserve">As for the criticism that the </w:t>
      </w:r>
      <w:r w:rsidR="00966EEF" w:rsidRPr="00BE0D96">
        <w:rPr>
          <w:lang w:val="en-CA"/>
        </w:rPr>
        <w:t>Société</w:t>
      </w:r>
      <w:r w:rsidRPr="00BE0D96">
        <w:rPr>
          <w:lang w:val="en-CA"/>
        </w:rPr>
        <w:t xml:space="preserve"> used the last resort of </w:t>
      </w:r>
      <w:r w:rsidR="00966EEF" w:rsidRPr="00BE0D96">
        <w:rPr>
          <w:lang w:val="en-CA"/>
        </w:rPr>
        <w:t>surveillance</w:t>
      </w:r>
      <w:r w:rsidRPr="00BE0D96">
        <w:rPr>
          <w:lang w:val="en-CA"/>
        </w:rPr>
        <w:t xml:space="preserve"> </w:t>
      </w:r>
      <w:r w:rsidR="00187A32" w:rsidRPr="00BE0D96">
        <w:rPr>
          <w:lang w:val="en-CA"/>
        </w:rPr>
        <w:t xml:space="preserve">rather than have the applicant undergo an expert assessment, the </w:t>
      </w:r>
      <w:r w:rsidR="00966EEF" w:rsidRPr="00BE0D96">
        <w:rPr>
          <w:lang w:val="en-CA"/>
        </w:rPr>
        <w:t>Tribunal</w:t>
      </w:r>
      <w:r w:rsidR="00187A32" w:rsidRPr="00BE0D96">
        <w:rPr>
          <w:lang w:val="en-CA"/>
        </w:rPr>
        <w:t xml:space="preserve"> considers it legitimate not to have taken that approach, knowing that an </w:t>
      </w:r>
      <w:r w:rsidR="00966EEF" w:rsidRPr="00BE0D96">
        <w:rPr>
          <w:lang w:val="en-CA"/>
        </w:rPr>
        <w:t>expert</w:t>
      </w:r>
      <w:r w:rsidR="00187A32" w:rsidRPr="00BE0D96">
        <w:rPr>
          <w:lang w:val="en-CA"/>
        </w:rPr>
        <w:t xml:space="preserve"> </w:t>
      </w:r>
      <w:r w:rsidR="00966EEF" w:rsidRPr="00BE0D96">
        <w:rPr>
          <w:lang w:val="en-CA"/>
        </w:rPr>
        <w:t>assessment</w:t>
      </w:r>
      <w:r w:rsidR="00187A32" w:rsidRPr="00BE0D96">
        <w:rPr>
          <w:lang w:val="en-CA"/>
        </w:rPr>
        <w:t xml:space="preserve"> had already been conducted and that due to the persistent doubt as to the applicant’s </w:t>
      </w:r>
      <w:r w:rsidR="00966EEF" w:rsidRPr="00BE0D96">
        <w:rPr>
          <w:lang w:val="en-CA"/>
        </w:rPr>
        <w:t>credibility</w:t>
      </w:r>
      <w:r w:rsidR="00187A32" w:rsidRPr="00BE0D96">
        <w:rPr>
          <w:lang w:val="en-CA"/>
        </w:rPr>
        <w:t xml:space="preserve">, recourse to </w:t>
      </w:r>
      <w:r w:rsidR="00966EEF" w:rsidRPr="00BE0D96">
        <w:rPr>
          <w:lang w:val="en-CA"/>
        </w:rPr>
        <w:t>surveillance</w:t>
      </w:r>
      <w:r w:rsidR="00187A32" w:rsidRPr="00BE0D96">
        <w:rPr>
          <w:lang w:val="en-CA"/>
        </w:rPr>
        <w:t xml:space="preserve"> was </w:t>
      </w:r>
      <w:r w:rsidR="00966EEF" w:rsidRPr="00BE0D96">
        <w:rPr>
          <w:lang w:val="en-CA"/>
        </w:rPr>
        <w:t>justifi</w:t>
      </w:r>
      <w:r w:rsidR="00187A32" w:rsidRPr="00BE0D96">
        <w:rPr>
          <w:lang w:val="en-CA"/>
        </w:rPr>
        <w:t>ed</w:t>
      </w:r>
      <w:r w:rsidR="00966EEF" w:rsidRPr="00BE0D96">
        <w:rPr>
          <w:lang w:val="en-CA"/>
        </w:rPr>
        <w:t xml:space="preserve">. </w:t>
      </w:r>
    </w:p>
    <w:p w14:paraId="77714F25" w14:textId="034159CB" w:rsidR="005A3926" w:rsidRPr="00BE0D96" w:rsidRDefault="00414D8E" w:rsidP="005A3926">
      <w:pPr>
        <w:pStyle w:val="F02-Texte"/>
        <w:spacing w:before="360"/>
        <w:rPr>
          <w:lang w:val="en-CA"/>
        </w:rPr>
      </w:pPr>
      <w:r w:rsidRPr="00BE0D96">
        <w:rPr>
          <w:lang w:val="en-CA"/>
        </w:rPr>
        <w:t xml:space="preserve">Moreover, the </w:t>
      </w:r>
      <w:r w:rsidR="00966EEF" w:rsidRPr="00BE0D96">
        <w:rPr>
          <w:lang w:val="en-CA"/>
        </w:rPr>
        <w:t>surveillance</w:t>
      </w:r>
      <w:r w:rsidRPr="00BE0D96">
        <w:rPr>
          <w:lang w:val="en-CA"/>
        </w:rPr>
        <w:t xml:space="preserve"> that the applicant was subjected to</w:t>
      </w:r>
      <w:r w:rsidR="001B6AD5" w:rsidRPr="00BE0D96">
        <w:rPr>
          <w:lang w:val="en-CA"/>
        </w:rPr>
        <w:t xml:space="preserve"> was not carried out continuously. It was limited in time and in the places where it took place. There was no intrusion into the applicant’s intimate life and activities</w:t>
      </w:r>
      <w:r w:rsidR="00966EEF" w:rsidRPr="00BE0D96">
        <w:rPr>
          <w:lang w:val="en-CA"/>
        </w:rPr>
        <w:t xml:space="preserve">. </w:t>
      </w:r>
    </w:p>
    <w:p w14:paraId="50F63BCC" w14:textId="63AF078E" w:rsidR="005A3926" w:rsidRPr="00BE0D96" w:rsidRDefault="00777822" w:rsidP="005A3926">
      <w:pPr>
        <w:pStyle w:val="F02-Texte"/>
        <w:spacing w:before="360"/>
        <w:rPr>
          <w:lang w:val="en-CA"/>
        </w:rPr>
      </w:pPr>
      <w:r w:rsidRPr="00BE0D96">
        <w:rPr>
          <w:lang w:val="en-CA"/>
        </w:rPr>
        <w:t xml:space="preserve">The </w:t>
      </w:r>
      <w:r w:rsidR="00966EEF" w:rsidRPr="00BE0D96">
        <w:rPr>
          <w:lang w:val="en-CA"/>
        </w:rPr>
        <w:t>surveillance</w:t>
      </w:r>
      <w:r w:rsidRPr="00BE0D96">
        <w:rPr>
          <w:lang w:val="en-CA"/>
        </w:rPr>
        <w:t xml:space="preserve"> and video recordings took place while the applicant was headed to businesses,</w:t>
      </w:r>
      <w:r w:rsidR="00966EEF" w:rsidRPr="00BE0D96">
        <w:rPr>
          <w:lang w:val="en-CA"/>
        </w:rPr>
        <w:t xml:space="preserve"> </w:t>
      </w:r>
      <w:r w:rsidRPr="00BE0D96">
        <w:rPr>
          <w:lang w:val="en-CA"/>
        </w:rPr>
        <w:t>clinics, and the hospital</w:t>
      </w:r>
      <w:r w:rsidR="007D666F" w:rsidRPr="00BE0D96">
        <w:rPr>
          <w:lang w:val="en-CA"/>
        </w:rPr>
        <w:t xml:space="preserve"> open to </w:t>
      </w:r>
      <w:r w:rsidR="00DA12DE">
        <w:rPr>
          <w:lang w:val="en-CA"/>
        </w:rPr>
        <w:t>t</w:t>
      </w:r>
      <w:r w:rsidR="007D666F" w:rsidRPr="00BE0D96">
        <w:rPr>
          <w:lang w:val="en-CA"/>
        </w:rPr>
        <w:t xml:space="preserve">he public, and in rather neutral </w:t>
      </w:r>
      <w:r w:rsidR="00966EEF" w:rsidRPr="00BE0D96">
        <w:rPr>
          <w:lang w:val="en-CA"/>
        </w:rPr>
        <w:t xml:space="preserve">circumstances, </w:t>
      </w:r>
      <w:r w:rsidR="007D666F" w:rsidRPr="00BE0D96">
        <w:rPr>
          <w:lang w:val="en-CA"/>
        </w:rPr>
        <w:t>not during more personal activities or in places to which the public does not have access</w:t>
      </w:r>
      <w:r w:rsidR="00966EEF" w:rsidRPr="00BE0D96">
        <w:rPr>
          <w:lang w:val="en-CA"/>
        </w:rPr>
        <w:t xml:space="preserve">. </w:t>
      </w:r>
    </w:p>
    <w:p w14:paraId="1160D69B" w14:textId="4DAC0F5D" w:rsidR="005A3926" w:rsidRPr="00BE0D96" w:rsidRDefault="007D666F" w:rsidP="005A3926">
      <w:pPr>
        <w:pStyle w:val="F02-Texte"/>
        <w:spacing w:before="360"/>
        <w:rPr>
          <w:lang w:val="en-CA"/>
        </w:rPr>
      </w:pPr>
      <w:r w:rsidRPr="00BE0D96">
        <w:rPr>
          <w:lang w:val="en-CA"/>
        </w:rPr>
        <w:t xml:space="preserve">The </w:t>
      </w:r>
      <w:r w:rsidR="00966EEF" w:rsidRPr="00BE0D96">
        <w:rPr>
          <w:lang w:val="en-CA"/>
        </w:rPr>
        <w:t>Société</w:t>
      </w:r>
      <w:r w:rsidRPr="00BE0D96">
        <w:rPr>
          <w:lang w:val="en-CA"/>
        </w:rPr>
        <w:t>’s evidence demonstrated the analy</w:t>
      </w:r>
      <w:r w:rsidR="00725DE8" w:rsidRPr="00BE0D96">
        <w:rPr>
          <w:lang w:val="en-CA"/>
        </w:rPr>
        <w:t xml:space="preserve">sis it conducted </w:t>
      </w:r>
      <w:r w:rsidRPr="00BE0D96">
        <w:rPr>
          <w:lang w:val="en-CA"/>
        </w:rPr>
        <w:t xml:space="preserve">before deciding to investigate with </w:t>
      </w:r>
      <w:r w:rsidR="00966EEF" w:rsidRPr="00BE0D96">
        <w:rPr>
          <w:lang w:val="en-CA"/>
        </w:rPr>
        <w:t xml:space="preserve">surveillance. </w:t>
      </w:r>
      <w:r w:rsidR="00725DE8" w:rsidRPr="00BE0D96">
        <w:rPr>
          <w:lang w:val="en-CA"/>
        </w:rPr>
        <w:t>That analysis took place in several steps, by several persons having various levels of responsibility</w:t>
      </w:r>
      <w:r w:rsidR="00966EEF" w:rsidRPr="00BE0D96">
        <w:rPr>
          <w:lang w:val="en-CA"/>
        </w:rPr>
        <w:t xml:space="preserve">. </w:t>
      </w:r>
    </w:p>
    <w:p w14:paraId="4B15B573" w14:textId="4BD54527" w:rsidR="005A3926" w:rsidRPr="00BE0D96" w:rsidRDefault="00FE3B47" w:rsidP="005A3926">
      <w:pPr>
        <w:pStyle w:val="F02-Texte"/>
        <w:spacing w:before="360"/>
        <w:rPr>
          <w:lang w:val="en-CA"/>
        </w:rPr>
      </w:pPr>
      <w:r w:rsidRPr="00BE0D96">
        <w:rPr>
          <w:lang w:val="en-CA"/>
        </w:rPr>
        <w:t xml:space="preserve">The </w:t>
      </w:r>
      <w:r w:rsidR="00966EEF" w:rsidRPr="00BE0D96">
        <w:rPr>
          <w:lang w:val="en-CA"/>
        </w:rPr>
        <w:t>decision</w:t>
      </w:r>
      <w:r w:rsidRPr="00BE0D96">
        <w:rPr>
          <w:lang w:val="en-CA"/>
        </w:rPr>
        <w:t xml:space="preserve"> to place the applicant under </w:t>
      </w:r>
      <w:r w:rsidR="00966EEF" w:rsidRPr="00BE0D96">
        <w:rPr>
          <w:lang w:val="en-CA"/>
        </w:rPr>
        <w:t>surveill</w:t>
      </w:r>
      <w:r w:rsidRPr="00BE0D96">
        <w:rPr>
          <w:lang w:val="en-CA"/>
        </w:rPr>
        <w:t xml:space="preserve">ance was therefore </w:t>
      </w:r>
      <w:r w:rsidR="00966EEF" w:rsidRPr="00BE0D96">
        <w:rPr>
          <w:lang w:val="en-CA"/>
        </w:rPr>
        <w:t>reasonable</w:t>
      </w:r>
      <w:r w:rsidRPr="00BE0D96">
        <w:rPr>
          <w:lang w:val="en-CA"/>
        </w:rPr>
        <w:t>, and the means</w:t>
      </w:r>
      <w:r w:rsidR="00974E0B" w:rsidRPr="00BE0D96">
        <w:rPr>
          <w:lang w:val="en-CA"/>
        </w:rPr>
        <w:t xml:space="preserve"> and the places were as well. The </w:t>
      </w:r>
      <w:r w:rsidR="00966EEF" w:rsidRPr="00BE0D96">
        <w:rPr>
          <w:lang w:val="en-CA"/>
        </w:rPr>
        <w:t>Tribunal</w:t>
      </w:r>
      <w:r w:rsidR="00974E0B" w:rsidRPr="00BE0D96">
        <w:rPr>
          <w:lang w:val="en-CA"/>
        </w:rPr>
        <w:t xml:space="preserve"> is of the view that a meeting with the applicant or an additional </w:t>
      </w:r>
      <w:r w:rsidR="00966EEF" w:rsidRPr="00BE0D96">
        <w:rPr>
          <w:lang w:val="en-CA"/>
        </w:rPr>
        <w:t>expert</w:t>
      </w:r>
      <w:r w:rsidR="00974E0B" w:rsidRPr="00BE0D96">
        <w:rPr>
          <w:lang w:val="en-CA"/>
        </w:rPr>
        <w:t xml:space="preserve"> </w:t>
      </w:r>
      <w:r w:rsidR="00966EEF" w:rsidRPr="00BE0D96">
        <w:rPr>
          <w:lang w:val="en-CA"/>
        </w:rPr>
        <w:t>assessment</w:t>
      </w:r>
      <w:r w:rsidR="00974E0B" w:rsidRPr="00BE0D96">
        <w:rPr>
          <w:lang w:val="en-CA"/>
        </w:rPr>
        <w:t xml:space="preserve"> would not have been sufficient to resolve the elements that raised doubts</w:t>
      </w:r>
      <w:r w:rsidR="00966EEF" w:rsidRPr="00BE0D96">
        <w:rPr>
          <w:lang w:val="en-CA"/>
        </w:rPr>
        <w:t>.</w:t>
      </w:r>
    </w:p>
    <w:p w14:paraId="1ADEDF03" w14:textId="626E705C" w:rsidR="005A3926" w:rsidRPr="00BE0D96" w:rsidRDefault="00E967DA" w:rsidP="005A3926">
      <w:pPr>
        <w:pStyle w:val="F02-Texte"/>
        <w:spacing w:before="360"/>
        <w:rPr>
          <w:lang w:val="en-CA"/>
        </w:rPr>
      </w:pPr>
      <w:r w:rsidRPr="00BE0D96">
        <w:rPr>
          <w:lang w:val="en-CA"/>
        </w:rPr>
        <w:t xml:space="preserve">There is also no doubt that the </w:t>
      </w:r>
      <w:r w:rsidR="00966EEF" w:rsidRPr="00BE0D96">
        <w:rPr>
          <w:lang w:val="en-CA"/>
        </w:rPr>
        <w:t>evidence</w:t>
      </w:r>
      <w:r w:rsidRPr="00BE0D96">
        <w:rPr>
          <w:lang w:val="en-CA"/>
        </w:rPr>
        <w:t xml:space="preserve"> obtained by </w:t>
      </w:r>
      <w:r w:rsidR="00966EEF" w:rsidRPr="00BE0D96">
        <w:rPr>
          <w:lang w:val="en-CA"/>
        </w:rPr>
        <w:t>vid</w:t>
      </w:r>
      <w:r w:rsidRPr="00BE0D96">
        <w:rPr>
          <w:lang w:val="en-CA"/>
        </w:rPr>
        <w:t>e</w:t>
      </w:r>
      <w:r w:rsidR="00966EEF" w:rsidRPr="00BE0D96">
        <w:rPr>
          <w:lang w:val="en-CA"/>
        </w:rPr>
        <w:t xml:space="preserve">o </w:t>
      </w:r>
      <w:r w:rsidR="004164DA">
        <w:rPr>
          <w:lang w:val="en-CA"/>
        </w:rPr>
        <w:t>surveillance</w:t>
      </w:r>
      <w:r w:rsidR="004164DA" w:rsidRPr="00BE0D96">
        <w:rPr>
          <w:lang w:val="en-CA"/>
        </w:rPr>
        <w:t xml:space="preserve"> </w:t>
      </w:r>
      <w:r w:rsidRPr="00BE0D96">
        <w:rPr>
          <w:lang w:val="en-CA"/>
        </w:rPr>
        <w:t xml:space="preserve">is relevant to decide the </w:t>
      </w:r>
      <w:r w:rsidR="00966EEF" w:rsidRPr="00BE0D96">
        <w:rPr>
          <w:lang w:val="en-CA"/>
        </w:rPr>
        <w:t>principal</w:t>
      </w:r>
      <w:r w:rsidRPr="00BE0D96">
        <w:rPr>
          <w:lang w:val="en-CA"/>
        </w:rPr>
        <w:t xml:space="preserve"> dispute, that is, whether the applicant is entitled to</w:t>
      </w:r>
      <w:r w:rsidR="00225A36" w:rsidRPr="00BE0D96">
        <w:rPr>
          <w:lang w:val="en-CA"/>
        </w:rPr>
        <w:t xml:space="preserve"> benefits from the </w:t>
      </w:r>
      <w:r w:rsidR="00966EEF" w:rsidRPr="00BE0D96">
        <w:rPr>
          <w:lang w:val="en-CA"/>
        </w:rPr>
        <w:t>Société</w:t>
      </w:r>
      <w:r w:rsidR="00225A36" w:rsidRPr="00BE0D96">
        <w:rPr>
          <w:lang w:val="en-CA"/>
        </w:rPr>
        <w:t xml:space="preserve"> further to the automobile </w:t>
      </w:r>
      <w:r w:rsidR="00966EEF" w:rsidRPr="00BE0D96">
        <w:rPr>
          <w:lang w:val="en-CA"/>
        </w:rPr>
        <w:t xml:space="preserve">accident </w:t>
      </w:r>
      <w:r w:rsidR="00225A36" w:rsidRPr="00BE0D96">
        <w:rPr>
          <w:lang w:val="en-CA"/>
        </w:rPr>
        <w:t xml:space="preserve">that left her with </w:t>
      </w:r>
      <w:r w:rsidR="00966EEF" w:rsidRPr="00BE0D96">
        <w:rPr>
          <w:lang w:val="en-CA"/>
        </w:rPr>
        <w:t>sequelae.</w:t>
      </w:r>
    </w:p>
    <w:p w14:paraId="731E2E95" w14:textId="093FDFDE" w:rsidR="005A3926" w:rsidRPr="00BE0D96" w:rsidRDefault="004E1D45" w:rsidP="005A3926">
      <w:pPr>
        <w:pStyle w:val="F02-Texte"/>
        <w:spacing w:before="360"/>
        <w:rPr>
          <w:lang w:val="en-CA"/>
        </w:rPr>
      </w:pPr>
      <w:r w:rsidRPr="00BE0D96">
        <w:rPr>
          <w:lang w:val="en-CA"/>
        </w:rPr>
        <w:t xml:space="preserve">Of course, the panel that will be called on to decide the case on the merits will have ample opportunity to determine the </w:t>
      </w:r>
      <w:r w:rsidR="00966EEF" w:rsidRPr="00BE0D96">
        <w:rPr>
          <w:lang w:val="en-CA"/>
        </w:rPr>
        <w:t>probative</w:t>
      </w:r>
      <w:r w:rsidRPr="00BE0D96">
        <w:rPr>
          <w:lang w:val="en-CA"/>
        </w:rPr>
        <w:t xml:space="preserve"> </w:t>
      </w:r>
      <w:r w:rsidR="00966EEF" w:rsidRPr="00BE0D96">
        <w:rPr>
          <w:lang w:val="en-CA"/>
        </w:rPr>
        <w:t>value</w:t>
      </w:r>
      <w:r w:rsidRPr="00BE0D96">
        <w:rPr>
          <w:lang w:val="en-CA"/>
        </w:rPr>
        <w:t xml:space="preserve"> of the content of the </w:t>
      </w:r>
      <w:r w:rsidR="00966EEF" w:rsidRPr="00BE0D96">
        <w:rPr>
          <w:lang w:val="en-CA"/>
        </w:rPr>
        <w:t>video</w:t>
      </w:r>
      <w:r w:rsidRPr="00BE0D96">
        <w:rPr>
          <w:lang w:val="en-CA"/>
        </w:rPr>
        <w:t xml:space="preserve"> </w:t>
      </w:r>
      <w:r w:rsidR="00966EEF" w:rsidRPr="00BE0D96">
        <w:rPr>
          <w:lang w:val="en-CA"/>
        </w:rPr>
        <w:t>recording</w:t>
      </w:r>
      <w:r w:rsidRPr="00BE0D96">
        <w:rPr>
          <w:lang w:val="en-CA"/>
        </w:rPr>
        <w:t>s</w:t>
      </w:r>
      <w:r w:rsidR="00966EEF" w:rsidRPr="00BE0D96">
        <w:rPr>
          <w:lang w:val="en-CA"/>
        </w:rPr>
        <w:t>,</w:t>
      </w:r>
      <w:r w:rsidRPr="00BE0D96">
        <w:rPr>
          <w:lang w:val="en-CA"/>
        </w:rPr>
        <w:t xml:space="preserve"> </w:t>
      </w:r>
      <w:r w:rsidR="007C6E42" w:rsidRPr="00BE0D96">
        <w:rPr>
          <w:lang w:val="en-CA"/>
        </w:rPr>
        <w:t xml:space="preserve">just like </w:t>
      </w:r>
      <w:r w:rsidRPr="00BE0D96">
        <w:rPr>
          <w:lang w:val="en-CA"/>
        </w:rPr>
        <w:t xml:space="preserve">the applicant </w:t>
      </w:r>
      <w:r w:rsidR="004164DA">
        <w:rPr>
          <w:lang w:val="en-CA"/>
        </w:rPr>
        <w:t>will be able to</w:t>
      </w:r>
      <w:r w:rsidRPr="00BE0D96">
        <w:rPr>
          <w:lang w:val="en-CA"/>
        </w:rPr>
        <w:t xml:space="preserve"> contest the value</w:t>
      </w:r>
      <w:r w:rsidR="007C6E42" w:rsidRPr="00BE0D96">
        <w:rPr>
          <w:lang w:val="en-CA"/>
        </w:rPr>
        <w:t xml:space="preserve"> or weight to be ascribed to them, and she will have the opportunity to file her own </w:t>
      </w:r>
      <w:r w:rsidR="00966EEF" w:rsidRPr="00BE0D96">
        <w:rPr>
          <w:lang w:val="en-CA"/>
        </w:rPr>
        <w:t>evidence</w:t>
      </w:r>
      <w:r w:rsidR="007C6E42" w:rsidRPr="00BE0D96">
        <w:rPr>
          <w:lang w:val="en-CA"/>
        </w:rPr>
        <w:t xml:space="preserve"> to contradict the content of those recordings</w:t>
      </w:r>
      <w:r w:rsidR="00966EEF" w:rsidRPr="00BE0D96">
        <w:rPr>
          <w:lang w:val="en-CA"/>
        </w:rPr>
        <w:t>.</w:t>
      </w:r>
    </w:p>
    <w:p w14:paraId="67EE08AE" w14:textId="1AACE21A" w:rsidR="005A3926" w:rsidRPr="00BE0D96" w:rsidRDefault="0098476E" w:rsidP="005A3926">
      <w:pPr>
        <w:pStyle w:val="F02-Texte"/>
        <w:spacing w:before="360"/>
        <w:rPr>
          <w:lang w:val="en-CA"/>
        </w:rPr>
      </w:pPr>
      <w:r w:rsidRPr="00BE0D96">
        <w:rPr>
          <w:lang w:val="en-CA"/>
        </w:rPr>
        <w:t xml:space="preserve">The </w:t>
      </w:r>
      <w:r w:rsidR="00966EEF" w:rsidRPr="00BE0D96">
        <w:rPr>
          <w:lang w:val="en-CA"/>
        </w:rPr>
        <w:t>Tribunal</w:t>
      </w:r>
      <w:r w:rsidRPr="00BE0D96">
        <w:rPr>
          <w:lang w:val="en-CA"/>
        </w:rPr>
        <w:t xml:space="preserve"> finds that the manner of proceeding in this case </w:t>
      </w:r>
      <w:r w:rsidR="00BE0D96" w:rsidRPr="00BE0D96">
        <w:rPr>
          <w:lang w:val="en-CA"/>
        </w:rPr>
        <w:t>satisfies</w:t>
      </w:r>
      <w:r w:rsidRPr="00BE0D96">
        <w:rPr>
          <w:lang w:val="en-CA"/>
        </w:rPr>
        <w:t xml:space="preserve"> the </w:t>
      </w:r>
      <w:r w:rsidR="00966EEF" w:rsidRPr="00BE0D96">
        <w:rPr>
          <w:lang w:val="en-CA"/>
        </w:rPr>
        <w:t xml:space="preserve">conditions </w:t>
      </w:r>
      <w:r w:rsidRPr="00BE0D96">
        <w:rPr>
          <w:lang w:val="en-CA"/>
        </w:rPr>
        <w:t xml:space="preserve">established by the Court of Appeal in </w:t>
      </w:r>
      <w:r w:rsidR="00966EEF" w:rsidRPr="00BE0D96">
        <w:rPr>
          <w:i/>
          <w:lang w:val="en-CA"/>
        </w:rPr>
        <w:t>Bridgestone</w:t>
      </w:r>
      <w:r w:rsidRPr="00BE0D96">
        <w:rPr>
          <w:lang w:val="en-CA"/>
        </w:rPr>
        <w:t xml:space="preserve">. The Société had rational grounds for requesting </w:t>
      </w:r>
      <w:r w:rsidR="00966EEF" w:rsidRPr="00BE0D96">
        <w:rPr>
          <w:lang w:val="en-CA"/>
        </w:rPr>
        <w:t>surveillance</w:t>
      </w:r>
      <w:r w:rsidRPr="00BE0D96">
        <w:rPr>
          <w:lang w:val="en-CA"/>
        </w:rPr>
        <w:t>, and the surveillance was carried out in the least intrusive manner p</w:t>
      </w:r>
      <w:r w:rsidR="00966EEF" w:rsidRPr="00BE0D96">
        <w:rPr>
          <w:lang w:val="en-CA"/>
        </w:rPr>
        <w:t>ossible.</w:t>
      </w:r>
    </w:p>
    <w:p w14:paraId="31CFF379" w14:textId="5F5C417F" w:rsidR="005A3926" w:rsidRPr="00BE0D96" w:rsidRDefault="0098476E" w:rsidP="005A3926">
      <w:pPr>
        <w:pStyle w:val="F02-Texte"/>
        <w:spacing w:before="360"/>
        <w:rPr>
          <w:lang w:val="en-CA"/>
        </w:rPr>
      </w:pPr>
      <w:r w:rsidRPr="00BE0D96">
        <w:rPr>
          <w:lang w:val="en-CA"/>
        </w:rPr>
        <w:lastRenderedPageBreak/>
        <w:t xml:space="preserve">To conclude, the </w:t>
      </w:r>
      <w:r w:rsidR="00966EEF" w:rsidRPr="00BE0D96">
        <w:rPr>
          <w:lang w:val="en-CA"/>
        </w:rPr>
        <w:t>Tribunal</w:t>
      </w:r>
      <w:r w:rsidRPr="00BE0D96">
        <w:rPr>
          <w:lang w:val="en-CA"/>
        </w:rPr>
        <w:t xml:space="preserve"> adopts the remarks of </w:t>
      </w:r>
      <w:r w:rsidR="00966EEF" w:rsidRPr="00BE0D96">
        <w:rPr>
          <w:lang w:val="en-CA"/>
        </w:rPr>
        <w:t>Barbe</w:t>
      </w:r>
      <w:r w:rsidRPr="00BE0D96">
        <w:rPr>
          <w:lang w:val="en-CA"/>
        </w:rPr>
        <w:t xml:space="preserve">, J. in </w:t>
      </w:r>
      <w:r w:rsidR="00966EEF" w:rsidRPr="00BE0D96">
        <w:rPr>
          <w:i/>
          <w:lang w:val="en-CA"/>
        </w:rPr>
        <w:t>Lefort</w:t>
      </w:r>
      <w:r w:rsidR="00966EEF" w:rsidRPr="00BE0D96">
        <w:rPr>
          <w:lang w:val="en-CA"/>
        </w:rPr>
        <w:t>:</w:t>
      </w:r>
    </w:p>
    <w:p w14:paraId="5CF068CB" w14:textId="19C7B4F3" w:rsidR="00167C03" w:rsidRPr="00BE0D96" w:rsidRDefault="00167C03" w:rsidP="005A3926">
      <w:pPr>
        <w:pStyle w:val="F02-Texte"/>
        <w:numPr>
          <w:ilvl w:val="0"/>
          <w:numId w:val="0"/>
        </w:numPr>
        <w:spacing w:before="360"/>
        <w:ind w:left="709"/>
        <w:rPr>
          <w:lang w:val="en-CA"/>
        </w:rPr>
      </w:pPr>
      <w:r w:rsidRPr="00BE0D96">
        <w:rPr>
          <w:smallCaps/>
          <w:lang w:val="en-CA"/>
        </w:rPr>
        <w:t>[translation</w:t>
      </w:r>
      <w:r w:rsidRPr="00BE0D96">
        <w:rPr>
          <w:lang w:val="en-CA"/>
        </w:rPr>
        <w:t>]</w:t>
      </w:r>
    </w:p>
    <w:p w14:paraId="11BC30E4" w14:textId="767F2FD7" w:rsidR="005A3926" w:rsidRPr="00BE0D96" w:rsidRDefault="00167C03" w:rsidP="005A3926">
      <w:pPr>
        <w:pStyle w:val="F02-Texte"/>
        <w:numPr>
          <w:ilvl w:val="0"/>
          <w:numId w:val="0"/>
        </w:numPr>
        <w:spacing w:before="360"/>
        <w:ind w:left="709"/>
        <w:rPr>
          <w:lang w:val="en-CA"/>
        </w:rPr>
      </w:pPr>
      <w:r w:rsidRPr="00BE0D96">
        <w:rPr>
          <w:lang w:val="en-CA"/>
        </w:rPr>
        <w:t xml:space="preserve">In this case, the </w:t>
      </w:r>
      <w:r w:rsidR="00966EEF" w:rsidRPr="00BE0D96">
        <w:rPr>
          <w:lang w:val="en-CA"/>
        </w:rPr>
        <w:t>Court</w:t>
      </w:r>
      <w:r w:rsidRPr="00BE0D96">
        <w:rPr>
          <w:lang w:val="en-CA"/>
        </w:rPr>
        <w:t xml:space="preserve"> is of the view that a </w:t>
      </w:r>
      <w:r w:rsidR="00966EEF" w:rsidRPr="00BE0D96">
        <w:rPr>
          <w:lang w:val="en-CA"/>
        </w:rPr>
        <w:t>reasonable</w:t>
      </w:r>
      <w:r w:rsidRPr="00BE0D96">
        <w:rPr>
          <w:lang w:val="en-CA"/>
        </w:rPr>
        <w:t xml:space="preserve"> </w:t>
      </w:r>
      <w:r w:rsidR="00966EEF" w:rsidRPr="00BE0D96">
        <w:rPr>
          <w:lang w:val="en-CA"/>
        </w:rPr>
        <w:t>person,</w:t>
      </w:r>
      <w:r w:rsidRPr="00BE0D96">
        <w:rPr>
          <w:lang w:val="en-CA"/>
        </w:rPr>
        <w:t xml:space="preserve"> who is </w:t>
      </w:r>
      <w:r w:rsidR="00966EEF" w:rsidRPr="00BE0D96">
        <w:rPr>
          <w:lang w:val="en-CA"/>
        </w:rPr>
        <w:t>objective</w:t>
      </w:r>
      <w:r w:rsidRPr="00BE0D96">
        <w:rPr>
          <w:lang w:val="en-CA"/>
        </w:rPr>
        <w:t xml:space="preserve"> and well informed of all the </w:t>
      </w:r>
      <w:r w:rsidR="00966EEF" w:rsidRPr="00BE0D96">
        <w:rPr>
          <w:lang w:val="en-CA"/>
        </w:rPr>
        <w:t>circumstances</w:t>
      </w:r>
      <w:r w:rsidRPr="00BE0D96">
        <w:rPr>
          <w:lang w:val="en-CA"/>
        </w:rPr>
        <w:t xml:space="preserve"> of th</w:t>
      </w:r>
      <w:r w:rsidR="00283E6F" w:rsidRPr="00BE0D96">
        <w:rPr>
          <w:lang w:val="en-CA"/>
        </w:rPr>
        <w:t>e</w:t>
      </w:r>
      <w:r w:rsidRPr="00BE0D96">
        <w:rPr>
          <w:lang w:val="en-CA"/>
        </w:rPr>
        <w:t xml:space="preserve"> matter would find that the </w:t>
      </w:r>
      <w:r w:rsidR="00966EEF" w:rsidRPr="00BE0D96">
        <w:rPr>
          <w:lang w:val="en-CA"/>
        </w:rPr>
        <w:t xml:space="preserve">administration </w:t>
      </w:r>
      <w:r w:rsidRPr="00BE0D96">
        <w:rPr>
          <w:lang w:val="en-CA"/>
        </w:rPr>
        <w:t xml:space="preserve">of </w:t>
      </w:r>
      <w:r w:rsidR="00966EEF" w:rsidRPr="00BE0D96">
        <w:rPr>
          <w:lang w:val="en-CA"/>
        </w:rPr>
        <w:t xml:space="preserve">justice </w:t>
      </w:r>
      <w:r w:rsidRPr="00BE0D96">
        <w:rPr>
          <w:lang w:val="en-CA"/>
        </w:rPr>
        <w:t xml:space="preserve">would be brought into </w:t>
      </w:r>
      <w:r w:rsidR="004164DA">
        <w:rPr>
          <w:lang w:val="en-CA"/>
        </w:rPr>
        <w:t xml:space="preserve">greater </w:t>
      </w:r>
      <w:r w:rsidRPr="00BE0D96">
        <w:rPr>
          <w:lang w:val="en-CA"/>
        </w:rPr>
        <w:t xml:space="preserve">disrepute if </w:t>
      </w:r>
      <w:r w:rsidR="00283E6F" w:rsidRPr="00BE0D96">
        <w:rPr>
          <w:lang w:val="en-CA"/>
        </w:rPr>
        <w:t xml:space="preserve">the Court found that the </w:t>
      </w:r>
      <w:r w:rsidR="00966EEF" w:rsidRPr="00BE0D96">
        <w:rPr>
          <w:lang w:val="en-CA"/>
        </w:rPr>
        <w:t>defendant</w:t>
      </w:r>
      <w:r w:rsidR="00283E6F" w:rsidRPr="00BE0D96">
        <w:rPr>
          <w:lang w:val="en-CA"/>
        </w:rPr>
        <w:t xml:space="preserve"> could not use this </w:t>
      </w:r>
      <w:r w:rsidR="00966EEF" w:rsidRPr="00BE0D96">
        <w:rPr>
          <w:lang w:val="en-CA"/>
        </w:rPr>
        <w:t>vid</w:t>
      </w:r>
      <w:r w:rsidR="00283E6F" w:rsidRPr="00BE0D96">
        <w:rPr>
          <w:lang w:val="en-CA"/>
        </w:rPr>
        <w:t>e</w:t>
      </w:r>
      <w:r w:rsidR="00966EEF" w:rsidRPr="00BE0D96">
        <w:rPr>
          <w:lang w:val="en-CA"/>
        </w:rPr>
        <w:t>o cassette</w:t>
      </w:r>
      <w:r w:rsidR="00283E6F" w:rsidRPr="00BE0D96">
        <w:rPr>
          <w:lang w:val="en-CA"/>
        </w:rPr>
        <w:t xml:space="preserve"> evidence, as compared with the inconvenience caused by its use in the truth-seeking process. In the </w:t>
      </w:r>
      <w:r w:rsidR="00966EEF" w:rsidRPr="00BE0D96">
        <w:rPr>
          <w:lang w:val="en-CA"/>
        </w:rPr>
        <w:t>circumstances,</w:t>
      </w:r>
      <w:r w:rsidR="00283E6F" w:rsidRPr="00BE0D96">
        <w:rPr>
          <w:lang w:val="en-CA"/>
        </w:rPr>
        <w:t xml:space="preserve"> the </w:t>
      </w:r>
      <w:r w:rsidR="00966EEF" w:rsidRPr="00BE0D96">
        <w:rPr>
          <w:lang w:val="en-CA"/>
        </w:rPr>
        <w:t>Court, exer</w:t>
      </w:r>
      <w:r w:rsidR="00283E6F" w:rsidRPr="00BE0D96">
        <w:rPr>
          <w:lang w:val="en-CA"/>
        </w:rPr>
        <w:t xml:space="preserve">cising its discretion, dismisses the plaintiff’s </w:t>
      </w:r>
      <w:r w:rsidR="00966EEF" w:rsidRPr="00BE0D96">
        <w:rPr>
          <w:lang w:val="en-CA"/>
        </w:rPr>
        <w:t xml:space="preserve">objection </w:t>
      </w:r>
      <w:r w:rsidR="00283E6F" w:rsidRPr="00BE0D96">
        <w:rPr>
          <w:lang w:val="en-CA"/>
        </w:rPr>
        <w:t xml:space="preserve">and authorizes the video </w:t>
      </w:r>
      <w:r w:rsidR="00966EEF" w:rsidRPr="00BE0D96">
        <w:rPr>
          <w:lang w:val="en-CA"/>
        </w:rPr>
        <w:t>evidence</w:t>
      </w:r>
      <w:r w:rsidR="00283E6F" w:rsidRPr="00BE0D96">
        <w:rPr>
          <w:lang w:val="en-CA"/>
        </w:rPr>
        <w:t>, for the sole purpose of seeking the truth</w:t>
      </w:r>
      <w:r w:rsidR="00966EEF" w:rsidRPr="00BE0D96">
        <w:rPr>
          <w:lang w:val="en-CA"/>
        </w:rPr>
        <w:t>.</w:t>
      </w:r>
    </w:p>
    <w:p w14:paraId="7BAC5CB0" w14:textId="2E4C9166" w:rsidR="005A3926" w:rsidRPr="00BE0D96" w:rsidRDefault="003A48C0" w:rsidP="005A3926">
      <w:pPr>
        <w:pStyle w:val="F02-Texte"/>
        <w:spacing w:before="360"/>
        <w:rPr>
          <w:lang w:val="en-CA"/>
        </w:rPr>
      </w:pPr>
      <w:r w:rsidRPr="00BE0D96">
        <w:rPr>
          <w:lang w:val="en-CA"/>
        </w:rPr>
        <w:t xml:space="preserve">Finally, the </w:t>
      </w:r>
      <w:r w:rsidR="00966EEF" w:rsidRPr="00BE0D96">
        <w:rPr>
          <w:lang w:val="en-CA"/>
        </w:rPr>
        <w:t>case</w:t>
      </w:r>
      <w:r w:rsidRPr="00BE0D96">
        <w:rPr>
          <w:lang w:val="en-CA"/>
        </w:rPr>
        <w:t xml:space="preserve"> </w:t>
      </w:r>
      <w:r w:rsidR="00966EEF" w:rsidRPr="00BE0D96">
        <w:rPr>
          <w:lang w:val="en-CA"/>
        </w:rPr>
        <w:t>law</w:t>
      </w:r>
      <w:r w:rsidRPr="00BE0D96">
        <w:rPr>
          <w:lang w:val="en-CA"/>
        </w:rPr>
        <w:t xml:space="preserve"> is consistent with respect to the rules o</w:t>
      </w:r>
      <w:r w:rsidR="009958B1" w:rsidRPr="00BE0D96">
        <w:rPr>
          <w:lang w:val="en-CA"/>
        </w:rPr>
        <w:t xml:space="preserve">n the admissibility of </w:t>
      </w:r>
      <w:r w:rsidR="00966EEF" w:rsidRPr="00BE0D96">
        <w:rPr>
          <w:lang w:val="en-CA"/>
        </w:rPr>
        <w:t>evidence</w:t>
      </w:r>
      <w:r w:rsidR="009958B1" w:rsidRPr="00BE0D96">
        <w:rPr>
          <w:lang w:val="en-CA"/>
        </w:rPr>
        <w:t xml:space="preserve">, which must be applied in a more flexible manner before the </w:t>
      </w:r>
      <w:r w:rsidR="00966EEF" w:rsidRPr="00BE0D96">
        <w:rPr>
          <w:lang w:val="en-CA"/>
        </w:rPr>
        <w:t>Tribunal</w:t>
      </w:r>
      <w:r w:rsidR="009958B1" w:rsidRPr="00BE0D96">
        <w:rPr>
          <w:lang w:val="en-CA"/>
        </w:rPr>
        <w:t xml:space="preserve"> than before the courts of ju</w:t>
      </w:r>
      <w:r w:rsidR="001675EB">
        <w:rPr>
          <w:lang w:val="en-CA"/>
        </w:rPr>
        <w:t>st</w:t>
      </w:r>
      <w:r w:rsidR="009958B1" w:rsidRPr="00BE0D96">
        <w:rPr>
          <w:lang w:val="en-CA"/>
        </w:rPr>
        <w:t>ice. The purpose of this flexibility is, above all, to foster the effective and pragmatic search for truth</w:t>
      </w:r>
      <w:r w:rsidR="00966EEF" w:rsidRPr="00BE0D96">
        <w:rPr>
          <w:lang w:val="en-CA"/>
        </w:rPr>
        <w:t xml:space="preserve">. </w:t>
      </w:r>
    </w:p>
    <w:p w14:paraId="1E6CBF2E" w14:textId="05BF28C2" w:rsidR="005A3926" w:rsidRPr="00BE0D96" w:rsidRDefault="00BF3F16" w:rsidP="005A3926">
      <w:pPr>
        <w:pStyle w:val="F02-Texte"/>
        <w:numPr>
          <w:ilvl w:val="0"/>
          <w:numId w:val="0"/>
        </w:numPr>
        <w:spacing w:before="360"/>
        <w:rPr>
          <w:lang w:val="en-CA"/>
        </w:rPr>
      </w:pPr>
      <w:r w:rsidRPr="00BE0D96">
        <w:rPr>
          <w:b/>
          <w:lang w:val="en-CA"/>
        </w:rPr>
        <w:t>FOR THESE REASONS, THE TRIBUNAL:</w:t>
      </w:r>
    </w:p>
    <w:p w14:paraId="4CEF0946" w14:textId="3332EFE6" w:rsidR="005A3926" w:rsidRPr="00BE0D96" w:rsidRDefault="00BF3F16" w:rsidP="005A3926">
      <w:pPr>
        <w:pStyle w:val="F02-Texte"/>
        <w:numPr>
          <w:ilvl w:val="0"/>
          <w:numId w:val="0"/>
        </w:numPr>
        <w:spacing w:before="360"/>
        <w:rPr>
          <w:lang w:val="en-CA"/>
        </w:rPr>
      </w:pPr>
      <w:r w:rsidRPr="00BE0D96">
        <w:rPr>
          <w:b/>
          <w:lang w:val="en-CA"/>
        </w:rPr>
        <w:t>DISMISSES</w:t>
      </w:r>
      <w:r w:rsidRPr="00BE0D96">
        <w:rPr>
          <w:lang w:val="en-CA"/>
        </w:rPr>
        <w:t xml:space="preserve"> the applicant’s motion to dismiss and to reject evidence;</w:t>
      </w:r>
    </w:p>
    <w:p w14:paraId="094399CD" w14:textId="15E7C720" w:rsidR="005A3926" w:rsidRPr="00BE0D96" w:rsidRDefault="00966EEF" w:rsidP="005A3926">
      <w:pPr>
        <w:pStyle w:val="F02-Texte"/>
        <w:numPr>
          <w:ilvl w:val="0"/>
          <w:numId w:val="0"/>
        </w:numPr>
        <w:spacing w:before="360"/>
        <w:rPr>
          <w:lang w:val="en-CA"/>
        </w:rPr>
      </w:pPr>
      <w:r w:rsidRPr="00BE0D96">
        <w:rPr>
          <w:b/>
          <w:lang w:val="en-CA"/>
        </w:rPr>
        <w:t>D</w:t>
      </w:r>
      <w:r w:rsidR="009958B1" w:rsidRPr="00BE0D96">
        <w:rPr>
          <w:b/>
          <w:lang w:val="en-CA"/>
        </w:rPr>
        <w:t>E</w:t>
      </w:r>
      <w:r w:rsidRPr="00BE0D96">
        <w:rPr>
          <w:b/>
          <w:lang w:val="en-CA"/>
        </w:rPr>
        <w:t>CLARE</w:t>
      </w:r>
      <w:r w:rsidR="009958B1" w:rsidRPr="00BE0D96">
        <w:rPr>
          <w:b/>
          <w:lang w:val="en-CA"/>
        </w:rPr>
        <w:t>S</w:t>
      </w:r>
      <w:r w:rsidRPr="00BE0D96">
        <w:rPr>
          <w:lang w:val="en-CA"/>
        </w:rPr>
        <w:t xml:space="preserve"> </w:t>
      </w:r>
      <w:r w:rsidR="00C669E1" w:rsidRPr="00BE0D96">
        <w:rPr>
          <w:lang w:val="en-CA"/>
        </w:rPr>
        <w:t>the investigation report, its schedules and additional investigation details as well as the video and audio recordings admissible</w:t>
      </w:r>
      <w:r w:rsidRPr="00BE0D96">
        <w:rPr>
          <w:lang w:val="en-CA"/>
        </w:rPr>
        <w:t xml:space="preserve">; </w:t>
      </w:r>
      <w:r w:rsidR="00BF3F16" w:rsidRPr="00BE0D96">
        <w:rPr>
          <w:lang w:val="en-CA"/>
        </w:rPr>
        <w:t>and</w:t>
      </w:r>
    </w:p>
    <w:p w14:paraId="016FF903" w14:textId="2AF48368" w:rsidR="005A3926" w:rsidRPr="00BE0D96" w:rsidRDefault="00BF3F16" w:rsidP="005A3926">
      <w:pPr>
        <w:pStyle w:val="F02-Texte"/>
        <w:numPr>
          <w:ilvl w:val="0"/>
          <w:numId w:val="0"/>
        </w:numPr>
        <w:spacing w:before="360"/>
        <w:rPr>
          <w:lang w:val="en-CA"/>
        </w:rPr>
      </w:pPr>
      <w:r w:rsidRPr="00BE0D96">
        <w:rPr>
          <w:b/>
          <w:lang w:val="en-CA"/>
        </w:rPr>
        <w:t>REFERS</w:t>
      </w:r>
      <w:r w:rsidRPr="00BE0D96">
        <w:rPr>
          <w:lang w:val="en-CA"/>
        </w:rPr>
        <w:t xml:space="preserve"> the file back to the secretariat of the Tribunal so that the parties may be convened to a new hearing.</w:t>
      </w:r>
    </w:p>
    <w:p w14:paraId="3FB089A8" w14:textId="77777777" w:rsidR="005A3926" w:rsidRPr="00BE0D96" w:rsidRDefault="005A3926" w:rsidP="005A3926">
      <w:pPr>
        <w:pStyle w:val="F02-Texte"/>
        <w:numPr>
          <w:ilvl w:val="0"/>
          <w:numId w:val="0"/>
        </w:numPr>
        <w:rPr>
          <w:lang w:val="en-CA"/>
        </w:rPr>
      </w:pPr>
    </w:p>
    <w:p w14:paraId="729DDA41" w14:textId="77777777" w:rsidR="005A3926" w:rsidRPr="00BE0D96" w:rsidRDefault="005A3926" w:rsidP="005A3926">
      <w:pPr>
        <w:pStyle w:val="F02-Texte"/>
        <w:numPr>
          <w:ilvl w:val="0"/>
          <w:numId w:val="0"/>
        </w:numPr>
        <w:rPr>
          <w:lang w:val="en-CA"/>
        </w:rPr>
        <w:sectPr w:rsidR="005A3926" w:rsidRPr="00BE0D96" w:rsidSect="005A3926">
          <w:type w:val="continuous"/>
          <w:pgSz w:w="12240" w:h="15840"/>
          <w:pgMar w:top="2792" w:right="1080" w:bottom="2016" w:left="1440" w:header="1699" w:footer="720" w:gutter="0"/>
          <w:cols w:space="720"/>
          <w:formProt w:val="0"/>
        </w:sectPr>
      </w:pPr>
    </w:p>
    <w:p w14:paraId="2CCAEE52" w14:textId="77777777" w:rsidR="005A3926" w:rsidRPr="00BE0D96" w:rsidRDefault="005A3926" w:rsidP="005A3926">
      <w:pPr>
        <w:pStyle w:val="13aSignature-ligne"/>
        <w:rPr>
          <w:lang w:val="en-CA"/>
        </w:rPr>
      </w:pPr>
      <w:bookmarkStart w:id="16" w:name="Signatures"/>
      <w:bookmarkEnd w:id="16"/>
    </w:p>
    <w:tbl>
      <w:tblPr>
        <w:tblW w:w="10426" w:type="dxa"/>
        <w:tblLayout w:type="fixed"/>
        <w:tblCellMar>
          <w:left w:w="72" w:type="dxa"/>
          <w:right w:w="72" w:type="dxa"/>
        </w:tblCellMar>
        <w:tblLook w:val="0000" w:firstRow="0" w:lastRow="0" w:firstColumn="0" w:lastColumn="0" w:noHBand="0" w:noVBand="0"/>
      </w:tblPr>
      <w:tblGrid>
        <w:gridCol w:w="3946"/>
        <w:gridCol w:w="6480"/>
      </w:tblGrid>
      <w:tr w:rsidR="005A0DA6" w:rsidRPr="00BE0D96" w14:paraId="63125884" w14:textId="77777777" w:rsidTr="005A3926">
        <w:tc>
          <w:tcPr>
            <w:tcW w:w="3946" w:type="dxa"/>
            <w:shd w:val="clear" w:color="auto" w:fill="auto"/>
          </w:tcPr>
          <w:p w14:paraId="00257943" w14:textId="77777777" w:rsidR="005A3926" w:rsidRPr="00BE0D96" w:rsidRDefault="005A3926" w:rsidP="005A3926">
            <w:pPr>
              <w:pStyle w:val="00NormalDecision"/>
              <w:rPr>
                <w:lang w:val="en-CA"/>
              </w:rPr>
            </w:pPr>
          </w:p>
        </w:tc>
        <w:tc>
          <w:tcPr>
            <w:tcW w:w="6480" w:type="dxa"/>
            <w:shd w:val="clear" w:color="auto" w:fill="auto"/>
          </w:tcPr>
          <w:p w14:paraId="38A9BF08" w14:textId="363B647D" w:rsidR="005A3926" w:rsidRPr="00EB6537" w:rsidRDefault="00BF3F16" w:rsidP="005A3926">
            <w:pPr>
              <w:pStyle w:val="13bSignatureTableau"/>
              <w:rPr>
                <w:lang w:val="fr-CA"/>
              </w:rPr>
            </w:pPr>
            <w:r w:rsidRPr="00EB6537">
              <w:rPr>
                <w:lang w:val="fr-CA"/>
              </w:rPr>
              <w:t>STÉPHANIE BOULIANNE, a.j.t.a.q.</w:t>
            </w:r>
          </w:p>
        </w:tc>
      </w:tr>
    </w:tbl>
    <w:p w14:paraId="51DABA89" w14:textId="77777777" w:rsidR="005A3926" w:rsidRPr="00EB6537" w:rsidRDefault="005A3926" w:rsidP="005A3926">
      <w:pPr>
        <w:pStyle w:val="00NormalDecision"/>
        <w:rPr>
          <w:lang w:val="fr-CA"/>
        </w:rPr>
        <w:sectPr w:rsidR="005A3926" w:rsidRPr="00EB6537" w:rsidSect="005A3926">
          <w:type w:val="continuous"/>
          <w:pgSz w:w="12240" w:h="15840"/>
          <w:pgMar w:top="2792" w:right="1080" w:bottom="2016" w:left="1440" w:header="1699" w:footer="720" w:gutter="0"/>
          <w:cols w:space="720"/>
        </w:sectPr>
      </w:pPr>
    </w:p>
    <w:p w14:paraId="4F32F9E7" w14:textId="77777777" w:rsidR="005A3926" w:rsidRPr="00EB6537" w:rsidRDefault="005A3926" w:rsidP="005A3926">
      <w:pPr>
        <w:pStyle w:val="00NormalDecision"/>
        <w:rPr>
          <w:lang w:val="fr-CA"/>
        </w:rPr>
      </w:pPr>
    </w:p>
    <w:p w14:paraId="71A9EE7A" w14:textId="77777777" w:rsidR="005A3926" w:rsidRPr="00EB6537" w:rsidRDefault="00966EEF" w:rsidP="005A3926">
      <w:pPr>
        <w:pStyle w:val="00NormalDecision"/>
        <w:rPr>
          <w:lang w:val="fr-CA"/>
        </w:rPr>
      </w:pPr>
      <w:r w:rsidRPr="00EB6537">
        <w:rPr>
          <w:lang w:val="fr-CA"/>
        </w:rPr>
        <w:t>Le Cabinet M</w:t>
      </w:r>
    </w:p>
    <w:p w14:paraId="1F2EBD2D" w14:textId="310BD280" w:rsidR="005A3926" w:rsidRPr="00EB6537" w:rsidRDefault="00966EEF" w:rsidP="005A3926">
      <w:pPr>
        <w:pStyle w:val="00NormalDecision"/>
        <w:rPr>
          <w:lang w:val="fr-CA"/>
        </w:rPr>
      </w:pPr>
      <w:r w:rsidRPr="00EB6537">
        <w:rPr>
          <w:lang w:val="fr-CA"/>
        </w:rPr>
        <w:t>Mtre Sarah-Jeanne Dubé-Mercure</w:t>
      </w:r>
    </w:p>
    <w:p w14:paraId="5F1C2EC1" w14:textId="150BB09D" w:rsidR="005A3926" w:rsidRPr="00BE0D96" w:rsidRDefault="00BF3F16" w:rsidP="005A3926">
      <w:pPr>
        <w:pStyle w:val="00NormalDecision"/>
        <w:rPr>
          <w:lang w:val="en-CA"/>
        </w:rPr>
      </w:pPr>
      <w:r w:rsidRPr="00BE0D96">
        <w:rPr>
          <w:lang w:val="en-CA"/>
        </w:rPr>
        <w:lastRenderedPageBreak/>
        <w:t>Counsel for the applicant</w:t>
      </w:r>
    </w:p>
    <w:p w14:paraId="573A7FEC" w14:textId="77777777" w:rsidR="005A3926" w:rsidRPr="00BE0D96" w:rsidRDefault="005A3926" w:rsidP="005A3926">
      <w:pPr>
        <w:pStyle w:val="00NormalDecision"/>
        <w:rPr>
          <w:lang w:val="en-CA"/>
        </w:rPr>
      </w:pPr>
    </w:p>
    <w:p w14:paraId="7A4A6A74" w14:textId="77777777" w:rsidR="005A3926" w:rsidRPr="00BE0D96" w:rsidRDefault="00966EEF" w:rsidP="005A3926">
      <w:pPr>
        <w:pStyle w:val="00NormalDecision"/>
        <w:rPr>
          <w:lang w:val="en-CA"/>
        </w:rPr>
      </w:pPr>
      <w:r w:rsidRPr="00BE0D96">
        <w:rPr>
          <w:lang w:val="en-CA"/>
        </w:rPr>
        <w:t>Boisvert, Gauthier</w:t>
      </w:r>
    </w:p>
    <w:p w14:paraId="13E2EFA9" w14:textId="700965EB" w:rsidR="005A3926" w:rsidRPr="00BE0D96" w:rsidRDefault="00BF3F16" w:rsidP="005A3926">
      <w:pPr>
        <w:pStyle w:val="00NormalDecision"/>
        <w:rPr>
          <w:lang w:val="en-CA"/>
        </w:rPr>
      </w:pPr>
      <w:r w:rsidRPr="00BE0D96">
        <w:rPr>
          <w:lang w:val="en-CA"/>
        </w:rPr>
        <w:t>Mtre Gizèlia Pacheco</w:t>
      </w:r>
    </w:p>
    <w:p w14:paraId="0410E244" w14:textId="17A2B329" w:rsidR="005A3926" w:rsidRPr="00BE0D96" w:rsidRDefault="00BF3F16" w:rsidP="005A3926">
      <w:pPr>
        <w:pStyle w:val="00NormalDecision"/>
        <w:rPr>
          <w:lang w:val="en-CA"/>
        </w:rPr>
      </w:pPr>
      <w:r w:rsidRPr="00BE0D96">
        <w:rPr>
          <w:lang w:val="en-CA"/>
        </w:rPr>
        <w:t>Counsel for the respondent</w:t>
      </w:r>
    </w:p>
    <w:p w14:paraId="16C50334" w14:textId="77777777" w:rsidR="005A3926" w:rsidRPr="00BE0D96" w:rsidRDefault="005A3926" w:rsidP="005A3926">
      <w:pPr>
        <w:pStyle w:val="00NormalDecision"/>
        <w:rPr>
          <w:lang w:val="en-CA"/>
        </w:rPr>
        <w:sectPr w:rsidR="005A3926" w:rsidRPr="00BE0D96" w:rsidSect="005A3926">
          <w:type w:val="continuous"/>
          <w:pgSz w:w="12240" w:h="15840"/>
          <w:pgMar w:top="2792" w:right="1080" w:bottom="2016" w:left="1440" w:header="1699" w:footer="720" w:gutter="0"/>
          <w:cols w:space="720"/>
        </w:sectPr>
      </w:pPr>
    </w:p>
    <w:p w14:paraId="1F1893B8" w14:textId="77777777" w:rsidR="005A3926" w:rsidRPr="00BE0D96" w:rsidRDefault="005A3926" w:rsidP="005A3926">
      <w:pPr>
        <w:pStyle w:val="00NormalDecision"/>
        <w:rPr>
          <w:lang w:val="en-CA"/>
        </w:rPr>
      </w:pPr>
    </w:p>
    <w:sectPr w:rsidR="005A3926" w:rsidRPr="00BE0D96" w:rsidSect="005A3926">
      <w:type w:val="continuous"/>
      <w:pgSz w:w="12240" w:h="15840"/>
      <w:pgMar w:top="2792" w:right="1080" w:bottom="2016" w:left="1440" w:header="1699"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3E9B9" w14:textId="77777777" w:rsidR="00C1712D" w:rsidRDefault="00C1712D">
      <w:r>
        <w:separator/>
      </w:r>
    </w:p>
  </w:endnote>
  <w:endnote w:type="continuationSeparator" w:id="0">
    <w:p w14:paraId="4CF62073" w14:textId="77777777" w:rsidR="00C1712D" w:rsidRDefault="00C1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5A693" w14:textId="77777777" w:rsidR="00C1712D" w:rsidRDefault="00C1712D">
      <w:r>
        <w:separator/>
      </w:r>
    </w:p>
  </w:footnote>
  <w:footnote w:type="continuationSeparator" w:id="0">
    <w:p w14:paraId="2DAE55AA" w14:textId="77777777" w:rsidR="00C1712D" w:rsidRDefault="00C1712D">
      <w:r>
        <w:continuationSeparator/>
      </w:r>
    </w:p>
  </w:footnote>
  <w:footnote w:id="1">
    <w:p w14:paraId="74244755" w14:textId="6A514C7D" w:rsidR="00C1712D" w:rsidRPr="004279DD" w:rsidRDefault="00C1712D">
      <w:pPr>
        <w:pStyle w:val="Notedebasdepage"/>
        <w:rPr>
          <w:lang w:val="en-CA"/>
        </w:rPr>
      </w:pPr>
      <w:r>
        <w:rPr>
          <w:rStyle w:val="Appelnotedebasdep"/>
        </w:rPr>
        <w:footnoteRef/>
      </w:r>
      <w:r w:rsidRPr="004279DD">
        <w:rPr>
          <w:lang w:val="en-CA"/>
        </w:rPr>
        <w:t xml:space="preserve"> </w:t>
      </w:r>
      <w:r w:rsidRPr="00BE0D96">
        <w:rPr>
          <w:lang w:val="en-CA"/>
        </w:rPr>
        <w:t>CQLR, c. J-3.</w:t>
      </w:r>
    </w:p>
  </w:footnote>
  <w:footnote w:id="2">
    <w:p w14:paraId="2ED18696" w14:textId="526730E7" w:rsidR="00C1712D" w:rsidRPr="00BF3F16" w:rsidRDefault="00C1712D" w:rsidP="005A3926">
      <w:pPr>
        <w:pStyle w:val="Notedebasdepage"/>
        <w:jc w:val="both"/>
        <w:rPr>
          <w:sz w:val="18"/>
          <w:szCs w:val="18"/>
          <w:lang w:val="en-CA"/>
        </w:rPr>
      </w:pPr>
      <w:r w:rsidRPr="002F56DF">
        <w:rPr>
          <w:rStyle w:val="Appelnotedebasdep"/>
          <w:sz w:val="18"/>
          <w:szCs w:val="18"/>
        </w:rPr>
        <w:footnoteRef/>
      </w:r>
      <w:r w:rsidRPr="00BF3F16">
        <w:rPr>
          <w:sz w:val="18"/>
          <w:szCs w:val="18"/>
          <w:lang w:val="en-CA"/>
        </w:rPr>
        <w:t xml:space="preserve"> See to the same effect, </w:t>
      </w:r>
      <w:r w:rsidRPr="00BE0D96">
        <w:rPr>
          <w:sz w:val="18"/>
          <w:szCs w:val="18"/>
          <w:lang w:val="en-CA"/>
        </w:rPr>
        <w:t xml:space="preserve">article 2858 of the </w:t>
      </w:r>
      <w:r w:rsidRPr="00BE0D96">
        <w:rPr>
          <w:i/>
          <w:sz w:val="18"/>
          <w:szCs w:val="18"/>
          <w:lang w:val="en-CA"/>
        </w:rPr>
        <w:t>Civil Code of Québec</w:t>
      </w:r>
      <w:r w:rsidRPr="00BE0D96">
        <w:rPr>
          <w:sz w:val="18"/>
          <w:szCs w:val="18"/>
          <w:lang w:val="en-CA"/>
        </w:rPr>
        <w:t>.</w:t>
      </w:r>
      <w:r w:rsidRPr="00BF3F16">
        <w:rPr>
          <w:sz w:val="18"/>
          <w:szCs w:val="18"/>
          <w:lang w:val="en-CA"/>
        </w:rPr>
        <w:t xml:space="preserve"> </w:t>
      </w:r>
    </w:p>
  </w:footnote>
  <w:footnote w:id="3">
    <w:p w14:paraId="3724E1F7" w14:textId="0C40DE16" w:rsidR="00C1712D" w:rsidRPr="00BF3F16" w:rsidRDefault="00C1712D">
      <w:pPr>
        <w:pStyle w:val="Notedebasdepage"/>
        <w:rPr>
          <w:lang w:val="en-CA"/>
        </w:rPr>
      </w:pPr>
      <w:r>
        <w:rPr>
          <w:rStyle w:val="Appelnotedebasdep"/>
        </w:rPr>
        <w:footnoteRef/>
      </w:r>
      <w:r w:rsidRPr="00BF3F16">
        <w:rPr>
          <w:lang w:val="en-CA"/>
        </w:rPr>
        <w:t xml:space="preserve"> </w:t>
      </w:r>
      <w:r w:rsidRPr="00BE0D96">
        <w:rPr>
          <w:lang w:val="en-CA"/>
        </w:rPr>
        <w:t>CQLR. c. S-11.011, sections 2 and 17.2.</w:t>
      </w:r>
    </w:p>
  </w:footnote>
  <w:footnote w:id="4">
    <w:p w14:paraId="1CFD806C" w14:textId="6B3D8232" w:rsidR="00C1712D" w:rsidRDefault="00C1712D">
      <w:pPr>
        <w:pStyle w:val="Notedebasdepage"/>
      </w:pPr>
      <w:r>
        <w:rPr>
          <w:rStyle w:val="Appelnotedebasdep"/>
        </w:rPr>
        <w:footnoteRef/>
      </w:r>
      <w:r>
        <w:t xml:space="preserve"> </w:t>
      </w:r>
      <w:r w:rsidRPr="00BE0D96">
        <w:t>CQLR. c. C-37.</w:t>
      </w:r>
    </w:p>
  </w:footnote>
  <w:footnote w:id="5">
    <w:p w14:paraId="443471D8" w14:textId="776F9164" w:rsidR="00C1712D" w:rsidRPr="002F56DF" w:rsidRDefault="00C1712D" w:rsidP="005A3926">
      <w:pPr>
        <w:pStyle w:val="Notedebasdepage"/>
        <w:jc w:val="both"/>
        <w:rPr>
          <w:sz w:val="18"/>
          <w:szCs w:val="18"/>
        </w:rPr>
      </w:pPr>
      <w:r w:rsidRPr="002F56DF">
        <w:rPr>
          <w:rStyle w:val="Appelnotedebasdep"/>
          <w:sz w:val="18"/>
          <w:szCs w:val="18"/>
        </w:rPr>
        <w:footnoteRef/>
      </w:r>
      <w:r w:rsidRPr="002F56DF">
        <w:rPr>
          <w:sz w:val="18"/>
          <w:szCs w:val="18"/>
        </w:rPr>
        <w:t xml:space="preserve"> </w:t>
      </w:r>
      <w:r w:rsidRPr="00BE0D96">
        <w:rPr>
          <w:i/>
          <w:sz w:val="18"/>
          <w:szCs w:val="18"/>
        </w:rPr>
        <w:t>Syndicat</w:t>
      </w:r>
      <w:r w:rsidRPr="002F56DF">
        <w:rPr>
          <w:i/>
          <w:sz w:val="18"/>
          <w:szCs w:val="18"/>
        </w:rPr>
        <w:t xml:space="preserve"> des travailleurs (euses) de Bridgestone Firestone de Joliette (CSN) </w:t>
      </w:r>
      <w:r w:rsidRPr="00BE0D96">
        <w:rPr>
          <w:i/>
          <w:sz w:val="18"/>
          <w:szCs w:val="18"/>
        </w:rPr>
        <w:t>c</w:t>
      </w:r>
      <w:r w:rsidRPr="002F56DF">
        <w:rPr>
          <w:i/>
          <w:sz w:val="18"/>
          <w:szCs w:val="18"/>
        </w:rPr>
        <w:t>. Trudeau</w:t>
      </w:r>
      <w:r w:rsidRPr="002F56DF">
        <w:rPr>
          <w:sz w:val="18"/>
          <w:szCs w:val="18"/>
        </w:rPr>
        <w:t>, 1999 CanLII 13295 (QC CA).</w:t>
      </w:r>
    </w:p>
  </w:footnote>
  <w:footnote w:id="6">
    <w:p w14:paraId="2B0057AB" w14:textId="00D38DEA" w:rsidR="00C1712D" w:rsidRPr="00BF3F16" w:rsidRDefault="00C1712D" w:rsidP="005A3926">
      <w:pPr>
        <w:pStyle w:val="Notedebasdepage"/>
        <w:ind w:left="142" w:hanging="142"/>
        <w:jc w:val="both"/>
        <w:rPr>
          <w:sz w:val="18"/>
          <w:szCs w:val="18"/>
          <w:lang w:val="en-CA"/>
        </w:rPr>
      </w:pPr>
      <w:r w:rsidRPr="002F56DF">
        <w:rPr>
          <w:rStyle w:val="Appelnotedebasdep"/>
          <w:sz w:val="18"/>
          <w:szCs w:val="18"/>
        </w:rPr>
        <w:footnoteRef/>
      </w:r>
      <w:r w:rsidRPr="00BF3F16">
        <w:rPr>
          <w:sz w:val="18"/>
          <w:szCs w:val="18"/>
          <w:lang w:val="en-CA"/>
        </w:rPr>
        <w:t xml:space="preserve"> The relevant </w:t>
      </w:r>
      <w:r w:rsidRPr="00BE0D96">
        <w:rPr>
          <w:sz w:val="18"/>
          <w:szCs w:val="18"/>
          <w:lang w:val="en-CA"/>
        </w:rPr>
        <w:t xml:space="preserve">statutory provisions are sections 5 and 9.1 of the </w:t>
      </w:r>
      <w:r w:rsidRPr="00BE0D96">
        <w:rPr>
          <w:i/>
          <w:sz w:val="18"/>
          <w:szCs w:val="18"/>
          <w:lang w:val="en-CA"/>
        </w:rPr>
        <w:t>Charter of human rights and freedoms</w:t>
      </w:r>
      <w:r w:rsidRPr="00BE0D96">
        <w:rPr>
          <w:sz w:val="18"/>
          <w:szCs w:val="18"/>
          <w:lang w:val="en-CA"/>
        </w:rPr>
        <w:t xml:space="preserve"> and articles 35 and 36 of the </w:t>
      </w:r>
      <w:r w:rsidRPr="00BE0D96">
        <w:rPr>
          <w:i/>
          <w:sz w:val="18"/>
          <w:szCs w:val="18"/>
          <w:lang w:val="en-CA"/>
        </w:rPr>
        <w:t>Civil Code of Québec</w:t>
      </w:r>
      <w:r w:rsidRPr="00BE0D96">
        <w:rPr>
          <w:sz w:val="18"/>
          <w:szCs w:val="18"/>
          <w:lang w:val="en-CA"/>
        </w:rPr>
        <w:t>.</w:t>
      </w:r>
      <w:r w:rsidRPr="00BF3F16">
        <w:rPr>
          <w:sz w:val="18"/>
          <w:szCs w:val="18"/>
          <w:lang w:val="en-CA"/>
        </w:rPr>
        <w:t xml:space="preserve"> </w:t>
      </w:r>
    </w:p>
  </w:footnote>
  <w:footnote w:id="7">
    <w:p w14:paraId="472FF9B0" w14:textId="533EF8DA" w:rsidR="00C1712D" w:rsidRPr="004279DD" w:rsidRDefault="00C1712D" w:rsidP="005A3926">
      <w:pPr>
        <w:pStyle w:val="Notedebasdepage"/>
        <w:jc w:val="both"/>
        <w:rPr>
          <w:sz w:val="18"/>
          <w:szCs w:val="18"/>
          <w:lang w:val="en-CA"/>
        </w:rPr>
      </w:pPr>
      <w:r w:rsidRPr="002F56DF">
        <w:rPr>
          <w:rStyle w:val="Appelnotedebasdep"/>
          <w:sz w:val="18"/>
          <w:szCs w:val="18"/>
        </w:rPr>
        <w:footnoteRef/>
      </w:r>
      <w:r w:rsidRPr="004279DD">
        <w:rPr>
          <w:sz w:val="18"/>
          <w:szCs w:val="18"/>
          <w:lang w:val="en-CA"/>
        </w:rPr>
        <w:t xml:space="preserve"> </w:t>
      </w:r>
      <w:r w:rsidRPr="00BE0D96">
        <w:rPr>
          <w:sz w:val="18"/>
          <w:szCs w:val="18"/>
          <w:lang w:val="en-CA"/>
        </w:rPr>
        <w:t>Note 2 at 55 to 57.</w:t>
      </w:r>
    </w:p>
  </w:footnote>
  <w:footnote w:id="8">
    <w:p w14:paraId="168AA21E" w14:textId="77777777" w:rsidR="00C1712D" w:rsidRPr="004279DD" w:rsidRDefault="00C1712D" w:rsidP="005A3926">
      <w:pPr>
        <w:pStyle w:val="Notedebasdepage"/>
        <w:jc w:val="both"/>
        <w:rPr>
          <w:sz w:val="18"/>
          <w:szCs w:val="18"/>
          <w:lang w:val="en-CA"/>
        </w:rPr>
      </w:pPr>
      <w:r w:rsidRPr="002F56DF">
        <w:rPr>
          <w:rStyle w:val="Appelnotedebasdep"/>
          <w:sz w:val="18"/>
          <w:szCs w:val="18"/>
        </w:rPr>
        <w:footnoteRef/>
      </w:r>
      <w:r w:rsidRPr="004279DD">
        <w:rPr>
          <w:sz w:val="18"/>
          <w:szCs w:val="18"/>
          <w:lang w:val="en-CA"/>
        </w:rPr>
        <w:t xml:space="preserve"> </w:t>
      </w:r>
      <w:r w:rsidRPr="00BE0D96">
        <w:rPr>
          <w:sz w:val="18"/>
          <w:szCs w:val="18"/>
          <w:lang w:val="en-CA"/>
        </w:rPr>
        <w:t>2009 QCCS 5757.</w:t>
      </w:r>
    </w:p>
  </w:footnote>
  <w:footnote w:id="9">
    <w:p w14:paraId="5F7A0FD2" w14:textId="2EEDBF88" w:rsidR="00C1712D" w:rsidRPr="009E5E7A" w:rsidRDefault="00C1712D" w:rsidP="005A3926">
      <w:pPr>
        <w:pStyle w:val="Notedebasdepage"/>
        <w:rPr>
          <w:sz w:val="18"/>
          <w:lang w:val="en-CA"/>
        </w:rPr>
      </w:pPr>
      <w:r>
        <w:rPr>
          <w:rStyle w:val="Appelnotedebasdep"/>
        </w:rPr>
        <w:footnoteRef/>
      </w:r>
      <w:r w:rsidRPr="00BF3F16">
        <w:rPr>
          <w:lang w:val="en-CA"/>
        </w:rPr>
        <w:t xml:space="preserve"> </w:t>
      </w:r>
      <w:r w:rsidRPr="00BE0D96">
        <w:rPr>
          <w:sz w:val="18"/>
          <w:lang w:val="en-CA"/>
        </w:rPr>
        <w:t>2012 SCC 53</w:t>
      </w:r>
      <w:r>
        <w:rPr>
          <w:sz w:val="18"/>
          <w:lang w:val="en-CA"/>
        </w:rPr>
        <w:t>,</w:t>
      </w:r>
      <w:r w:rsidRPr="00BE0D96">
        <w:rPr>
          <w:sz w:val="18"/>
          <w:lang w:val="en-CA"/>
        </w:rPr>
        <w:t xml:space="preserve"> [2012] 3 S.C.R.</w:t>
      </w:r>
      <w:r w:rsidRPr="006A1E84">
        <w:rPr>
          <w:sz w:val="18"/>
          <w:lang w:val="en-CA"/>
        </w:rPr>
        <w:t xml:space="preserve"> </w:t>
      </w:r>
      <w:r w:rsidRPr="00BE0D96">
        <w:rPr>
          <w:sz w:val="18"/>
          <w:lang w:val="en-CA"/>
        </w:rPr>
        <w:t xml:space="preserve">34 at para. </w:t>
      </w:r>
      <w:r w:rsidRPr="009E5E7A">
        <w:rPr>
          <w:sz w:val="18"/>
          <w:lang w:val="en-CA"/>
        </w:rPr>
        <w:t>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58F47" w14:textId="6EB0B053" w:rsidR="00C1712D" w:rsidRDefault="00954B5C">
    <w:pPr>
      <w:pStyle w:val="09Entete"/>
      <w:tabs>
        <w:tab w:val="clear" w:pos="8222"/>
        <w:tab w:val="right" w:pos="10065"/>
      </w:tabs>
    </w:pPr>
    <w:fldSimple w:instr=" DOCPROPERTY &quot;GI_Entete&quot; \* MERGEFORMAT ">
      <w:r w:rsidR="00C1712D">
        <w:t>Dossier : SAS-M-238204-1506</w:t>
      </w:r>
    </w:fldSimple>
    <w:r w:rsidR="00C1712D">
      <w:tab/>
    </w:r>
    <w:r w:rsidR="00C1712D" w:rsidRPr="00BE0D96">
      <w:t>Page :</w:t>
    </w:r>
    <w:r w:rsidR="00C1712D">
      <w:t xml:space="preserve"> </w:t>
    </w:r>
    <w:r w:rsidR="00C1712D">
      <w:rPr>
        <w:rStyle w:val="Numrodepage"/>
      </w:rPr>
      <w:fldChar w:fldCharType="begin"/>
    </w:r>
    <w:r w:rsidR="00C1712D">
      <w:rPr>
        <w:rStyle w:val="Numrodepage"/>
      </w:rPr>
      <w:instrText xml:space="preserve"> PAGE </w:instrText>
    </w:r>
    <w:r w:rsidR="00C1712D">
      <w:rPr>
        <w:rStyle w:val="Numrodepage"/>
      </w:rPr>
      <w:fldChar w:fldCharType="separate"/>
    </w:r>
    <w:r w:rsidR="0060445E">
      <w:rPr>
        <w:rStyle w:val="Numrodepage"/>
      </w:rPr>
      <w:t>2</w:t>
    </w:r>
    <w:r w:rsidR="00C1712D">
      <w:rPr>
        <w:rStyle w:val="Numrodepag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8F1A" w14:textId="77777777" w:rsidR="00C1712D" w:rsidRPr="00082E20" w:rsidRDefault="00C1712D" w:rsidP="005A3926">
    <w:pPr>
      <w:pStyle w:val="01Tribunal"/>
    </w:pPr>
    <w:r w:rsidRPr="00BE0D96">
      <w:t>TRIBUNAL ADMINISTRATIF DU QUÉBEC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3C93C" w14:textId="7148F079" w:rsidR="00C1712D" w:rsidRDefault="00954B5C">
    <w:pPr>
      <w:pStyle w:val="09Entete"/>
      <w:tabs>
        <w:tab w:val="clear" w:pos="8222"/>
        <w:tab w:val="right" w:pos="10065"/>
      </w:tabs>
    </w:pPr>
    <w:fldSimple w:instr=" DOCPROPERTY &quot;GI_Entete&quot; \* MERGEFORMAT ">
      <w:r w:rsidR="00C1712D">
        <w:t>File: SAS-M-238204-1506</w:t>
      </w:r>
    </w:fldSimple>
    <w:r w:rsidR="00C1712D">
      <w:tab/>
    </w:r>
    <w:r w:rsidR="00C1712D" w:rsidRPr="00BE0D96">
      <w:t>Page:</w:t>
    </w:r>
    <w:r w:rsidR="00C1712D">
      <w:t xml:space="preserve"> </w:t>
    </w:r>
    <w:r w:rsidR="00C1712D">
      <w:rPr>
        <w:rStyle w:val="Numrodepage"/>
      </w:rPr>
      <w:fldChar w:fldCharType="begin"/>
    </w:r>
    <w:r w:rsidR="00C1712D">
      <w:rPr>
        <w:rStyle w:val="Numrodepage"/>
      </w:rPr>
      <w:instrText xml:space="preserve"> PAGE </w:instrText>
    </w:r>
    <w:r w:rsidR="00C1712D">
      <w:rPr>
        <w:rStyle w:val="Numrodepage"/>
      </w:rPr>
      <w:fldChar w:fldCharType="separate"/>
    </w:r>
    <w:r w:rsidR="0060445E">
      <w:rPr>
        <w:rStyle w:val="Numrodepage"/>
      </w:rPr>
      <w:t>2</w:t>
    </w:r>
    <w:r w:rsidR="00C1712D">
      <w:rPr>
        <w:rStyle w:val="Numrodepag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A630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1AD1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7EE6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E65E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CC1A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1662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E871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BA3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543E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587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C5CB1"/>
    <w:multiLevelType w:val="hybridMultilevel"/>
    <w:tmpl w:val="52584B26"/>
    <w:lvl w:ilvl="0" w:tplc="09CC29E6">
      <w:start w:val="1"/>
      <w:numFmt w:val="bullet"/>
      <w:lvlText w:val=""/>
      <w:lvlJc w:val="left"/>
      <w:pPr>
        <w:ind w:left="720" w:hanging="360"/>
      </w:pPr>
      <w:rPr>
        <w:rFonts w:ascii="Symbol" w:hAnsi="Symbol" w:hint="default"/>
      </w:rPr>
    </w:lvl>
    <w:lvl w:ilvl="1" w:tplc="AEC434D6" w:tentative="1">
      <w:start w:val="1"/>
      <w:numFmt w:val="bullet"/>
      <w:lvlText w:val="o"/>
      <w:lvlJc w:val="left"/>
      <w:pPr>
        <w:ind w:left="1440" w:hanging="360"/>
      </w:pPr>
      <w:rPr>
        <w:rFonts w:ascii="Courier New" w:hAnsi="Courier New" w:cs="Courier New" w:hint="default"/>
      </w:rPr>
    </w:lvl>
    <w:lvl w:ilvl="2" w:tplc="773A7C1A" w:tentative="1">
      <w:start w:val="1"/>
      <w:numFmt w:val="bullet"/>
      <w:lvlText w:val=""/>
      <w:lvlJc w:val="left"/>
      <w:pPr>
        <w:ind w:left="2160" w:hanging="360"/>
      </w:pPr>
      <w:rPr>
        <w:rFonts w:ascii="Wingdings" w:hAnsi="Wingdings" w:hint="default"/>
      </w:rPr>
    </w:lvl>
    <w:lvl w:ilvl="3" w:tplc="7ADCAAB8" w:tentative="1">
      <w:start w:val="1"/>
      <w:numFmt w:val="bullet"/>
      <w:lvlText w:val=""/>
      <w:lvlJc w:val="left"/>
      <w:pPr>
        <w:ind w:left="2880" w:hanging="360"/>
      </w:pPr>
      <w:rPr>
        <w:rFonts w:ascii="Symbol" w:hAnsi="Symbol" w:hint="default"/>
      </w:rPr>
    </w:lvl>
    <w:lvl w:ilvl="4" w:tplc="D8ACFEA8" w:tentative="1">
      <w:start w:val="1"/>
      <w:numFmt w:val="bullet"/>
      <w:lvlText w:val="o"/>
      <w:lvlJc w:val="left"/>
      <w:pPr>
        <w:ind w:left="3600" w:hanging="360"/>
      </w:pPr>
      <w:rPr>
        <w:rFonts w:ascii="Courier New" w:hAnsi="Courier New" w:cs="Courier New" w:hint="default"/>
      </w:rPr>
    </w:lvl>
    <w:lvl w:ilvl="5" w:tplc="2BE41F1C" w:tentative="1">
      <w:start w:val="1"/>
      <w:numFmt w:val="bullet"/>
      <w:lvlText w:val=""/>
      <w:lvlJc w:val="left"/>
      <w:pPr>
        <w:ind w:left="4320" w:hanging="360"/>
      </w:pPr>
      <w:rPr>
        <w:rFonts w:ascii="Wingdings" w:hAnsi="Wingdings" w:hint="default"/>
      </w:rPr>
    </w:lvl>
    <w:lvl w:ilvl="6" w:tplc="DF4AAF84" w:tentative="1">
      <w:start w:val="1"/>
      <w:numFmt w:val="bullet"/>
      <w:lvlText w:val=""/>
      <w:lvlJc w:val="left"/>
      <w:pPr>
        <w:ind w:left="5040" w:hanging="360"/>
      </w:pPr>
      <w:rPr>
        <w:rFonts w:ascii="Symbol" w:hAnsi="Symbol" w:hint="default"/>
      </w:rPr>
    </w:lvl>
    <w:lvl w:ilvl="7" w:tplc="108E62BA" w:tentative="1">
      <w:start w:val="1"/>
      <w:numFmt w:val="bullet"/>
      <w:lvlText w:val="o"/>
      <w:lvlJc w:val="left"/>
      <w:pPr>
        <w:ind w:left="5760" w:hanging="360"/>
      </w:pPr>
      <w:rPr>
        <w:rFonts w:ascii="Courier New" w:hAnsi="Courier New" w:cs="Courier New" w:hint="default"/>
      </w:rPr>
    </w:lvl>
    <w:lvl w:ilvl="8" w:tplc="CE0C2146" w:tentative="1">
      <w:start w:val="1"/>
      <w:numFmt w:val="bullet"/>
      <w:lvlText w:val=""/>
      <w:lvlJc w:val="left"/>
      <w:pPr>
        <w:ind w:left="6480" w:hanging="360"/>
      </w:pPr>
      <w:rPr>
        <w:rFonts w:ascii="Wingdings" w:hAnsi="Wingdings" w:hint="default"/>
      </w:rPr>
    </w:lvl>
  </w:abstractNum>
  <w:abstractNum w:abstractNumId="11" w15:restartNumberingAfterBreak="0">
    <w:nsid w:val="042B2415"/>
    <w:multiLevelType w:val="hybridMultilevel"/>
    <w:tmpl w:val="0052A6F0"/>
    <w:lvl w:ilvl="0" w:tplc="21F6556C">
      <w:start w:val="1"/>
      <w:numFmt w:val="bullet"/>
      <w:lvlText w:val=""/>
      <w:lvlJc w:val="left"/>
      <w:pPr>
        <w:ind w:left="720" w:hanging="360"/>
      </w:pPr>
      <w:rPr>
        <w:rFonts w:ascii="Symbol" w:hAnsi="Symbol" w:hint="default"/>
      </w:rPr>
    </w:lvl>
    <w:lvl w:ilvl="1" w:tplc="69E0507C" w:tentative="1">
      <w:start w:val="1"/>
      <w:numFmt w:val="bullet"/>
      <w:lvlText w:val="o"/>
      <w:lvlJc w:val="left"/>
      <w:pPr>
        <w:ind w:left="1440" w:hanging="360"/>
      </w:pPr>
      <w:rPr>
        <w:rFonts w:ascii="Courier New" w:hAnsi="Courier New" w:cs="Courier New" w:hint="default"/>
      </w:rPr>
    </w:lvl>
    <w:lvl w:ilvl="2" w:tplc="2C806F50" w:tentative="1">
      <w:start w:val="1"/>
      <w:numFmt w:val="bullet"/>
      <w:lvlText w:val=""/>
      <w:lvlJc w:val="left"/>
      <w:pPr>
        <w:ind w:left="2160" w:hanging="360"/>
      </w:pPr>
      <w:rPr>
        <w:rFonts w:ascii="Wingdings" w:hAnsi="Wingdings" w:hint="default"/>
      </w:rPr>
    </w:lvl>
    <w:lvl w:ilvl="3" w:tplc="ABF44C6E" w:tentative="1">
      <w:start w:val="1"/>
      <w:numFmt w:val="bullet"/>
      <w:lvlText w:val=""/>
      <w:lvlJc w:val="left"/>
      <w:pPr>
        <w:ind w:left="2880" w:hanging="360"/>
      </w:pPr>
      <w:rPr>
        <w:rFonts w:ascii="Symbol" w:hAnsi="Symbol" w:hint="default"/>
      </w:rPr>
    </w:lvl>
    <w:lvl w:ilvl="4" w:tplc="6DC80482" w:tentative="1">
      <w:start w:val="1"/>
      <w:numFmt w:val="bullet"/>
      <w:lvlText w:val="o"/>
      <w:lvlJc w:val="left"/>
      <w:pPr>
        <w:ind w:left="3600" w:hanging="360"/>
      </w:pPr>
      <w:rPr>
        <w:rFonts w:ascii="Courier New" w:hAnsi="Courier New" w:cs="Courier New" w:hint="default"/>
      </w:rPr>
    </w:lvl>
    <w:lvl w:ilvl="5" w:tplc="351279BC" w:tentative="1">
      <w:start w:val="1"/>
      <w:numFmt w:val="bullet"/>
      <w:lvlText w:val=""/>
      <w:lvlJc w:val="left"/>
      <w:pPr>
        <w:ind w:left="4320" w:hanging="360"/>
      </w:pPr>
      <w:rPr>
        <w:rFonts w:ascii="Wingdings" w:hAnsi="Wingdings" w:hint="default"/>
      </w:rPr>
    </w:lvl>
    <w:lvl w:ilvl="6" w:tplc="B1F4914A" w:tentative="1">
      <w:start w:val="1"/>
      <w:numFmt w:val="bullet"/>
      <w:lvlText w:val=""/>
      <w:lvlJc w:val="left"/>
      <w:pPr>
        <w:ind w:left="5040" w:hanging="360"/>
      </w:pPr>
      <w:rPr>
        <w:rFonts w:ascii="Symbol" w:hAnsi="Symbol" w:hint="default"/>
      </w:rPr>
    </w:lvl>
    <w:lvl w:ilvl="7" w:tplc="658657C2" w:tentative="1">
      <w:start w:val="1"/>
      <w:numFmt w:val="bullet"/>
      <w:lvlText w:val="o"/>
      <w:lvlJc w:val="left"/>
      <w:pPr>
        <w:ind w:left="5760" w:hanging="360"/>
      </w:pPr>
      <w:rPr>
        <w:rFonts w:ascii="Courier New" w:hAnsi="Courier New" w:cs="Courier New" w:hint="default"/>
      </w:rPr>
    </w:lvl>
    <w:lvl w:ilvl="8" w:tplc="1116F7AE" w:tentative="1">
      <w:start w:val="1"/>
      <w:numFmt w:val="bullet"/>
      <w:lvlText w:val=""/>
      <w:lvlJc w:val="left"/>
      <w:pPr>
        <w:ind w:left="6480" w:hanging="360"/>
      </w:pPr>
      <w:rPr>
        <w:rFonts w:ascii="Wingdings" w:hAnsi="Wingdings" w:hint="default"/>
      </w:rPr>
    </w:lvl>
  </w:abstractNum>
  <w:abstractNum w:abstractNumId="12" w15:restartNumberingAfterBreak="0">
    <w:nsid w:val="23714CF3"/>
    <w:multiLevelType w:val="hybridMultilevel"/>
    <w:tmpl w:val="FE6AC130"/>
    <w:lvl w:ilvl="0" w:tplc="1E54E6BE">
      <w:start w:val="1"/>
      <w:numFmt w:val="bullet"/>
      <w:lvlText w:val=""/>
      <w:lvlJc w:val="left"/>
      <w:pPr>
        <w:ind w:left="720" w:hanging="360"/>
      </w:pPr>
      <w:rPr>
        <w:rFonts w:ascii="Symbol" w:hAnsi="Symbol" w:hint="default"/>
      </w:rPr>
    </w:lvl>
    <w:lvl w:ilvl="1" w:tplc="A68E23F0" w:tentative="1">
      <w:start w:val="1"/>
      <w:numFmt w:val="bullet"/>
      <w:lvlText w:val="o"/>
      <w:lvlJc w:val="left"/>
      <w:pPr>
        <w:ind w:left="1440" w:hanging="360"/>
      </w:pPr>
      <w:rPr>
        <w:rFonts w:ascii="Courier New" w:hAnsi="Courier New" w:cs="Courier New" w:hint="default"/>
      </w:rPr>
    </w:lvl>
    <w:lvl w:ilvl="2" w:tplc="19AA16DE" w:tentative="1">
      <w:start w:val="1"/>
      <w:numFmt w:val="bullet"/>
      <w:lvlText w:val=""/>
      <w:lvlJc w:val="left"/>
      <w:pPr>
        <w:ind w:left="2160" w:hanging="360"/>
      </w:pPr>
      <w:rPr>
        <w:rFonts w:ascii="Wingdings" w:hAnsi="Wingdings" w:hint="default"/>
      </w:rPr>
    </w:lvl>
    <w:lvl w:ilvl="3" w:tplc="BD40ED2E" w:tentative="1">
      <w:start w:val="1"/>
      <w:numFmt w:val="bullet"/>
      <w:lvlText w:val=""/>
      <w:lvlJc w:val="left"/>
      <w:pPr>
        <w:ind w:left="2880" w:hanging="360"/>
      </w:pPr>
      <w:rPr>
        <w:rFonts w:ascii="Symbol" w:hAnsi="Symbol" w:hint="default"/>
      </w:rPr>
    </w:lvl>
    <w:lvl w:ilvl="4" w:tplc="969A14E6" w:tentative="1">
      <w:start w:val="1"/>
      <w:numFmt w:val="bullet"/>
      <w:lvlText w:val="o"/>
      <w:lvlJc w:val="left"/>
      <w:pPr>
        <w:ind w:left="3600" w:hanging="360"/>
      </w:pPr>
      <w:rPr>
        <w:rFonts w:ascii="Courier New" w:hAnsi="Courier New" w:cs="Courier New" w:hint="default"/>
      </w:rPr>
    </w:lvl>
    <w:lvl w:ilvl="5" w:tplc="08949724" w:tentative="1">
      <w:start w:val="1"/>
      <w:numFmt w:val="bullet"/>
      <w:lvlText w:val=""/>
      <w:lvlJc w:val="left"/>
      <w:pPr>
        <w:ind w:left="4320" w:hanging="360"/>
      </w:pPr>
      <w:rPr>
        <w:rFonts w:ascii="Wingdings" w:hAnsi="Wingdings" w:hint="default"/>
      </w:rPr>
    </w:lvl>
    <w:lvl w:ilvl="6" w:tplc="C0EA6474" w:tentative="1">
      <w:start w:val="1"/>
      <w:numFmt w:val="bullet"/>
      <w:lvlText w:val=""/>
      <w:lvlJc w:val="left"/>
      <w:pPr>
        <w:ind w:left="5040" w:hanging="360"/>
      </w:pPr>
      <w:rPr>
        <w:rFonts w:ascii="Symbol" w:hAnsi="Symbol" w:hint="default"/>
      </w:rPr>
    </w:lvl>
    <w:lvl w:ilvl="7" w:tplc="13E47080" w:tentative="1">
      <w:start w:val="1"/>
      <w:numFmt w:val="bullet"/>
      <w:lvlText w:val="o"/>
      <w:lvlJc w:val="left"/>
      <w:pPr>
        <w:ind w:left="5760" w:hanging="360"/>
      </w:pPr>
      <w:rPr>
        <w:rFonts w:ascii="Courier New" w:hAnsi="Courier New" w:cs="Courier New" w:hint="default"/>
      </w:rPr>
    </w:lvl>
    <w:lvl w:ilvl="8" w:tplc="5990567C" w:tentative="1">
      <w:start w:val="1"/>
      <w:numFmt w:val="bullet"/>
      <w:lvlText w:val=""/>
      <w:lvlJc w:val="left"/>
      <w:pPr>
        <w:ind w:left="6480" w:hanging="360"/>
      </w:pPr>
      <w:rPr>
        <w:rFonts w:ascii="Wingdings" w:hAnsi="Wingdings" w:hint="default"/>
      </w:rPr>
    </w:lvl>
  </w:abstractNum>
  <w:abstractNum w:abstractNumId="13" w15:restartNumberingAfterBreak="0">
    <w:nsid w:val="27191DEE"/>
    <w:multiLevelType w:val="singleLevel"/>
    <w:tmpl w:val="4732BF5C"/>
    <w:lvl w:ilvl="0">
      <w:start w:val="1"/>
      <w:numFmt w:val="decimal"/>
      <w:pStyle w:val="F02-Texte"/>
      <w:lvlText w:val="[%1]"/>
      <w:lvlJc w:val="left"/>
      <w:pPr>
        <w:tabs>
          <w:tab w:val="num" w:pos="851"/>
        </w:tabs>
        <w:ind w:left="851" w:hanging="851"/>
      </w:pPr>
      <w:rPr>
        <w:rFonts w:ascii="Arial" w:hAnsi="Arial" w:hint="default"/>
        <w:b w:val="0"/>
        <w:i w:val="0"/>
        <w:sz w:val="24"/>
      </w:rPr>
    </w:lvl>
  </w:abstractNum>
  <w:abstractNum w:abstractNumId="14" w15:restartNumberingAfterBreak="0">
    <w:nsid w:val="33F90B64"/>
    <w:multiLevelType w:val="singleLevel"/>
    <w:tmpl w:val="D2AC893C"/>
    <w:lvl w:ilvl="0">
      <w:numFmt w:val="bullet"/>
      <w:pStyle w:val="F06-Tiret"/>
      <w:lvlText w:val="-"/>
      <w:lvlJc w:val="left"/>
      <w:pPr>
        <w:tabs>
          <w:tab w:val="num" w:pos="360"/>
        </w:tabs>
        <w:ind w:left="360" w:hanging="360"/>
      </w:pPr>
      <w:rPr>
        <w:rFonts w:ascii="Symbol" w:hAnsi="Symbol" w:hint="default"/>
      </w:rPr>
    </w:lvl>
  </w:abstractNum>
  <w:abstractNum w:abstractNumId="15" w15:restartNumberingAfterBreak="0">
    <w:nsid w:val="38401ECC"/>
    <w:multiLevelType w:val="hybridMultilevel"/>
    <w:tmpl w:val="87EE3DDE"/>
    <w:lvl w:ilvl="0" w:tplc="14821D80">
      <w:start w:val="1"/>
      <w:numFmt w:val="bullet"/>
      <w:lvlText w:val=""/>
      <w:lvlJc w:val="left"/>
      <w:pPr>
        <w:ind w:left="720" w:hanging="360"/>
      </w:pPr>
      <w:rPr>
        <w:rFonts w:ascii="Symbol" w:hAnsi="Symbol" w:hint="default"/>
      </w:rPr>
    </w:lvl>
    <w:lvl w:ilvl="1" w:tplc="0D083BEE" w:tentative="1">
      <w:start w:val="1"/>
      <w:numFmt w:val="bullet"/>
      <w:lvlText w:val="o"/>
      <w:lvlJc w:val="left"/>
      <w:pPr>
        <w:ind w:left="1440" w:hanging="360"/>
      </w:pPr>
      <w:rPr>
        <w:rFonts w:ascii="Courier New" w:hAnsi="Courier New" w:cs="Courier New" w:hint="default"/>
      </w:rPr>
    </w:lvl>
    <w:lvl w:ilvl="2" w:tplc="740A3502" w:tentative="1">
      <w:start w:val="1"/>
      <w:numFmt w:val="bullet"/>
      <w:lvlText w:val=""/>
      <w:lvlJc w:val="left"/>
      <w:pPr>
        <w:ind w:left="2160" w:hanging="360"/>
      </w:pPr>
      <w:rPr>
        <w:rFonts w:ascii="Wingdings" w:hAnsi="Wingdings" w:hint="default"/>
      </w:rPr>
    </w:lvl>
    <w:lvl w:ilvl="3" w:tplc="FE50EBC2" w:tentative="1">
      <w:start w:val="1"/>
      <w:numFmt w:val="bullet"/>
      <w:lvlText w:val=""/>
      <w:lvlJc w:val="left"/>
      <w:pPr>
        <w:ind w:left="2880" w:hanging="360"/>
      </w:pPr>
      <w:rPr>
        <w:rFonts w:ascii="Symbol" w:hAnsi="Symbol" w:hint="default"/>
      </w:rPr>
    </w:lvl>
    <w:lvl w:ilvl="4" w:tplc="363265DE" w:tentative="1">
      <w:start w:val="1"/>
      <w:numFmt w:val="bullet"/>
      <w:lvlText w:val="o"/>
      <w:lvlJc w:val="left"/>
      <w:pPr>
        <w:ind w:left="3600" w:hanging="360"/>
      </w:pPr>
      <w:rPr>
        <w:rFonts w:ascii="Courier New" w:hAnsi="Courier New" w:cs="Courier New" w:hint="default"/>
      </w:rPr>
    </w:lvl>
    <w:lvl w:ilvl="5" w:tplc="956E4350" w:tentative="1">
      <w:start w:val="1"/>
      <w:numFmt w:val="bullet"/>
      <w:lvlText w:val=""/>
      <w:lvlJc w:val="left"/>
      <w:pPr>
        <w:ind w:left="4320" w:hanging="360"/>
      </w:pPr>
      <w:rPr>
        <w:rFonts w:ascii="Wingdings" w:hAnsi="Wingdings" w:hint="default"/>
      </w:rPr>
    </w:lvl>
    <w:lvl w:ilvl="6" w:tplc="D10C5C34" w:tentative="1">
      <w:start w:val="1"/>
      <w:numFmt w:val="bullet"/>
      <w:lvlText w:val=""/>
      <w:lvlJc w:val="left"/>
      <w:pPr>
        <w:ind w:left="5040" w:hanging="360"/>
      </w:pPr>
      <w:rPr>
        <w:rFonts w:ascii="Symbol" w:hAnsi="Symbol" w:hint="default"/>
      </w:rPr>
    </w:lvl>
    <w:lvl w:ilvl="7" w:tplc="D37CDFB8" w:tentative="1">
      <w:start w:val="1"/>
      <w:numFmt w:val="bullet"/>
      <w:lvlText w:val="o"/>
      <w:lvlJc w:val="left"/>
      <w:pPr>
        <w:ind w:left="5760" w:hanging="360"/>
      </w:pPr>
      <w:rPr>
        <w:rFonts w:ascii="Courier New" w:hAnsi="Courier New" w:cs="Courier New" w:hint="default"/>
      </w:rPr>
    </w:lvl>
    <w:lvl w:ilvl="8" w:tplc="4DA05820" w:tentative="1">
      <w:start w:val="1"/>
      <w:numFmt w:val="bullet"/>
      <w:lvlText w:val=""/>
      <w:lvlJc w:val="left"/>
      <w:pPr>
        <w:ind w:left="6480" w:hanging="360"/>
      </w:pPr>
      <w:rPr>
        <w:rFonts w:ascii="Wingdings" w:hAnsi="Wingdings" w:hint="default"/>
      </w:rPr>
    </w:lvl>
  </w:abstractNum>
  <w:abstractNum w:abstractNumId="16" w15:restartNumberingAfterBreak="0">
    <w:nsid w:val="45B32BE6"/>
    <w:multiLevelType w:val="hybridMultilevel"/>
    <w:tmpl w:val="5834265A"/>
    <w:lvl w:ilvl="0" w:tplc="FFEA3FAC">
      <w:start w:val="1"/>
      <w:numFmt w:val="bullet"/>
      <w:lvlText w:val=""/>
      <w:lvlJc w:val="left"/>
      <w:pPr>
        <w:ind w:left="720" w:hanging="360"/>
      </w:pPr>
      <w:rPr>
        <w:rFonts w:ascii="Symbol" w:hAnsi="Symbol" w:hint="default"/>
      </w:rPr>
    </w:lvl>
    <w:lvl w:ilvl="1" w:tplc="0CC2CAA4" w:tentative="1">
      <w:start w:val="1"/>
      <w:numFmt w:val="bullet"/>
      <w:lvlText w:val="o"/>
      <w:lvlJc w:val="left"/>
      <w:pPr>
        <w:ind w:left="1440" w:hanging="360"/>
      </w:pPr>
      <w:rPr>
        <w:rFonts w:ascii="Courier New" w:hAnsi="Courier New" w:cs="Courier New" w:hint="default"/>
      </w:rPr>
    </w:lvl>
    <w:lvl w:ilvl="2" w:tplc="A2B6A3C6" w:tentative="1">
      <w:start w:val="1"/>
      <w:numFmt w:val="bullet"/>
      <w:lvlText w:val=""/>
      <w:lvlJc w:val="left"/>
      <w:pPr>
        <w:ind w:left="2160" w:hanging="360"/>
      </w:pPr>
      <w:rPr>
        <w:rFonts w:ascii="Wingdings" w:hAnsi="Wingdings" w:hint="default"/>
      </w:rPr>
    </w:lvl>
    <w:lvl w:ilvl="3" w:tplc="5A82B498" w:tentative="1">
      <w:start w:val="1"/>
      <w:numFmt w:val="bullet"/>
      <w:lvlText w:val=""/>
      <w:lvlJc w:val="left"/>
      <w:pPr>
        <w:ind w:left="2880" w:hanging="360"/>
      </w:pPr>
      <w:rPr>
        <w:rFonts w:ascii="Symbol" w:hAnsi="Symbol" w:hint="default"/>
      </w:rPr>
    </w:lvl>
    <w:lvl w:ilvl="4" w:tplc="BEC06818" w:tentative="1">
      <w:start w:val="1"/>
      <w:numFmt w:val="bullet"/>
      <w:lvlText w:val="o"/>
      <w:lvlJc w:val="left"/>
      <w:pPr>
        <w:ind w:left="3600" w:hanging="360"/>
      </w:pPr>
      <w:rPr>
        <w:rFonts w:ascii="Courier New" w:hAnsi="Courier New" w:cs="Courier New" w:hint="default"/>
      </w:rPr>
    </w:lvl>
    <w:lvl w:ilvl="5" w:tplc="DAB27D1C" w:tentative="1">
      <w:start w:val="1"/>
      <w:numFmt w:val="bullet"/>
      <w:lvlText w:val=""/>
      <w:lvlJc w:val="left"/>
      <w:pPr>
        <w:ind w:left="4320" w:hanging="360"/>
      </w:pPr>
      <w:rPr>
        <w:rFonts w:ascii="Wingdings" w:hAnsi="Wingdings" w:hint="default"/>
      </w:rPr>
    </w:lvl>
    <w:lvl w:ilvl="6" w:tplc="36666F40" w:tentative="1">
      <w:start w:val="1"/>
      <w:numFmt w:val="bullet"/>
      <w:lvlText w:val=""/>
      <w:lvlJc w:val="left"/>
      <w:pPr>
        <w:ind w:left="5040" w:hanging="360"/>
      </w:pPr>
      <w:rPr>
        <w:rFonts w:ascii="Symbol" w:hAnsi="Symbol" w:hint="default"/>
      </w:rPr>
    </w:lvl>
    <w:lvl w:ilvl="7" w:tplc="45622842" w:tentative="1">
      <w:start w:val="1"/>
      <w:numFmt w:val="bullet"/>
      <w:lvlText w:val="o"/>
      <w:lvlJc w:val="left"/>
      <w:pPr>
        <w:ind w:left="5760" w:hanging="360"/>
      </w:pPr>
      <w:rPr>
        <w:rFonts w:ascii="Courier New" w:hAnsi="Courier New" w:cs="Courier New" w:hint="default"/>
      </w:rPr>
    </w:lvl>
    <w:lvl w:ilvl="8" w:tplc="F11C52FE" w:tentative="1">
      <w:start w:val="1"/>
      <w:numFmt w:val="bullet"/>
      <w:lvlText w:val=""/>
      <w:lvlJc w:val="left"/>
      <w:pPr>
        <w:ind w:left="6480" w:hanging="360"/>
      </w:pPr>
      <w:rPr>
        <w:rFonts w:ascii="Wingdings" w:hAnsi="Wingdings" w:hint="default"/>
      </w:rPr>
    </w:lvl>
  </w:abstractNum>
  <w:abstractNum w:abstractNumId="17" w15:restartNumberingAfterBreak="0">
    <w:nsid w:val="482F7AD2"/>
    <w:multiLevelType w:val="singleLevel"/>
    <w:tmpl w:val="94F0666E"/>
    <w:lvl w:ilvl="0">
      <w:start w:val="1"/>
      <w:numFmt w:val="decimal"/>
      <w:pStyle w:val="12ContenuDecision"/>
      <w:lvlText w:val="[%1]"/>
      <w:lvlJc w:val="left"/>
      <w:pPr>
        <w:tabs>
          <w:tab w:val="num" w:pos="851"/>
        </w:tabs>
        <w:ind w:left="851" w:hanging="851"/>
      </w:pPr>
    </w:lvl>
  </w:abstractNum>
  <w:abstractNum w:abstractNumId="18" w15:restartNumberingAfterBreak="0">
    <w:nsid w:val="6D151798"/>
    <w:multiLevelType w:val="singleLevel"/>
    <w:tmpl w:val="2B301942"/>
    <w:lvl w:ilvl="0">
      <w:numFmt w:val="bullet"/>
      <w:pStyle w:val="F07-Boulet"/>
      <w:lvlText w:val=""/>
      <w:lvlJc w:val="left"/>
      <w:pPr>
        <w:tabs>
          <w:tab w:val="num" w:pos="360"/>
        </w:tabs>
        <w:ind w:left="360" w:hanging="360"/>
      </w:pPr>
      <w:rPr>
        <w:rFonts w:ascii="Symbol" w:hAnsi="Symbol" w:hint="default"/>
        <w:color w:val="auto"/>
        <w:sz w:val="28"/>
      </w:rPr>
    </w:lvl>
  </w:abstractNum>
  <w:abstractNum w:abstractNumId="19" w15:restartNumberingAfterBreak="0">
    <w:nsid w:val="76D76623"/>
    <w:multiLevelType w:val="hybridMultilevel"/>
    <w:tmpl w:val="632E62A2"/>
    <w:lvl w:ilvl="0" w:tplc="7DD6F242">
      <w:start w:val="1"/>
      <w:numFmt w:val="bullet"/>
      <w:lvlText w:val=""/>
      <w:lvlJc w:val="left"/>
      <w:pPr>
        <w:ind w:left="720" w:hanging="360"/>
      </w:pPr>
      <w:rPr>
        <w:rFonts w:ascii="Symbol" w:hAnsi="Symbol" w:hint="default"/>
      </w:rPr>
    </w:lvl>
    <w:lvl w:ilvl="1" w:tplc="903A6362" w:tentative="1">
      <w:start w:val="1"/>
      <w:numFmt w:val="bullet"/>
      <w:lvlText w:val="o"/>
      <w:lvlJc w:val="left"/>
      <w:pPr>
        <w:ind w:left="1440" w:hanging="360"/>
      </w:pPr>
      <w:rPr>
        <w:rFonts w:ascii="Courier New" w:hAnsi="Courier New" w:cs="Courier New" w:hint="default"/>
      </w:rPr>
    </w:lvl>
    <w:lvl w:ilvl="2" w:tplc="288AB8E6" w:tentative="1">
      <w:start w:val="1"/>
      <w:numFmt w:val="bullet"/>
      <w:lvlText w:val=""/>
      <w:lvlJc w:val="left"/>
      <w:pPr>
        <w:ind w:left="2160" w:hanging="360"/>
      </w:pPr>
      <w:rPr>
        <w:rFonts w:ascii="Wingdings" w:hAnsi="Wingdings" w:hint="default"/>
      </w:rPr>
    </w:lvl>
    <w:lvl w:ilvl="3" w:tplc="C13CB6F8" w:tentative="1">
      <w:start w:val="1"/>
      <w:numFmt w:val="bullet"/>
      <w:lvlText w:val=""/>
      <w:lvlJc w:val="left"/>
      <w:pPr>
        <w:ind w:left="2880" w:hanging="360"/>
      </w:pPr>
      <w:rPr>
        <w:rFonts w:ascii="Symbol" w:hAnsi="Symbol" w:hint="default"/>
      </w:rPr>
    </w:lvl>
    <w:lvl w:ilvl="4" w:tplc="B7D61DEE" w:tentative="1">
      <w:start w:val="1"/>
      <w:numFmt w:val="bullet"/>
      <w:lvlText w:val="o"/>
      <w:lvlJc w:val="left"/>
      <w:pPr>
        <w:ind w:left="3600" w:hanging="360"/>
      </w:pPr>
      <w:rPr>
        <w:rFonts w:ascii="Courier New" w:hAnsi="Courier New" w:cs="Courier New" w:hint="default"/>
      </w:rPr>
    </w:lvl>
    <w:lvl w:ilvl="5" w:tplc="A692E0BA" w:tentative="1">
      <w:start w:val="1"/>
      <w:numFmt w:val="bullet"/>
      <w:lvlText w:val=""/>
      <w:lvlJc w:val="left"/>
      <w:pPr>
        <w:ind w:left="4320" w:hanging="360"/>
      </w:pPr>
      <w:rPr>
        <w:rFonts w:ascii="Wingdings" w:hAnsi="Wingdings" w:hint="default"/>
      </w:rPr>
    </w:lvl>
    <w:lvl w:ilvl="6" w:tplc="BB80A202" w:tentative="1">
      <w:start w:val="1"/>
      <w:numFmt w:val="bullet"/>
      <w:lvlText w:val=""/>
      <w:lvlJc w:val="left"/>
      <w:pPr>
        <w:ind w:left="5040" w:hanging="360"/>
      </w:pPr>
      <w:rPr>
        <w:rFonts w:ascii="Symbol" w:hAnsi="Symbol" w:hint="default"/>
      </w:rPr>
    </w:lvl>
    <w:lvl w:ilvl="7" w:tplc="ABBA6E20" w:tentative="1">
      <w:start w:val="1"/>
      <w:numFmt w:val="bullet"/>
      <w:lvlText w:val="o"/>
      <w:lvlJc w:val="left"/>
      <w:pPr>
        <w:ind w:left="5760" w:hanging="360"/>
      </w:pPr>
      <w:rPr>
        <w:rFonts w:ascii="Courier New" w:hAnsi="Courier New" w:cs="Courier New" w:hint="default"/>
      </w:rPr>
    </w:lvl>
    <w:lvl w:ilvl="8" w:tplc="4D8C4D74" w:tentative="1">
      <w:start w:val="1"/>
      <w:numFmt w:val="bullet"/>
      <w:lvlText w:val=""/>
      <w:lvlJc w:val="left"/>
      <w:pPr>
        <w:ind w:left="6480" w:hanging="360"/>
      </w:pPr>
      <w:rPr>
        <w:rFonts w:ascii="Wingdings" w:hAnsi="Wingdings" w:hint="default"/>
      </w:rPr>
    </w:lvl>
  </w:abstractNum>
  <w:abstractNum w:abstractNumId="20" w15:restartNumberingAfterBreak="0">
    <w:nsid w:val="7A1A795E"/>
    <w:multiLevelType w:val="hybridMultilevel"/>
    <w:tmpl w:val="B85427A4"/>
    <w:lvl w:ilvl="0" w:tplc="1B2CC988">
      <w:start w:val="1"/>
      <w:numFmt w:val="bullet"/>
      <w:lvlText w:val=""/>
      <w:lvlJc w:val="left"/>
      <w:pPr>
        <w:ind w:left="720" w:hanging="360"/>
      </w:pPr>
      <w:rPr>
        <w:rFonts w:ascii="Symbol" w:hAnsi="Symbol" w:hint="default"/>
        <w:lang w:val="en-CA"/>
      </w:rPr>
    </w:lvl>
    <w:lvl w:ilvl="1" w:tplc="72F22804" w:tentative="1">
      <w:start w:val="1"/>
      <w:numFmt w:val="bullet"/>
      <w:lvlText w:val="o"/>
      <w:lvlJc w:val="left"/>
      <w:pPr>
        <w:ind w:left="1440" w:hanging="360"/>
      </w:pPr>
      <w:rPr>
        <w:rFonts w:ascii="Courier New" w:hAnsi="Courier New" w:cs="Courier New" w:hint="default"/>
      </w:rPr>
    </w:lvl>
    <w:lvl w:ilvl="2" w:tplc="9B1AC328" w:tentative="1">
      <w:start w:val="1"/>
      <w:numFmt w:val="bullet"/>
      <w:lvlText w:val=""/>
      <w:lvlJc w:val="left"/>
      <w:pPr>
        <w:ind w:left="2160" w:hanging="360"/>
      </w:pPr>
      <w:rPr>
        <w:rFonts w:ascii="Wingdings" w:hAnsi="Wingdings" w:hint="default"/>
      </w:rPr>
    </w:lvl>
    <w:lvl w:ilvl="3" w:tplc="51C09C60" w:tentative="1">
      <w:start w:val="1"/>
      <w:numFmt w:val="bullet"/>
      <w:lvlText w:val=""/>
      <w:lvlJc w:val="left"/>
      <w:pPr>
        <w:ind w:left="2880" w:hanging="360"/>
      </w:pPr>
      <w:rPr>
        <w:rFonts w:ascii="Symbol" w:hAnsi="Symbol" w:hint="default"/>
      </w:rPr>
    </w:lvl>
    <w:lvl w:ilvl="4" w:tplc="768436E8" w:tentative="1">
      <w:start w:val="1"/>
      <w:numFmt w:val="bullet"/>
      <w:lvlText w:val="o"/>
      <w:lvlJc w:val="left"/>
      <w:pPr>
        <w:ind w:left="3600" w:hanging="360"/>
      </w:pPr>
      <w:rPr>
        <w:rFonts w:ascii="Courier New" w:hAnsi="Courier New" w:cs="Courier New" w:hint="default"/>
      </w:rPr>
    </w:lvl>
    <w:lvl w:ilvl="5" w:tplc="D46E05A8" w:tentative="1">
      <w:start w:val="1"/>
      <w:numFmt w:val="bullet"/>
      <w:lvlText w:val=""/>
      <w:lvlJc w:val="left"/>
      <w:pPr>
        <w:ind w:left="4320" w:hanging="360"/>
      </w:pPr>
      <w:rPr>
        <w:rFonts w:ascii="Wingdings" w:hAnsi="Wingdings" w:hint="default"/>
      </w:rPr>
    </w:lvl>
    <w:lvl w:ilvl="6" w:tplc="4CDC02E4" w:tentative="1">
      <w:start w:val="1"/>
      <w:numFmt w:val="bullet"/>
      <w:lvlText w:val=""/>
      <w:lvlJc w:val="left"/>
      <w:pPr>
        <w:ind w:left="5040" w:hanging="360"/>
      </w:pPr>
      <w:rPr>
        <w:rFonts w:ascii="Symbol" w:hAnsi="Symbol" w:hint="default"/>
      </w:rPr>
    </w:lvl>
    <w:lvl w:ilvl="7" w:tplc="58F2A4DA" w:tentative="1">
      <w:start w:val="1"/>
      <w:numFmt w:val="bullet"/>
      <w:lvlText w:val="o"/>
      <w:lvlJc w:val="left"/>
      <w:pPr>
        <w:ind w:left="5760" w:hanging="360"/>
      </w:pPr>
      <w:rPr>
        <w:rFonts w:ascii="Courier New" w:hAnsi="Courier New" w:cs="Courier New" w:hint="default"/>
      </w:rPr>
    </w:lvl>
    <w:lvl w:ilvl="8" w:tplc="CD0265EE"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7"/>
  </w:num>
  <w:num w:numId="14">
    <w:abstractNumId w:val="13"/>
  </w:num>
  <w:num w:numId="15">
    <w:abstractNumId w:val="14"/>
  </w:num>
  <w:num w:numId="16">
    <w:abstractNumId w:val="18"/>
  </w:num>
  <w:num w:numId="17">
    <w:abstractNumId w:val="10"/>
  </w:num>
  <w:num w:numId="18">
    <w:abstractNumId w:val="15"/>
  </w:num>
  <w:num w:numId="19">
    <w:abstractNumId w:val="11"/>
  </w:num>
  <w:num w:numId="20">
    <w:abstractNumId w:val="19"/>
  </w:num>
  <w:num w:numId="21">
    <w:abstractNumId w:val="20"/>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A6"/>
    <w:rsid w:val="00011318"/>
    <w:rsid w:val="000125E3"/>
    <w:rsid w:val="00074E50"/>
    <w:rsid w:val="000822B7"/>
    <w:rsid w:val="000870BE"/>
    <w:rsid w:val="000A4893"/>
    <w:rsid w:val="000B03D6"/>
    <w:rsid w:val="000C0C3C"/>
    <w:rsid w:val="000F33C8"/>
    <w:rsid w:val="000F4B0F"/>
    <w:rsid w:val="001358C1"/>
    <w:rsid w:val="001473F9"/>
    <w:rsid w:val="001675EB"/>
    <w:rsid w:val="00167C03"/>
    <w:rsid w:val="001864B5"/>
    <w:rsid w:val="00187A32"/>
    <w:rsid w:val="00193FAA"/>
    <w:rsid w:val="001B6AD5"/>
    <w:rsid w:val="001C1211"/>
    <w:rsid w:val="001D130D"/>
    <w:rsid w:val="001E63D2"/>
    <w:rsid w:val="001F6D26"/>
    <w:rsid w:val="002025B5"/>
    <w:rsid w:val="00210BC5"/>
    <w:rsid w:val="002226C7"/>
    <w:rsid w:val="00225A36"/>
    <w:rsid w:val="0024086D"/>
    <w:rsid w:val="00263CCE"/>
    <w:rsid w:val="00283E6F"/>
    <w:rsid w:val="00286EF7"/>
    <w:rsid w:val="002941D5"/>
    <w:rsid w:val="002D279C"/>
    <w:rsid w:val="002D7528"/>
    <w:rsid w:val="00330E72"/>
    <w:rsid w:val="00331402"/>
    <w:rsid w:val="00357F4E"/>
    <w:rsid w:val="00366868"/>
    <w:rsid w:val="0037421B"/>
    <w:rsid w:val="003923BD"/>
    <w:rsid w:val="00395D5E"/>
    <w:rsid w:val="003A48C0"/>
    <w:rsid w:val="003C0269"/>
    <w:rsid w:val="003D7F30"/>
    <w:rsid w:val="003F0CD9"/>
    <w:rsid w:val="00414D8E"/>
    <w:rsid w:val="004164DA"/>
    <w:rsid w:val="0042513F"/>
    <w:rsid w:val="004279DD"/>
    <w:rsid w:val="004355B8"/>
    <w:rsid w:val="0044316A"/>
    <w:rsid w:val="004540D0"/>
    <w:rsid w:val="004B0067"/>
    <w:rsid w:val="004C013D"/>
    <w:rsid w:val="004D0BB8"/>
    <w:rsid w:val="004D5A8B"/>
    <w:rsid w:val="004E1D45"/>
    <w:rsid w:val="004E3527"/>
    <w:rsid w:val="004F38B1"/>
    <w:rsid w:val="00511136"/>
    <w:rsid w:val="00537588"/>
    <w:rsid w:val="00541F70"/>
    <w:rsid w:val="005960FC"/>
    <w:rsid w:val="005A0DA6"/>
    <w:rsid w:val="005A3926"/>
    <w:rsid w:val="005A64AD"/>
    <w:rsid w:val="005D2898"/>
    <w:rsid w:val="005D2BD4"/>
    <w:rsid w:val="005F455B"/>
    <w:rsid w:val="0060445E"/>
    <w:rsid w:val="00614EA4"/>
    <w:rsid w:val="006246B2"/>
    <w:rsid w:val="006440AF"/>
    <w:rsid w:val="00654DBA"/>
    <w:rsid w:val="006602BF"/>
    <w:rsid w:val="00667E14"/>
    <w:rsid w:val="0068656E"/>
    <w:rsid w:val="0069045A"/>
    <w:rsid w:val="006A1E84"/>
    <w:rsid w:val="006A7F85"/>
    <w:rsid w:val="006B0CED"/>
    <w:rsid w:val="006B26F9"/>
    <w:rsid w:val="006C2D4A"/>
    <w:rsid w:val="006E1FA3"/>
    <w:rsid w:val="006E6CE8"/>
    <w:rsid w:val="006E744A"/>
    <w:rsid w:val="006F41BA"/>
    <w:rsid w:val="00713635"/>
    <w:rsid w:val="00725DE8"/>
    <w:rsid w:val="00764899"/>
    <w:rsid w:val="00775160"/>
    <w:rsid w:val="00775F69"/>
    <w:rsid w:val="00776762"/>
    <w:rsid w:val="00777822"/>
    <w:rsid w:val="00786043"/>
    <w:rsid w:val="007A4522"/>
    <w:rsid w:val="007B40A9"/>
    <w:rsid w:val="007B4237"/>
    <w:rsid w:val="007C6E42"/>
    <w:rsid w:val="007D666F"/>
    <w:rsid w:val="007F62B6"/>
    <w:rsid w:val="0080314B"/>
    <w:rsid w:val="00823E4F"/>
    <w:rsid w:val="00840B3C"/>
    <w:rsid w:val="00857FA3"/>
    <w:rsid w:val="008944B7"/>
    <w:rsid w:val="008979C1"/>
    <w:rsid w:val="008D03BD"/>
    <w:rsid w:val="0090141C"/>
    <w:rsid w:val="009069CF"/>
    <w:rsid w:val="00906B34"/>
    <w:rsid w:val="009219FE"/>
    <w:rsid w:val="0093359A"/>
    <w:rsid w:val="00934A78"/>
    <w:rsid w:val="0094293F"/>
    <w:rsid w:val="00954B5C"/>
    <w:rsid w:val="00962F60"/>
    <w:rsid w:val="00966EEF"/>
    <w:rsid w:val="00974E0B"/>
    <w:rsid w:val="0098476E"/>
    <w:rsid w:val="009958B1"/>
    <w:rsid w:val="009C4BA2"/>
    <w:rsid w:val="009D302D"/>
    <w:rsid w:val="009E5E7A"/>
    <w:rsid w:val="009E5F37"/>
    <w:rsid w:val="009E63EC"/>
    <w:rsid w:val="009F1078"/>
    <w:rsid w:val="00A268C1"/>
    <w:rsid w:val="00A45D0C"/>
    <w:rsid w:val="00A75DBA"/>
    <w:rsid w:val="00AA4279"/>
    <w:rsid w:val="00AC14F0"/>
    <w:rsid w:val="00AE3430"/>
    <w:rsid w:val="00AF5566"/>
    <w:rsid w:val="00B50975"/>
    <w:rsid w:val="00B6337D"/>
    <w:rsid w:val="00B73E4C"/>
    <w:rsid w:val="00B84A00"/>
    <w:rsid w:val="00BB2953"/>
    <w:rsid w:val="00BD0CA5"/>
    <w:rsid w:val="00BD7B09"/>
    <w:rsid w:val="00BE0D96"/>
    <w:rsid w:val="00BE7B82"/>
    <w:rsid w:val="00BF3F16"/>
    <w:rsid w:val="00BF5AFC"/>
    <w:rsid w:val="00C102B0"/>
    <w:rsid w:val="00C1712D"/>
    <w:rsid w:val="00C27EC0"/>
    <w:rsid w:val="00C54BD1"/>
    <w:rsid w:val="00C5670E"/>
    <w:rsid w:val="00C669E1"/>
    <w:rsid w:val="00C70469"/>
    <w:rsid w:val="00C81658"/>
    <w:rsid w:val="00C818BD"/>
    <w:rsid w:val="00CA7ECB"/>
    <w:rsid w:val="00CB7415"/>
    <w:rsid w:val="00CD37B6"/>
    <w:rsid w:val="00CF0952"/>
    <w:rsid w:val="00D0785A"/>
    <w:rsid w:val="00D12364"/>
    <w:rsid w:val="00D65EB8"/>
    <w:rsid w:val="00D663CC"/>
    <w:rsid w:val="00D75A73"/>
    <w:rsid w:val="00DA12DE"/>
    <w:rsid w:val="00DC21F6"/>
    <w:rsid w:val="00E220C7"/>
    <w:rsid w:val="00E40599"/>
    <w:rsid w:val="00E60074"/>
    <w:rsid w:val="00E85BA9"/>
    <w:rsid w:val="00E967DA"/>
    <w:rsid w:val="00EA7B06"/>
    <w:rsid w:val="00EB6537"/>
    <w:rsid w:val="00F3637E"/>
    <w:rsid w:val="00F531BE"/>
    <w:rsid w:val="00F86B38"/>
    <w:rsid w:val="00FA01DE"/>
    <w:rsid w:val="00FC155A"/>
    <w:rsid w:val="00FC17FE"/>
    <w:rsid w:val="00FE3B47"/>
  </w:rsids>
  <m:mathPr>
    <m:mathFont m:val="Cambria Math"/>
    <m:brkBin m:val="before"/>
    <m:brkBinSub m:val="--"/>
    <m:smallFrac m:val="0"/>
    <m:dispDef/>
    <m:lMargin m:val="0"/>
    <m:rMargin m:val="0"/>
    <m:defJc m:val="centerGroup"/>
    <m:wrapRight/>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3CB63"/>
  <w15:docId w15:val="{E3920155-2961-41F7-BA33-94BC1621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0NormalDecision">
    <w:name w:val="00_NormalDecision"/>
    <w:pPr>
      <w:keepLines/>
      <w:suppressAutoHyphens/>
    </w:pPr>
    <w:rPr>
      <w:rFonts w:ascii="Arial" w:hAnsi="Arial"/>
      <w:noProof/>
      <w:sz w:val="24"/>
      <w:lang w:val="en-US" w:eastAsia="en-US"/>
    </w:rPr>
  </w:style>
  <w:style w:type="paragraph" w:customStyle="1" w:styleId="01Tribunal">
    <w:name w:val="01_Tribunal"/>
    <w:basedOn w:val="00NormalDecision"/>
    <w:pPr>
      <w:jc w:val="center"/>
    </w:pPr>
    <w:rPr>
      <w:b/>
      <w:sz w:val="36"/>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customStyle="1" w:styleId="01aTribunal-ligne">
    <w:name w:val="01a_Tribunal-ligne"/>
    <w:basedOn w:val="01Tribunal"/>
    <w:next w:val="00NormalDecision"/>
    <w:pPr>
      <w:spacing w:after="720"/>
      <w:ind w:left="1531" w:right="1531"/>
    </w:pPr>
  </w:style>
  <w:style w:type="paragraph" w:customStyle="1" w:styleId="02Section">
    <w:name w:val="02_Section"/>
    <w:basedOn w:val="00NormalDecision"/>
    <w:next w:val="00NormalDecision"/>
    <w:rPr>
      <w:b/>
      <w:sz w:val="32"/>
    </w:rPr>
  </w:style>
  <w:style w:type="paragraph" w:customStyle="1" w:styleId="03Matiere">
    <w:name w:val="03_Matiere"/>
    <w:basedOn w:val="00NormalDecision"/>
    <w:next w:val="00NormalDecision"/>
  </w:style>
  <w:style w:type="paragraph" w:customStyle="1" w:styleId="072Agissant">
    <w:name w:val="07.2_Agissant"/>
    <w:basedOn w:val="00NormalDecision"/>
    <w:next w:val="00NormalDecision"/>
    <w:pPr>
      <w:keepNext/>
      <w:ind w:right="170"/>
    </w:pPr>
  </w:style>
  <w:style w:type="character" w:customStyle="1" w:styleId="040PrefixeDate">
    <w:name w:val="04.0_PrefixeDate"/>
    <w:rPr>
      <w:rFonts w:ascii="Arial" w:hAnsi="Arial"/>
      <w:b/>
      <w:sz w:val="28"/>
    </w:rPr>
  </w:style>
  <w:style w:type="paragraph" w:customStyle="1" w:styleId="04DateDecision">
    <w:name w:val="04_DateDecision"/>
    <w:basedOn w:val="00NormalDecision"/>
    <w:next w:val="00NormalDecision"/>
    <w:pPr>
      <w:spacing w:before="120"/>
    </w:pPr>
  </w:style>
  <w:style w:type="paragraph" w:customStyle="1" w:styleId="05Dossier">
    <w:name w:val="05_Dossier"/>
    <w:basedOn w:val="00NormalDecision"/>
    <w:next w:val="00NormalDecision"/>
    <w:pPr>
      <w:spacing w:before="120" w:after="240"/>
      <w:ind w:left="1440" w:hanging="1440"/>
    </w:pPr>
  </w:style>
  <w:style w:type="character" w:customStyle="1" w:styleId="050PrefixeDossier">
    <w:name w:val="05.0_PrefixeDossier"/>
    <w:rPr>
      <w:rFonts w:ascii="Arial" w:hAnsi="Arial"/>
      <w:b/>
      <w:sz w:val="28"/>
    </w:rPr>
  </w:style>
  <w:style w:type="paragraph" w:customStyle="1" w:styleId="060CompositionFormation">
    <w:name w:val="06.0_CompositionFormation"/>
    <w:basedOn w:val="00NormalDecision"/>
    <w:next w:val="00NormalDecision"/>
    <w:pPr>
      <w:spacing w:before="360" w:after="240"/>
    </w:pPr>
    <w:rPr>
      <w:b/>
      <w:sz w:val="28"/>
    </w:rPr>
  </w:style>
  <w:style w:type="paragraph" w:customStyle="1" w:styleId="06Membre">
    <w:name w:val="06_Membre"/>
    <w:basedOn w:val="00NormalDecision"/>
    <w:next w:val="00NormalDecision"/>
    <w:pPr>
      <w:pBdr>
        <w:bottom w:val="single" w:sz="4" w:space="12" w:color="auto"/>
      </w:pBdr>
    </w:pPr>
    <w:rPr>
      <w:caps/>
    </w:rPr>
  </w:style>
  <w:style w:type="paragraph" w:customStyle="1" w:styleId="071IdentificationPartie">
    <w:name w:val="07.1_IdentificationPartie"/>
    <w:basedOn w:val="00NormalDecision"/>
    <w:next w:val="00NormalDecision"/>
    <w:pPr>
      <w:spacing w:before="120"/>
      <w:ind w:right="176"/>
    </w:pPr>
  </w:style>
  <w:style w:type="paragraph" w:customStyle="1" w:styleId="070DebutDivParties">
    <w:name w:val="07.0_[DebutDivParties]"/>
    <w:basedOn w:val="00NormalDecision"/>
    <w:next w:val="00NormalDecision"/>
    <w:pPr>
      <w:spacing w:before="1580" w:after="120"/>
      <w:ind w:right="170"/>
    </w:pPr>
    <w:rPr>
      <w:color w:val="C0C0C0"/>
    </w:rPr>
  </w:style>
  <w:style w:type="paragraph" w:customStyle="1" w:styleId="073QualitePartie">
    <w:name w:val="07.3_QualitePartie"/>
    <w:basedOn w:val="00NormalDecision"/>
    <w:next w:val="00NormalDecision"/>
    <w:pPr>
      <w:spacing w:before="120"/>
      <w:ind w:right="176"/>
    </w:pPr>
  </w:style>
  <w:style w:type="paragraph" w:customStyle="1" w:styleId="074Indicateur-cet">
    <w:name w:val="07.4_Indicateur-c./et"/>
    <w:basedOn w:val="00NormalDecision"/>
    <w:next w:val="00NormalDecision"/>
    <w:pPr>
      <w:spacing w:before="80" w:after="60"/>
      <w:ind w:right="176"/>
    </w:pPr>
  </w:style>
  <w:style w:type="paragraph" w:customStyle="1" w:styleId="08aFinPageTitre-ligne">
    <w:name w:val="08a_FinPageTitre-ligne"/>
    <w:basedOn w:val="00NormalDecision"/>
    <w:next w:val="Normal"/>
    <w:pPr>
      <w:keepNext/>
      <w:pBdr>
        <w:bottom w:val="single" w:sz="6" w:space="1" w:color="auto"/>
      </w:pBdr>
      <w:ind w:left="3398" w:right="173"/>
    </w:pPr>
  </w:style>
  <w:style w:type="paragraph" w:customStyle="1" w:styleId="09Entete">
    <w:name w:val="09_Entete"/>
    <w:basedOn w:val="00NormalDecision"/>
    <w:next w:val="00NormalDecision"/>
    <w:pPr>
      <w:tabs>
        <w:tab w:val="right" w:pos="8222"/>
      </w:tabs>
    </w:pPr>
  </w:style>
  <w:style w:type="paragraph" w:customStyle="1" w:styleId="13aSignature-ligne">
    <w:name w:val="13a_Signature-ligne"/>
    <w:basedOn w:val="00NormalDecision"/>
    <w:next w:val="00NormalDecision"/>
    <w:pPr>
      <w:keepNext/>
      <w:pBdr>
        <w:bottom w:val="single" w:sz="4" w:space="1" w:color="auto"/>
      </w:pBdr>
      <w:spacing w:before="720" w:after="40"/>
      <w:ind w:left="3975"/>
    </w:pPr>
  </w:style>
  <w:style w:type="paragraph" w:customStyle="1" w:styleId="10TypeDecision">
    <w:name w:val="10_TypeDecision"/>
    <w:basedOn w:val="00NormalDecision"/>
    <w:next w:val="00NormalDecision"/>
    <w:pPr>
      <w:spacing w:before="240" w:after="60"/>
      <w:jc w:val="center"/>
    </w:pPr>
    <w:rPr>
      <w:b/>
      <w:caps/>
      <w:sz w:val="32"/>
    </w:rPr>
  </w:style>
  <w:style w:type="paragraph" w:customStyle="1" w:styleId="11MatierePageSignatures">
    <w:name w:val="11_MatierePageSignatures"/>
    <w:basedOn w:val="00NormalDecision"/>
    <w:next w:val="00NormalDecision"/>
    <w:pPr>
      <w:jc w:val="center"/>
    </w:pPr>
  </w:style>
  <w:style w:type="paragraph" w:customStyle="1" w:styleId="13Signature">
    <w:name w:val="13_Signature"/>
    <w:basedOn w:val="00NormalDecision"/>
    <w:next w:val="00NormalDecision"/>
    <w:pPr>
      <w:ind w:left="3975"/>
    </w:pPr>
  </w:style>
  <w:style w:type="paragraph" w:styleId="Explorateurdedocuments">
    <w:name w:val="Document Map"/>
    <w:basedOn w:val="Normal"/>
    <w:semiHidden/>
    <w:pPr>
      <w:shd w:val="clear" w:color="auto" w:fill="000080"/>
    </w:pPr>
    <w:rPr>
      <w:rFonts w:ascii="Tahoma" w:hAnsi="Tahoma"/>
    </w:rPr>
  </w:style>
  <w:style w:type="paragraph" w:customStyle="1" w:styleId="12ContenuDecision">
    <w:name w:val="12_ContenuDecision"/>
    <w:basedOn w:val="00NormalDecision"/>
    <w:pPr>
      <w:numPr>
        <w:numId w:val="13"/>
      </w:numPr>
      <w:shd w:val="solid" w:color="FFFFFF" w:fill="FFFFFF"/>
      <w:spacing w:after="240"/>
    </w:pPr>
  </w:style>
  <w:style w:type="paragraph" w:customStyle="1" w:styleId="12DebutDivContenuDecision">
    <w:name w:val="12_[DebutDivContenuDecision]"/>
    <w:basedOn w:val="00NormalDecision"/>
    <w:next w:val="00NormalDecision"/>
    <w:pPr>
      <w:spacing w:before="240"/>
    </w:pPr>
    <w:rPr>
      <w:color w:val="C0C0C0"/>
    </w:rPr>
  </w:style>
  <w:style w:type="paragraph" w:customStyle="1" w:styleId="100SectionsContinues">
    <w:name w:val="10.0_[SectionsContinues]"/>
    <w:basedOn w:val="00NormalDecision"/>
    <w:next w:val="00NormalDecision"/>
    <w:rPr>
      <w:color w:val="808080"/>
      <w:sz w:val="4"/>
    </w:rPr>
  </w:style>
  <w:style w:type="paragraph" w:customStyle="1" w:styleId="14DateDecisionFin">
    <w:name w:val="14_DateDecisionFin"/>
    <w:basedOn w:val="00NormalDecision"/>
    <w:next w:val="00NormalDecision"/>
    <w:pPr>
      <w:keepNext/>
      <w:keepLines w:val="0"/>
      <w:spacing w:before="480"/>
      <w:jc w:val="right"/>
    </w:pPr>
  </w:style>
  <w:style w:type="paragraph" w:styleId="Corpsdetexte">
    <w:name w:val="Body Text"/>
    <w:basedOn w:val="Normal"/>
    <w:pPr>
      <w:spacing w:after="120"/>
    </w:pPr>
  </w:style>
  <w:style w:type="character" w:customStyle="1" w:styleId="10aTypeDecisionBis">
    <w:name w:val="10a_TypeDecisionBis"/>
    <w:rPr>
      <w:noProof/>
    </w:rPr>
  </w:style>
  <w:style w:type="paragraph" w:customStyle="1" w:styleId="F02-Texte">
    <w:name w:val="F02-Texte"/>
    <w:basedOn w:val="Normal"/>
    <w:pPr>
      <w:numPr>
        <w:numId w:val="14"/>
      </w:numPr>
      <w:spacing w:before="320"/>
      <w:ind w:left="0" w:firstLine="0"/>
      <w:jc w:val="both"/>
    </w:pPr>
  </w:style>
  <w:style w:type="paragraph" w:customStyle="1" w:styleId="F04-Retrait">
    <w:name w:val="F04-Retrait"/>
    <w:basedOn w:val="Normal"/>
    <w:pPr>
      <w:spacing w:before="320"/>
      <w:ind w:left="850" w:right="850"/>
      <w:jc w:val="both"/>
    </w:pPr>
    <w:rPr>
      <w:i/>
    </w:rPr>
  </w:style>
  <w:style w:type="paragraph" w:customStyle="1" w:styleId="F05-Retrait2">
    <w:name w:val="F05-Retrait 2"/>
    <w:basedOn w:val="Normal"/>
    <w:pPr>
      <w:spacing w:before="320"/>
      <w:ind w:left="1440" w:right="1440"/>
      <w:jc w:val="both"/>
    </w:pPr>
    <w:rPr>
      <w:i/>
    </w:rPr>
  </w:style>
  <w:style w:type="paragraph" w:customStyle="1" w:styleId="F06-Tiret">
    <w:name w:val="F06-Tiret"/>
    <w:basedOn w:val="Normal"/>
    <w:pPr>
      <w:numPr>
        <w:numId w:val="15"/>
      </w:numPr>
      <w:spacing w:before="320"/>
      <w:jc w:val="both"/>
    </w:pPr>
  </w:style>
  <w:style w:type="paragraph" w:customStyle="1" w:styleId="F07-Boulet">
    <w:name w:val="F07-Boulet"/>
    <w:basedOn w:val="Normal"/>
    <w:pPr>
      <w:numPr>
        <w:numId w:val="16"/>
      </w:numPr>
      <w:spacing w:before="320"/>
      <w:jc w:val="both"/>
    </w:pPr>
  </w:style>
  <w:style w:type="paragraph" w:customStyle="1" w:styleId="F11-Filet">
    <w:name w:val="F11-Filet"/>
    <w:basedOn w:val="Normal"/>
    <w:next w:val="F02-Texte"/>
    <w:pPr>
      <w:pBdr>
        <w:top w:val="single" w:sz="4" w:space="16" w:color="auto"/>
      </w:pBdr>
      <w:spacing w:before="700"/>
      <w:ind w:left="2019" w:right="2019"/>
      <w:jc w:val="center"/>
    </w:pPr>
  </w:style>
  <w:style w:type="paragraph" w:customStyle="1" w:styleId="F12-Procureur">
    <w:name w:val="F12-Procureur"/>
    <w:basedOn w:val="Normal"/>
    <w:pPr>
      <w:widowControl w:val="0"/>
    </w:pPr>
  </w:style>
  <w:style w:type="paragraph" w:customStyle="1" w:styleId="F08-Titre">
    <w:name w:val="F08-Titre"/>
    <w:basedOn w:val="Normal"/>
    <w:pPr>
      <w:keepNext/>
      <w:spacing w:before="320"/>
      <w:jc w:val="both"/>
    </w:pPr>
    <w:rPr>
      <w:b/>
    </w:rPr>
  </w:style>
  <w:style w:type="paragraph" w:customStyle="1" w:styleId="13bSignature">
    <w:name w:val="13b_Signature"/>
    <w:basedOn w:val="00NormalDecision"/>
    <w:rPr>
      <w:caps/>
    </w:rPr>
  </w:style>
  <w:style w:type="paragraph" w:customStyle="1" w:styleId="13bSignatureTableau">
    <w:name w:val="13b_SignatureTableau"/>
    <w:basedOn w:val="00NormalDecision"/>
  </w:style>
  <w:style w:type="paragraph" w:customStyle="1" w:styleId="10aDecisionDate">
    <w:name w:val="10a_DecisionDate"/>
    <w:basedOn w:val="10TypeDecision"/>
    <w:rPr>
      <w:caps w:val="0"/>
    </w:rPr>
  </w:style>
  <w:style w:type="paragraph" w:styleId="Retraitcorpsdetexte">
    <w:name w:val="Body Text Indent"/>
    <w:basedOn w:val="Normal"/>
    <w:pPr>
      <w:spacing w:after="120"/>
      <w:ind w:left="360"/>
    </w:pPr>
  </w:style>
  <w:style w:type="character" w:customStyle="1" w:styleId="16Invisible">
    <w:name w:val="16_Invisible"/>
    <w:rPr>
      <w:rFonts w:ascii="Microsoft Sans Serif" w:hAnsi="Microsoft Sans Serif"/>
      <w:color w:val="FFFFFF"/>
      <w:sz w:val="2"/>
    </w:rPr>
  </w:style>
  <w:style w:type="paragraph" w:customStyle="1" w:styleId="15Procureur">
    <w:name w:val="15_Procureur"/>
    <w:basedOn w:val="00NormalDecision"/>
    <w:rPr>
      <w:noProof w:val="0"/>
      <w:lang w:val="fr-CA"/>
    </w:rPr>
  </w:style>
  <w:style w:type="paragraph" w:customStyle="1" w:styleId="F10-Date">
    <w:name w:val="F10-Date"/>
    <w:basedOn w:val="Normal"/>
  </w:style>
  <w:style w:type="paragraph" w:customStyle="1" w:styleId="F09-Signature">
    <w:name w:val="F09-Signature"/>
    <w:basedOn w:val="13aSignature-ligne"/>
    <w:pPr>
      <w:pBdr>
        <w:top w:val="single" w:sz="4" w:space="1" w:color="auto"/>
        <w:bottom w:val="none" w:sz="0" w:space="0" w:color="auto"/>
      </w:pBdr>
      <w:spacing w:after="240"/>
      <w:ind w:left="3969"/>
      <w:jc w:val="right"/>
    </w:pPr>
    <w:rPr>
      <w:caps/>
    </w:rPr>
  </w:style>
  <w:style w:type="paragraph" w:customStyle="1" w:styleId="074Indicateur-Cet1page">
    <w:name w:val="07.4_Indicateur-C./et1page"/>
    <w:basedOn w:val="074Indicateur-cet"/>
    <w:next w:val="074Indicateur-cet"/>
  </w:style>
  <w:style w:type="paragraph" w:customStyle="1" w:styleId="070FinDivParties">
    <w:name w:val="07.0_[FinDivParties]"/>
    <w:basedOn w:val="070DebutDivParties"/>
    <w:pPr>
      <w:spacing w:before="1600"/>
    </w:pPr>
  </w:style>
  <w:style w:type="paragraph" w:customStyle="1" w:styleId="16Invisible2">
    <w:name w:val="16_Invisible2"/>
    <w:pPr>
      <w:spacing w:line="20" w:lineRule="exact"/>
    </w:pPr>
    <w:rPr>
      <w:color w:val="FFFFFF"/>
      <w:sz w:val="2"/>
      <w:lang w:val="fr-FR" w:eastAsia="fr-FR"/>
    </w:rPr>
  </w:style>
  <w:style w:type="paragraph" w:styleId="Notedebasdepage">
    <w:name w:val="footnote text"/>
    <w:basedOn w:val="Normal"/>
    <w:link w:val="NotedebasdepageCar"/>
    <w:rsid w:val="009C3CB5"/>
    <w:rPr>
      <w:sz w:val="20"/>
    </w:rPr>
  </w:style>
  <w:style w:type="character" w:customStyle="1" w:styleId="NotedebasdepageCar">
    <w:name w:val="Note de bas de page Car"/>
    <w:link w:val="Notedebasdepage"/>
    <w:rsid w:val="009C3CB5"/>
    <w:rPr>
      <w:rFonts w:ascii="Arial" w:hAnsi="Arial"/>
      <w:lang w:eastAsia="en-US"/>
    </w:rPr>
  </w:style>
  <w:style w:type="character" w:styleId="Appelnotedebasdep">
    <w:name w:val="footnote reference"/>
    <w:rsid w:val="009C3CB5"/>
    <w:rPr>
      <w:vertAlign w:val="superscript"/>
    </w:rPr>
  </w:style>
  <w:style w:type="character" w:styleId="Marquedecommentaire">
    <w:name w:val="annotation reference"/>
    <w:rsid w:val="00800B94"/>
    <w:rPr>
      <w:sz w:val="16"/>
      <w:szCs w:val="16"/>
    </w:rPr>
  </w:style>
  <w:style w:type="paragraph" w:styleId="Commentaire">
    <w:name w:val="annotation text"/>
    <w:basedOn w:val="Normal"/>
    <w:link w:val="CommentaireCar"/>
    <w:rsid w:val="00800B94"/>
    <w:rPr>
      <w:sz w:val="20"/>
    </w:rPr>
  </w:style>
  <w:style w:type="character" w:customStyle="1" w:styleId="CommentaireCar">
    <w:name w:val="Commentaire Car"/>
    <w:link w:val="Commentaire"/>
    <w:rsid w:val="00800B94"/>
    <w:rPr>
      <w:rFonts w:ascii="Arial" w:hAnsi="Arial"/>
      <w:lang w:eastAsia="en-US"/>
    </w:rPr>
  </w:style>
  <w:style w:type="paragraph" w:styleId="Objetducommentaire">
    <w:name w:val="annotation subject"/>
    <w:basedOn w:val="Commentaire"/>
    <w:next w:val="Commentaire"/>
    <w:link w:val="ObjetducommentaireCar"/>
    <w:rsid w:val="00800B94"/>
    <w:rPr>
      <w:b/>
      <w:bCs/>
    </w:rPr>
  </w:style>
  <w:style w:type="character" w:customStyle="1" w:styleId="ObjetducommentaireCar">
    <w:name w:val="Objet du commentaire Car"/>
    <w:link w:val="Objetducommentaire"/>
    <w:rsid w:val="00800B94"/>
    <w:rPr>
      <w:rFonts w:ascii="Arial" w:hAnsi="Arial"/>
      <w:b/>
      <w:bCs/>
      <w:lang w:eastAsia="en-US"/>
    </w:rPr>
  </w:style>
  <w:style w:type="paragraph" w:styleId="Textedebulles">
    <w:name w:val="Balloon Text"/>
    <w:basedOn w:val="Normal"/>
    <w:link w:val="TextedebullesCar"/>
    <w:rsid w:val="00800B94"/>
    <w:rPr>
      <w:rFonts w:ascii="Segoe UI" w:hAnsi="Segoe UI" w:cs="Segoe UI"/>
      <w:sz w:val="18"/>
      <w:szCs w:val="18"/>
    </w:rPr>
  </w:style>
  <w:style w:type="character" w:customStyle="1" w:styleId="TextedebullesCar">
    <w:name w:val="Texte de bulles Car"/>
    <w:link w:val="Textedebulles"/>
    <w:rsid w:val="00800B94"/>
    <w:rPr>
      <w:rFonts w:ascii="Segoe UI" w:hAnsi="Segoe UI" w:cs="Segoe UI"/>
      <w:sz w:val="18"/>
      <w:szCs w:val="18"/>
      <w:lang w:eastAsia="en-US"/>
    </w:rPr>
  </w:style>
  <w:style w:type="character" w:styleId="Lienhypertexte">
    <w:name w:val="Hyperlink"/>
    <w:rsid w:val="00D623DE"/>
    <w:rPr>
      <w:color w:val="0563C1"/>
      <w:u w:val="single"/>
    </w:rPr>
  </w:style>
  <w:style w:type="character" w:styleId="Lienhypertextesuivivisit">
    <w:name w:val="FollowedHyperlink"/>
    <w:basedOn w:val="Policepardfaut"/>
    <w:rsid w:val="00BE0D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781703">
      <w:bodyDiv w:val="1"/>
      <w:marLeft w:val="0"/>
      <w:marRight w:val="0"/>
      <w:marTop w:val="0"/>
      <w:marBottom w:val="0"/>
      <w:divBdr>
        <w:top w:val="none" w:sz="0" w:space="0" w:color="auto"/>
        <w:left w:val="none" w:sz="0" w:space="0" w:color="auto"/>
        <w:bottom w:val="none" w:sz="0" w:space="0" w:color="auto"/>
        <w:right w:val="none" w:sz="0" w:space="0" w:color="auto"/>
      </w:divBdr>
      <w:divsChild>
        <w:div w:id="889732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3DBA7-30A4-4976-8EFF-7DB6C0EB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2942</Words>
  <Characters>16185</Characters>
  <Application>Microsoft Office Word</Application>
  <DocSecurity>0</DocSecurity>
  <Lines>134</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[Texte de la décision]</vt:lpstr>
      <vt:lpstr>[Texte de la décision]</vt:lpstr>
    </vt:vector>
  </TitlesOfParts>
  <Company>Irosoft inc.</Company>
  <LinksUpToDate>false</LinksUpToDate>
  <CharactersWithSpaces>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 de la décision]</dc:title>
  <dc:creator>Boulianne, Stéphanie</dc:creator>
  <cp:lastModifiedBy>Gauthier, François</cp:lastModifiedBy>
  <cp:revision>3</cp:revision>
  <cp:lastPrinted>2001-06-13T15:58:00Z</cp:lastPrinted>
  <dcterms:created xsi:type="dcterms:W3CDTF">2022-03-11T19:51:00Z</dcterms:created>
  <dcterms:modified xsi:type="dcterms:W3CDTF">2022-03-22T11:59:00Z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I_Entete">
    <vt:lpwstr>Dossier : SAS-M-238204-1506</vt:lpwstr>
  </property>
  <property fmtid="{D5CDD505-2E9C-101B-9397-08002B2CF9AE}" pid="3" name="Intimee1">
    <vt:lpwstr>SOCIÉTÉ DE L'ASSURANCE AUTOMOBILE DU QUÉBEC_x000d_</vt:lpwstr>
  </property>
  <property fmtid="{D5CDD505-2E9C-101B-9397-08002B2CF9AE}" pid="4" name="ProcureurNom1">
    <vt:lpwstr>Le Cabinet M</vt:lpwstr>
  </property>
  <property fmtid="{D5CDD505-2E9C-101B-9397-08002B2CF9AE}" pid="5" name="ProcureurNom2">
    <vt:lpwstr>Boisvert, Gauthier</vt:lpwstr>
  </property>
  <property fmtid="{D5CDD505-2E9C-101B-9397-08002B2CF9AE}" pid="6" name="ProcureurQlt1">
    <vt:lpwstr>Procureure de la partie requérante</vt:lpwstr>
  </property>
  <property fmtid="{D5CDD505-2E9C-101B-9397-08002B2CF9AE}" pid="7" name="ProcureurQlt2">
    <vt:lpwstr>Procureure de la partie intimée</vt:lpwstr>
  </property>
  <property fmtid="{D5CDD505-2E9C-101B-9397-08002B2CF9AE}" pid="8" name="ProcureurRep1">
    <vt:lpwstr>Me Sarah-Jeanne Dubé-Mercure</vt:lpwstr>
  </property>
  <property fmtid="{D5CDD505-2E9C-101B-9397-08002B2CF9AE}" pid="9" name="ProcureurRep2">
    <vt:lpwstr>Me Gizèlia Pacheco</vt:lpwstr>
  </property>
  <property fmtid="{D5CDD505-2E9C-101B-9397-08002B2CF9AE}" pid="10" name="Requerant1">
    <vt:lpwstr>ANAHIT SIMONYAN_x000d_</vt:lpwstr>
  </property>
  <property fmtid="{D5CDD505-2E9C-101B-9397-08002B2CF9AE}" pid="11" name="TAQ_DATE">
    <vt:lpwstr>21 juillet 2021</vt:lpwstr>
  </property>
  <property fmtid="{D5CDD505-2E9C-101B-9397-08002B2CF9AE}" pid="12" name="TAQ_DOSSIER1">
    <vt:lpwstr>SAS-M-238204-1506</vt:lpwstr>
  </property>
  <property fmtid="{D5CDD505-2E9C-101B-9397-08002B2CF9AE}" pid="13" name="TAQ_MEMBRENOM1">
    <vt:lpwstr>Boulianne</vt:lpwstr>
  </property>
  <property fmtid="{D5CDD505-2E9C-101B-9397-08002B2CF9AE}" pid="14" name="TAQ_MEMBREPRENOM1">
    <vt:lpwstr>Stéphanie</vt:lpwstr>
  </property>
  <property fmtid="{D5CDD505-2E9C-101B-9397-08002B2CF9AE}" pid="15" name="TAQ_REFNEUTRE">
    <vt:lpwstr>2021 QCTAQ 07450</vt:lpwstr>
  </property>
  <property fmtid="{D5CDD505-2E9C-101B-9397-08002B2CF9AE}" pid="16" name="TAQ_SECTION">
    <vt:lpwstr>SAS</vt:lpwstr>
  </property>
</Properties>
</file>