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53AC" w14:textId="77777777" w:rsidR="006051CB" w:rsidRPr="00185F6A" w:rsidRDefault="006051CB">
      <w:pPr>
        <w:rPr>
          <w:lang w:val="en-CA"/>
        </w:rPr>
      </w:pPr>
      <w:r w:rsidRPr="00185F6A">
        <w:rPr>
          <w:lang w:val="en-CA"/>
        </w:rPr>
        <w:t>Translated from the original French</w:t>
      </w:r>
    </w:p>
    <w:tbl>
      <w:tblPr>
        <w:tblW w:w="9511" w:type="dxa"/>
        <w:tblLayout w:type="fixed"/>
        <w:tblCellMar>
          <w:left w:w="70" w:type="dxa"/>
          <w:right w:w="70" w:type="dxa"/>
        </w:tblCellMar>
        <w:tblLook w:val="0000" w:firstRow="0" w:lastRow="0" w:firstColumn="0" w:lastColumn="0" w:noHBand="0" w:noVBand="0"/>
      </w:tblPr>
      <w:tblGrid>
        <w:gridCol w:w="1063"/>
        <w:gridCol w:w="497"/>
        <w:gridCol w:w="65"/>
        <w:gridCol w:w="2344"/>
        <w:gridCol w:w="1063"/>
        <w:gridCol w:w="2053"/>
        <w:gridCol w:w="2420"/>
        <w:gridCol w:w="6"/>
      </w:tblGrid>
      <w:tr w:rsidR="00FC14C7" w:rsidRPr="00185F6A" w14:paraId="0E2CC055" w14:textId="77777777" w:rsidTr="00F54ACD">
        <w:trPr>
          <w:gridAfter w:val="1"/>
          <w:wAfter w:w="6" w:type="dxa"/>
          <w:trHeight w:val="360"/>
        </w:trPr>
        <w:tc>
          <w:tcPr>
            <w:tcW w:w="7085" w:type="dxa"/>
            <w:gridSpan w:val="6"/>
          </w:tcPr>
          <w:p w14:paraId="399FB292" w14:textId="5D0569C1" w:rsidR="00F54ACD" w:rsidRPr="00185F6A" w:rsidRDefault="00D37CCA">
            <w:pPr>
              <w:pStyle w:val="zSoquijdatRepertorie"/>
              <w:rPr>
                <w:lang w:val="en-CA"/>
              </w:rPr>
            </w:pPr>
            <w:r>
              <w:rPr>
                <w:rFonts w:cs="Arial"/>
              </w:rPr>
              <w:t>Commission des droits de la personne et des droits de la jeunesse (Sam) c. 9377-1905 Québec inc.</w:t>
            </w:r>
          </w:p>
        </w:tc>
        <w:tc>
          <w:tcPr>
            <w:tcW w:w="2420" w:type="dxa"/>
          </w:tcPr>
          <w:p w14:paraId="3E9250A6" w14:textId="58DA7B9A" w:rsidR="00F54ACD" w:rsidRPr="00185F6A" w:rsidRDefault="00D37CCA">
            <w:pPr>
              <w:pStyle w:val="zSoquijdatRefNeutre"/>
              <w:rPr>
                <w:lang w:val="en-CA"/>
              </w:rPr>
            </w:pPr>
            <w:r w:rsidRPr="00BF5215">
              <w:rPr>
                <w:rFonts w:cs="Arial"/>
              </w:rPr>
              <w:t>2022 QCTDP 3</w:t>
            </w:r>
          </w:p>
        </w:tc>
      </w:tr>
      <w:tr w:rsidR="00FC14C7" w:rsidRPr="00185F6A" w14:paraId="24CF6540" w14:textId="77777777" w:rsidTr="00F54ACD">
        <w:trPr>
          <w:gridAfter w:val="1"/>
          <w:wAfter w:w="6" w:type="dxa"/>
          <w:trHeight w:val="900"/>
        </w:trPr>
        <w:tc>
          <w:tcPr>
            <w:tcW w:w="9505" w:type="dxa"/>
            <w:gridSpan w:val="7"/>
            <w:vAlign w:val="bottom"/>
          </w:tcPr>
          <w:p w14:paraId="65DB300E" w14:textId="77777777" w:rsidR="00F54ACD" w:rsidRPr="00185F6A" w:rsidRDefault="006051CB">
            <w:pPr>
              <w:pStyle w:val="zSoquijlblCour"/>
              <w:rPr>
                <w:lang w:val="en-CA"/>
              </w:rPr>
            </w:pPr>
            <w:r w:rsidRPr="00185F6A">
              <w:rPr>
                <w:lang w:val="en-CA"/>
              </w:rPr>
              <w:t>HUMAN RIGHTS TRIBUNAL</w:t>
            </w:r>
          </w:p>
        </w:tc>
      </w:tr>
      <w:tr w:rsidR="00FC14C7" w:rsidRPr="00185F6A" w14:paraId="230C0492" w14:textId="77777777" w:rsidTr="00F54ACD">
        <w:trPr>
          <w:gridAfter w:val="1"/>
          <w:wAfter w:w="6" w:type="dxa"/>
          <w:trHeight w:val="540"/>
        </w:trPr>
        <w:tc>
          <w:tcPr>
            <w:tcW w:w="9505" w:type="dxa"/>
            <w:gridSpan w:val="7"/>
          </w:tcPr>
          <w:p w14:paraId="436C0BC3" w14:textId="77777777" w:rsidR="00F54ACD" w:rsidRPr="00185F6A" w:rsidRDefault="00F54ACD">
            <w:pPr>
              <w:pStyle w:val="zSoquijdatDivision"/>
              <w:rPr>
                <w:lang w:val="en-CA"/>
              </w:rPr>
            </w:pPr>
          </w:p>
        </w:tc>
      </w:tr>
      <w:tr w:rsidR="00FC14C7" w:rsidRPr="00185F6A" w14:paraId="780B819F" w14:textId="77777777" w:rsidTr="00F54ACD">
        <w:trPr>
          <w:gridAfter w:val="1"/>
          <w:wAfter w:w="6" w:type="dxa"/>
        </w:trPr>
        <w:tc>
          <w:tcPr>
            <w:tcW w:w="9505" w:type="dxa"/>
            <w:gridSpan w:val="7"/>
          </w:tcPr>
          <w:p w14:paraId="1F180884" w14:textId="77777777" w:rsidR="00F54ACD" w:rsidRPr="00185F6A" w:rsidRDefault="006051CB">
            <w:pPr>
              <w:pStyle w:val="zSoquijlblPays"/>
              <w:rPr>
                <w:lang w:val="en-CA"/>
              </w:rPr>
            </w:pPr>
            <w:r w:rsidRPr="00185F6A">
              <w:rPr>
                <w:lang w:val="en-CA"/>
              </w:rPr>
              <w:t>CANADA</w:t>
            </w:r>
          </w:p>
        </w:tc>
      </w:tr>
      <w:tr w:rsidR="00FC14C7" w:rsidRPr="00185F6A" w14:paraId="6D188640" w14:textId="77777777" w:rsidTr="00F54ACD">
        <w:trPr>
          <w:gridAfter w:val="1"/>
          <w:wAfter w:w="6" w:type="dxa"/>
        </w:trPr>
        <w:tc>
          <w:tcPr>
            <w:tcW w:w="9505" w:type="dxa"/>
            <w:gridSpan w:val="7"/>
          </w:tcPr>
          <w:p w14:paraId="6C78B083" w14:textId="77777777" w:rsidR="00F54ACD" w:rsidRPr="00185F6A" w:rsidRDefault="006051CB">
            <w:pPr>
              <w:pStyle w:val="zSoquijlblProvince"/>
              <w:rPr>
                <w:lang w:val="en-CA"/>
              </w:rPr>
            </w:pPr>
            <w:r w:rsidRPr="00185F6A">
              <w:rPr>
                <w:lang w:val="en-CA"/>
              </w:rPr>
              <w:t>PROVINCE OF QUEBEC</w:t>
            </w:r>
          </w:p>
        </w:tc>
      </w:tr>
      <w:tr w:rsidR="00FC14C7" w:rsidRPr="00185F6A" w14:paraId="4A40B71A" w14:textId="77777777" w:rsidTr="00F54ACD">
        <w:tblPrEx>
          <w:tblCellMar>
            <w:left w:w="0" w:type="dxa"/>
            <w:right w:w="0" w:type="dxa"/>
          </w:tblCellMar>
        </w:tblPrEx>
        <w:trPr>
          <w:gridAfter w:val="1"/>
          <w:wAfter w:w="6" w:type="dxa"/>
          <w:cantSplit/>
        </w:trPr>
        <w:tc>
          <w:tcPr>
            <w:tcW w:w="1625" w:type="dxa"/>
            <w:gridSpan w:val="3"/>
          </w:tcPr>
          <w:p w14:paraId="60E33E68" w14:textId="77777777" w:rsidR="00F54ACD" w:rsidRPr="00185F6A" w:rsidRDefault="006051CB">
            <w:pPr>
              <w:pStyle w:val="zSoquijlblGreffe"/>
              <w:rPr>
                <w:lang w:val="en-CA"/>
              </w:rPr>
            </w:pPr>
            <w:r w:rsidRPr="00185F6A">
              <w:rPr>
                <w:lang w:val="en-CA"/>
              </w:rPr>
              <w:t>DISTRICT OF</w:t>
            </w:r>
          </w:p>
        </w:tc>
        <w:tc>
          <w:tcPr>
            <w:tcW w:w="7880" w:type="dxa"/>
            <w:gridSpan w:val="4"/>
          </w:tcPr>
          <w:p w14:paraId="08DE110C" w14:textId="77777777" w:rsidR="00F54ACD" w:rsidRPr="00185F6A" w:rsidRDefault="006051CB">
            <w:pPr>
              <w:pStyle w:val="zSoquijdatGreffe"/>
              <w:rPr>
                <w:caps/>
                <w:lang w:val="en-CA"/>
              </w:rPr>
            </w:pPr>
            <w:r w:rsidRPr="00185F6A">
              <w:rPr>
                <w:caps/>
                <w:lang w:val="en-CA"/>
              </w:rPr>
              <w:t>MONTREAL</w:t>
            </w:r>
          </w:p>
        </w:tc>
      </w:tr>
      <w:tr w:rsidR="00FC14C7" w:rsidRPr="00185F6A" w14:paraId="078EE9EC" w14:textId="77777777" w:rsidTr="00F54ACD">
        <w:trPr>
          <w:gridAfter w:val="1"/>
          <w:wAfter w:w="6" w:type="dxa"/>
          <w:cantSplit/>
          <w:trHeight w:val="235"/>
        </w:trPr>
        <w:tc>
          <w:tcPr>
            <w:tcW w:w="9505" w:type="dxa"/>
            <w:gridSpan w:val="7"/>
          </w:tcPr>
          <w:p w14:paraId="2FBD2DB3" w14:textId="77777777" w:rsidR="00F54ACD" w:rsidRPr="00185F6A" w:rsidRDefault="00F54ACD" w:rsidP="00F54ACD">
            <w:pPr>
              <w:rPr>
                <w:lang w:val="en-CA"/>
              </w:rPr>
            </w:pPr>
          </w:p>
        </w:tc>
      </w:tr>
      <w:tr w:rsidR="00FC14C7" w:rsidRPr="00185F6A" w14:paraId="2856ED4E" w14:textId="77777777" w:rsidTr="00F54ACD">
        <w:trPr>
          <w:gridAfter w:val="1"/>
          <w:wAfter w:w="6" w:type="dxa"/>
        </w:trPr>
        <w:tc>
          <w:tcPr>
            <w:tcW w:w="1063" w:type="dxa"/>
          </w:tcPr>
          <w:p w14:paraId="10B0B790" w14:textId="12DD86BF" w:rsidR="00F54ACD" w:rsidRPr="00185F6A" w:rsidRDefault="002E4F4B" w:rsidP="00F54ACD">
            <w:pPr>
              <w:pStyle w:val="zSoquijlblNoDossier"/>
              <w:rPr>
                <w:lang w:val="en-CA"/>
              </w:rPr>
            </w:pPr>
            <w:r w:rsidRPr="00185F6A">
              <w:rPr>
                <w:lang w:val="en-CA"/>
              </w:rPr>
              <w:t>No</w:t>
            </w:r>
            <w:r w:rsidR="006051CB" w:rsidRPr="00185F6A">
              <w:rPr>
                <w:lang w:val="en-CA"/>
              </w:rPr>
              <w:t>.:</w:t>
            </w:r>
          </w:p>
        </w:tc>
        <w:tc>
          <w:tcPr>
            <w:tcW w:w="8442" w:type="dxa"/>
            <w:gridSpan w:val="6"/>
          </w:tcPr>
          <w:p w14:paraId="667EC4F6" w14:textId="77777777" w:rsidR="00F54ACD" w:rsidRPr="00185F6A" w:rsidRDefault="00F54ACD" w:rsidP="00F54ACD">
            <w:pPr>
              <w:pStyle w:val="zSoquijdatNoDossier"/>
              <w:rPr>
                <w:lang w:val="en-CA"/>
              </w:rPr>
            </w:pPr>
            <w:r w:rsidRPr="00185F6A">
              <w:rPr>
                <w:lang w:val="en-CA"/>
              </w:rPr>
              <w:t>500-53-000572-204</w:t>
            </w:r>
          </w:p>
        </w:tc>
      </w:tr>
      <w:tr w:rsidR="00FC14C7" w:rsidRPr="00185F6A" w14:paraId="42F7EF6D" w14:textId="77777777" w:rsidTr="00F54ACD">
        <w:trPr>
          <w:gridAfter w:val="1"/>
          <w:wAfter w:w="6" w:type="dxa"/>
          <w:cantSplit/>
          <w:trHeight w:val="235"/>
        </w:trPr>
        <w:tc>
          <w:tcPr>
            <w:tcW w:w="9505" w:type="dxa"/>
            <w:gridSpan w:val="7"/>
          </w:tcPr>
          <w:p w14:paraId="29DA9E4E" w14:textId="77777777" w:rsidR="00F54ACD" w:rsidRPr="00185F6A" w:rsidRDefault="00F54ACD" w:rsidP="00F54ACD">
            <w:pPr>
              <w:rPr>
                <w:lang w:val="en-CA"/>
              </w:rPr>
            </w:pPr>
          </w:p>
        </w:tc>
      </w:tr>
      <w:tr w:rsidR="00FC14C7" w:rsidRPr="00185F6A" w14:paraId="48C3F273" w14:textId="77777777" w:rsidTr="00F54ACD">
        <w:trPr>
          <w:gridAfter w:val="1"/>
          <w:wAfter w:w="6" w:type="dxa"/>
        </w:trPr>
        <w:tc>
          <w:tcPr>
            <w:tcW w:w="1063" w:type="dxa"/>
          </w:tcPr>
          <w:p w14:paraId="3CA90150" w14:textId="77777777" w:rsidR="00F54ACD" w:rsidRPr="00185F6A" w:rsidRDefault="006051CB" w:rsidP="00F54ACD">
            <w:pPr>
              <w:pStyle w:val="zSoquijlblDateJugement"/>
              <w:rPr>
                <w:lang w:val="en-CA"/>
              </w:rPr>
            </w:pPr>
            <w:r w:rsidRPr="00185F6A">
              <w:rPr>
                <w:lang w:val="en-CA"/>
              </w:rPr>
              <w:t>DATE:</w:t>
            </w:r>
          </w:p>
        </w:tc>
        <w:tc>
          <w:tcPr>
            <w:tcW w:w="8442" w:type="dxa"/>
            <w:gridSpan w:val="6"/>
          </w:tcPr>
          <w:p w14:paraId="3AA4364D" w14:textId="77777777" w:rsidR="00F54ACD" w:rsidRPr="00185F6A" w:rsidRDefault="006051CB" w:rsidP="00F54ACD">
            <w:pPr>
              <w:pStyle w:val="zSoquijdatDateJugement"/>
              <w:rPr>
                <w:lang w:val="en-CA"/>
              </w:rPr>
            </w:pPr>
            <w:r w:rsidRPr="00185F6A">
              <w:rPr>
                <w:lang w:val="en-CA"/>
              </w:rPr>
              <w:t>January 28, 2022</w:t>
            </w:r>
          </w:p>
        </w:tc>
      </w:tr>
      <w:tr w:rsidR="00FC14C7" w:rsidRPr="00185F6A" w14:paraId="48DDBD9A" w14:textId="77777777" w:rsidTr="00F54ACD">
        <w:trPr>
          <w:gridAfter w:val="1"/>
          <w:wAfter w:w="6" w:type="dxa"/>
        </w:trPr>
        <w:tc>
          <w:tcPr>
            <w:tcW w:w="9505" w:type="dxa"/>
            <w:gridSpan w:val="7"/>
          </w:tcPr>
          <w:p w14:paraId="203914C0" w14:textId="77777777" w:rsidR="00F54ACD" w:rsidRPr="00185F6A" w:rsidRDefault="00F54ACD">
            <w:pPr>
              <w:ind w:left="14" w:right="-67"/>
              <w:rPr>
                <w:lang w:val="en-CA"/>
              </w:rPr>
            </w:pPr>
            <w:r w:rsidRPr="00185F6A">
              <w:rPr>
                <w:lang w:val="en-CA"/>
              </w:rPr>
              <w:t>______________________________________________________________________</w:t>
            </w:r>
          </w:p>
        </w:tc>
      </w:tr>
      <w:tr w:rsidR="00FC14C7" w:rsidRPr="00185F6A" w14:paraId="384802DE" w14:textId="77777777" w:rsidTr="00F54ACD">
        <w:trPr>
          <w:gridAfter w:val="1"/>
          <w:wAfter w:w="6" w:type="dxa"/>
        </w:trPr>
        <w:tc>
          <w:tcPr>
            <w:tcW w:w="9505" w:type="dxa"/>
            <w:gridSpan w:val="7"/>
          </w:tcPr>
          <w:p w14:paraId="7DBF8B18" w14:textId="77777777" w:rsidR="00F54ACD" w:rsidRPr="00185F6A" w:rsidRDefault="00F54ACD">
            <w:pPr>
              <w:rPr>
                <w:lang w:val="en-CA"/>
              </w:rPr>
            </w:pPr>
          </w:p>
        </w:tc>
      </w:tr>
      <w:tr w:rsidR="00FC14C7" w:rsidRPr="00185F6A" w14:paraId="685C0416" w14:textId="77777777" w:rsidTr="002E4F4B">
        <w:tblPrEx>
          <w:tblCellMar>
            <w:left w:w="0" w:type="dxa"/>
            <w:right w:w="0" w:type="dxa"/>
          </w:tblCellMar>
        </w:tblPrEx>
        <w:tc>
          <w:tcPr>
            <w:tcW w:w="1560" w:type="dxa"/>
            <w:gridSpan w:val="2"/>
          </w:tcPr>
          <w:p w14:paraId="3DA2CEE6" w14:textId="77777777" w:rsidR="00F54ACD" w:rsidRPr="00185F6A" w:rsidRDefault="006051CB" w:rsidP="00F54ACD">
            <w:pPr>
              <w:pStyle w:val="zSoquijlblJuge"/>
              <w:rPr>
                <w:lang w:val="en-CA"/>
              </w:rPr>
            </w:pPr>
            <w:r w:rsidRPr="00185F6A">
              <w:rPr>
                <w:lang w:val="en-CA"/>
              </w:rPr>
              <w:t>PRESIDING:</w:t>
            </w:r>
          </w:p>
        </w:tc>
        <w:tc>
          <w:tcPr>
            <w:tcW w:w="2409" w:type="dxa"/>
            <w:gridSpan w:val="2"/>
          </w:tcPr>
          <w:p w14:paraId="29E815A3" w14:textId="77777777" w:rsidR="00F54ACD" w:rsidRPr="00185F6A" w:rsidRDefault="006051CB" w:rsidP="00F54ACD">
            <w:pPr>
              <w:pStyle w:val="zSoquijdatQteJuge"/>
              <w:rPr>
                <w:lang w:val="en-CA"/>
              </w:rPr>
            </w:pPr>
            <w:r w:rsidRPr="00185F6A">
              <w:rPr>
                <w:lang w:val="en-CA"/>
              </w:rPr>
              <w:t>THE HONOURABLE</w:t>
            </w:r>
          </w:p>
        </w:tc>
        <w:tc>
          <w:tcPr>
            <w:tcW w:w="5542" w:type="dxa"/>
            <w:gridSpan w:val="4"/>
          </w:tcPr>
          <w:p w14:paraId="4792DE03" w14:textId="77777777" w:rsidR="00F54ACD" w:rsidRPr="00185F6A" w:rsidRDefault="006051CB" w:rsidP="00F54ACD">
            <w:pPr>
              <w:pStyle w:val="zSoquijdatJuge"/>
              <w:rPr>
                <w:lang w:val="en-CA"/>
              </w:rPr>
            </w:pPr>
            <w:r w:rsidRPr="00185F6A">
              <w:rPr>
                <w:lang w:val="en-CA"/>
              </w:rPr>
              <w:t>CHRISTIAN BRUNELLE</w:t>
            </w:r>
          </w:p>
        </w:tc>
      </w:tr>
      <w:tr w:rsidR="00FC14C7" w:rsidRPr="00185F6A" w14:paraId="50207CEA" w14:textId="77777777" w:rsidTr="00F54ACD">
        <w:trPr>
          <w:gridAfter w:val="1"/>
          <w:wAfter w:w="6" w:type="dxa"/>
        </w:trPr>
        <w:tc>
          <w:tcPr>
            <w:tcW w:w="5032" w:type="dxa"/>
            <w:gridSpan w:val="5"/>
            <w:vAlign w:val="center"/>
          </w:tcPr>
          <w:p w14:paraId="2D15A885" w14:textId="77777777" w:rsidR="00F54ACD" w:rsidRPr="00185F6A" w:rsidRDefault="006051CB" w:rsidP="00F54ACD">
            <w:pPr>
              <w:pStyle w:val="zSoquijlblAssesseurs"/>
              <w:rPr>
                <w:sz w:val="23"/>
                <w:szCs w:val="23"/>
                <w:lang w:val="en-CA"/>
              </w:rPr>
            </w:pPr>
            <w:r w:rsidRPr="00185F6A">
              <w:rPr>
                <w:sz w:val="23"/>
                <w:szCs w:val="23"/>
                <w:lang w:val="en-CA"/>
              </w:rPr>
              <w:t>WITH THE ASSISTANCE OF ASSESSORS:</w:t>
            </w:r>
          </w:p>
        </w:tc>
        <w:tc>
          <w:tcPr>
            <w:tcW w:w="4473" w:type="dxa"/>
            <w:gridSpan w:val="2"/>
            <w:vAlign w:val="center"/>
          </w:tcPr>
          <w:p w14:paraId="32EEB8B4" w14:textId="77777777" w:rsidR="00F54ACD" w:rsidRPr="00185F6A" w:rsidRDefault="00F54ACD" w:rsidP="00F54ACD">
            <w:pPr>
              <w:pStyle w:val="zSoquijdatAssesseurs"/>
              <w:rPr>
                <w:lang w:val="en-CA"/>
              </w:rPr>
            </w:pPr>
          </w:p>
          <w:p w14:paraId="0B30A8B0" w14:textId="77777777" w:rsidR="00F54ACD" w:rsidRPr="00185F6A" w:rsidRDefault="006051CB" w:rsidP="00F54ACD">
            <w:pPr>
              <w:pStyle w:val="zSoquijdatAssesseurs"/>
              <w:rPr>
                <w:lang w:val="en-CA"/>
              </w:rPr>
            </w:pPr>
            <w:proofErr w:type="spellStart"/>
            <w:r w:rsidRPr="00185F6A">
              <w:rPr>
                <w:lang w:val="en-CA"/>
              </w:rPr>
              <w:t>Mtre</w:t>
            </w:r>
            <w:proofErr w:type="spellEnd"/>
            <w:r w:rsidRPr="00185F6A">
              <w:rPr>
                <w:lang w:val="en-CA"/>
              </w:rPr>
              <w:t xml:space="preserve"> Marie Pepin, retired attorney</w:t>
            </w:r>
            <w:r w:rsidR="00F54ACD" w:rsidRPr="00185F6A">
              <w:rPr>
                <w:lang w:val="en-CA"/>
              </w:rPr>
              <w:t xml:space="preserve"> </w:t>
            </w:r>
          </w:p>
          <w:p w14:paraId="64C40C80" w14:textId="77777777" w:rsidR="00F54ACD" w:rsidRPr="00185F6A" w:rsidRDefault="006051CB" w:rsidP="00F54ACD">
            <w:pPr>
              <w:pStyle w:val="zSoquijdatAssesseurs"/>
              <w:rPr>
                <w:lang w:val="en-CA"/>
              </w:rPr>
            </w:pPr>
            <w:proofErr w:type="spellStart"/>
            <w:r w:rsidRPr="00185F6A">
              <w:rPr>
                <w:lang w:val="en-CA"/>
              </w:rPr>
              <w:t>Mtre</w:t>
            </w:r>
            <w:proofErr w:type="spellEnd"/>
            <w:r w:rsidRPr="00185F6A">
              <w:rPr>
                <w:lang w:val="en-CA"/>
              </w:rPr>
              <w:t xml:space="preserve"> Jacqueline </w:t>
            </w:r>
            <w:proofErr w:type="spellStart"/>
            <w:r w:rsidRPr="00185F6A">
              <w:rPr>
                <w:lang w:val="en-CA"/>
              </w:rPr>
              <w:t>Corado</w:t>
            </w:r>
            <w:proofErr w:type="spellEnd"/>
          </w:p>
        </w:tc>
      </w:tr>
      <w:tr w:rsidR="00FC14C7" w:rsidRPr="00185F6A" w14:paraId="03783C53" w14:textId="77777777" w:rsidTr="00F54ACD">
        <w:trPr>
          <w:gridAfter w:val="1"/>
          <w:wAfter w:w="6" w:type="dxa"/>
        </w:trPr>
        <w:tc>
          <w:tcPr>
            <w:tcW w:w="9505" w:type="dxa"/>
            <w:gridSpan w:val="7"/>
          </w:tcPr>
          <w:p w14:paraId="096504DD" w14:textId="77777777" w:rsidR="00F54ACD" w:rsidRPr="00185F6A" w:rsidRDefault="00F54ACD">
            <w:pPr>
              <w:ind w:left="14" w:right="-67"/>
              <w:rPr>
                <w:lang w:val="en-CA"/>
              </w:rPr>
            </w:pPr>
            <w:r w:rsidRPr="00185F6A">
              <w:rPr>
                <w:lang w:val="en-CA"/>
              </w:rPr>
              <w:t>______________________________________________________________________</w:t>
            </w:r>
          </w:p>
        </w:tc>
      </w:tr>
      <w:tr w:rsidR="00FC14C7" w:rsidRPr="00185F6A" w14:paraId="6F992BC1" w14:textId="77777777" w:rsidTr="00F54ACD">
        <w:trPr>
          <w:gridAfter w:val="1"/>
          <w:wAfter w:w="6" w:type="dxa"/>
        </w:trPr>
        <w:tc>
          <w:tcPr>
            <w:tcW w:w="9505" w:type="dxa"/>
            <w:gridSpan w:val="7"/>
          </w:tcPr>
          <w:p w14:paraId="36AEEBCF" w14:textId="77777777" w:rsidR="00F54ACD" w:rsidRPr="00185F6A" w:rsidRDefault="00F54ACD">
            <w:pPr>
              <w:pStyle w:val="zSoquijlblTitrePartie"/>
              <w:rPr>
                <w:lang w:val="en-CA"/>
              </w:rPr>
            </w:pPr>
          </w:p>
        </w:tc>
      </w:tr>
      <w:tr w:rsidR="00FC14C7" w:rsidRPr="00185F6A" w14:paraId="784CB78D" w14:textId="77777777" w:rsidTr="00F54ACD">
        <w:trPr>
          <w:gridAfter w:val="1"/>
          <w:wAfter w:w="6" w:type="dxa"/>
        </w:trPr>
        <w:tc>
          <w:tcPr>
            <w:tcW w:w="9505" w:type="dxa"/>
            <w:gridSpan w:val="7"/>
          </w:tcPr>
          <w:p w14:paraId="623076DC" w14:textId="77777777" w:rsidR="00F54ACD" w:rsidRPr="00185F6A" w:rsidRDefault="00F54ACD">
            <w:pPr>
              <w:rPr>
                <w:lang w:val="en-CA"/>
              </w:rPr>
            </w:pPr>
          </w:p>
        </w:tc>
      </w:tr>
      <w:tr w:rsidR="00FC14C7" w:rsidRPr="00185F6A" w14:paraId="25E588C3" w14:textId="77777777" w:rsidTr="00F54ACD">
        <w:trPr>
          <w:gridAfter w:val="1"/>
          <w:wAfter w:w="6" w:type="dxa"/>
        </w:trPr>
        <w:tc>
          <w:tcPr>
            <w:tcW w:w="9505" w:type="dxa"/>
            <w:gridSpan w:val="7"/>
          </w:tcPr>
          <w:p w14:paraId="322A9010" w14:textId="77777777" w:rsidR="00F54ACD" w:rsidRPr="004C2CFC" w:rsidRDefault="006051CB" w:rsidP="00F54ACD">
            <w:pPr>
              <w:pStyle w:val="zSoquijdatNomPartieDem"/>
              <w:jc w:val="both"/>
              <w:rPr>
                <w:b w:val="0"/>
              </w:rPr>
            </w:pPr>
            <w:r w:rsidRPr="004C2CFC">
              <w:t>COMMISSION DES DROITS DE LA PERSONNE ET DES DROITS DE LA JEUNESSE,</w:t>
            </w:r>
            <w:r w:rsidRPr="004C2CFC">
              <w:rPr>
                <w:b w:val="0"/>
              </w:rPr>
              <w:t xml:space="preserve"> acting in the public </w:t>
            </w:r>
            <w:proofErr w:type="spellStart"/>
            <w:r w:rsidRPr="004C2CFC">
              <w:rPr>
                <w:b w:val="0"/>
              </w:rPr>
              <w:t>interest</w:t>
            </w:r>
            <w:proofErr w:type="spellEnd"/>
            <w:r w:rsidRPr="004C2CFC">
              <w:rPr>
                <w:b w:val="0"/>
              </w:rPr>
              <w:t xml:space="preserve"> and on </w:t>
            </w:r>
            <w:proofErr w:type="spellStart"/>
            <w:r w:rsidRPr="004C2CFC">
              <w:rPr>
                <w:b w:val="0"/>
              </w:rPr>
              <w:t>behalf</w:t>
            </w:r>
            <w:proofErr w:type="spellEnd"/>
            <w:r w:rsidRPr="004C2CFC">
              <w:rPr>
                <w:b w:val="0"/>
              </w:rPr>
              <w:t xml:space="preserve"> of </w:t>
            </w:r>
            <w:r w:rsidRPr="004C2CFC">
              <w:t>KIANNA SAM</w:t>
            </w:r>
          </w:p>
        </w:tc>
      </w:tr>
      <w:tr w:rsidR="00FC14C7" w:rsidRPr="00185F6A" w14:paraId="616B940D" w14:textId="77777777" w:rsidTr="00F54ACD">
        <w:trPr>
          <w:gridAfter w:val="1"/>
          <w:wAfter w:w="6" w:type="dxa"/>
        </w:trPr>
        <w:tc>
          <w:tcPr>
            <w:tcW w:w="9505" w:type="dxa"/>
            <w:gridSpan w:val="7"/>
          </w:tcPr>
          <w:p w14:paraId="71BC573C" w14:textId="77777777" w:rsidR="00F54ACD" w:rsidRPr="00185F6A" w:rsidRDefault="006051CB">
            <w:pPr>
              <w:pStyle w:val="zSoquijdatQtePartieDem"/>
              <w:rPr>
                <w:lang w:val="en-CA"/>
              </w:rPr>
            </w:pPr>
            <w:r w:rsidRPr="00185F6A">
              <w:rPr>
                <w:lang w:val="en-CA"/>
              </w:rPr>
              <w:t>Plaintiff</w:t>
            </w:r>
          </w:p>
        </w:tc>
      </w:tr>
      <w:tr w:rsidR="00FC14C7" w:rsidRPr="00185F6A" w14:paraId="7C2040F5" w14:textId="77777777" w:rsidTr="00F54ACD">
        <w:trPr>
          <w:gridAfter w:val="1"/>
          <w:wAfter w:w="6" w:type="dxa"/>
        </w:trPr>
        <w:tc>
          <w:tcPr>
            <w:tcW w:w="9505" w:type="dxa"/>
            <w:gridSpan w:val="7"/>
          </w:tcPr>
          <w:p w14:paraId="771BAF47" w14:textId="77777777" w:rsidR="00F54ACD" w:rsidRPr="00185F6A" w:rsidRDefault="006051CB">
            <w:pPr>
              <w:pStyle w:val="zSoquijlblLienParties"/>
              <w:rPr>
                <w:lang w:val="en-CA"/>
              </w:rPr>
            </w:pPr>
            <w:r w:rsidRPr="00185F6A">
              <w:rPr>
                <w:lang w:val="en-CA"/>
              </w:rPr>
              <w:t>v.</w:t>
            </w:r>
          </w:p>
        </w:tc>
      </w:tr>
      <w:tr w:rsidR="00FC14C7" w:rsidRPr="00185F6A" w14:paraId="6190019F" w14:textId="77777777" w:rsidTr="00F54ACD">
        <w:trPr>
          <w:gridAfter w:val="1"/>
          <w:wAfter w:w="6" w:type="dxa"/>
        </w:trPr>
        <w:tc>
          <w:tcPr>
            <w:tcW w:w="9505" w:type="dxa"/>
            <w:gridSpan w:val="7"/>
          </w:tcPr>
          <w:p w14:paraId="7C68F51B" w14:textId="77777777" w:rsidR="00F54ACD" w:rsidRPr="00185F6A" w:rsidRDefault="00F54ACD" w:rsidP="00F54ACD">
            <w:pPr>
              <w:pStyle w:val="zSoquijdatNomPartieDef"/>
              <w:jc w:val="both"/>
              <w:rPr>
                <w:caps/>
                <w:lang w:val="en-CA"/>
              </w:rPr>
            </w:pPr>
          </w:p>
        </w:tc>
      </w:tr>
      <w:tr w:rsidR="00FC14C7" w:rsidRPr="00185F6A" w14:paraId="13FAFBB9" w14:textId="77777777" w:rsidTr="00F54ACD">
        <w:trPr>
          <w:gridAfter w:val="1"/>
          <w:wAfter w:w="6" w:type="dxa"/>
        </w:trPr>
        <w:tc>
          <w:tcPr>
            <w:tcW w:w="9505" w:type="dxa"/>
            <w:gridSpan w:val="7"/>
          </w:tcPr>
          <w:p w14:paraId="6C9B117E" w14:textId="77777777" w:rsidR="00F54ACD" w:rsidRPr="00185F6A" w:rsidRDefault="00F54ACD">
            <w:pPr>
              <w:pStyle w:val="zSoquijdatNomPartieDef"/>
              <w:rPr>
                <w:lang w:val="en-CA"/>
              </w:rPr>
            </w:pPr>
            <w:r w:rsidRPr="00185F6A">
              <w:rPr>
                <w:lang w:val="en-CA"/>
              </w:rPr>
              <w:t>9377-1905 QUÉBEC INC.</w:t>
            </w:r>
          </w:p>
        </w:tc>
      </w:tr>
      <w:tr w:rsidR="00FC14C7" w:rsidRPr="00185F6A" w14:paraId="39DD5301" w14:textId="77777777" w:rsidTr="00F54ACD">
        <w:trPr>
          <w:gridAfter w:val="1"/>
          <w:wAfter w:w="6" w:type="dxa"/>
        </w:trPr>
        <w:tc>
          <w:tcPr>
            <w:tcW w:w="9505" w:type="dxa"/>
            <w:gridSpan w:val="7"/>
          </w:tcPr>
          <w:p w14:paraId="1E979FE2" w14:textId="77777777" w:rsidR="00F54ACD" w:rsidRPr="00185F6A" w:rsidRDefault="006051CB" w:rsidP="00F54ACD">
            <w:pPr>
              <w:pStyle w:val="zSoquijdatQtePartieDef"/>
              <w:rPr>
                <w:lang w:val="en-CA"/>
              </w:rPr>
            </w:pPr>
            <w:r w:rsidRPr="00185F6A">
              <w:rPr>
                <w:lang w:val="en-CA"/>
              </w:rPr>
              <w:t>Defendant</w:t>
            </w:r>
          </w:p>
        </w:tc>
      </w:tr>
      <w:tr w:rsidR="00FC14C7" w:rsidRPr="00185F6A" w14:paraId="1EB28960" w14:textId="77777777" w:rsidTr="00F54ACD">
        <w:trPr>
          <w:gridAfter w:val="1"/>
          <w:wAfter w:w="6" w:type="dxa"/>
        </w:trPr>
        <w:tc>
          <w:tcPr>
            <w:tcW w:w="9505" w:type="dxa"/>
            <w:gridSpan w:val="7"/>
          </w:tcPr>
          <w:p w14:paraId="7AC62626" w14:textId="77777777" w:rsidR="00F54ACD" w:rsidRPr="00185F6A" w:rsidRDefault="006051CB" w:rsidP="00F54ACD">
            <w:pPr>
              <w:pStyle w:val="zSoquijdatQtePartieDef"/>
              <w:ind w:left="0"/>
              <w:rPr>
                <w:lang w:val="en-CA"/>
              </w:rPr>
            </w:pPr>
            <w:r w:rsidRPr="00185F6A">
              <w:rPr>
                <w:lang w:val="en-CA"/>
              </w:rPr>
              <w:t>and</w:t>
            </w:r>
          </w:p>
        </w:tc>
      </w:tr>
      <w:tr w:rsidR="00FC14C7" w:rsidRPr="00185F6A" w14:paraId="199474FD" w14:textId="77777777" w:rsidTr="00F54ACD">
        <w:trPr>
          <w:gridAfter w:val="1"/>
          <w:wAfter w:w="6" w:type="dxa"/>
        </w:trPr>
        <w:tc>
          <w:tcPr>
            <w:tcW w:w="9505" w:type="dxa"/>
            <w:gridSpan w:val="7"/>
          </w:tcPr>
          <w:p w14:paraId="424CEE3C" w14:textId="77777777" w:rsidR="00F54ACD" w:rsidRPr="00185F6A" w:rsidRDefault="00F54ACD" w:rsidP="00F54ACD">
            <w:pPr>
              <w:pStyle w:val="zSoquijdatQtePartieDef"/>
              <w:ind w:left="0"/>
              <w:rPr>
                <w:b/>
                <w:caps/>
                <w:lang w:val="en-CA"/>
              </w:rPr>
            </w:pPr>
          </w:p>
          <w:p w14:paraId="1C5C3CC8" w14:textId="77777777" w:rsidR="00F54ACD" w:rsidRPr="00185F6A" w:rsidRDefault="00F54ACD" w:rsidP="00F54ACD">
            <w:pPr>
              <w:pStyle w:val="zSoquijdatQtePartieDef"/>
              <w:ind w:left="0"/>
              <w:rPr>
                <w:b/>
                <w:lang w:val="en-CA"/>
              </w:rPr>
            </w:pPr>
            <w:r w:rsidRPr="00185F6A">
              <w:rPr>
                <w:b/>
                <w:lang w:val="en-CA"/>
              </w:rPr>
              <w:t>KIANNA SAM</w:t>
            </w:r>
          </w:p>
        </w:tc>
      </w:tr>
      <w:tr w:rsidR="00FC14C7" w:rsidRPr="00185F6A" w14:paraId="3BE89A29" w14:textId="77777777" w:rsidTr="00F54ACD">
        <w:trPr>
          <w:gridAfter w:val="1"/>
          <w:wAfter w:w="6" w:type="dxa"/>
        </w:trPr>
        <w:tc>
          <w:tcPr>
            <w:tcW w:w="9505" w:type="dxa"/>
            <w:gridSpan w:val="7"/>
          </w:tcPr>
          <w:p w14:paraId="6F58C774" w14:textId="77777777" w:rsidR="00F54ACD" w:rsidRPr="00185F6A" w:rsidRDefault="006051CB" w:rsidP="00F54ACD">
            <w:pPr>
              <w:pStyle w:val="zSoquijdatQtePartieDef"/>
              <w:ind w:left="734"/>
              <w:rPr>
                <w:lang w:val="en-CA"/>
              </w:rPr>
            </w:pPr>
            <w:r w:rsidRPr="00185F6A">
              <w:rPr>
                <w:lang w:val="en-CA"/>
              </w:rPr>
              <w:t>Complainant</w:t>
            </w:r>
          </w:p>
        </w:tc>
      </w:tr>
      <w:tr w:rsidR="00FC14C7" w:rsidRPr="00185F6A" w14:paraId="6DBF9AD3" w14:textId="77777777" w:rsidTr="00F54ACD">
        <w:trPr>
          <w:gridAfter w:val="1"/>
          <w:wAfter w:w="6" w:type="dxa"/>
        </w:trPr>
        <w:tc>
          <w:tcPr>
            <w:tcW w:w="9505" w:type="dxa"/>
            <w:gridSpan w:val="7"/>
          </w:tcPr>
          <w:p w14:paraId="656EFBD2" w14:textId="77777777" w:rsidR="00F54ACD" w:rsidRPr="00185F6A" w:rsidRDefault="00F54ACD" w:rsidP="00F54ACD">
            <w:pPr>
              <w:pStyle w:val="zSoquijdatQtePartieDef"/>
              <w:ind w:left="734"/>
              <w:rPr>
                <w:lang w:val="en-CA"/>
              </w:rPr>
            </w:pPr>
          </w:p>
        </w:tc>
      </w:tr>
      <w:tr w:rsidR="00FC14C7" w:rsidRPr="00185F6A" w14:paraId="207D2D5C" w14:textId="77777777" w:rsidTr="00F54ACD">
        <w:trPr>
          <w:gridAfter w:val="1"/>
          <w:wAfter w:w="6" w:type="dxa"/>
        </w:trPr>
        <w:tc>
          <w:tcPr>
            <w:tcW w:w="9505" w:type="dxa"/>
            <w:gridSpan w:val="7"/>
          </w:tcPr>
          <w:p w14:paraId="6AA3944D" w14:textId="77777777" w:rsidR="00F54ACD" w:rsidRPr="00185F6A" w:rsidRDefault="00F54ACD" w:rsidP="00F54ACD">
            <w:pPr>
              <w:ind w:left="14" w:right="-95"/>
              <w:rPr>
                <w:lang w:val="en-CA"/>
              </w:rPr>
            </w:pPr>
            <w:r w:rsidRPr="00185F6A">
              <w:rPr>
                <w:lang w:val="en-CA"/>
              </w:rPr>
              <w:t>______________________________________________________________________</w:t>
            </w:r>
          </w:p>
        </w:tc>
      </w:tr>
      <w:tr w:rsidR="00FC14C7" w:rsidRPr="00185F6A" w14:paraId="6307FB18" w14:textId="77777777" w:rsidTr="00F54ACD">
        <w:trPr>
          <w:gridAfter w:val="1"/>
          <w:wAfter w:w="6" w:type="dxa"/>
        </w:trPr>
        <w:tc>
          <w:tcPr>
            <w:tcW w:w="9505" w:type="dxa"/>
            <w:gridSpan w:val="7"/>
          </w:tcPr>
          <w:p w14:paraId="7D41DEA9" w14:textId="77777777" w:rsidR="00F54ACD" w:rsidRPr="00185F6A" w:rsidRDefault="00F54ACD" w:rsidP="00F54ACD">
            <w:pPr>
              <w:jc w:val="center"/>
              <w:rPr>
                <w:lang w:val="en-CA"/>
              </w:rPr>
            </w:pPr>
          </w:p>
        </w:tc>
      </w:tr>
      <w:tr w:rsidR="00FC14C7" w:rsidRPr="00185F6A" w14:paraId="4E07A0B0" w14:textId="77777777" w:rsidTr="00F54ACD">
        <w:trPr>
          <w:gridAfter w:val="1"/>
          <w:wAfter w:w="6" w:type="dxa"/>
        </w:trPr>
        <w:tc>
          <w:tcPr>
            <w:tcW w:w="9505" w:type="dxa"/>
            <w:gridSpan w:val="7"/>
          </w:tcPr>
          <w:p w14:paraId="4438B1BE" w14:textId="77777777" w:rsidR="00F54ACD" w:rsidRPr="00185F6A" w:rsidRDefault="006051CB" w:rsidP="00F54ACD">
            <w:pPr>
              <w:pStyle w:val="zSoquijlblTypeDocument"/>
              <w:rPr>
                <w:b/>
                <w:lang w:val="en-CA"/>
              </w:rPr>
            </w:pPr>
            <w:r w:rsidRPr="00185F6A">
              <w:rPr>
                <w:b/>
                <w:lang w:val="en-CA"/>
              </w:rPr>
              <w:t>JUDGMENT</w:t>
            </w:r>
          </w:p>
        </w:tc>
      </w:tr>
      <w:tr w:rsidR="00FC14C7" w:rsidRPr="00185F6A" w14:paraId="0EC0C732" w14:textId="77777777" w:rsidTr="00F54ACD">
        <w:trPr>
          <w:gridAfter w:val="1"/>
          <w:wAfter w:w="6" w:type="dxa"/>
        </w:trPr>
        <w:tc>
          <w:tcPr>
            <w:tcW w:w="9505" w:type="dxa"/>
            <w:gridSpan w:val="7"/>
          </w:tcPr>
          <w:p w14:paraId="15AC518A" w14:textId="77777777" w:rsidR="00F54ACD" w:rsidRPr="00185F6A" w:rsidRDefault="00F54ACD" w:rsidP="00F54ACD">
            <w:pPr>
              <w:ind w:left="14" w:right="-70"/>
              <w:rPr>
                <w:lang w:val="en-CA"/>
              </w:rPr>
            </w:pPr>
            <w:r w:rsidRPr="00185F6A">
              <w:rPr>
                <w:lang w:val="en-CA"/>
              </w:rPr>
              <w:t>______________________________________________________________________</w:t>
            </w:r>
          </w:p>
        </w:tc>
      </w:tr>
      <w:tr w:rsidR="00FC14C7" w:rsidRPr="00185F6A" w14:paraId="50E8FE2F" w14:textId="77777777" w:rsidTr="00F54ACD">
        <w:trPr>
          <w:gridAfter w:val="1"/>
          <w:wAfter w:w="6" w:type="dxa"/>
        </w:trPr>
        <w:tc>
          <w:tcPr>
            <w:tcW w:w="9505" w:type="dxa"/>
            <w:gridSpan w:val="7"/>
          </w:tcPr>
          <w:p w14:paraId="14A67526" w14:textId="77777777" w:rsidR="00F54ACD" w:rsidRPr="00185F6A" w:rsidRDefault="00F54ACD" w:rsidP="00F54ACD">
            <w:pPr>
              <w:rPr>
                <w:lang w:val="en-CA"/>
              </w:rPr>
            </w:pPr>
          </w:p>
        </w:tc>
      </w:tr>
    </w:tbl>
    <w:p w14:paraId="156C2093" w14:textId="27FD57B2" w:rsidR="00F54ACD" w:rsidRPr="00185F6A" w:rsidRDefault="006051CB" w:rsidP="00F54ACD">
      <w:pPr>
        <w:pStyle w:val="Paragraphe"/>
        <w:tabs>
          <w:tab w:val="clear" w:pos="360"/>
        </w:tabs>
      </w:pPr>
      <w:r w:rsidRPr="004C2CFC">
        <w:rPr>
          <w:lang w:val="fr-CA"/>
        </w:rPr>
        <w:t xml:space="preserve">The Commission des droits de la personne et des droits de la jeunesse (the Commission), acting on </w:t>
      </w:r>
      <w:proofErr w:type="spellStart"/>
      <w:r w:rsidRPr="004C2CFC">
        <w:rPr>
          <w:lang w:val="fr-CA"/>
        </w:rPr>
        <w:t>behalf</w:t>
      </w:r>
      <w:proofErr w:type="spellEnd"/>
      <w:r w:rsidRPr="004C2CFC">
        <w:rPr>
          <w:lang w:val="fr-CA"/>
        </w:rPr>
        <w:t xml:space="preserve"> of the </w:t>
      </w:r>
      <w:proofErr w:type="spellStart"/>
      <w:r w:rsidRPr="004C2CFC">
        <w:rPr>
          <w:lang w:val="fr-CA"/>
        </w:rPr>
        <w:t>complainant</w:t>
      </w:r>
      <w:proofErr w:type="spellEnd"/>
      <w:r w:rsidRPr="004C2CFC">
        <w:rPr>
          <w:lang w:val="fr-CA"/>
        </w:rPr>
        <w:t>,</w:t>
      </w:r>
      <w:r w:rsidR="009439C5" w:rsidRPr="00185F6A">
        <w:rPr>
          <w:rStyle w:val="Appelnotedebasdep"/>
        </w:rPr>
        <w:footnoteReference w:id="1"/>
      </w:r>
      <w:r w:rsidRPr="004C2CFC">
        <w:rPr>
          <w:lang w:val="fr-CA"/>
        </w:rPr>
        <w:t xml:space="preserve"> </w:t>
      </w:r>
      <w:proofErr w:type="spellStart"/>
      <w:r w:rsidRPr="004C2CFC">
        <w:rPr>
          <w:lang w:val="fr-CA"/>
        </w:rPr>
        <w:t>Kianna</w:t>
      </w:r>
      <w:proofErr w:type="spellEnd"/>
      <w:r w:rsidRPr="004C2CFC">
        <w:rPr>
          <w:lang w:val="fr-CA"/>
        </w:rPr>
        <w:t xml:space="preserve"> Sam, </w:t>
      </w:r>
      <w:proofErr w:type="spellStart"/>
      <w:r w:rsidR="009439C5" w:rsidRPr="004C2CFC">
        <w:rPr>
          <w:lang w:val="fr-CA"/>
        </w:rPr>
        <w:t>seek</w:t>
      </w:r>
      <w:r w:rsidRPr="004C2CFC">
        <w:rPr>
          <w:lang w:val="fr-CA"/>
        </w:rPr>
        <w:t>s</w:t>
      </w:r>
      <w:proofErr w:type="spellEnd"/>
      <w:r w:rsidRPr="004C2CFC">
        <w:rPr>
          <w:lang w:val="fr-CA"/>
        </w:rPr>
        <w:t xml:space="preserve"> $8,000 in </w:t>
      </w:r>
      <w:proofErr w:type="spellStart"/>
      <w:r w:rsidRPr="004C2CFC">
        <w:rPr>
          <w:lang w:val="fr-CA"/>
        </w:rPr>
        <w:lastRenderedPageBreak/>
        <w:t>compensatory</w:t>
      </w:r>
      <w:proofErr w:type="spellEnd"/>
      <w:r w:rsidRPr="004C2CFC">
        <w:rPr>
          <w:lang w:val="fr-CA"/>
        </w:rPr>
        <w:t xml:space="preserve"> damages and $2,000 in punitive damages</w:t>
      </w:r>
      <w:r w:rsidR="009439C5" w:rsidRPr="004C2CFC">
        <w:rPr>
          <w:lang w:val="fr-CA"/>
        </w:rPr>
        <w:t xml:space="preserve"> </w:t>
      </w:r>
      <w:proofErr w:type="spellStart"/>
      <w:r w:rsidR="009439C5" w:rsidRPr="004C2CFC">
        <w:rPr>
          <w:lang w:val="fr-CA"/>
        </w:rPr>
        <w:t>from</w:t>
      </w:r>
      <w:proofErr w:type="spellEnd"/>
      <w:r w:rsidR="009439C5" w:rsidRPr="004C2CFC">
        <w:rPr>
          <w:lang w:val="fr-CA"/>
        </w:rPr>
        <w:t xml:space="preserve"> the </w:t>
      </w:r>
      <w:proofErr w:type="spellStart"/>
      <w:r w:rsidR="009439C5" w:rsidRPr="004C2CFC">
        <w:rPr>
          <w:lang w:val="fr-CA"/>
        </w:rPr>
        <w:t>defendant</w:t>
      </w:r>
      <w:proofErr w:type="spellEnd"/>
      <w:r w:rsidR="009439C5" w:rsidRPr="004C2CFC">
        <w:rPr>
          <w:lang w:val="fr-CA"/>
        </w:rPr>
        <w:t xml:space="preserve">, 9377-1905 Québec </w:t>
      </w:r>
      <w:proofErr w:type="spellStart"/>
      <w:r w:rsidR="009439C5" w:rsidRPr="004C2CFC">
        <w:rPr>
          <w:lang w:val="fr-CA"/>
        </w:rPr>
        <w:t>inc.</w:t>
      </w:r>
      <w:proofErr w:type="spellEnd"/>
      <w:r w:rsidR="009439C5" w:rsidRPr="00185F6A">
        <w:rPr>
          <w:rStyle w:val="Appelnotedebasdep"/>
        </w:rPr>
        <w:footnoteReference w:id="2"/>
      </w:r>
      <w:r w:rsidR="009439C5" w:rsidRPr="004C2CFC">
        <w:rPr>
          <w:lang w:val="fr-CA"/>
        </w:rPr>
        <w:t xml:space="preserve"> </w:t>
      </w:r>
      <w:r w:rsidR="009439C5" w:rsidRPr="00185F6A">
        <w:t>(9377-1905)</w:t>
      </w:r>
      <w:r w:rsidRPr="00185F6A">
        <w:t>.</w:t>
      </w:r>
    </w:p>
    <w:p w14:paraId="702A7686" w14:textId="7C20205D" w:rsidR="00F54ACD" w:rsidRPr="00185F6A" w:rsidRDefault="006051CB" w:rsidP="00F54ACD">
      <w:pPr>
        <w:pStyle w:val="Paragraphe"/>
        <w:tabs>
          <w:tab w:val="clear" w:pos="360"/>
        </w:tabs>
      </w:pPr>
      <w:r w:rsidRPr="00185F6A">
        <w:t>9377-1905 operates a convenience store in the borough of La</w:t>
      </w:r>
      <w:r w:rsidR="009439C5">
        <w:t>S</w:t>
      </w:r>
      <w:r w:rsidRPr="00185F6A">
        <w:t>alle, on the Island of Montreal.</w:t>
      </w:r>
      <w:r w:rsidR="00F54ACD" w:rsidRPr="00185F6A">
        <w:t xml:space="preserve"> </w:t>
      </w:r>
    </w:p>
    <w:p w14:paraId="2811EBB1" w14:textId="42F303BE" w:rsidR="00F54ACD" w:rsidRPr="00185F6A" w:rsidRDefault="006051CB" w:rsidP="00F54ACD">
      <w:pPr>
        <w:pStyle w:val="Paragraphe"/>
        <w:tabs>
          <w:tab w:val="clear" w:pos="360"/>
        </w:tabs>
      </w:pPr>
      <w:r w:rsidRPr="00185F6A">
        <w:t xml:space="preserve">The Commission submits that Ms. Sam was </w:t>
      </w:r>
      <w:r w:rsidR="000B00F6">
        <w:t xml:space="preserve">unable to </w:t>
      </w:r>
      <w:r w:rsidR="0095373D">
        <w:t xml:space="preserve">obtain </w:t>
      </w:r>
      <w:r w:rsidRPr="00185F6A">
        <w:t>the goods and services ordinarily offered to the public in this type of commercial establishment due to her race, colour, sex, and social condition.</w:t>
      </w:r>
    </w:p>
    <w:p w14:paraId="528BA643" w14:textId="2DAADB67" w:rsidR="00F54ACD" w:rsidRPr="007A046B" w:rsidRDefault="00FA10D8" w:rsidP="00FA10D8">
      <w:pPr>
        <w:pStyle w:val="Titre1"/>
      </w:pPr>
      <w:r w:rsidRPr="007A046B">
        <w:t xml:space="preserve">THE </w:t>
      </w:r>
      <w:r w:rsidR="006051CB" w:rsidRPr="007A046B">
        <w:t>ISSUE</w:t>
      </w:r>
      <w:r w:rsidRPr="007A046B">
        <w:t>S</w:t>
      </w:r>
    </w:p>
    <w:p w14:paraId="527644AF" w14:textId="19C5C842" w:rsidR="00F54ACD" w:rsidRPr="00185F6A" w:rsidRDefault="006051CB" w:rsidP="00F54ACD">
      <w:pPr>
        <w:pStyle w:val="Paragraphe"/>
        <w:tabs>
          <w:tab w:val="clear" w:pos="360"/>
        </w:tabs>
      </w:pPr>
      <w:r w:rsidRPr="00185F6A">
        <w:t xml:space="preserve">The dispute </w:t>
      </w:r>
      <w:r w:rsidR="000B00F6" w:rsidRPr="00185F6A">
        <w:t xml:space="preserve">essentially </w:t>
      </w:r>
      <w:r w:rsidRPr="00185F6A">
        <w:t>raises two questions:</w:t>
      </w:r>
    </w:p>
    <w:p w14:paraId="1E35E071" w14:textId="34754DA5" w:rsidR="00F54ACD" w:rsidRPr="00185F6A" w:rsidRDefault="006051CB" w:rsidP="00F54ACD">
      <w:pPr>
        <w:pStyle w:val="Paragraphe"/>
        <w:numPr>
          <w:ilvl w:val="0"/>
          <w:numId w:val="20"/>
        </w:numPr>
      </w:pPr>
      <w:r w:rsidRPr="00185F6A">
        <w:t xml:space="preserve">Has the Commission established, on a balance of probabilities, that 9377-1905 discriminated against Ms. Sam, thereby </w:t>
      </w:r>
      <w:r w:rsidR="009439C5">
        <w:t xml:space="preserve">interfering with </w:t>
      </w:r>
      <w:r w:rsidRPr="00185F6A">
        <w:t>her rights under ss.</w:t>
      </w:r>
      <w:r w:rsidR="00B80629">
        <w:t> </w:t>
      </w:r>
      <w:r w:rsidRPr="00185F6A">
        <w:t>4, 10, 12</w:t>
      </w:r>
      <w:r w:rsidR="009439C5">
        <w:t>,</w:t>
      </w:r>
      <w:r w:rsidRPr="00185F6A">
        <w:t xml:space="preserve"> and 15 of the</w:t>
      </w:r>
      <w:r w:rsidR="004D21F1">
        <w:t xml:space="preserve"> </w:t>
      </w:r>
      <w:r w:rsidR="004D21F1" w:rsidRPr="007A046B">
        <w:t>Quebec</w:t>
      </w:r>
      <w:r w:rsidRPr="007A046B">
        <w:t xml:space="preserve"> </w:t>
      </w:r>
      <w:r w:rsidRPr="00185F6A">
        <w:rPr>
          <w:i/>
        </w:rPr>
        <w:t>Charter of human rights and freedoms</w:t>
      </w:r>
      <w:r w:rsidRPr="00185F6A">
        <w:t>?</w:t>
      </w:r>
      <w:r w:rsidR="00F54ACD" w:rsidRPr="00185F6A">
        <w:rPr>
          <w:rStyle w:val="Appelnotedebasdep"/>
        </w:rPr>
        <w:footnoteReference w:id="3"/>
      </w:r>
      <w:r w:rsidRPr="00185F6A">
        <w:t xml:space="preserve"> </w:t>
      </w:r>
    </w:p>
    <w:p w14:paraId="13F013FD" w14:textId="75A87CD3" w:rsidR="00F54ACD" w:rsidRPr="00185F6A" w:rsidRDefault="006051CB" w:rsidP="00F54ACD">
      <w:pPr>
        <w:pStyle w:val="Paragraphe"/>
        <w:numPr>
          <w:ilvl w:val="0"/>
          <w:numId w:val="20"/>
        </w:numPr>
      </w:pPr>
      <w:r w:rsidRPr="00185F6A">
        <w:t xml:space="preserve">If so, what is the appropriate </w:t>
      </w:r>
      <w:r w:rsidR="009439C5">
        <w:t>compensation</w:t>
      </w:r>
      <w:r w:rsidRPr="00185F6A">
        <w:t xml:space="preserve"> in application of s.</w:t>
      </w:r>
      <w:r w:rsidR="00B80629">
        <w:t> </w:t>
      </w:r>
      <w:r w:rsidRPr="00185F6A">
        <w:t xml:space="preserve">49 of the </w:t>
      </w:r>
      <w:r w:rsidRPr="00185F6A">
        <w:rPr>
          <w:i/>
        </w:rPr>
        <w:t>Charter</w:t>
      </w:r>
      <w:r w:rsidRPr="00185F6A">
        <w:t>?</w:t>
      </w:r>
    </w:p>
    <w:p w14:paraId="7C3B8894" w14:textId="072E3A03" w:rsidR="00F54ACD" w:rsidRPr="00185F6A" w:rsidRDefault="006051CB" w:rsidP="00F54ACD">
      <w:pPr>
        <w:pStyle w:val="Paragraphe"/>
        <w:numPr>
          <w:ilvl w:val="0"/>
          <w:numId w:val="0"/>
        </w:numPr>
        <w:rPr>
          <w:b/>
          <w:u w:val="single"/>
        </w:rPr>
      </w:pPr>
      <w:r w:rsidRPr="00185F6A">
        <w:rPr>
          <w:b/>
        </w:rPr>
        <w:t>II.</w:t>
      </w:r>
      <w:r w:rsidR="00F54ACD" w:rsidRPr="00185F6A">
        <w:rPr>
          <w:b/>
        </w:rPr>
        <w:tab/>
      </w:r>
      <w:r w:rsidR="00FA10D8" w:rsidRPr="007A046B">
        <w:rPr>
          <w:b/>
          <w:u w:val="single"/>
        </w:rPr>
        <w:t xml:space="preserve">THE </w:t>
      </w:r>
      <w:r w:rsidRPr="00185F6A">
        <w:rPr>
          <w:b/>
          <w:u w:val="single"/>
        </w:rPr>
        <w:t>BACKGROUND</w:t>
      </w:r>
    </w:p>
    <w:p w14:paraId="12F39466" w14:textId="33F88AF6" w:rsidR="00F54ACD" w:rsidRPr="00185F6A" w:rsidRDefault="006051CB" w:rsidP="00F54ACD">
      <w:pPr>
        <w:pStyle w:val="Paragraphe"/>
        <w:tabs>
          <w:tab w:val="clear" w:pos="360"/>
        </w:tabs>
      </w:pPr>
      <w:proofErr w:type="gramStart"/>
      <w:r w:rsidRPr="00185F6A">
        <w:t xml:space="preserve">Ms. Sam is from the </w:t>
      </w:r>
      <w:r w:rsidR="002E331A" w:rsidRPr="00185F6A">
        <w:t xml:space="preserve">Caribbean </w:t>
      </w:r>
      <w:r w:rsidRPr="00185F6A">
        <w:t xml:space="preserve">archipelago </w:t>
      </w:r>
      <w:r w:rsidR="002E331A">
        <w:t xml:space="preserve">of the </w:t>
      </w:r>
      <w:r w:rsidR="002E331A" w:rsidRPr="00185F6A">
        <w:t xml:space="preserve">Grenadines </w:t>
      </w:r>
      <w:r w:rsidRPr="00185F6A">
        <w:t>and has been living in Montreal since 2011.</w:t>
      </w:r>
      <w:proofErr w:type="gramEnd"/>
      <w:r w:rsidR="00F54ACD" w:rsidRPr="00185F6A">
        <w:t xml:space="preserve"> </w:t>
      </w:r>
    </w:p>
    <w:p w14:paraId="2590BFA2" w14:textId="4B42EF91" w:rsidR="00F54ACD" w:rsidRPr="00185F6A" w:rsidRDefault="006051CB" w:rsidP="00F54ACD">
      <w:pPr>
        <w:pStyle w:val="Paragraphe"/>
        <w:tabs>
          <w:tab w:val="clear" w:pos="360"/>
        </w:tabs>
      </w:pPr>
      <w:r w:rsidRPr="00185F6A">
        <w:t xml:space="preserve">She is black, speaks English – or broken English </w:t>
      </w:r>
      <w:r w:rsidR="00016E87">
        <w:t>to use her expression</w:t>
      </w:r>
      <w:r w:rsidRPr="00185F6A">
        <w:t xml:space="preserve"> – and is a permanent resident.</w:t>
      </w:r>
    </w:p>
    <w:p w14:paraId="3D1474A1" w14:textId="3442F35C" w:rsidR="00F54ACD" w:rsidRPr="00185F6A" w:rsidRDefault="006051CB" w:rsidP="00F54ACD">
      <w:pPr>
        <w:pStyle w:val="Paragraphe"/>
        <w:tabs>
          <w:tab w:val="clear" w:pos="360"/>
        </w:tabs>
      </w:pPr>
      <w:r w:rsidRPr="00185F6A">
        <w:t xml:space="preserve">She lives alone with her </w:t>
      </w:r>
      <w:proofErr w:type="gramStart"/>
      <w:r w:rsidRPr="00185F6A">
        <w:t>three</w:t>
      </w:r>
      <w:proofErr w:type="gramEnd"/>
      <w:r w:rsidRPr="00185F6A">
        <w:t xml:space="preserve"> </w:t>
      </w:r>
      <w:r w:rsidR="002E331A">
        <w:t>s</w:t>
      </w:r>
      <w:r w:rsidRPr="00185F6A">
        <w:t>o</w:t>
      </w:r>
      <w:r w:rsidR="002E331A">
        <w:t>n</w:t>
      </w:r>
      <w:r w:rsidRPr="00185F6A">
        <w:t xml:space="preserve">s </w:t>
      </w:r>
      <w:r w:rsidR="002E331A">
        <w:t xml:space="preserve">aged </w:t>
      </w:r>
      <w:r w:rsidRPr="00185F6A">
        <w:t>respectively 8, 4, and 2 years old, a block away from the 9377-1905 convenience store.</w:t>
      </w:r>
    </w:p>
    <w:p w14:paraId="54CB28F7" w14:textId="77777777" w:rsidR="00F54ACD" w:rsidRPr="00185F6A" w:rsidRDefault="006051CB" w:rsidP="00F54ACD">
      <w:pPr>
        <w:pStyle w:val="Paragraphe"/>
        <w:tabs>
          <w:tab w:val="clear" w:pos="360"/>
        </w:tabs>
      </w:pPr>
      <w:proofErr w:type="spellStart"/>
      <w:r w:rsidRPr="00185F6A">
        <w:t>Jianli</w:t>
      </w:r>
      <w:proofErr w:type="spellEnd"/>
      <w:r w:rsidRPr="00185F6A">
        <w:t xml:space="preserve"> Liu operates this commercial establishment.</w:t>
      </w:r>
    </w:p>
    <w:p w14:paraId="10EF7BD4" w14:textId="7C717B7A" w:rsidR="00F54ACD" w:rsidRPr="00185F6A" w:rsidRDefault="002E331A" w:rsidP="00F54ACD">
      <w:pPr>
        <w:pStyle w:val="Paragraphe"/>
        <w:tabs>
          <w:tab w:val="clear" w:pos="360"/>
        </w:tabs>
      </w:pPr>
      <w:r>
        <w:t>A</w:t>
      </w:r>
      <w:r w:rsidRPr="00185F6A">
        <w:t>t the end of the day</w:t>
      </w:r>
      <w:r>
        <w:t xml:space="preserve"> o</w:t>
      </w:r>
      <w:r w:rsidR="006051CB" w:rsidRPr="00185F6A">
        <w:t>n January 15,</w:t>
      </w:r>
      <w:r w:rsidR="00B80629">
        <w:t> </w:t>
      </w:r>
      <w:r w:rsidR="006051CB" w:rsidRPr="00185F6A">
        <w:t>2019, Ms. Sam walked to the daycare to pick up her two younge</w:t>
      </w:r>
      <w:r w:rsidR="00B64060">
        <w:t>st</w:t>
      </w:r>
      <w:r w:rsidR="006051CB" w:rsidRPr="00185F6A">
        <w:t xml:space="preserve"> boys.</w:t>
      </w:r>
      <w:r w:rsidR="00F54ACD" w:rsidRPr="00185F6A">
        <w:t xml:space="preserve"> </w:t>
      </w:r>
      <w:r w:rsidR="006051CB" w:rsidRPr="00185F6A">
        <w:t xml:space="preserve">On the way back home, she stopped </w:t>
      </w:r>
      <w:r>
        <w:t>at</w:t>
      </w:r>
      <w:r w:rsidR="006051CB" w:rsidRPr="00185F6A">
        <w:t xml:space="preserve"> the convenience store to buy macaroni for dinner.</w:t>
      </w:r>
    </w:p>
    <w:p w14:paraId="4E6E1D4D" w14:textId="33097789" w:rsidR="00F54ACD" w:rsidRPr="00185F6A" w:rsidRDefault="006051CB" w:rsidP="00F54ACD">
      <w:pPr>
        <w:pStyle w:val="Paragraphe"/>
        <w:tabs>
          <w:tab w:val="clear" w:pos="360"/>
        </w:tabs>
      </w:pPr>
      <w:r w:rsidRPr="00185F6A">
        <w:lastRenderedPageBreak/>
        <w:t xml:space="preserve">This was only the second time she had </w:t>
      </w:r>
      <w:r w:rsidR="002E331A">
        <w:t xml:space="preserve">been in </w:t>
      </w:r>
      <w:r w:rsidRPr="00185F6A">
        <w:t>this establishment.</w:t>
      </w:r>
      <w:r w:rsidR="00F54ACD" w:rsidRPr="00185F6A">
        <w:t xml:space="preserve"> </w:t>
      </w:r>
      <w:r w:rsidRPr="00185F6A">
        <w:t xml:space="preserve">The first time, she bought a telephone card </w:t>
      </w:r>
      <w:r w:rsidR="002E331A">
        <w:t xml:space="preserve">that </w:t>
      </w:r>
      <w:r w:rsidRPr="00185F6A">
        <w:t xml:space="preserve">she wanted to pay for </w:t>
      </w:r>
      <w:r w:rsidR="002E331A">
        <w:t xml:space="preserve">with </w:t>
      </w:r>
      <w:r w:rsidRPr="00185F6A">
        <w:t xml:space="preserve">her </w:t>
      </w:r>
      <w:proofErr w:type="gramStart"/>
      <w:r w:rsidRPr="00185F6A">
        <w:t>bank card</w:t>
      </w:r>
      <w:proofErr w:type="gramEnd"/>
      <w:r w:rsidRPr="00185F6A">
        <w:t>.</w:t>
      </w:r>
      <w:r w:rsidR="00F54ACD" w:rsidRPr="00185F6A">
        <w:t xml:space="preserve"> </w:t>
      </w:r>
      <w:r w:rsidR="002E331A">
        <w:t>T</w:t>
      </w:r>
      <w:r w:rsidRPr="00185F6A">
        <w:t>he terminal was slow to confirm the transaction</w:t>
      </w:r>
      <w:r w:rsidR="002E331A">
        <w:t>, causing</w:t>
      </w:r>
      <w:r w:rsidRPr="00185F6A">
        <w:t xml:space="preserve"> Mr. Liu </w:t>
      </w:r>
      <w:r w:rsidR="002E331A">
        <w:t xml:space="preserve">to </w:t>
      </w:r>
      <w:r w:rsidRPr="00185F6A">
        <w:t xml:space="preserve">doubt that she had the necessary funds, which she did not </w:t>
      </w:r>
      <w:r w:rsidR="002E331A">
        <w:t>like</w:t>
      </w:r>
      <w:r w:rsidRPr="00185F6A">
        <w:t>: “He was rude to me”.</w:t>
      </w:r>
      <w:r w:rsidR="00F54ACD" w:rsidRPr="00185F6A">
        <w:t xml:space="preserve"> </w:t>
      </w:r>
    </w:p>
    <w:p w14:paraId="7166F008" w14:textId="33AB4394" w:rsidR="00F54ACD" w:rsidRPr="00185F6A" w:rsidRDefault="006051CB" w:rsidP="00F54ACD">
      <w:pPr>
        <w:pStyle w:val="Paragraphe"/>
      </w:pPr>
      <w:r w:rsidRPr="00185F6A">
        <w:t>Once in the convenience store, Ms. Sam and her two children walked up and down the aisles.</w:t>
      </w:r>
      <w:r w:rsidR="00F54ACD" w:rsidRPr="00185F6A">
        <w:t xml:space="preserve"> </w:t>
      </w:r>
      <w:r w:rsidRPr="00185F6A">
        <w:t>The boys followed her.</w:t>
      </w:r>
      <w:r w:rsidR="002E331A">
        <w:t xml:space="preserve"> S</w:t>
      </w:r>
      <w:r w:rsidRPr="00185F6A">
        <w:t>he claims she gave the youngest a bag of chips to keep his attention</w:t>
      </w:r>
      <w:r w:rsidR="002E331A">
        <w:t>,</w:t>
      </w:r>
      <w:r w:rsidR="002E331A" w:rsidRPr="002E331A">
        <w:t xml:space="preserve"> </w:t>
      </w:r>
      <w:r w:rsidR="002E331A">
        <w:t>a</w:t>
      </w:r>
      <w:r w:rsidR="002E331A" w:rsidRPr="00185F6A">
        <w:t>s was her habit</w:t>
      </w:r>
      <w:r w:rsidRPr="00185F6A">
        <w:t>.</w:t>
      </w:r>
    </w:p>
    <w:p w14:paraId="151353AD" w14:textId="5C197B8F" w:rsidR="00F54ACD" w:rsidRPr="00185F6A" w:rsidRDefault="006051CB" w:rsidP="00F54ACD">
      <w:pPr>
        <w:pStyle w:val="Paragraphe"/>
      </w:pPr>
      <w:r w:rsidRPr="00185F6A">
        <w:t xml:space="preserve">Mr. Liu was watching </w:t>
      </w:r>
      <w:r w:rsidR="002E331A">
        <w:t>closely</w:t>
      </w:r>
      <w:r w:rsidRPr="00185F6A">
        <w:t>.</w:t>
      </w:r>
    </w:p>
    <w:p w14:paraId="217DD590" w14:textId="01D630F8" w:rsidR="00F54ACD" w:rsidRPr="00185F6A" w:rsidRDefault="006051CB" w:rsidP="00F54ACD">
      <w:pPr>
        <w:pStyle w:val="Paragraphe"/>
      </w:pPr>
      <w:r w:rsidRPr="00185F6A">
        <w:t>Once at the cash, Ms. Sam</w:t>
      </w:r>
      <w:r w:rsidR="00C944AA">
        <w:t xml:space="preserve"> gave</w:t>
      </w:r>
      <w:r w:rsidR="00320F74" w:rsidRPr="00320F74">
        <w:rPr>
          <w:color w:val="FF0000"/>
        </w:rPr>
        <w:t xml:space="preserve"> </w:t>
      </w:r>
      <w:r w:rsidRPr="00185F6A">
        <w:t xml:space="preserve">Mr. Liu a small amount of </w:t>
      </w:r>
      <w:r w:rsidR="002E331A">
        <w:t>money</w:t>
      </w:r>
      <w:r w:rsidRPr="00185F6A">
        <w:t>.</w:t>
      </w:r>
    </w:p>
    <w:p w14:paraId="7376B440" w14:textId="0C808496" w:rsidR="00F54ACD" w:rsidRPr="00185F6A" w:rsidRDefault="006051CB" w:rsidP="00F54ACD">
      <w:pPr>
        <w:pStyle w:val="Paragraphe"/>
      </w:pPr>
      <w:r w:rsidRPr="00185F6A">
        <w:t xml:space="preserve">She then decided to </w:t>
      </w:r>
      <w:r w:rsidR="00796D25">
        <w:t>buy</w:t>
      </w:r>
      <w:r w:rsidRPr="00185F6A">
        <w:t xml:space="preserve"> a small can of soft drink</w:t>
      </w:r>
      <w:r w:rsidR="002E331A">
        <w:t xml:space="preserve"> as well</w:t>
      </w:r>
      <w:r w:rsidRPr="00185F6A">
        <w:t>.</w:t>
      </w:r>
      <w:r w:rsidR="00F54ACD" w:rsidRPr="00185F6A">
        <w:t xml:space="preserve"> </w:t>
      </w:r>
      <w:r w:rsidRPr="00185F6A">
        <w:t xml:space="preserve">Because she did not have enough cash to pay for </w:t>
      </w:r>
      <w:r w:rsidR="002E331A">
        <w:t>everything</w:t>
      </w:r>
      <w:r w:rsidRPr="00185F6A">
        <w:t xml:space="preserve">, she wanted him to give her back </w:t>
      </w:r>
      <w:r w:rsidR="002E331A">
        <w:t xml:space="preserve">her </w:t>
      </w:r>
      <w:r w:rsidRPr="00185F6A">
        <w:t xml:space="preserve">money so she could pay with her </w:t>
      </w:r>
      <w:proofErr w:type="gramStart"/>
      <w:r w:rsidRPr="00185F6A">
        <w:t>bank card</w:t>
      </w:r>
      <w:proofErr w:type="gramEnd"/>
      <w:r w:rsidRPr="00185F6A">
        <w:t xml:space="preserve"> instead.</w:t>
      </w:r>
    </w:p>
    <w:p w14:paraId="2BEDEB45" w14:textId="787392C8" w:rsidR="00F54ACD" w:rsidRPr="00185F6A" w:rsidRDefault="006051CB" w:rsidP="00F54ACD">
      <w:pPr>
        <w:pStyle w:val="Paragraphe"/>
      </w:pPr>
      <w:r w:rsidRPr="00185F6A">
        <w:t xml:space="preserve">Mr. Liu </w:t>
      </w:r>
      <w:r w:rsidR="00B64060">
        <w:t xml:space="preserve">then </w:t>
      </w:r>
      <w:r w:rsidRPr="00185F6A">
        <w:t>abruptly grabbed the bag of chips out of the youngest</w:t>
      </w:r>
      <w:r w:rsidR="005A4C99">
        <w:t xml:space="preserve"> child</w:t>
      </w:r>
      <w:r w:rsidRPr="00185F6A">
        <w:t>’s hands.</w:t>
      </w:r>
      <w:r w:rsidR="00F54ACD" w:rsidRPr="00185F6A">
        <w:t xml:space="preserve"> </w:t>
      </w:r>
      <w:r w:rsidRPr="00185F6A">
        <w:t xml:space="preserve">He was afraid that </w:t>
      </w:r>
      <w:r w:rsidR="005A4C99">
        <w:t xml:space="preserve">she would not pay for </w:t>
      </w:r>
      <w:r w:rsidRPr="00185F6A">
        <w:t>his merchandise.</w:t>
      </w:r>
      <w:r w:rsidR="00F54ACD" w:rsidRPr="00185F6A">
        <w:t xml:space="preserve"> </w:t>
      </w:r>
      <w:r w:rsidRPr="00185F6A">
        <w:t>He asked Ms. Sam to leave his store immediately with her sons.</w:t>
      </w:r>
      <w:r w:rsidR="00F54ACD" w:rsidRPr="00185F6A">
        <w:t xml:space="preserve"> </w:t>
      </w:r>
    </w:p>
    <w:p w14:paraId="61677ED2" w14:textId="266CC4BF" w:rsidR="00F54ACD" w:rsidRPr="00185F6A" w:rsidRDefault="0095373D" w:rsidP="00F54ACD">
      <w:pPr>
        <w:pStyle w:val="Paragraphe"/>
      </w:pPr>
      <w:r>
        <w:t xml:space="preserve">A </w:t>
      </w:r>
      <w:r w:rsidR="00B64060">
        <w:t>lively</w:t>
      </w:r>
      <w:r w:rsidR="006051CB" w:rsidRPr="00185F6A">
        <w:t xml:space="preserve"> discussion ensued and Mr. Liu threatened to call the police.</w:t>
      </w:r>
    </w:p>
    <w:p w14:paraId="5A792670" w14:textId="377F2F1B" w:rsidR="00F54ACD" w:rsidRPr="00185F6A" w:rsidRDefault="006051CB" w:rsidP="00F54ACD">
      <w:pPr>
        <w:pStyle w:val="Paragraphe"/>
      </w:pPr>
      <w:r w:rsidRPr="00185F6A">
        <w:t xml:space="preserve">While waiting for the police, Ms. Sam took out her smart phone and </w:t>
      </w:r>
      <w:r w:rsidR="00796D25">
        <w:t>started recording</w:t>
      </w:r>
      <w:r w:rsidRPr="00185F6A">
        <w:t xml:space="preserve"> what was happening in the convenience store.</w:t>
      </w:r>
      <w:r w:rsidR="00F54ACD" w:rsidRPr="00185F6A">
        <w:rPr>
          <w:rStyle w:val="Appelnotedebasdep"/>
        </w:rPr>
        <w:footnoteReference w:id="4"/>
      </w:r>
    </w:p>
    <w:p w14:paraId="74C482F5" w14:textId="77777777" w:rsidR="00F54ACD" w:rsidRPr="00185F6A" w:rsidRDefault="006051CB" w:rsidP="00F54ACD">
      <w:pPr>
        <w:pStyle w:val="Paragraphe"/>
      </w:pPr>
      <w:r w:rsidRPr="00185F6A">
        <w:t>At this point, a white woman with blond hair entered the convenience store and went to the cash to pay.</w:t>
      </w:r>
    </w:p>
    <w:p w14:paraId="31E0DCE7" w14:textId="198E599E" w:rsidR="00F54ACD" w:rsidRPr="00185F6A" w:rsidRDefault="006051CB" w:rsidP="00F54ACD">
      <w:pPr>
        <w:pStyle w:val="Paragraphe"/>
      </w:pPr>
      <w:r w:rsidRPr="00185F6A">
        <w:t xml:space="preserve">Ms. Sam’s oldest son, who was on the </w:t>
      </w:r>
      <w:r w:rsidR="00796D25">
        <w:t xml:space="preserve">way back </w:t>
      </w:r>
      <w:r w:rsidRPr="00185F6A">
        <w:t>from school, went inside.</w:t>
      </w:r>
      <w:r w:rsidR="00F54ACD" w:rsidRPr="00185F6A">
        <w:t xml:space="preserve"> </w:t>
      </w:r>
      <w:r w:rsidRPr="00185F6A">
        <w:t xml:space="preserve">He covered his ears with his hands to </w:t>
      </w:r>
      <w:r w:rsidR="00796D25">
        <w:t>muffle</w:t>
      </w:r>
      <w:r w:rsidRPr="00185F6A">
        <w:t xml:space="preserve"> the </w:t>
      </w:r>
      <w:r w:rsidR="00796D25">
        <w:t>s</w:t>
      </w:r>
      <w:r w:rsidRPr="00185F6A">
        <w:t>ound of his mother’s cries.</w:t>
      </w:r>
    </w:p>
    <w:p w14:paraId="1A8752FA" w14:textId="222B6C00" w:rsidR="00F54ACD" w:rsidRPr="00185F6A" w:rsidRDefault="006051CB" w:rsidP="00F54ACD">
      <w:pPr>
        <w:pStyle w:val="Paragraphe"/>
      </w:pPr>
      <w:r w:rsidRPr="00185F6A">
        <w:t xml:space="preserve">Ms. Sam </w:t>
      </w:r>
      <w:r w:rsidR="00796D25">
        <w:t>claims</w:t>
      </w:r>
      <w:r w:rsidRPr="00185F6A">
        <w:t xml:space="preserve"> that her oldest son, once outside, put his hands in his pockets because it was cold. Mr. Liu physically forced him to </w:t>
      </w:r>
      <w:r w:rsidR="00796D25">
        <w:t xml:space="preserve">remove </w:t>
      </w:r>
      <w:r w:rsidRPr="00185F6A">
        <w:t xml:space="preserve">them because he was </w:t>
      </w:r>
      <w:r w:rsidR="00796D25">
        <w:t xml:space="preserve">worried that he </w:t>
      </w:r>
      <w:proofErr w:type="gramStart"/>
      <w:r w:rsidR="00796D25">
        <w:t xml:space="preserve">had been </w:t>
      </w:r>
      <w:r w:rsidRPr="00185F6A">
        <w:t>robbed</w:t>
      </w:r>
      <w:proofErr w:type="gramEnd"/>
      <w:r w:rsidRPr="00185F6A">
        <w:t>: “You have my stuff in your pockets!”</w:t>
      </w:r>
      <w:r w:rsidR="00F54ACD" w:rsidRPr="00185F6A">
        <w:t> </w:t>
      </w:r>
      <w:r w:rsidRPr="00185F6A">
        <w:t>he allegedly told the boy.</w:t>
      </w:r>
    </w:p>
    <w:p w14:paraId="5486F81E" w14:textId="54EFEE32" w:rsidR="00F54ACD" w:rsidRPr="00185F6A" w:rsidRDefault="006051CB" w:rsidP="00F54ACD">
      <w:pPr>
        <w:pStyle w:val="Paragraphe"/>
      </w:pPr>
      <w:r w:rsidRPr="00185F6A">
        <w:lastRenderedPageBreak/>
        <w:t>Ms. Sam then yelled</w:t>
      </w:r>
      <w:r w:rsidR="00796D25">
        <w:t xml:space="preserve"> at </w:t>
      </w:r>
      <w:proofErr w:type="gramStart"/>
      <w:r w:rsidR="00796D25">
        <w:t>him:</w:t>
      </w:r>
      <w:proofErr w:type="gramEnd"/>
      <w:r w:rsidRPr="00185F6A">
        <w:t xml:space="preserve"> “Don’t touch my child!”</w:t>
      </w:r>
      <w:r w:rsidR="00F54ACD" w:rsidRPr="00185F6A">
        <w:t xml:space="preserve"> </w:t>
      </w:r>
      <w:r w:rsidRPr="00185F6A">
        <w:t xml:space="preserve">She related that the child was </w:t>
      </w:r>
      <w:r w:rsidR="00B64060">
        <w:t>frightened</w:t>
      </w:r>
      <w:r w:rsidR="00B64060" w:rsidRPr="00185F6A">
        <w:t xml:space="preserve"> </w:t>
      </w:r>
      <w:r w:rsidRPr="00185F6A">
        <w:t xml:space="preserve">and she herself was shocked, sad, confused, and </w:t>
      </w:r>
      <w:r w:rsidR="00796D25">
        <w:t xml:space="preserve">highly </w:t>
      </w:r>
      <w:r w:rsidRPr="00185F6A">
        <w:t>emotional, given the turn of events.</w:t>
      </w:r>
      <w:r w:rsidR="00F54ACD" w:rsidRPr="00185F6A">
        <w:t xml:space="preserve"> </w:t>
      </w:r>
    </w:p>
    <w:p w14:paraId="58E972AF" w14:textId="17CA047D" w:rsidR="00F54ACD" w:rsidRPr="00185F6A" w:rsidRDefault="006051CB" w:rsidP="00F54ACD">
      <w:pPr>
        <w:pStyle w:val="Paragraphe"/>
      </w:pPr>
      <w:r w:rsidRPr="00185F6A">
        <w:t>Once on the scene, the police ended the dispute.</w:t>
      </w:r>
      <w:r w:rsidR="00F54ACD" w:rsidRPr="00185F6A">
        <w:t xml:space="preserve"> </w:t>
      </w:r>
      <w:r w:rsidRPr="00185F6A">
        <w:t xml:space="preserve">Ms. Sam wanted to file a complaint, but the police officer </w:t>
      </w:r>
      <w:r w:rsidR="00796D25">
        <w:t>with</w:t>
      </w:r>
      <w:r w:rsidRPr="00185F6A">
        <w:t xml:space="preserve"> whom she was speaking instead suggested that she contact the Commission.</w:t>
      </w:r>
      <w:r w:rsidR="00F54ACD" w:rsidRPr="00185F6A">
        <w:t xml:space="preserve"> </w:t>
      </w:r>
    </w:p>
    <w:p w14:paraId="0EE190F9" w14:textId="77777777" w:rsidR="00F54ACD" w:rsidRPr="00185F6A" w:rsidRDefault="006051CB" w:rsidP="00F54ACD">
      <w:pPr>
        <w:pStyle w:val="Paragraphe"/>
      </w:pPr>
      <w:r w:rsidRPr="00185F6A">
        <w:t>In tears, Ms. Sam then went with her sons to another store to buy the goods she needed.</w:t>
      </w:r>
      <w:r w:rsidR="00F54ACD" w:rsidRPr="00185F6A">
        <w:t xml:space="preserve"> </w:t>
      </w:r>
    </w:p>
    <w:p w14:paraId="7E835B6C" w14:textId="7AB2393D" w:rsidR="00F54ACD" w:rsidRPr="00185F6A" w:rsidRDefault="006051CB" w:rsidP="00F54ACD">
      <w:pPr>
        <w:pStyle w:val="Paragraphe"/>
      </w:pPr>
      <w:r w:rsidRPr="00185F6A">
        <w:t>She never returned to the 9377-1905 convenience store</w:t>
      </w:r>
      <w:r w:rsidR="00796D25">
        <w:t xml:space="preserve"> after that</w:t>
      </w:r>
      <w:r w:rsidRPr="00185F6A">
        <w:t>: “What he did was not right”, she said, referring to Mr. Liu.</w:t>
      </w:r>
    </w:p>
    <w:p w14:paraId="10573C91" w14:textId="24D36318" w:rsidR="00F54ACD" w:rsidRPr="00185F6A" w:rsidRDefault="006051CB" w:rsidP="00F54ACD">
      <w:pPr>
        <w:pStyle w:val="Paragraphe"/>
      </w:pPr>
      <w:r w:rsidRPr="00185F6A">
        <w:t>On February 14,</w:t>
      </w:r>
      <w:r w:rsidR="00B80629">
        <w:t> </w:t>
      </w:r>
      <w:r w:rsidRPr="00185F6A">
        <w:t>2019, Ms. Sam filed a complaint with the Commission.</w:t>
      </w:r>
      <w:r w:rsidR="00F54ACD" w:rsidRPr="00185F6A">
        <w:t xml:space="preserve"> </w:t>
      </w:r>
      <w:r w:rsidRPr="00185F6A">
        <w:t>According to the Commission’s resolution of April 9,</w:t>
      </w:r>
      <w:r w:rsidR="00B80629">
        <w:t> </w:t>
      </w:r>
      <w:r w:rsidRPr="00185F6A">
        <w:t>2020, the complaint concern</w:t>
      </w:r>
      <w:r w:rsidR="006A11D5">
        <w:t>ed</w:t>
      </w:r>
      <w:r w:rsidRPr="00185F6A">
        <w:t xml:space="preserve"> an allegation of </w:t>
      </w:r>
      <w:r w:rsidRPr="00185F6A">
        <w:rPr>
          <w:rFonts w:cs="Arial"/>
        </w:rPr>
        <w:t>[</w:t>
      </w:r>
      <w:r w:rsidRPr="00185F6A">
        <w:rPr>
          <w:rFonts w:cs="Arial"/>
          <w:smallCaps/>
        </w:rPr>
        <w:t>translation</w:t>
      </w:r>
      <w:r w:rsidRPr="00185F6A">
        <w:rPr>
          <w:rFonts w:cs="Arial"/>
        </w:rPr>
        <w:t>]</w:t>
      </w:r>
      <w:r w:rsidRPr="00185F6A">
        <w:t xml:space="preserve"> “discrimination based on race and colour”.</w:t>
      </w:r>
      <w:r w:rsidR="00F54ACD" w:rsidRPr="00185F6A">
        <w:rPr>
          <w:rStyle w:val="Appelnotedebasdep"/>
        </w:rPr>
        <w:footnoteReference w:id="5"/>
      </w:r>
    </w:p>
    <w:p w14:paraId="7DBB43BD" w14:textId="170A9DB9" w:rsidR="00F54ACD" w:rsidRPr="00185F6A" w:rsidRDefault="007C1A87" w:rsidP="00046174">
      <w:pPr>
        <w:pStyle w:val="Paragraphe"/>
      </w:pPr>
      <w:r w:rsidRPr="00185F6A">
        <w:t xml:space="preserve">Following an investigation, the Commission adopted a resolution in which it concluded that </w:t>
      </w:r>
      <w:r w:rsidRPr="00276020">
        <w:rPr>
          <w:rFonts w:cs="Arial"/>
        </w:rPr>
        <w:t>[</w:t>
      </w:r>
      <w:r w:rsidRPr="00276020">
        <w:rPr>
          <w:rFonts w:cs="Arial"/>
          <w:smallCaps/>
        </w:rPr>
        <w:t>translation</w:t>
      </w:r>
      <w:r w:rsidRPr="00276020">
        <w:rPr>
          <w:rFonts w:cs="Arial"/>
        </w:rPr>
        <w:t>]</w:t>
      </w:r>
      <w:r w:rsidRPr="00185F6A">
        <w:t xml:space="preserve"> “the </w:t>
      </w:r>
      <w:r w:rsidRPr="007A046B">
        <w:t>complainant was</w:t>
      </w:r>
      <w:r w:rsidR="00276020" w:rsidRPr="007A046B">
        <w:t xml:space="preserve"> </w:t>
      </w:r>
      <w:r w:rsidR="007A046B" w:rsidRPr="007A046B">
        <w:t xml:space="preserve">the </w:t>
      </w:r>
      <w:r w:rsidR="00276020" w:rsidRPr="007A046B">
        <w:t xml:space="preserve">victim </w:t>
      </w:r>
      <w:r w:rsidR="007A046B" w:rsidRPr="007A046B">
        <w:t xml:space="preserve">of </w:t>
      </w:r>
      <w:r w:rsidR="00276020" w:rsidRPr="007A046B">
        <w:t xml:space="preserve">differential or unusual treatment </w:t>
      </w:r>
      <w:r w:rsidRPr="007A046B">
        <w:t>by the convenience store owner</w:t>
      </w:r>
      <w:r w:rsidR="00B20010" w:rsidRPr="007A046B">
        <w:t>,</w:t>
      </w:r>
      <w:r w:rsidRPr="007A046B">
        <w:t xml:space="preserve"> </w:t>
      </w:r>
      <w:r w:rsidR="00B20010" w:rsidRPr="007A046B">
        <w:t>na</w:t>
      </w:r>
      <w:r w:rsidR="00B20010">
        <w:t>mely</w:t>
      </w:r>
      <w:r w:rsidRPr="00185F6A">
        <w:t xml:space="preserve"> because she </w:t>
      </w:r>
      <w:r w:rsidR="00796D25">
        <w:t xml:space="preserve">belongs to </w:t>
      </w:r>
      <w:r w:rsidRPr="00185F6A">
        <w:t xml:space="preserve">a group protected by the </w:t>
      </w:r>
      <w:r w:rsidRPr="00276020">
        <w:rPr>
          <w:i/>
        </w:rPr>
        <w:t>Charter</w:t>
      </w:r>
      <w:r w:rsidRPr="00185F6A">
        <w:t>”.</w:t>
      </w:r>
      <w:r w:rsidR="00F54ACD" w:rsidRPr="00185F6A">
        <w:t xml:space="preserve"> </w:t>
      </w:r>
    </w:p>
    <w:p w14:paraId="1422AB4A" w14:textId="057140E7" w:rsidR="00F54ACD" w:rsidRPr="00185F6A" w:rsidRDefault="00F54ACD" w:rsidP="00F54ACD">
      <w:pPr>
        <w:pStyle w:val="Paragraphe"/>
        <w:numPr>
          <w:ilvl w:val="0"/>
          <w:numId w:val="0"/>
        </w:numPr>
        <w:rPr>
          <w:b/>
          <w:u w:val="single"/>
        </w:rPr>
      </w:pPr>
      <w:r w:rsidRPr="00185F6A">
        <w:rPr>
          <w:b/>
        </w:rPr>
        <w:t>III.</w:t>
      </w:r>
      <w:r w:rsidRPr="00185F6A">
        <w:rPr>
          <w:b/>
        </w:rPr>
        <w:tab/>
      </w:r>
      <w:r w:rsidR="007C1A87" w:rsidRPr="00185F6A">
        <w:rPr>
          <w:b/>
          <w:u w:val="single"/>
        </w:rPr>
        <w:t>THE RELEVANT LEGISLATIVE PROVISIONS</w:t>
      </w:r>
    </w:p>
    <w:p w14:paraId="1111F2A7" w14:textId="33C5CD09" w:rsidR="00F54ACD" w:rsidRPr="00185F6A" w:rsidRDefault="007C1A87" w:rsidP="00F54ACD">
      <w:pPr>
        <w:pStyle w:val="Paragraphe"/>
      </w:pPr>
      <w:r w:rsidRPr="00185F6A">
        <w:t xml:space="preserve">This application </w:t>
      </w:r>
      <w:r w:rsidR="00B20010">
        <w:t>engag</w:t>
      </w:r>
      <w:r w:rsidRPr="00185F6A">
        <w:t xml:space="preserve">es the following </w:t>
      </w:r>
      <w:r w:rsidRPr="00185F6A">
        <w:rPr>
          <w:i/>
        </w:rPr>
        <w:t>Charter</w:t>
      </w:r>
      <w:r w:rsidRPr="00185F6A">
        <w:t xml:space="preserve"> provisions:</w:t>
      </w:r>
    </w:p>
    <w:p w14:paraId="7896B00E" w14:textId="33AE0513" w:rsidR="00F54ACD" w:rsidRPr="00185F6A" w:rsidRDefault="00F54ACD" w:rsidP="00F54ACD">
      <w:pPr>
        <w:pStyle w:val="Citationenretrait"/>
        <w:rPr>
          <w:lang w:val="en-CA"/>
        </w:rPr>
      </w:pPr>
      <w:r w:rsidRPr="00185F6A">
        <w:rPr>
          <w:b/>
          <w:lang w:val="en-CA"/>
        </w:rPr>
        <w:t>4.</w:t>
      </w:r>
      <w:r w:rsidRPr="00185F6A">
        <w:rPr>
          <w:lang w:val="en-CA"/>
        </w:rPr>
        <w:t xml:space="preserve"> </w:t>
      </w:r>
      <w:r w:rsidR="007C1A87" w:rsidRPr="00185F6A">
        <w:rPr>
          <w:lang w:val="en-CA"/>
        </w:rPr>
        <w:t>Every person has a right to the safeguard of his dignity, honour and reputation.</w:t>
      </w:r>
    </w:p>
    <w:p w14:paraId="47ECFC8D" w14:textId="56A1CF07" w:rsidR="00F54ACD" w:rsidRPr="00185F6A" w:rsidRDefault="00F54ACD" w:rsidP="00F54ACD">
      <w:pPr>
        <w:pStyle w:val="Citationenretrait"/>
        <w:rPr>
          <w:lang w:val="en-CA"/>
        </w:rPr>
      </w:pPr>
      <w:proofErr w:type="gramStart"/>
      <w:r w:rsidRPr="00185F6A">
        <w:rPr>
          <w:b/>
          <w:lang w:val="en-CA"/>
        </w:rPr>
        <w:t>10.</w:t>
      </w:r>
      <w:r w:rsidRPr="00185F6A">
        <w:rPr>
          <w:lang w:val="en-CA"/>
        </w:rPr>
        <w:t xml:space="preserve"> </w:t>
      </w:r>
      <w:r w:rsidR="007C1A87" w:rsidRPr="00185F6A">
        <w:rPr>
          <w:lang w:val="en-CA"/>
        </w:rPr>
        <w:t>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a handicap or the use of any means to palliate a handicap.</w:t>
      </w:r>
      <w:proofErr w:type="gramEnd"/>
    </w:p>
    <w:p w14:paraId="69A1839D" w14:textId="21D8FB2D" w:rsidR="00F54ACD" w:rsidRPr="00185F6A" w:rsidRDefault="007C1A87" w:rsidP="00F54ACD">
      <w:pPr>
        <w:pStyle w:val="Citationenretrait"/>
        <w:rPr>
          <w:lang w:val="en-CA"/>
        </w:rPr>
      </w:pPr>
      <w:r w:rsidRPr="00185F6A">
        <w:rPr>
          <w:lang w:val="en-CA"/>
        </w:rPr>
        <w:t>Discrimination exists where such a distinction, exclusion or preference has the effect of nullifying or impairing such right.</w:t>
      </w:r>
      <w:r w:rsidR="00F54ACD" w:rsidRPr="00185F6A">
        <w:rPr>
          <w:lang w:val="en-CA"/>
        </w:rPr>
        <w:t xml:space="preserve"> </w:t>
      </w:r>
    </w:p>
    <w:p w14:paraId="7443086E" w14:textId="314F102B" w:rsidR="00F54ACD" w:rsidRPr="00185F6A" w:rsidRDefault="00F54ACD" w:rsidP="00F54ACD">
      <w:pPr>
        <w:pStyle w:val="Citationenretrait"/>
        <w:rPr>
          <w:lang w:val="en-CA"/>
        </w:rPr>
      </w:pPr>
      <w:r w:rsidRPr="00185F6A">
        <w:rPr>
          <w:b/>
          <w:lang w:val="en-CA"/>
        </w:rPr>
        <w:t>12.</w:t>
      </w:r>
      <w:r w:rsidRPr="00185F6A">
        <w:rPr>
          <w:lang w:val="en-CA"/>
        </w:rPr>
        <w:t xml:space="preserve"> </w:t>
      </w:r>
      <w:r w:rsidR="007C1A87" w:rsidRPr="00185F6A">
        <w:rPr>
          <w:lang w:val="en-CA"/>
        </w:rPr>
        <w:t xml:space="preserve">No one </w:t>
      </w:r>
      <w:proofErr w:type="gramStart"/>
      <w:r w:rsidR="007C1A87" w:rsidRPr="00185F6A">
        <w:rPr>
          <w:lang w:val="en-CA"/>
        </w:rPr>
        <w:t>may, through discrimination, refuse</w:t>
      </w:r>
      <w:proofErr w:type="gramEnd"/>
      <w:r w:rsidR="007C1A87" w:rsidRPr="00185F6A">
        <w:rPr>
          <w:lang w:val="en-CA"/>
        </w:rPr>
        <w:t xml:space="preserve"> to make a juridical act concerning goods or services ordinarily offered to the public.</w:t>
      </w:r>
    </w:p>
    <w:p w14:paraId="4AA76177" w14:textId="27BF3070" w:rsidR="00F54ACD" w:rsidRPr="00185F6A" w:rsidRDefault="00F54ACD" w:rsidP="00F54ACD">
      <w:pPr>
        <w:pStyle w:val="Citationenretrait"/>
        <w:rPr>
          <w:lang w:val="en-CA"/>
        </w:rPr>
      </w:pPr>
      <w:r w:rsidRPr="00185F6A">
        <w:rPr>
          <w:b/>
          <w:lang w:val="en-CA"/>
        </w:rPr>
        <w:lastRenderedPageBreak/>
        <w:t>15.</w:t>
      </w:r>
      <w:r w:rsidRPr="00185F6A">
        <w:rPr>
          <w:lang w:val="en-CA"/>
        </w:rPr>
        <w:t xml:space="preserve"> </w:t>
      </w:r>
      <w:r w:rsidR="007C1A87" w:rsidRPr="00185F6A">
        <w:rPr>
          <w:lang w:val="en-CA"/>
        </w:rPr>
        <w:t xml:space="preserve">No one </w:t>
      </w:r>
      <w:proofErr w:type="gramStart"/>
      <w:r w:rsidR="007C1A87" w:rsidRPr="00185F6A">
        <w:rPr>
          <w:lang w:val="en-CA"/>
        </w:rPr>
        <w:t>may, through discrimination, inhibit</w:t>
      </w:r>
      <w:proofErr w:type="gramEnd"/>
      <w:r w:rsidR="007C1A87" w:rsidRPr="00185F6A">
        <w:rPr>
          <w:lang w:val="en-CA"/>
        </w:rPr>
        <w:t xml:space="preserve"> the access of another to public transportation or a public place, such as a commercial establishment, hotel, restaurant, theatre, cinema, park, camping ground or trailer park, or his obtaining the goods and services available there.</w:t>
      </w:r>
    </w:p>
    <w:p w14:paraId="1252F5AA" w14:textId="0CD10DFF" w:rsidR="00F54ACD" w:rsidRPr="00185F6A" w:rsidRDefault="00F54ACD" w:rsidP="00F54ACD">
      <w:pPr>
        <w:pStyle w:val="Citationenretrait"/>
        <w:rPr>
          <w:lang w:val="en-CA"/>
        </w:rPr>
      </w:pPr>
      <w:r w:rsidRPr="00185F6A">
        <w:rPr>
          <w:b/>
          <w:lang w:val="en-CA"/>
        </w:rPr>
        <w:t>49.</w:t>
      </w:r>
      <w:r w:rsidRPr="00185F6A">
        <w:rPr>
          <w:lang w:val="en-CA"/>
        </w:rPr>
        <w:t xml:space="preserve"> </w:t>
      </w:r>
      <w:r w:rsidR="007C1A87" w:rsidRPr="00185F6A">
        <w:rPr>
          <w:lang w:val="en-CA"/>
        </w:rPr>
        <w:t>Any unlawful interference with any right or freedom recognized by this Charter entitles the victim to obtain the cessation of such interference and compensation for the moral or material prejudice resulting therefrom.</w:t>
      </w:r>
    </w:p>
    <w:p w14:paraId="13A72FA9" w14:textId="6A26051B" w:rsidR="00F54ACD" w:rsidRPr="00185F6A" w:rsidRDefault="007C1A87" w:rsidP="00F54ACD">
      <w:pPr>
        <w:pStyle w:val="Citationenretrait"/>
        <w:rPr>
          <w:lang w:val="en-CA"/>
        </w:rPr>
      </w:pPr>
      <w:r w:rsidRPr="00185F6A">
        <w:rPr>
          <w:lang w:val="en-CA"/>
        </w:rPr>
        <w:t xml:space="preserve">In case of unlawful and intentional interference, the tribunal </w:t>
      </w:r>
      <w:proofErr w:type="gramStart"/>
      <w:r w:rsidRPr="00185F6A">
        <w:rPr>
          <w:lang w:val="en-CA"/>
        </w:rPr>
        <w:t>may, in addition, condemn</w:t>
      </w:r>
      <w:proofErr w:type="gramEnd"/>
      <w:r w:rsidRPr="00185F6A">
        <w:rPr>
          <w:lang w:val="en-CA"/>
        </w:rPr>
        <w:t xml:space="preserve"> the person guilty of it to punitive damages.</w:t>
      </w:r>
    </w:p>
    <w:p w14:paraId="0FDC2304" w14:textId="7CFEC725" w:rsidR="00F54ACD" w:rsidRPr="00185F6A" w:rsidRDefault="007C1A87" w:rsidP="00F54ACD">
      <w:pPr>
        <w:pStyle w:val="Paragraphe"/>
        <w:numPr>
          <w:ilvl w:val="0"/>
          <w:numId w:val="0"/>
        </w:numPr>
        <w:rPr>
          <w:b/>
          <w:u w:val="single"/>
        </w:rPr>
      </w:pPr>
      <w:r w:rsidRPr="00185F6A">
        <w:rPr>
          <w:b/>
        </w:rPr>
        <w:t>IV.</w:t>
      </w:r>
      <w:r w:rsidR="00F54ACD" w:rsidRPr="00185F6A">
        <w:rPr>
          <w:b/>
        </w:rPr>
        <w:tab/>
      </w:r>
      <w:r w:rsidRPr="00185F6A">
        <w:rPr>
          <w:b/>
          <w:u w:val="single"/>
        </w:rPr>
        <w:t>ANALYSIS</w:t>
      </w:r>
    </w:p>
    <w:p w14:paraId="0B3801E9" w14:textId="1AA5E6B1" w:rsidR="00F54ACD" w:rsidRPr="00185F6A" w:rsidRDefault="00E0679C" w:rsidP="00F54ACD">
      <w:pPr>
        <w:pStyle w:val="Paragraphe"/>
      </w:pPr>
      <w:r w:rsidRPr="00185F6A">
        <w:t>The Commission submits that Mr. Liu engaged in “racial profiling”</w:t>
      </w:r>
      <w:r w:rsidR="00F54ACD" w:rsidRPr="00185F6A">
        <w:rPr>
          <w:rStyle w:val="Appelnotedebasdep"/>
        </w:rPr>
        <w:footnoteReference w:id="6"/>
      </w:r>
      <w:r w:rsidRPr="00185F6A">
        <w:t xml:space="preserve"> </w:t>
      </w:r>
      <w:r w:rsidR="00B20010">
        <w:t>with respect to</w:t>
      </w:r>
      <w:r w:rsidRPr="00185F6A">
        <w:t xml:space="preserve"> Ms. Sam by refusing to sell her consumer goods and </w:t>
      </w:r>
      <w:r w:rsidR="00B20010">
        <w:t xml:space="preserve">by </w:t>
      </w:r>
      <w:r w:rsidRPr="00185F6A">
        <w:t>demanding</w:t>
      </w:r>
      <w:r w:rsidR="00530B12">
        <w:t xml:space="preserve"> instead</w:t>
      </w:r>
      <w:r w:rsidRPr="00185F6A">
        <w:t xml:space="preserve"> that she </w:t>
      </w:r>
      <w:r w:rsidR="00B20010">
        <w:t>and</w:t>
      </w:r>
      <w:r w:rsidRPr="00185F6A">
        <w:t xml:space="preserve"> her young sons</w:t>
      </w:r>
      <w:r w:rsidR="00B20010" w:rsidRPr="00B20010">
        <w:t xml:space="preserve"> </w:t>
      </w:r>
      <w:r w:rsidR="00B20010" w:rsidRPr="00185F6A">
        <w:t>leave his establishment</w:t>
      </w:r>
      <w:r w:rsidRPr="00185F6A">
        <w:t>.</w:t>
      </w:r>
    </w:p>
    <w:p w14:paraId="7EADF69F" w14:textId="19421445" w:rsidR="00F54ACD" w:rsidRPr="00185F6A" w:rsidRDefault="00E0679C" w:rsidP="00F54ACD">
      <w:pPr>
        <w:pStyle w:val="Paragraphe"/>
      </w:pPr>
      <w:r w:rsidRPr="00185F6A">
        <w:t xml:space="preserve">9377-1905 argues that it acted this way because the customer was not properly supervising her sons and thus </w:t>
      </w:r>
      <w:r w:rsidR="00BC0CB6">
        <w:t>violat</w:t>
      </w:r>
      <w:r w:rsidRPr="00185F6A">
        <w:t xml:space="preserve">ed the policy that every item </w:t>
      </w:r>
      <w:proofErr w:type="gramStart"/>
      <w:r w:rsidRPr="00185F6A">
        <w:t>must be paid for</w:t>
      </w:r>
      <w:proofErr w:type="gramEnd"/>
      <w:r w:rsidRPr="00185F6A">
        <w:t xml:space="preserve"> before being consumed.</w:t>
      </w:r>
      <w:r w:rsidR="00F54ACD" w:rsidRPr="00185F6A">
        <w:t xml:space="preserve">    </w:t>
      </w:r>
    </w:p>
    <w:p w14:paraId="72DB2DB1" w14:textId="5C9843E9" w:rsidR="00F54ACD" w:rsidRPr="00185F6A" w:rsidRDefault="00BC0CB6" w:rsidP="00F54ACD">
      <w:pPr>
        <w:pStyle w:val="Paragraphe"/>
      </w:pPr>
      <w:r>
        <w:t>A</w:t>
      </w:r>
      <w:r w:rsidR="00E0679C" w:rsidRPr="00185F6A">
        <w:t xml:space="preserve"> trial </w:t>
      </w:r>
      <w:r>
        <w:t>concerning</w:t>
      </w:r>
      <w:r w:rsidR="00E0679C" w:rsidRPr="00185F6A">
        <w:t xml:space="preserve"> </w:t>
      </w:r>
      <w:r>
        <w:t xml:space="preserve">an </w:t>
      </w:r>
      <w:r w:rsidR="00E0679C" w:rsidRPr="00185F6A">
        <w:t xml:space="preserve">allegation </w:t>
      </w:r>
      <w:r>
        <w:t xml:space="preserve">of discrimination </w:t>
      </w:r>
      <w:proofErr w:type="gramStart"/>
      <w:r w:rsidR="00E0679C" w:rsidRPr="00185F6A">
        <w:t>may be characterized</w:t>
      </w:r>
      <w:proofErr w:type="gramEnd"/>
      <w:r w:rsidR="00E0679C" w:rsidRPr="00185F6A">
        <w:t xml:space="preserve"> as a civil </w:t>
      </w:r>
      <w:r>
        <w:t>proceeding</w:t>
      </w:r>
      <w:r w:rsidR="00E0679C" w:rsidRPr="00185F6A">
        <w:t>.</w:t>
      </w:r>
      <w:r w:rsidR="00F54ACD" w:rsidRPr="00185F6A">
        <w:t xml:space="preserve"> </w:t>
      </w:r>
      <w:r w:rsidR="00E0679C" w:rsidRPr="00185F6A">
        <w:t>In general, while the Tribunal is “</w:t>
      </w:r>
      <w:r>
        <w:t xml:space="preserve">not </w:t>
      </w:r>
      <w:r w:rsidR="00E0679C" w:rsidRPr="00185F6A">
        <w:t xml:space="preserve">bound by the special rules of evidence applicable in civil matters”, it </w:t>
      </w:r>
      <w:r>
        <w:t>is obviously</w:t>
      </w:r>
      <w:r w:rsidR="00E0679C" w:rsidRPr="00185F6A">
        <w:t xml:space="preserve"> “bound by the general principles of justice”.</w:t>
      </w:r>
      <w:r w:rsidR="00F54ACD" w:rsidRPr="00185F6A">
        <w:rPr>
          <w:rStyle w:val="Appelnotedebasdep"/>
        </w:rPr>
        <w:footnoteReference w:id="7"/>
      </w:r>
      <w:r w:rsidR="00F54ACD" w:rsidRPr="00185F6A">
        <w:t xml:space="preserve"> </w:t>
      </w:r>
    </w:p>
    <w:p w14:paraId="5D74C9EC" w14:textId="3BB8665A" w:rsidR="00F54ACD" w:rsidRPr="00185F6A" w:rsidRDefault="00DA32BE" w:rsidP="00F54ACD">
      <w:pPr>
        <w:pStyle w:val="Paragraphe"/>
      </w:pPr>
      <w:r>
        <w:t>With respect to evidence</w:t>
      </w:r>
      <w:r w:rsidR="00E0679C" w:rsidRPr="00185F6A">
        <w:t xml:space="preserve">, it therefore remains subject to the teachings in the case law </w:t>
      </w:r>
      <w:r w:rsidR="00BC0CB6">
        <w:t xml:space="preserve">whereby </w:t>
      </w:r>
      <w:r w:rsidR="00E0679C" w:rsidRPr="00185F6A">
        <w:t xml:space="preserve">“an application under the </w:t>
      </w:r>
      <w:r w:rsidR="00E0679C" w:rsidRPr="00185F6A">
        <w:rPr>
          <w:i/>
        </w:rPr>
        <w:t>Charter</w:t>
      </w:r>
      <w:r w:rsidR="00E0679C" w:rsidRPr="00185F6A">
        <w:t xml:space="preserve"> involves a two</w:t>
      </w:r>
      <w:r w:rsidR="00E0679C" w:rsidRPr="00185F6A">
        <w:rPr>
          <w:rFonts w:ascii="Cambria Math" w:hAnsi="Cambria Math" w:cs="Cambria Math"/>
        </w:rPr>
        <w:t>‑</w:t>
      </w:r>
      <w:r w:rsidR="00E0679C" w:rsidRPr="00185F6A">
        <w:t>step process that successively imposes separate burdens of proof on the plaintiff and the defendant”.</w:t>
      </w:r>
      <w:r w:rsidR="00F54ACD" w:rsidRPr="00185F6A">
        <w:rPr>
          <w:rStyle w:val="Appelnotedebasdep"/>
        </w:rPr>
        <w:footnoteReference w:id="8"/>
      </w:r>
    </w:p>
    <w:p w14:paraId="64734EDB" w14:textId="31E4D1FF" w:rsidR="00F54ACD" w:rsidRPr="00185F6A" w:rsidRDefault="00E0679C" w:rsidP="00F54ACD">
      <w:pPr>
        <w:pStyle w:val="Paragraphe"/>
        <w:numPr>
          <w:ilvl w:val="0"/>
          <w:numId w:val="27"/>
        </w:numPr>
        <w:ind w:hanging="720"/>
        <w:rPr>
          <w:b/>
        </w:rPr>
      </w:pPr>
      <w:r w:rsidRPr="00185F6A">
        <w:rPr>
          <w:b/>
        </w:rPr>
        <w:t>The Commission’s burden of proof</w:t>
      </w:r>
      <w:r w:rsidR="00F54ACD" w:rsidRPr="00185F6A">
        <w:rPr>
          <w:b/>
        </w:rPr>
        <w:t xml:space="preserve"> </w:t>
      </w:r>
    </w:p>
    <w:p w14:paraId="36A50585" w14:textId="36B0F5BF" w:rsidR="00F54ACD" w:rsidRPr="00185F6A" w:rsidRDefault="00E0679C" w:rsidP="00F54ACD">
      <w:pPr>
        <w:pStyle w:val="Paragraphe"/>
      </w:pPr>
      <w:r w:rsidRPr="00185F6A">
        <w:t>In its capacity as plaintiff, the Commission has a triple burden related to “the three elements of discrimination”:</w:t>
      </w:r>
      <w:r w:rsidR="00F54ACD" w:rsidRPr="00185F6A">
        <w:rPr>
          <w:rStyle w:val="Appelnotedebasdep"/>
        </w:rPr>
        <w:footnoteReference w:id="9"/>
      </w:r>
    </w:p>
    <w:p w14:paraId="73D1909C" w14:textId="0FA55558" w:rsidR="00F54ACD" w:rsidRPr="00185F6A" w:rsidRDefault="00E0679C" w:rsidP="00F54ACD">
      <w:pPr>
        <w:pStyle w:val="Citationenretrait"/>
        <w:rPr>
          <w:lang w:val="en-CA"/>
        </w:rPr>
      </w:pPr>
      <w:r w:rsidRPr="00185F6A">
        <w:rPr>
          <w:lang w:val="en-CA"/>
        </w:rPr>
        <w:lastRenderedPageBreak/>
        <w:t>[35] ... s.</w:t>
      </w:r>
      <w:r w:rsidR="00B80629">
        <w:rPr>
          <w:lang w:val="en-CA"/>
        </w:rPr>
        <w:t> </w:t>
      </w:r>
      <w:r w:rsidRPr="00185F6A">
        <w:rPr>
          <w:lang w:val="en-CA"/>
        </w:rPr>
        <w:t>10 requires that the plaintiff prove three elements: “(1) a ‘distinction, exclusion or preference’, (2) based on one of the grounds listed in the first paragraph, and (3) which ‘has the effect of nullifying or impairing’ the right to full and equal recognition and exercise of a human right or freedom”.</w:t>
      </w:r>
      <w:r w:rsidR="00F54ACD" w:rsidRPr="00185F6A">
        <w:rPr>
          <w:rStyle w:val="Appelnotedebasdep"/>
          <w:szCs w:val="22"/>
          <w:lang w:val="en-CA"/>
        </w:rPr>
        <w:footnoteReference w:id="10"/>
      </w:r>
    </w:p>
    <w:p w14:paraId="49A5B3F2" w14:textId="647E8DF5" w:rsidR="00F54ACD" w:rsidRPr="00185F6A" w:rsidRDefault="00E0679C" w:rsidP="00F54ACD">
      <w:pPr>
        <w:pStyle w:val="Paragraphe"/>
      </w:pPr>
      <w:r w:rsidRPr="00185F6A">
        <w:t xml:space="preserve">It is </w:t>
      </w:r>
      <w:r w:rsidR="00DA32BE">
        <w:t xml:space="preserve">also </w:t>
      </w:r>
      <w:r w:rsidR="00016E87">
        <w:t>common ground</w:t>
      </w:r>
      <w:r w:rsidR="00DA32BE" w:rsidRPr="00185F6A">
        <w:t xml:space="preserve"> </w:t>
      </w:r>
      <w:r w:rsidRPr="00185F6A">
        <w:t>that the Commission must establish this tripartite proof on a “balance of probabilities”:</w:t>
      </w:r>
      <w:r w:rsidR="00F54ACD" w:rsidRPr="00185F6A">
        <w:rPr>
          <w:rStyle w:val="Appelnotedebasdep"/>
        </w:rPr>
        <w:footnoteReference w:id="11"/>
      </w:r>
    </w:p>
    <w:p w14:paraId="74F52DBE" w14:textId="3F6B3F25" w:rsidR="00F54ACD" w:rsidRPr="00185F6A" w:rsidRDefault="00E0679C" w:rsidP="00F54ACD">
      <w:pPr>
        <w:pStyle w:val="Citationenretrait"/>
        <w:rPr>
          <w:lang w:val="en-CA"/>
        </w:rPr>
      </w:pPr>
      <w:r w:rsidRPr="00185F6A">
        <w:rPr>
          <w:lang w:val="en-CA"/>
        </w:rPr>
        <w:t xml:space="preserve">[59] ... </w:t>
      </w:r>
      <w:r w:rsidRPr="00185F6A">
        <w:rPr>
          <w:u w:val="single"/>
          <w:lang w:val="en-CA"/>
        </w:rPr>
        <w:t>the standard of proof that normally applies in the civil law, namely that of proof on a balance of probabilities, applies</w:t>
      </w:r>
      <w:r w:rsidRPr="00185F6A">
        <w:rPr>
          <w:lang w:val="en-CA"/>
        </w:rPr>
        <w:t xml:space="preserve"> in this case.</w:t>
      </w:r>
      <w:r w:rsidR="00F54ACD" w:rsidRPr="00185F6A">
        <w:rPr>
          <w:lang w:val="en-CA"/>
        </w:rPr>
        <w:t xml:space="preserve"> </w:t>
      </w:r>
      <w:r w:rsidRPr="00185F6A">
        <w:rPr>
          <w:lang w:val="en-CA"/>
        </w:rPr>
        <w:t>In a discrimination context, the expression “</w:t>
      </w:r>
      <w:r w:rsidRPr="00185F6A">
        <w:rPr>
          <w:i/>
          <w:lang w:val="en-CA"/>
        </w:rPr>
        <w:t>prima facie</w:t>
      </w:r>
      <w:r w:rsidRPr="00185F6A">
        <w:rPr>
          <w:lang w:val="en-CA"/>
        </w:rPr>
        <w:t>” refers only to the first step of the process and does not alter the applicable degree of proof.</w:t>
      </w:r>
      <w:r w:rsidR="00F54ACD" w:rsidRPr="00185F6A">
        <w:rPr>
          <w:rStyle w:val="Appelnotedebasdep"/>
          <w:szCs w:val="22"/>
          <w:lang w:val="en-CA"/>
        </w:rPr>
        <w:footnoteReference w:id="12"/>
      </w:r>
      <w:r w:rsidR="00F54ACD" w:rsidRPr="00185F6A">
        <w:rPr>
          <w:lang w:val="en-CA"/>
        </w:rPr>
        <w:t xml:space="preserve"> </w:t>
      </w:r>
    </w:p>
    <w:p w14:paraId="7CE8C243" w14:textId="6569D47A" w:rsidR="00F54ACD" w:rsidRPr="00185F6A" w:rsidRDefault="00E0679C" w:rsidP="00F54ACD">
      <w:pPr>
        <w:pStyle w:val="Citationenretrait"/>
        <w:jc w:val="right"/>
        <w:rPr>
          <w:sz w:val="20"/>
          <w:lang w:val="en-CA"/>
        </w:rPr>
      </w:pPr>
      <w:r w:rsidRPr="00185F6A">
        <w:rPr>
          <w:sz w:val="20"/>
          <w:lang w:val="en-CA"/>
        </w:rPr>
        <w:t>[Emphasis added.]</w:t>
      </w:r>
    </w:p>
    <w:p w14:paraId="08718871" w14:textId="09BE385D" w:rsidR="00F54ACD" w:rsidRPr="00185F6A" w:rsidRDefault="00E0679C" w:rsidP="00F54ACD">
      <w:pPr>
        <w:pStyle w:val="Paragraphe"/>
      </w:pPr>
      <w:r w:rsidRPr="00185F6A">
        <w:t>What is the situation here?</w:t>
      </w:r>
    </w:p>
    <w:p w14:paraId="068C1386" w14:textId="0CB09515" w:rsidR="00F54ACD" w:rsidRPr="00185F6A" w:rsidRDefault="00E0679C" w:rsidP="00F54ACD">
      <w:pPr>
        <w:pStyle w:val="Paragraphe"/>
        <w:numPr>
          <w:ilvl w:val="0"/>
          <w:numId w:val="23"/>
        </w:numPr>
        <w:ind w:hanging="720"/>
        <w:rPr>
          <w:u w:val="single"/>
        </w:rPr>
      </w:pPr>
      <w:r w:rsidRPr="00185F6A">
        <w:rPr>
          <w:u w:val="single"/>
        </w:rPr>
        <w:t>Distinction/exclusion</w:t>
      </w:r>
    </w:p>
    <w:p w14:paraId="46D59F32" w14:textId="3A5A4FCA" w:rsidR="00F54ACD" w:rsidRPr="00185F6A" w:rsidRDefault="00E0679C" w:rsidP="00F54ACD">
      <w:pPr>
        <w:pStyle w:val="Paragraphe"/>
      </w:pPr>
      <w:r w:rsidRPr="00185F6A">
        <w:t>At this first step, the Commission “must prove the existence of differential treatment”, meaning that Mr. Liu’s conduct affected Ms. Sam “differently from others” by imposing, for example, “restrictive conditions that are not imposed on others”.</w:t>
      </w:r>
      <w:r w:rsidR="00F54ACD" w:rsidRPr="00185F6A">
        <w:rPr>
          <w:rStyle w:val="Appelnotedebasdep"/>
          <w:color w:val="000000"/>
        </w:rPr>
        <w:footnoteReference w:id="13"/>
      </w:r>
    </w:p>
    <w:p w14:paraId="0C491EC1" w14:textId="08C6981A" w:rsidR="00F54ACD" w:rsidRPr="00185F6A" w:rsidRDefault="00B80629" w:rsidP="00F54ACD">
      <w:pPr>
        <w:pStyle w:val="Paragraphe"/>
      </w:pPr>
      <w:r>
        <w:t>An individual</w:t>
      </w:r>
      <w:r w:rsidR="00E0679C" w:rsidRPr="00185F6A">
        <w:t xml:space="preserve"> who enters a convenience store with her young children to </w:t>
      </w:r>
      <w:r>
        <w:t xml:space="preserve">buy </w:t>
      </w:r>
      <w:r w:rsidR="00E0679C" w:rsidRPr="00185F6A">
        <w:t xml:space="preserve">consumer goods does not expect to </w:t>
      </w:r>
      <w:proofErr w:type="gramStart"/>
      <w:r w:rsidR="00E0679C" w:rsidRPr="00185F6A">
        <w:t>be ordered</w:t>
      </w:r>
      <w:proofErr w:type="gramEnd"/>
      <w:r w:rsidR="00E0679C" w:rsidRPr="00185F6A">
        <w:t xml:space="preserve"> to leave the premises</w:t>
      </w:r>
      <w:r>
        <w:t>,</w:t>
      </w:r>
      <w:r w:rsidR="00E0679C" w:rsidRPr="00185F6A">
        <w:t xml:space="preserve"> </w:t>
      </w:r>
      <w:r>
        <w:t xml:space="preserve">without </w:t>
      </w:r>
      <w:r w:rsidR="00E0679C" w:rsidRPr="00185F6A">
        <w:t>being allowed to complete her purchases</w:t>
      </w:r>
      <w:r>
        <w:t>,</w:t>
      </w:r>
      <w:r w:rsidR="00E0679C" w:rsidRPr="00185F6A">
        <w:t xml:space="preserve"> on pain of being thrown out with the help of the police.</w:t>
      </w:r>
    </w:p>
    <w:p w14:paraId="6C2D8091" w14:textId="223A7F3F" w:rsidR="00F54ACD" w:rsidRPr="00185F6A" w:rsidRDefault="00E0679C" w:rsidP="00F54ACD">
      <w:pPr>
        <w:pStyle w:val="Paragraphe"/>
      </w:pPr>
      <w:r w:rsidRPr="00185F6A">
        <w:t>The Tribunal agrees that this is sufficient evidence of “differential treatment” to justify the analysis of the “second element of discrimination”, it being understood that “a distinction alone cannot suffice”.</w:t>
      </w:r>
      <w:r w:rsidR="00F54ACD" w:rsidRPr="00185F6A">
        <w:rPr>
          <w:rStyle w:val="Appelnotedebasdep"/>
        </w:rPr>
        <w:footnoteReference w:id="14"/>
      </w:r>
      <w:r w:rsidR="00F54ACD" w:rsidRPr="00185F6A">
        <w:t xml:space="preserve"> </w:t>
      </w:r>
    </w:p>
    <w:p w14:paraId="28AA2C32" w14:textId="3AC8B3DB" w:rsidR="00F54ACD" w:rsidRPr="00185F6A" w:rsidRDefault="00E0679C" w:rsidP="00F54ACD">
      <w:pPr>
        <w:pStyle w:val="Paragraphe"/>
        <w:numPr>
          <w:ilvl w:val="0"/>
          <w:numId w:val="23"/>
        </w:numPr>
        <w:ind w:hanging="720"/>
        <w:rPr>
          <w:u w:val="single"/>
        </w:rPr>
      </w:pPr>
      <w:r w:rsidRPr="00185F6A">
        <w:rPr>
          <w:u w:val="single"/>
        </w:rPr>
        <w:t>Prohibited grounds</w:t>
      </w:r>
    </w:p>
    <w:p w14:paraId="236E34D6" w14:textId="23060D8B" w:rsidR="00F54ACD" w:rsidRPr="00185F6A" w:rsidRDefault="00E0679C" w:rsidP="00F54ACD">
      <w:pPr>
        <w:pStyle w:val="Paragraphe"/>
      </w:pPr>
      <w:r w:rsidRPr="00185F6A">
        <w:t xml:space="preserve">At this second step, the Commission must establish that the distinction or exclusion suffered by Ms. Sam is </w:t>
      </w:r>
      <w:r w:rsidR="00FE245B">
        <w:t>connect</w:t>
      </w:r>
      <w:r w:rsidRPr="00185F6A">
        <w:t xml:space="preserve">ed, in </w:t>
      </w:r>
      <w:r w:rsidR="006A7447">
        <w:t>whole</w:t>
      </w:r>
      <w:r w:rsidR="006A7447" w:rsidRPr="00185F6A">
        <w:t xml:space="preserve"> </w:t>
      </w:r>
      <w:r w:rsidRPr="00185F6A">
        <w:t>or in part, to one of the prohibited grounds of discrimination under s.</w:t>
      </w:r>
      <w:r w:rsidR="00FE245B">
        <w:t> </w:t>
      </w:r>
      <w:r w:rsidRPr="00185F6A">
        <w:t xml:space="preserve">10 of the </w:t>
      </w:r>
      <w:r w:rsidRPr="00185F6A">
        <w:rPr>
          <w:i/>
        </w:rPr>
        <w:t>Charter</w:t>
      </w:r>
      <w:r w:rsidRPr="00185F6A">
        <w:t>:</w:t>
      </w:r>
    </w:p>
    <w:p w14:paraId="55EDB1D5" w14:textId="630FE2A9" w:rsidR="00F54ACD" w:rsidRPr="00185F6A" w:rsidRDefault="00E0679C" w:rsidP="00FE245B">
      <w:pPr>
        <w:pStyle w:val="Citationenretrait"/>
        <w:keepNext/>
        <w:rPr>
          <w:lang w:val="en-CA"/>
        </w:rPr>
      </w:pPr>
      <w:r w:rsidRPr="00185F6A">
        <w:rPr>
          <w:lang w:val="en-CA"/>
        </w:rPr>
        <w:lastRenderedPageBreak/>
        <w:t xml:space="preserve">... as regards the second element of </w:t>
      </w:r>
      <w:r w:rsidRPr="00185F6A">
        <w:rPr>
          <w:i/>
          <w:lang w:val="en-CA"/>
        </w:rPr>
        <w:t xml:space="preserve">prima facie </w:t>
      </w:r>
      <w:r w:rsidRPr="00185F6A">
        <w:rPr>
          <w:lang w:val="en-CA"/>
        </w:rPr>
        <w:t xml:space="preserve">discrimination, the plaintiff has the burden of </w:t>
      </w:r>
      <w:r w:rsidRPr="00185F6A">
        <w:rPr>
          <w:u w:val="single"/>
          <w:lang w:val="en-CA"/>
        </w:rPr>
        <w:t xml:space="preserve">showing that there is a </w:t>
      </w:r>
      <w:r w:rsidRPr="00185F6A">
        <w:rPr>
          <w:i/>
          <w:u w:val="single"/>
          <w:lang w:val="en-CA"/>
        </w:rPr>
        <w:t>connection</w:t>
      </w:r>
      <w:r w:rsidRPr="00185F6A">
        <w:rPr>
          <w:lang w:val="en-CA"/>
        </w:rPr>
        <w:t xml:space="preserve"> between a prohibited ground of discrimination and the distinction, exclusion or preference of which he or she complains or, in other words, </w:t>
      </w:r>
      <w:r w:rsidRPr="00FE245B">
        <w:rPr>
          <w:u w:val="single"/>
          <w:lang w:val="en-CA"/>
        </w:rPr>
        <w:t xml:space="preserve">that the ground in question was a </w:t>
      </w:r>
      <w:r w:rsidRPr="00016E87">
        <w:rPr>
          <w:i/>
          <w:u w:val="single"/>
          <w:lang w:val="en-CA"/>
        </w:rPr>
        <w:t>factor</w:t>
      </w:r>
      <w:r w:rsidRPr="00185F6A">
        <w:rPr>
          <w:lang w:val="en-CA"/>
        </w:rPr>
        <w:t xml:space="preserve"> in the distinction, exclusion or preference.</w:t>
      </w:r>
      <w:r w:rsidR="00F54ACD" w:rsidRPr="00185F6A">
        <w:rPr>
          <w:rStyle w:val="Appelnotedebasdep"/>
          <w:szCs w:val="22"/>
          <w:lang w:val="en-CA"/>
        </w:rPr>
        <w:footnoteReference w:id="15"/>
      </w:r>
    </w:p>
    <w:p w14:paraId="1ACC2C25" w14:textId="0CB07161" w:rsidR="00F54ACD" w:rsidRPr="00185F6A" w:rsidRDefault="00FD0272" w:rsidP="00F54ACD">
      <w:pPr>
        <w:pStyle w:val="Citationenretrait"/>
        <w:jc w:val="right"/>
        <w:rPr>
          <w:sz w:val="20"/>
          <w:lang w:val="en-CA"/>
        </w:rPr>
      </w:pPr>
      <w:r w:rsidRPr="00185F6A">
        <w:rPr>
          <w:rFonts w:cs="Arial"/>
          <w:sz w:val="20"/>
          <w:lang w:val="en-CA"/>
        </w:rPr>
        <w:t>[Emphasis added.]</w:t>
      </w:r>
    </w:p>
    <w:p w14:paraId="25C65345" w14:textId="09AA6AC1" w:rsidR="00F54ACD" w:rsidRPr="00185F6A" w:rsidRDefault="00E0679C" w:rsidP="00F54ACD">
      <w:pPr>
        <w:pStyle w:val="Paragraphe"/>
        <w:numPr>
          <w:ilvl w:val="0"/>
          <w:numId w:val="24"/>
        </w:numPr>
        <w:ind w:hanging="796"/>
        <w:rPr>
          <w:i/>
        </w:rPr>
      </w:pPr>
      <w:r w:rsidRPr="00185F6A">
        <w:rPr>
          <w:i/>
        </w:rPr>
        <w:t>Conflu</w:t>
      </w:r>
      <w:r w:rsidR="00FE245B">
        <w:rPr>
          <w:i/>
        </w:rPr>
        <w:t>ence</w:t>
      </w:r>
      <w:r w:rsidRPr="00185F6A">
        <w:rPr>
          <w:i/>
        </w:rPr>
        <w:t xml:space="preserve"> of grounds</w:t>
      </w:r>
    </w:p>
    <w:p w14:paraId="44755103" w14:textId="2B0171D9" w:rsidR="00F54ACD" w:rsidRDefault="00E0679C" w:rsidP="00F54ACD">
      <w:pPr>
        <w:pStyle w:val="Paragraphe"/>
      </w:pPr>
      <w:r w:rsidRPr="00185F6A">
        <w:t>In its resolution of April 9,</w:t>
      </w:r>
      <w:r w:rsidR="00FE245B">
        <w:t> </w:t>
      </w:r>
      <w:r w:rsidRPr="00185F6A">
        <w:t xml:space="preserve">2020, the Commission stated that the complainant is </w:t>
      </w:r>
      <w:r w:rsidRPr="00185F6A">
        <w:rPr>
          <w:rFonts w:cs="Arial"/>
        </w:rPr>
        <w:t>[</w:t>
      </w:r>
      <w:r w:rsidRPr="00185F6A">
        <w:rPr>
          <w:rFonts w:cs="Arial"/>
          <w:smallCaps/>
        </w:rPr>
        <w:t>translation</w:t>
      </w:r>
      <w:r w:rsidRPr="00185F6A">
        <w:rPr>
          <w:rFonts w:cs="Arial"/>
        </w:rPr>
        <w:t>]</w:t>
      </w:r>
      <w:r w:rsidRPr="00185F6A">
        <w:t xml:space="preserve"> “a black woman” who believe</w:t>
      </w:r>
      <w:r w:rsidR="00FE245B">
        <w:t>s</w:t>
      </w:r>
      <w:r w:rsidRPr="00185F6A">
        <w:t xml:space="preserve"> she was “discriminated against </w:t>
      </w:r>
      <w:r w:rsidR="00FE245B">
        <w:t xml:space="preserve">based on </w:t>
      </w:r>
      <w:r w:rsidRPr="00185F6A">
        <w:t>race and colour”.</w:t>
      </w:r>
    </w:p>
    <w:p w14:paraId="63B1BCD9" w14:textId="62CF8075" w:rsidR="00F54ACD" w:rsidRPr="00185F6A" w:rsidRDefault="00E0679C" w:rsidP="00F54ACD">
      <w:pPr>
        <w:pStyle w:val="Paragraphe"/>
      </w:pPr>
      <w:r w:rsidRPr="00185F6A">
        <w:t>Then, after briefly reviewing the evidence collected during its investigation,</w:t>
      </w:r>
      <w:r w:rsidR="00541D98">
        <w:t xml:space="preserve"> writes</w:t>
      </w:r>
      <w:r w:rsidRPr="00185F6A">
        <w:t xml:space="preserve"> </w:t>
      </w:r>
      <w:r w:rsidRPr="00541D98">
        <w:rPr>
          <w:strike/>
        </w:rPr>
        <w:t xml:space="preserve">it </w:t>
      </w:r>
      <w:r w:rsidRPr="00B4130D">
        <w:t>wrote</w:t>
      </w:r>
      <w:r w:rsidRPr="00185F6A">
        <w:t>:</w:t>
      </w:r>
    </w:p>
    <w:p w14:paraId="5D564A16" w14:textId="5344CD1E" w:rsidR="00FE245B" w:rsidRDefault="00FE245B" w:rsidP="00F54ACD">
      <w:pPr>
        <w:pStyle w:val="Citationenretrait"/>
        <w:rPr>
          <w:lang w:val="en-CA"/>
        </w:rPr>
      </w:pPr>
      <w:r>
        <w:rPr>
          <w:rFonts w:cs="Arial"/>
          <w:lang w:val="en-CA"/>
        </w:rPr>
        <w:t>[</w:t>
      </w:r>
      <w:r>
        <w:rPr>
          <w:rFonts w:cs="Arial"/>
          <w:smallCaps/>
          <w:lang w:val="en-CA"/>
        </w:rPr>
        <w:t>translation</w:t>
      </w:r>
      <w:r>
        <w:rPr>
          <w:rFonts w:cs="Arial"/>
          <w:lang w:val="en-CA"/>
        </w:rPr>
        <w:t>]</w:t>
      </w:r>
    </w:p>
    <w:p w14:paraId="34A6CC17" w14:textId="038AB2F8" w:rsidR="00F54ACD" w:rsidRPr="00185F6A" w:rsidRDefault="007F2EAA" w:rsidP="00F54ACD">
      <w:pPr>
        <w:pStyle w:val="Citationenretrait"/>
        <w:rPr>
          <w:lang w:val="en-CA"/>
        </w:rPr>
      </w:pPr>
      <w:r w:rsidRPr="00185F6A">
        <w:rPr>
          <w:lang w:val="en-CA"/>
        </w:rPr>
        <w:t xml:space="preserve">The Commission is of the view ... that </w:t>
      </w:r>
      <w:r w:rsidR="00016E87">
        <w:rPr>
          <w:lang w:val="en-CA"/>
        </w:rPr>
        <w:t xml:space="preserve">the </w:t>
      </w:r>
      <w:r w:rsidRPr="00185F6A">
        <w:rPr>
          <w:lang w:val="en-CA"/>
        </w:rPr>
        <w:t xml:space="preserve">evidence that the complainant was discriminated against based on </w:t>
      </w:r>
      <w:r w:rsidRPr="00185F6A">
        <w:rPr>
          <w:u w:val="single"/>
          <w:lang w:val="en-CA"/>
        </w:rPr>
        <w:t>race and colour</w:t>
      </w:r>
      <w:r w:rsidRPr="00185F6A">
        <w:rPr>
          <w:lang w:val="en-CA"/>
        </w:rPr>
        <w:t xml:space="preserve"> when she went to the Convenience Store </w:t>
      </w:r>
      <w:r w:rsidR="00016E87">
        <w:rPr>
          <w:lang w:val="en-CA"/>
        </w:rPr>
        <w:t xml:space="preserve">… is sufficient </w:t>
      </w:r>
      <w:r w:rsidRPr="00185F6A">
        <w:rPr>
          <w:lang w:val="en-CA"/>
        </w:rPr>
        <w:t xml:space="preserve">to submit the dispute to the </w:t>
      </w:r>
      <w:proofErr w:type="gramStart"/>
      <w:r w:rsidR="00FE245B">
        <w:rPr>
          <w:lang w:val="en-CA"/>
        </w:rPr>
        <w:t>t</w:t>
      </w:r>
      <w:r w:rsidRPr="00185F6A">
        <w:rPr>
          <w:lang w:val="en-CA"/>
        </w:rPr>
        <w:t xml:space="preserve">ribunal </w:t>
      </w:r>
      <w:r w:rsidR="00016E87">
        <w:rPr>
          <w:lang w:val="en-CA"/>
        </w:rPr>
        <w:t>...</w:t>
      </w:r>
      <w:r w:rsidRPr="00185F6A">
        <w:rPr>
          <w:lang w:val="en-CA"/>
        </w:rPr>
        <w:t>.</w:t>
      </w:r>
      <w:proofErr w:type="gramEnd"/>
      <w:r w:rsidR="00F54ACD" w:rsidRPr="00185F6A">
        <w:rPr>
          <w:lang w:val="en-CA"/>
        </w:rPr>
        <w:t xml:space="preserve"> </w:t>
      </w:r>
      <w:r w:rsidR="00FE245B">
        <w:rPr>
          <w:lang w:val="en-CA"/>
        </w:rPr>
        <w:t>T</w:t>
      </w:r>
      <w:r w:rsidRPr="00185F6A">
        <w:rPr>
          <w:lang w:val="en-CA"/>
        </w:rPr>
        <w:t>he Commission</w:t>
      </w:r>
      <w:r w:rsidR="00FE245B">
        <w:rPr>
          <w:lang w:val="en-CA"/>
        </w:rPr>
        <w:t xml:space="preserve"> finds </w:t>
      </w:r>
      <w:r w:rsidR="00FE245B" w:rsidRPr="00541D98">
        <w:rPr>
          <w:lang w:val="en-CA"/>
        </w:rPr>
        <w:t>that</w:t>
      </w:r>
      <w:r w:rsidRPr="00541D98">
        <w:rPr>
          <w:lang w:val="en-CA"/>
        </w:rPr>
        <w:t xml:space="preserve"> </w:t>
      </w:r>
      <w:r w:rsidRPr="007A046B">
        <w:rPr>
          <w:lang w:val="en-CA"/>
        </w:rPr>
        <w:t>the</w:t>
      </w:r>
      <w:r w:rsidR="00541D98" w:rsidRPr="007A046B">
        <w:rPr>
          <w:lang w:val="en-CA"/>
        </w:rPr>
        <w:t xml:space="preserve"> complainant was </w:t>
      </w:r>
      <w:r w:rsidR="007A046B" w:rsidRPr="007A046B">
        <w:rPr>
          <w:lang w:val="en-CA"/>
        </w:rPr>
        <w:t xml:space="preserve">the </w:t>
      </w:r>
      <w:r w:rsidR="00541D98" w:rsidRPr="007A046B">
        <w:rPr>
          <w:lang w:val="en-CA"/>
        </w:rPr>
        <w:t xml:space="preserve">victim </w:t>
      </w:r>
      <w:r w:rsidR="007A046B" w:rsidRPr="007A046B">
        <w:rPr>
          <w:lang w:val="en-CA"/>
        </w:rPr>
        <w:t xml:space="preserve">of </w:t>
      </w:r>
      <w:r w:rsidR="00541D98" w:rsidRPr="007A046B">
        <w:rPr>
          <w:lang w:val="en-CA"/>
        </w:rPr>
        <w:t xml:space="preserve">differential or unusual treatment by the </w:t>
      </w:r>
      <w:r w:rsidR="00FE245B" w:rsidRPr="007A046B">
        <w:rPr>
          <w:lang w:val="en-CA"/>
        </w:rPr>
        <w:t>convenience store owner</w:t>
      </w:r>
      <w:r w:rsidR="00541D98" w:rsidRPr="007A046B">
        <w:rPr>
          <w:lang w:val="en-CA"/>
        </w:rPr>
        <w:t xml:space="preserve">, namely </w:t>
      </w:r>
      <w:r w:rsidR="00691475" w:rsidRPr="00541D98">
        <w:rPr>
          <w:lang w:val="en-CA"/>
        </w:rPr>
        <w:t xml:space="preserve">because </w:t>
      </w:r>
      <w:r w:rsidRPr="00541D98">
        <w:rPr>
          <w:lang w:val="en-CA"/>
        </w:rPr>
        <w:t xml:space="preserve">she </w:t>
      </w:r>
      <w:r w:rsidR="00FE245B" w:rsidRPr="00541D98">
        <w:rPr>
          <w:lang w:val="en-CA"/>
        </w:rPr>
        <w:t xml:space="preserve">belongs to </w:t>
      </w:r>
      <w:r w:rsidRPr="00541D98">
        <w:rPr>
          <w:lang w:val="en-CA"/>
        </w:rPr>
        <w:t xml:space="preserve">a group protected by the </w:t>
      </w:r>
      <w:r w:rsidRPr="00541D98">
        <w:rPr>
          <w:i/>
          <w:lang w:val="en-CA"/>
        </w:rPr>
        <w:t>Charter</w:t>
      </w:r>
      <w:r w:rsidRPr="00541D98">
        <w:rPr>
          <w:lang w:val="en-CA"/>
        </w:rPr>
        <w:t>.</w:t>
      </w:r>
      <w:r w:rsidR="00F54ACD" w:rsidRPr="00185F6A">
        <w:rPr>
          <w:rStyle w:val="Appelnotedebasdep"/>
          <w:szCs w:val="22"/>
          <w:lang w:val="en-CA"/>
        </w:rPr>
        <w:footnoteReference w:id="16"/>
      </w:r>
    </w:p>
    <w:p w14:paraId="7DF06079" w14:textId="121354C0" w:rsidR="00F54ACD" w:rsidRPr="00185F6A" w:rsidRDefault="00E0679C" w:rsidP="00F54ACD">
      <w:pPr>
        <w:pStyle w:val="Citationenretrait"/>
        <w:jc w:val="right"/>
        <w:rPr>
          <w:sz w:val="20"/>
          <w:lang w:val="en-CA"/>
        </w:rPr>
      </w:pPr>
      <w:r w:rsidRPr="00185F6A">
        <w:rPr>
          <w:sz w:val="20"/>
          <w:lang w:val="en-CA"/>
        </w:rPr>
        <w:t>[Emphasis added.]</w:t>
      </w:r>
    </w:p>
    <w:p w14:paraId="09B20529" w14:textId="451E0AFC" w:rsidR="00F54ACD" w:rsidRPr="00185F6A" w:rsidRDefault="007F2EAA" w:rsidP="00F54ACD">
      <w:pPr>
        <w:pStyle w:val="Paragraphe"/>
      </w:pPr>
      <w:r w:rsidRPr="00185F6A">
        <w:t xml:space="preserve">In its application, the Commission also added the grounds </w:t>
      </w:r>
      <w:r w:rsidR="00FE245B">
        <w:t xml:space="preserve">based on </w:t>
      </w:r>
      <w:r w:rsidRPr="00185F6A">
        <w:t>“sex” and “social condition”.</w:t>
      </w:r>
    </w:p>
    <w:p w14:paraId="0D7CAB79" w14:textId="41CF0851" w:rsidR="00F54ACD" w:rsidRPr="00185F6A" w:rsidRDefault="007F2EAA" w:rsidP="00F54ACD">
      <w:pPr>
        <w:pStyle w:val="Paragraphe"/>
      </w:pPr>
      <w:r w:rsidRPr="00185F6A">
        <w:t xml:space="preserve">Counsel for the Commission </w:t>
      </w:r>
      <w:r w:rsidR="00DD0EEF">
        <w:t>argue</w:t>
      </w:r>
      <w:r w:rsidRPr="00185F6A">
        <w:t>s that there is a confluence</w:t>
      </w:r>
      <w:r w:rsidR="00F54ACD" w:rsidRPr="00185F6A">
        <w:rPr>
          <w:rStyle w:val="Appelnotedebasdep"/>
        </w:rPr>
        <w:footnoteReference w:id="17"/>
      </w:r>
      <w:r w:rsidRPr="00185F6A">
        <w:t xml:space="preserve"> of several personal </w:t>
      </w:r>
      <w:r w:rsidR="00C208D3">
        <w:t>characteristic</w:t>
      </w:r>
      <w:r w:rsidRPr="00185F6A">
        <w:t xml:space="preserve">s that, taken </w:t>
      </w:r>
      <w:r w:rsidR="00DD0EEF">
        <w:t>together</w:t>
      </w:r>
      <w:r w:rsidRPr="00185F6A">
        <w:t>, result in discriminatory profiling:</w:t>
      </w:r>
    </w:p>
    <w:p w14:paraId="46DE74AF" w14:textId="6115D3D9" w:rsidR="00DD0EEF" w:rsidRDefault="00DD0EEF" w:rsidP="00F54ACD">
      <w:pPr>
        <w:pStyle w:val="Citationenretrait"/>
        <w:rPr>
          <w:lang w:val="en-CA"/>
        </w:rPr>
      </w:pPr>
      <w:r>
        <w:rPr>
          <w:rFonts w:cs="Arial"/>
          <w:lang w:val="en-CA"/>
        </w:rPr>
        <w:t>[</w:t>
      </w:r>
      <w:r>
        <w:rPr>
          <w:rFonts w:cs="Arial"/>
          <w:smallCaps/>
          <w:lang w:val="en-CA"/>
        </w:rPr>
        <w:t>translation</w:t>
      </w:r>
      <w:r>
        <w:rPr>
          <w:rFonts w:cs="Arial"/>
          <w:lang w:val="en-CA"/>
        </w:rPr>
        <w:t>]</w:t>
      </w:r>
    </w:p>
    <w:p w14:paraId="02CAEF91" w14:textId="78A73B7D" w:rsidR="00F54ACD" w:rsidRPr="00185F6A" w:rsidRDefault="00AC3C31" w:rsidP="00F54ACD">
      <w:pPr>
        <w:pStyle w:val="Citationenretrait"/>
        <w:rPr>
          <w:lang w:val="en-CA"/>
        </w:rPr>
      </w:pPr>
      <w:r>
        <w:rPr>
          <w:lang w:val="en-CA"/>
        </w:rPr>
        <w:t>Consideration of the</w:t>
      </w:r>
      <w:r w:rsidR="007F2EAA" w:rsidRPr="00185F6A">
        <w:rPr>
          <w:lang w:val="en-CA"/>
        </w:rPr>
        <w:t>s</w:t>
      </w:r>
      <w:r>
        <w:rPr>
          <w:lang w:val="en-CA"/>
        </w:rPr>
        <w:t>e</w:t>
      </w:r>
      <w:r w:rsidR="007F2EAA" w:rsidRPr="00185F6A">
        <w:rPr>
          <w:lang w:val="en-CA"/>
        </w:rPr>
        <w:t xml:space="preserve"> </w:t>
      </w:r>
      <w:r>
        <w:rPr>
          <w:lang w:val="en-CA"/>
        </w:rPr>
        <w:t>combined</w:t>
      </w:r>
      <w:r w:rsidR="007F2EAA" w:rsidRPr="00185F6A">
        <w:rPr>
          <w:lang w:val="en-CA"/>
        </w:rPr>
        <w:t xml:space="preserve"> prohibited grounds of discrimination is part of a contextualized approach</w:t>
      </w:r>
      <w:r>
        <w:rPr>
          <w:lang w:val="en-CA"/>
        </w:rPr>
        <w:t xml:space="preserve"> that is</w:t>
      </w:r>
      <w:r w:rsidR="007F2EAA" w:rsidRPr="00185F6A">
        <w:rPr>
          <w:lang w:val="en-CA"/>
        </w:rPr>
        <w:t xml:space="preserve"> sensitive to “intersectional” discrimination, </w:t>
      </w:r>
      <w:r>
        <w:rPr>
          <w:lang w:val="en-CA"/>
        </w:rPr>
        <w:t>which</w:t>
      </w:r>
      <w:r w:rsidR="007F2EAA" w:rsidRPr="00185F6A">
        <w:rPr>
          <w:lang w:val="en-CA"/>
        </w:rPr>
        <w:t xml:space="preserve"> </w:t>
      </w:r>
      <w:r w:rsidR="007F2EAA" w:rsidRPr="00185F6A">
        <w:rPr>
          <w:lang w:val="en-CA"/>
        </w:rPr>
        <w:lastRenderedPageBreak/>
        <w:t xml:space="preserve">takes into account the specific effect </w:t>
      </w:r>
      <w:r>
        <w:rPr>
          <w:lang w:val="en-CA"/>
        </w:rPr>
        <w:t xml:space="preserve">resulting </w:t>
      </w:r>
      <w:r w:rsidR="007F2EAA" w:rsidRPr="00185F6A">
        <w:rPr>
          <w:lang w:val="en-CA"/>
        </w:rPr>
        <w:t>from the interaction or ove</w:t>
      </w:r>
      <w:r w:rsidR="00016E87">
        <w:rPr>
          <w:lang w:val="en-CA"/>
        </w:rPr>
        <w:t xml:space="preserve">rlap of several </w:t>
      </w:r>
      <w:proofErr w:type="gramStart"/>
      <w:r w:rsidR="00016E87">
        <w:rPr>
          <w:lang w:val="en-CA"/>
        </w:rPr>
        <w:t>grounds ...</w:t>
      </w:r>
      <w:r w:rsidR="007F2EAA" w:rsidRPr="00185F6A">
        <w:rPr>
          <w:lang w:val="en-CA"/>
        </w:rPr>
        <w:t>.</w:t>
      </w:r>
      <w:proofErr w:type="gramEnd"/>
      <w:r w:rsidR="00F54ACD" w:rsidRPr="00185F6A">
        <w:rPr>
          <w:rStyle w:val="Appelnotedebasdep"/>
          <w:szCs w:val="22"/>
          <w:lang w:val="en-CA"/>
        </w:rPr>
        <w:footnoteReference w:id="18"/>
      </w:r>
    </w:p>
    <w:p w14:paraId="3E554067" w14:textId="7EFDA0B3" w:rsidR="00F54ACD" w:rsidRPr="00185F6A" w:rsidRDefault="007F2EAA" w:rsidP="00F54ACD">
      <w:pPr>
        <w:pStyle w:val="Paragraphe"/>
      </w:pPr>
      <w:r w:rsidRPr="00185F6A">
        <w:t>In other words:</w:t>
      </w:r>
    </w:p>
    <w:p w14:paraId="67948822" w14:textId="4E7A256F" w:rsidR="00F54ACD" w:rsidRPr="00185F6A" w:rsidRDefault="007F2EAA" w:rsidP="00F54ACD">
      <w:pPr>
        <w:pStyle w:val="Citationenretrait"/>
        <w:rPr>
          <w:lang w:val="en-CA"/>
        </w:rPr>
      </w:pPr>
      <w:r w:rsidRPr="00185F6A">
        <w:rPr>
          <w:lang w:val="en-CA"/>
        </w:rPr>
        <w:t>An individual’s or a group’s experience of discrimination may not be discernible with reference to just one prohibited ground of discrimination, but only in reference to a conflux of factors, any one of which taken alone might not be sufficiently revelatory of how keenly the denial of a benefit or the imposition of a burden is felt.</w:t>
      </w:r>
      <w:r w:rsidR="00F54ACD" w:rsidRPr="00185F6A">
        <w:rPr>
          <w:rStyle w:val="Appelnotedebasdep"/>
          <w:rFonts w:cs="Arial"/>
          <w:szCs w:val="22"/>
          <w:lang w:val="en-CA"/>
        </w:rPr>
        <w:footnoteReference w:id="19"/>
      </w:r>
    </w:p>
    <w:p w14:paraId="48377397" w14:textId="7DCC84E7" w:rsidR="00F54ACD" w:rsidRPr="00185F6A" w:rsidRDefault="00C208D3" w:rsidP="00F54ACD">
      <w:pPr>
        <w:pStyle w:val="Paragraphe"/>
      </w:pPr>
      <w:r>
        <w:t>Al</w:t>
      </w:r>
      <w:r w:rsidR="00743E4A" w:rsidRPr="00185F6A">
        <w:t>though the wording could be more explicit,</w:t>
      </w:r>
      <w:r w:rsidR="00F54ACD" w:rsidRPr="00185F6A">
        <w:rPr>
          <w:rStyle w:val="Appelnotedebasdep"/>
        </w:rPr>
        <w:footnoteReference w:id="20"/>
      </w:r>
      <w:r w:rsidR="00743E4A" w:rsidRPr="00185F6A">
        <w:t xml:space="preserve"> the </w:t>
      </w:r>
      <w:r w:rsidR="00743E4A" w:rsidRPr="00185F6A">
        <w:rPr>
          <w:i/>
        </w:rPr>
        <w:t xml:space="preserve">Charter </w:t>
      </w:r>
      <w:r w:rsidR="00743E4A" w:rsidRPr="00185F6A">
        <w:t>obviously does not exclude “a robust intersectional analysis”</w:t>
      </w:r>
      <w:r w:rsidR="00F54ACD" w:rsidRPr="00185F6A">
        <w:rPr>
          <w:rStyle w:val="Appelnotedebasdep"/>
        </w:rPr>
        <w:footnoteReference w:id="21"/>
      </w:r>
      <w:r w:rsidR="00743E4A" w:rsidRPr="00185F6A">
        <w:t xml:space="preserve"> - or </w:t>
      </w:r>
      <w:r w:rsidR="00AC3C31">
        <w:rPr>
          <w:rFonts w:cs="Arial"/>
        </w:rPr>
        <w:t>[</w:t>
      </w:r>
      <w:r w:rsidR="00AC3C31">
        <w:rPr>
          <w:rFonts w:cs="Arial"/>
          <w:smallCaps/>
        </w:rPr>
        <w:t>translation</w:t>
      </w:r>
      <w:r w:rsidR="00AC3C31">
        <w:rPr>
          <w:rFonts w:cs="Arial"/>
        </w:rPr>
        <w:t>]</w:t>
      </w:r>
      <w:r w:rsidR="00AC3C31" w:rsidRPr="00185F6A">
        <w:t xml:space="preserve"> </w:t>
      </w:r>
      <w:r w:rsidR="00743E4A" w:rsidRPr="00185F6A">
        <w:t>“holistic”</w:t>
      </w:r>
      <w:r w:rsidR="00F54ACD" w:rsidRPr="00185F6A">
        <w:rPr>
          <w:rStyle w:val="Appelnotedebasdep"/>
        </w:rPr>
        <w:footnoteReference w:id="22"/>
      </w:r>
      <w:r w:rsidR="00743E4A" w:rsidRPr="00185F6A">
        <w:t xml:space="preserve"> </w:t>
      </w:r>
      <w:r w:rsidR="00AC3C31">
        <w:t xml:space="preserve">analysis </w:t>
      </w:r>
      <w:r w:rsidR="00743E4A" w:rsidRPr="00185F6A">
        <w:t xml:space="preserve">of the grounds of discrimination </w:t>
      </w:r>
      <w:r w:rsidR="00AC3C31">
        <w:t>to identify</w:t>
      </w:r>
      <w:r w:rsidR="00743E4A" w:rsidRPr="00185F6A">
        <w:t xml:space="preserve"> the co</w:t>
      </w:r>
      <w:r w:rsidR="00AC3C31">
        <w:t xml:space="preserve">mbined </w:t>
      </w:r>
      <w:r w:rsidR="00743E4A" w:rsidRPr="00185F6A">
        <w:t xml:space="preserve">disadvantages and thus </w:t>
      </w:r>
      <w:r w:rsidR="00AC3C31">
        <w:rPr>
          <w:rFonts w:cs="Arial"/>
        </w:rPr>
        <w:t>[</w:t>
      </w:r>
      <w:r w:rsidR="00AC3C31">
        <w:rPr>
          <w:rFonts w:cs="Arial"/>
          <w:smallCaps/>
        </w:rPr>
        <w:t>translation</w:t>
      </w:r>
      <w:r w:rsidR="00AC3C31">
        <w:rPr>
          <w:rFonts w:cs="Arial"/>
        </w:rPr>
        <w:t>]</w:t>
      </w:r>
      <w:r w:rsidR="00AC3C31" w:rsidRPr="00185F6A">
        <w:t xml:space="preserve"> </w:t>
      </w:r>
      <w:r w:rsidR="00743E4A" w:rsidRPr="00185F6A">
        <w:t>“</w:t>
      </w:r>
      <w:r w:rsidR="00AB4EBC">
        <w:t xml:space="preserve">better </w:t>
      </w:r>
      <w:r w:rsidR="00691475">
        <w:t xml:space="preserve">reflect </w:t>
      </w:r>
      <w:r w:rsidR="00743E4A" w:rsidRPr="00185F6A">
        <w:t>the “reality” of discrimination in all its complexity”.</w:t>
      </w:r>
      <w:r w:rsidR="00F54ACD" w:rsidRPr="00185F6A">
        <w:rPr>
          <w:rStyle w:val="Appelnotedebasdep"/>
        </w:rPr>
        <w:footnoteReference w:id="23"/>
      </w:r>
    </w:p>
    <w:p w14:paraId="125A4FA2" w14:textId="0941E1DB" w:rsidR="00F54ACD" w:rsidRPr="00185F6A" w:rsidRDefault="00AB4EBC" w:rsidP="00F54ACD">
      <w:pPr>
        <w:pStyle w:val="Paragraphe"/>
      </w:pPr>
      <w:r>
        <w:t>A</w:t>
      </w:r>
      <w:r w:rsidR="00743E4A" w:rsidRPr="00185F6A">
        <w:t xml:space="preserve">fter investigating, </w:t>
      </w:r>
      <w:r>
        <w:t xml:space="preserve">however, </w:t>
      </w:r>
      <w:r w:rsidR="00743E4A" w:rsidRPr="00185F6A">
        <w:t xml:space="preserve">the Commission </w:t>
      </w:r>
      <w:r>
        <w:t xml:space="preserve">is </w:t>
      </w:r>
      <w:r w:rsidR="00016E87">
        <w:t xml:space="preserve">still </w:t>
      </w:r>
      <w:r>
        <w:t xml:space="preserve">required </w:t>
      </w:r>
      <w:proofErr w:type="gramStart"/>
      <w:r>
        <w:t xml:space="preserve">to </w:t>
      </w:r>
      <w:r w:rsidR="00743E4A" w:rsidRPr="00185F6A">
        <w:t>clearly identify</w:t>
      </w:r>
      <w:proofErr w:type="gramEnd"/>
      <w:r w:rsidR="00743E4A" w:rsidRPr="00185F6A">
        <w:t xml:space="preserve"> </w:t>
      </w:r>
      <w:r w:rsidRPr="00185F6A">
        <w:t xml:space="preserve">in its resolution </w:t>
      </w:r>
      <w:r w:rsidR="00743E4A" w:rsidRPr="00185F6A">
        <w:t>the personal characteristics under s.</w:t>
      </w:r>
      <w:r w:rsidR="00C208D3">
        <w:t> </w:t>
      </w:r>
      <w:r w:rsidR="00743E4A" w:rsidRPr="00185F6A">
        <w:t xml:space="preserve">10 that are </w:t>
      </w:r>
      <w:r w:rsidR="00016E87">
        <w:t>involved</w:t>
      </w:r>
      <w:r w:rsidR="00743E4A" w:rsidRPr="00185F6A">
        <w:t>.</w:t>
      </w:r>
    </w:p>
    <w:p w14:paraId="2DADC348" w14:textId="7B2C030D" w:rsidR="00F54ACD" w:rsidRPr="00185F6A" w:rsidRDefault="00743E4A" w:rsidP="00F54ACD">
      <w:pPr>
        <w:pStyle w:val="Paragraphe"/>
      </w:pPr>
      <w:r w:rsidRPr="00185F6A">
        <w:t xml:space="preserve">The </w:t>
      </w:r>
      <w:r w:rsidRPr="00AB4EBC">
        <w:rPr>
          <w:i/>
        </w:rPr>
        <w:t>Charter</w:t>
      </w:r>
      <w:r w:rsidRPr="00185F6A">
        <w:t xml:space="preserve"> distinguishes the “Commission” </w:t>
      </w:r>
      <w:r w:rsidR="00AB4EBC">
        <w:t>–</w:t>
      </w:r>
      <w:r w:rsidRPr="00185F6A">
        <w:t xml:space="preserve"> which is “composed of 13 members”</w:t>
      </w:r>
      <w:r w:rsidR="00F54ACD" w:rsidRPr="00185F6A">
        <w:rPr>
          <w:rStyle w:val="Appelnotedebasdep"/>
        </w:rPr>
        <w:footnoteReference w:id="24"/>
      </w:r>
      <w:r w:rsidRPr="00185F6A">
        <w:t xml:space="preserve"> and “the personnel it requires for the performance of its functions”.</w:t>
      </w:r>
      <w:r w:rsidR="00F54ACD" w:rsidRPr="00185F6A">
        <w:rPr>
          <w:rStyle w:val="Appelnotedebasdep"/>
        </w:rPr>
        <w:footnoteReference w:id="25"/>
      </w:r>
      <w:r w:rsidR="00F54ACD" w:rsidRPr="00185F6A">
        <w:t xml:space="preserve"> </w:t>
      </w:r>
    </w:p>
    <w:p w14:paraId="7E297B4B" w14:textId="23B3EE4F" w:rsidR="00F54ACD" w:rsidRPr="00185F6A" w:rsidRDefault="00016E87" w:rsidP="00F54ACD">
      <w:pPr>
        <w:pStyle w:val="Paragraphe"/>
      </w:pPr>
      <w:r>
        <w:t xml:space="preserve">There is every reason to believe </w:t>
      </w:r>
      <w:r w:rsidR="00743E4A" w:rsidRPr="00185F6A">
        <w:t xml:space="preserve">that </w:t>
      </w:r>
      <w:r w:rsidR="00AB4EBC" w:rsidRPr="00185F6A">
        <w:t>the Legal Department</w:t>
      </w:r>
      <w:r w:rsidR="00AB4EBC">
        <w:t>,</w:t>
      </w:r>
      <w:r w:rsidR="00AB4EBC" w:rsidRPr="00185F6A">
        <w:t xml:space="preserve"> not the Commission strictly speaking</w:t>
      </w:r>
      <w:r w:rsidR="00AB4EBC">
        <w:t>,</w:t>
      </w:r>
      <w:r w:rsidR="00AB4EBC" w:rsidRPr="00185F6A">
        <w:t xml:space="preserve"> </w:t>
      </w:r>
      <w:r w:rsidR="00743E4A" w:rsidRPr="00185F6A">
        <w:t>add</w:t>
      </w:r>
      <w:r w:rsidR="00AB4EBC">
        <w:t>ed</w:t>
      </w:r>
      <w:r w:rsidR="00743E4A" w:rsidRPr="00185F6A">
        <w:t xml:space="preserve"> “sex” and “social condition”, first in the application </w:t>
      </w:r>
      <w:r w:rsidR="00AB4EBC">
        <w:t>and then in the brief</w:t>
      </w:r>
      <w:r w:rsidR="00743E4A" w:rsidRPr="00185F6A">
        <w:t>.</w:t>
      </w:r>
    </w:p>
    <w:p w14:paraId="186BD9CB" w14:textId="1B8A59A4" w:rsidR="00F54ACD" w:rsidRPr="00185F6A" w:rsidRDefault="00AB4EBC" w:rsidP="00F54ACD">
      <w:pPr>
        <w:pStyle w:val="Paragraphe"/>
      </w:pPr>
      <w:r>
        <w:t>Naturally, i</w:t>
      </w:r>
      <w:r w:rsidR="00743E4A" w:rsidRPr="00185F6A">
        <w:t xml:space="preserve">n its resolution </w:t>
      </w:r>
      <w:r w:rsidR="00743E4A" w:rsidRPr="00185F6A">
        <w:rPr>
          <w:rFonts w:cs="Arial"/>
        </w:rPr>
        <w:t>[</w:t>
      </w:r>
      <w:r w:rsidR="00743E4A" w:rsidRPr="00185F6A">
        <w:rPr>
          <w:rFonts w:cs="Arial"/>
          <w:smallCaps/>
        </w:rPr>
        <w:t>translation</w:t>
      </w:r>
      <w:r w:rsidR="00743E4A" w:rsidRPr="00185F6A">
        <w:rPr>
          <w:rFonts w:cs="Arial"/>
        </w:rPr>
        <w:t>]</w:t>
      </w:r>
      <w:r w:rsidR="00743E4A" w:rsidRPr="00185F6A">
        <w:t xml:space="preserve"> “the Commission </w:t>
      </w:r>
      <w:r w:rsidR="00743E4A" w:rsidRPr="00AB4EBC">
        <w:rPr>
          <w:rFonts w:ascii="Arial Gras" w:hAnsi="Arial Gras"/>
          <w:b/>
          <w:sz w:val="20"/>
        </w:rPr>
        <w:t>MANDATES</w:t>
      </w:r>
      <w:r w:rsidR="00743E4A" w:rsidRPr="00185F6A">
        <w:t xml:space="preserve"> </w:t>
      </w:r>
      <w:r>
        <w:t>the</w:t>
      </w:r>
      <w:r w:rsidR="00743E4A" w:rsidRPr="00185F6A">
        <w:t xml:space="preserve"> Legal Department to apply to a tribunal to obtain, where consistent with the public interest, any </w:t>
      </w:r>
      <w:r w:rsidR="00743E4A" w:rsidRPr="00185F6A">
        <w:lastRenderedPageBreak/>
        <w:t>appropriate measure or to demand, in favour of the victim, any measure the Commission considers appropriate at that time”.</w:t>
      </w:r>
    </w:p>
    <w:p w14:paraId="7C8F09CC" w14:textId="60AB60AE" w:rsidR="00F54ACD" w:rsidRPr="00185F6A" w:rsidRDefault="00FD0272" w:rsidP="00F54ACD">
      <w:pPr>
        <w:pStyle w:val="Paragraphe"/>
      </w:pPr>
      <w:r w:rsidRPr="00185F6A">
        <w:t xml:space="preserve">That </w:t>
      </w:r>
      <w:proofErr w:type="gramStart"/>
      <w:r w:rsidRPr="00185F6A">
        <w:t>being said</w:t>
      </w:r>
      <w:proofErr w:type="gramEnd"/>
      <w:r w:rsidRPr="00185F6A">
        <w:t>, the Le</w:t>
      </w:r>
      <w:r w:rsidR="00A23CE3">
        <w:t>gal Department cannot</w:t>
      </w:r>
      <w:r w:rsidRPr="00185F6A">
        <w:t xml:space="preserve"> add grounds of discrimination </w:t>
      </w:r>
      <w:r w:rsidR="00A23CE3" w:rsidRPr="00185F6A">
        <w:t xml:space="preserve">in its pleadings </w:t>
      </w:r>
      <w:r w:rsidR="00A23CE3">
        <w:t xml:space="preserve">to grant </w:t>
      </w:r>
      <w:r w:rsidRPr="00185F6A">
        <w:t>the Tribunal jurisdiction that exceeds the mandate defined in the Commission’s resolution.</w:t>
      </w:r>
    </w:p>
    <w:p w14:paraId="1677DB23" w14:textId="002C7425" w:rsidR="00F54ACD" w:rsidRPr="00185F6A" w:rsidRDefault="00FD0272" w:rsidP="00F54ACD">
      <w:pPr>
        <w:pStyle w:val="Paragraphe"/>
      </w:pPr>
      <w:r w:rsidRPr="00185F6A">
        <w:t xml:space="preserve">In </w:t>
      </w:r>
      <w:proofErr w:type="spellStart"/>
      <w:r w:rsidRPr="00185F6A">
        <w:rPr>
          <w:i/>
        </w:rPr>
        <w:t>Mouvement</w:t>
      </w:r>
      <w:proofErr w:type="spellEnd"/>
      <w:r w:rsidRPr="00185F6A">
        <w:rPr>
          <w:i/>
        </w:rPr>
        <w:t xml:space="preserve"> </w:t>
      </w:r>
      <w:proofErr w:type="spellStart"/>
      <w:r w:rsidRPr="00185F6A">
        <w:rPr>
          <w:i/>
        </w:rPr>
        <w:t>laïque</w:t>
      </w:r>
      <w:proofErr w:type="spellEnd"/>
      <w:r w:rsidRPr="00185F6A">
        <w:rPr>
          <w:i/>
        </w:rPr>
        <w:t xml:space="preserve"> </w:t>
      </w:r>
      <w:proofErr w:type="spellStart"/>
      <w:r w:rsidRPr="00185F6A">
        <w:rPr>
          <w:i/>
        </w:rPr>
        <w:t>québécois</w:t>
      </w:r>
      <w:proofErr w:type="spellEnd"/>
      <w:r w:rsidRPr="00185F6A">
        <w:rPr>
          <w:i/>
        </w:rPr>
        <w:t xml:space="preserve"> v. Saguenay (City)</w:t>
      </w:r>
      <w:r w:rsidRPr="00185F6A">
        <w:t>,</w:t>
      </w:r>
      <w:r w:rsidR="00F54ACD" w:rsidRPr="00185F6A">
        <w:rPr>
          <w:rStyle w:val="Appelnotedebasdep"/>
        </w:rPr>
        <w:footnoteReference w:id="26"/>
      </w:r>
      <w:r w:rsidRPr="00185F6A">
        <w:t xml:space="preserve"> the Supreme Court of Canada stated the following about the Tribunal:</w:t>
      </w:r>
    </w:p>
    <w:p w14:paraId="0F1E834B" w14:textId="290F12DE" w:rsidR="00F54ACD" w:rsidRPr="00185F6A" w:rsidRDefault="00FD0272" w:rsidP="00F54ACD">
      <w:pPr>
        <w:pStyle w:val="Citationenretrait"/>
        <w:rPr>
          <w:lang w:val="en-CA"/>
        </w:rPr>
      </w:pPr>
      <w:r w:rsidRPr="00185F6A">
        <w:rPr>
          <w:lang w:val="en-CA"/>
        </w:rPr>
        <w:t>[40</w:t>
      </w:r>
      <w:proofErr w:type="gramStart"/>
      <w:r w:rsidRPr="00185F6A">
        <w:rPr>
          <w:lang w:val="en-CA"/>
        </w:rPr>
        <w:t>]  ...</w:t>
      </w:r>
      <w:proofErr w:type="gramEnd"/>
      <w:r w:rsidRPr="00185F6A">
        <w:rPr>
          <w:lang w:val="en-CA"/>
        </w:rPr>
        <w:t xml:space="preserve"> It is a body created under the </w:t>
      </w:r>
      <w:r w:rsidRPr="00185F6A">
        <w:rPr>
          <w:i/>
          <w:lang w:val="en-CA"/>
        </w:rPr>
        <w:t xml:space="preserve">Quebec Charter </w:t>
      </w:r>
      <w:r w:rsidRPr="00185F6A">
        <w:rPr>
          <w:lang w:val="en-CA"/>
        </w:rPr>
        <w:t xml:space="preserve">whose expertise relates mainly to cases involving </w:t>
      </w:r>
      <w:proofErr w:type="gramStart"/>
      <w:r w:rsidRPr="00185F6A">
        <w:rPr>
          <w:lang w:val="en-CA"/>
        </w:rPr>
        <w:t>discrimination ...</w:t>
      </w:r>
      <w:proofErr w:type="gramEnd"/>
      <w:r w:rsidRPr="00185F6A">
        <w:rPr>
          <w:lang w:val="en-CA"/>
        </w:rPr>
        <w:t xml:space="preserve"> .</w:t>
      </w:r>
      <w:r w:rsidR="00F54ACD" w:rsidRPr="00185F6A">
        <w:rPr>
          <w:lang w:val="en-CA"/>
        </w:rPr>
        <w:t xml:space="preserve"> </w:t>
      </w:r>
      <w:r w:rsidRPr="00185F6A">
        <w:rPr>
          <w:u w:val="single"/>
          <w:lang w:val="en-CA"/>
        </w:rPr>
        <w:t xml:space="preserve">Its jurisdiction in this regard </w:t>
      </w:r>
      <w:proofErr w:type="gramStart"/>
      <w:r w:rsidRPr="00185F6A">
        <w:rPr>
          <w:u w:val="single"/>
          <w:lang w:val="en-CA"/>
        </w:rPr>
        <w:t>is based</w:t>
      </w:r>
      <w:proofErr w:type="gramEnd"/>
      <w:r w:rsidRPr="00185F6A">
        <w:rPr>
          <w:u w:val="single"/>
          <w:lang w:val="en-CA"/>
        </w:rPr>
        <w:t xml:space="preserve"> on the mechanism for receiving and processing complaints</w:t>
      </w:r>
      <w:r w:rsidRPr="00185F6A">
        <w:rPr>
          <w:lang w:val="en-CA"/>
        </w:rPr>
        <w:t xml:space="preserve"> that is provided for in the </w:t>
      </w:r>
      <w:r w:rsidRPr="00185F6A">
        <w:rPr>
          <w:i/>
          <w:lang w:val="en-CA"/>
        </w:rPr>
        <w:t>Quebec Charter</w:t>
      </w:r>
      <w:r w:rsidRPr="00185F6A">
        <w:rPr>
          <w:lang w:val="en-CA"/>
        </w:rPr>
        <w:t xml:space="preserve"> and implemented by the Commission.</w:t>
      </w:r>
      <w:r w:rsidR="00F54ACD" w:rsidRPr="00185F6A">
        <w:rPr>
          <w:lang w:val="en-CA"/>
        </w:rPr>
        <w:t xml:space="preserve"> </w:t>
      </w:r>
      <w:r w:rsidRPr="00185F6A">
        <w:rPr>
          <w:lang w:val="en-CA"/>
        </w:rPr>
        <w:t xml:space="preserve">For such complaints, </w:t>
      </w:r>
      <w:r w:rsidRPr="00185F6A">
        <w:rPr>
          <w:u w:val="single"/>
          <w:lang w:val="en-CA"/>
        </w:rPr>
        <w:t xml:space="preserve">the Tribunal is intended to be an extension, as an adjudicative body, of the Commission’s preliminary investigation </w:t>
      </w:r>
      <w:proofErr w:type="gramStart"/>
      <w:r w:rsidRPr="00185F6A">
        <w:rPr>
          <w:u w:val="single"/>
          <w:lang w:val="en-CA"/>
        </w:rPr>
        <w:t>mechanism</w:t>
      </w:r>
      <w:r w:rsidRPr="00185F6A">
        <w:rPr>
          <w:lang w:val="en-CA"/>
        </w:rPr>
        <w:t xml:space="preserve"> ...</w:t>
      </w:r>
      <w:proofErr w:type="gramEnd"/>
      <w:r w:rsidRPr="00185F6A">
        <w:rPr>
          <w:lang w:val="en-CA"/>
        </w:rPr>
        <w:t xml:space="preserve"> .</w:t>
      </w:r>
      <w:r w:rsidR="00F54ACD" w:rsidRPr="00185F6A">
        <w:rPr>
          <w:rStyle w:val="Appelnotedebasdep"/>
          <w:szCs w:val="22"/>
          <w:lang w:val="en-CA"/>
        </w:rPr>
        <w:footnoteReference w:id="27"/>
      </w:r>
      <w:r w:rsidR="00F54ACD" w:rsidRPr="00185F6A">
        <w:rPr>
          <w:lang w:val="en-CA"/>
        </w:rPr>
        <w:t xml:space="preserve"> </w:t>
      </w:r>
    </w:p>
    <w:p w14:paraId="209F82DB" w14:textId="49EBFD1E" w:rsidR="00F54ACD" w:rsidRPr="00185F6A" w:rsidRDefault="00FD0272" w:rsidP="00F54ACD">
      <w:pPr>
        <w:pStyle w:val="Citationenretrait"/>
        <w:spacing w:after="0"/>
        <w:jc w:val="right"/>
        <w:rPr>
          <w:sz w:val="20"/>
          <w:lang w:val="en-CA"/>
        </w:rPr>
      </w:pPr>
      <w:r w:rsidRPr="00185F6A">
        <w:rPr>
          <w:sz w:val="20"/>
          <w:lang w:val="en-CA"/>
        </w:rPr>
        <w:t>[Emphasis added.]</w:t>
      </w:r>
    </w:p>
    <w:p w14:paraId="226BBE4A" w14:textId="6871E829" w:rsidR="00F54ACD" w:rsidRPr="00185F6A" w:rsidRDefault="00FD0272" w:rsidP="00F54ACD">
      <w:pPr>
        <w:pStyle w:val="Citationenretrait"/>
        <w:jc w:val="right"/>
        <w:rPr>
          <w:sz w:val="20"/>
          <w:lang w:val="en-CA"/>
        </w:rPr>
      </w:pPr>
      <w:r w:rsidRPr="00185F6A">
        <w:rPr>
          <w:sz w:val="20"/>
          <w:lang w:val="en-CA"/>
        </w:rPr>
        <w:t>[Citations omitted.]</w:t>
      </w:r>
    </w:p>
    <w:p w14:paraId="1A6FCF3D" w14:textId="3CA8FE0F" w:rsidR="00F54ACD" w:rsidRPr="00185F6A" w:rsidRDefault="00F54ACD" w:rsidP="00F54ACD">
      <w:pPr>
        <w:pStyle w:val="Paragraphe"/>
      </w:pPr>
      <w:r w:rsidRPr="00185F6A">
        <w:t xml:space="preserve"> </w:t>
      </w:r>
      <w:r w:rsidR="00FD0272" w:rsidRPr="00185F6A">
        <w:t xml:space="preserve">Then, discussing the </w:t>
      </w:r>
      <w:r w:rsidR="00A23CE3">
        <w:t>litigant</w:t>
      </w:r>
      <w:r w:rsidR="00FD0272" w:rsidRPr="00185F6A">
        <w:t xml:space="preserve"> (victim or complainant) who, exceptionally, may be authorized to submit an application directly to the Tribunal in place of the Commission,</w:t>
      </w:r>
      <w:r w:rsidRPr="00185F6A">
        <w:rPr>
          <w:rStyle w:val="Appelnotedebasdep"/>
        </w:rPr>
        <w:footnoteReference w:id="28"/>
      </w:r>
      <w:r w:rsidR="00FD0272" w:rsidRPr="00185F6A">
        <w:t xml:space="preserve"> the Court added:</w:t>
      </w:r>
    </w:p>
    <w:p w14:paraId="4E6E0D08" w14:textId="72EEE111" w:rsidR="00F54ACD" w:rsidRPr="00185F6A" w:rsidRDefault="00FD0272" w:rsidP="00F54ACD">
      <w:pPr>
        <w:pStyle w:val="Citationenretrait"/>
        <w:rPr>
          <w:lang w:val="en-CA"/>
        </w:rPr>
      </w:pPr>
      <w:r w:rsidRPr="00185F6A">
        <w:rPr>
          <w:lang w:val="en-CA"/>
        </w:rPr>
        <w:t xml:space="preserve">[57]  ... where a complainant has a right to submit his or her own application to the Tribunal, the scope of the remedy </w:t>
      </w:r>
      <w:proofErr w:type="gramStart"/>
      <w:r w:rsidRPr="00185F6A">
        <w:rPr>
          <w:lang w:val="en-CA"/>
        </w:rPr>
        <w:t>is limited</w:t>
      </w:r>
      <w:proofErr w:type="gramEnd"/>
      <w:r w:rsidRPr="00185F6A">
        <w:rPr>
          <w:lang w:val="en-CA"/>
        </w:rPr>
        <w:t xml:space="preserve"> by the work done beforehand by the Commission.</w:t>
      </w:r>
      <w:r w:rsidR="00F54ACD" w:rsidRPr="00185F6A">
        <w:rPr>
          <w:lang w:val="en-CA"/>
        </w:rPr>
        <w:t xml:space="preserve"> </w:t>
      </w:r>
      <w:r w:rsidRPr="00185F6A">
        <w:rPr>
          <w:u w:val="single"/>
          <w:lang w:val="en-CA"/>
        </w:rPr>
        <w:t xml:space="preserve">The Tribunal’s jurisdiction </w:t>
      </w:r>
      <w:proofErr w:type="gramStart"/>
      <w:r w:rsidRPr="00185F6A">
        <w:rPr>
          <w:u w:val="single"/>
          <w:lang w:val="en-CA"/>
        </w:rPr>
        <w:t>is circumscribed</w:t>
      </w:r>
      <w:proofErr w:type="gramEnd"/>
      <w:r w:rsidRPr="00185F6A">
        <w:rPr>
          <w:u w:val="single"/>
          <w:lang w:val="en-CA"/>
        </w:rPr>
        <w:t xml:space="preserve"> by that work</w:t>
      </w:r>
      <w:r w:rsidRPr="00185F6A">
        <w:rPr>
          <w:lang w:val="en-CA"/>
        </w:rPr>
        <w:t>.</w:t>
      </w:r>
      <w:r w:rsidR="00F54ACD" w:rsidRPr="00185F6A">
        <w:rPr>
          <w:lang w:val="en-CA"/>
        </w:rPr>
        <w:t xml:space="preserve"> </w:t>
      </w:r>
      <w:r w:rsidRPr="00185F6A">
        <w:rPr>
          <w:lang w:val="en-CA"/>
        </w:rPr>
        <w:t xml:space="preserve">In a discrimination case, the application to the Tribunal </w:t>
      </w:r>
      <w:proofErr w:type="gramStart"/>
      <w:r w:rsidRPr="00185F6A">
        <w:rPr>
          <w:lang w:val="en-CA"/>
        </w:rPr>
        <w:t>is intended</w:t>
      </w:r>
      <w:proofErr w:type="gramEnd"/>
      <w:r w:rsidRPr="00185F6A">
        <w:rPr>
          <w:lang w:val="en-CA"/>
        </w:rPr>
        <w:t xml:space="preserve"> to be an extension of the investigation conducted by the Commission in response to a complaint.</w:t>
      </w:r>
    </w:p>
    <w:p w14:paraId="6EF6DCBF" w14:textId="64DE6345" w:rsidR="00F54ACD" w:rsidRPr="00185F6A" w:rsidRDefault="000564F2" w:rsidP="00F54ACD">
      <w:pPr>
        <w:pStyle w:val="Citationenretrait"/>
        <w:rPr>
          <w:lang w:val="en-CA"/>
        </w:rPr>
      </w:pPr>
      <w:r w:rsidRPr="00185F6A">
        <w:rPr>
          <w:lang w:val="en-CA"/>
        </w:rPr>
        <w:t>…</w:t>
      </w:r>
    </w:p>
    <w:p w14:paraId="0F7F7A5C" w14:textId="40FC8EED" w:rsidR="00F54ACD" w:rsidRPr="00185F6A" w:rsidRDefault="00FD0272" w:rsidP="00F54ACD">
      <w:pPr>
        <w:pStyle w:val="Citationenretrait"/>
        <w:rPr>
          <w:lang w:val="en-CA"/>
        </w:rPr>
      </w:pPr>
      <w:r w:rsidRPr="00185F6A">
        <w:rPr>
          <w:lang w:val="en-CA"/>
        </w:rPr>
        <w:t>[60</w:t>
      </w:r>
      <w:proofErr w:type="gramStart"/>
      <w:r w:rsidRPr="00185F6A">
        <w:rPr>
          <w:lang w:val="en-CA"/>
        </w:rPr>
        <w:t>] ...</w:t>
      </w:r>
      <w:proofErr w:type="gramEnd"/>
      <w:r w:rsidRPr="00185F6A">
        <w:rPr>
          <w:lang w:val="en-CA"/>
        </w:rPr>
        <w:t xml:space="preserve"> To conclude otherwise would be to unduly curtail the Commission’s function of managing and screening </w:t>
      </w:r>
      <w:proofErr w:type="gramStart"/>
      <w:r w:rsidRPr="00185F6A">
        <w:rPr>
          <w:lang w:val="en-CA"/>
        </w:rPr>
        <w:t>complaints ....</w:t>
      </w:r>
      <w:proofErr w:type="gramEnd"/>
      <w:r w:rsidR="00F54ACD" w:rsidRPr="00185F6A">
        <w:rPr>
          <w:lang w:val="en-CA"/>
        </w:rPr>
        <w:t xml:space="preserve"> </w:t>
      </w:r>
      <w:r w:rsidRPr="00185F6A">
        <w:rPr>
          <w:u w:val="single"/>
          <w:lang w:val="en-CA"/>
        </w:rPr>
        <w:t>The Tribunal’s jurisdiction in discrimination cases is dependent on the Commission’s having first conducted an investigation</w:t>
      </w:r>
      <w:r w:rsidRPr="00185F6A">
        <w:rPr>
          <w:lang w:val="en-CA"/>
        </w:rPr>
        <w:t>.</w:t>
      </w:r>
      <w:r w:rsidR="00F54ACD" w:rsidRPr="00185F6A">
        <w:rPr>
          <w:rStyle w:val="Appelnotedebasdep"/>
          <w:szCs w:val="22"/>
          <w:lang w:val="en-CA"/>
        </w:rPr>
        <w:footnoteReference w:id="29"/>
      </w:r>
    </w:p>
    <w:p w14:paraId="2885CF59" w14:textId="4B504111" w:rsidR="00F54ACD" w:rsidRPr="00185F6A" w:rsidRDefault="00FD0272" w:rsidP="00F54ACD">
      <w:pPr>
        <w:pStyle w:val="Citationenretrait"/>
        <w:spacing w:after="0"/>
        <w:jc w:val="right"/>
        <w:rPr>
          <w:sz w:val="20"/>
          <w:lang w:val="en-CA"/>
        </w:rPr>
      </w:pPr>
      <w:r w:rsidRPr="00185F6A">
        <w:rPr>
          <w:sz w:val="20"/>
          <w:lang w:val="en-CA"/>
        </w:rPr>
        <w:t>[Emphasis added.]</w:t>
      </w:r>
    </w:p>
    <w:p w14:paraId="30705E74" w14:textId="5B49470E" w:rsidR="00F54ACD" w:rsidRPr="00185F6A" w:rsidRDefault="00FD0272" w:rsidP="00F54ACD">
      <w:pPr>
        <w:pStyle w:val="Citationenretrait"/>
        <w:jc w:val="right"/>
        <w:rPr>
          <w:sz w:val="20"/>
          <w:lang w:val="en-CA"/>
        </w:rPr>
      </w:pPr>
      <w:r w:rsidRPr="00185F6A">
        <w:rPr>
          <w:rFonts w:cs="Arial"/>
          <w:sz w:val="20"/>
          <w:lang w:val="en-CA"/>
        </w:rPr>
        <w:t>[</w:t>
      </w:r>
      <w:r w:rsidRPr="00185F6A">
        <w:rPr>
          <w:sz w:val="20"/>
          <w:lang w:val="en-CA"/>
        </w:rPr>
        <w:t>Citations omitted.</w:t>
      </w:r>
      <w:r w:rsidRPr="00185F6A">
        <w:rPr>
          <w:rFonts w:cs="Arial"/>
          <w:sz w:val="20"/>
          <w:lang w:val="en-CA"/>
        </w:rPr>
        <w:t>]</w:t>
      </w:r>
    </w:p>
    <w:p w14:paraId="61E448CD" w14:textId="12A217F6" w:rsidR="00F54ACD" w:rsidRPr="00185F6A" w:rsidRDefault="00F54ACD" w:rsidP="00F54ACD">
      <w:pPr>
        <w:pStyle w:val="Paragraphe"/>
      </w:pPr>
      <w:r w:rsidRPr="00185F6A">
        <w:t xml:space="preserve"> </w:t>
      </w:r>
      <w:r w:rsidR="00FD0272" w:rsidRPr="00185F6A">
        <w:t>Because the Tribunal’s jurisdiction is dependent on the Commission’s first having conducted an investigation and is circumscribed by th</w:t>
      </w:r>
      <w:r w:rsidR="00A23CE3">
        <w:t>is</w:t>
      </w:r>
      <w:r w:rsidR="00FD0272" w:rsidRPr="00185F6A">
        <w:t xml:space="preserve"> work done beforehand, it cannot </w:t>
      </w:r>
      <w:r w:rsidR="00FD0272" w:rsidRPr="00185F6A">
        <w:lastRenderedPageBreak/>
        <w:t>rule on rights</w:t>
      </w:r>
      <w:r w:rsidR="0002673C">
        <w:rPr>
          <w:rStyle w:val="Appelnotedebasdep"/>
          <w:lang w:val="fr-CA"/>
        </w:rPr>
        <w:footnoteReference w:id="30"/>
      </w:r>
      <w:r w:rsidR="00FD0272" w:rsidRPr="00185F6A">
        <w:t xml:space="preserve"> or grounds of discrimination</w:t>
      </w:r>
      <w:r w:rsidRPr="00185F6A">
        <w:rPr>
          <w:rStyle w:val="Appelnotedebasdep"/>
        </w:rPr>
        <w:footnoteReference w:id="31"/>
      </w:r>
      <w:r w:rsidR="00FD0272" w:rsidRPr="00185F6A">
        <w:t xml:space="preserve"> that</w:t>
      </w:r>
      <w:r w:rsidR="00FC0351">
        <w:t xml:space="preserve"> did not </w:t>
      </w:r>
      <w:r w:rsidR="00691475">
        <w:t xml:space="preserve">attract </w:t>
      </w:r>
      <w:r w:rsidR="00A23CE3">
        <w:t>the Commission</w:t>
      </w:r>
      <w:r w:rsidR="00FC0351">
        <w:t>’s attention</w:t>
      </w:r>
      <w:r w:rsidR="00691475">
        <w:t xml:space="preserve"> </w:t>
      </w:r>
      <w:r w:rsidR="00FD0272" w:rsidRPr="00185F6A">
        <w:t>in its resolution.</w:t>
      </w:r>
    </w:p>
    <w:p w14:paraId="0DC9D750" w14:textId="3BEBFE66" w:rsidR="00F54ACD" w:rsidRPr="00185F6A" w:rsidRDefault="00FD0272" w:rsidP="00F54ACD">
      <w:pPr>
        <w:pStyle w:val="Paragraphe"/>
      </w:pPr>
      <w:r w:rsidRPr="00185F6A">
        <w:t xml:space="preserve">The Tribunal therefore intends to limit its analysis to the grounds of “race” and “colour” and </w:t>
      </w:r>
      <w:r w:rsidR="00A23CE3">
        <w:t xml:space="preserve">thus </w:t>
      </w:r>
      <w:r w:rsidRPr="00185F6A">
        <w:t>decline jurisdiction over the grounds related to “sex” and “social condition”.</w:t>
      </w:r>
      <w:r w:rsidR="00F54ACD" w:rsidRPr="00185F6A">
        <w:t xml:space="preserve"> </w:t>
      </w:r>
    </w:p>
    <w:p w14:paraId="1355CEB0" w14:textId="50CEFBD7" w:rsidR="00F54ACD" w:rsidRPr="00185F6A" w:rsidRDefault="00F54ACD" w:rsidP="00F54ACD">
      <w:pPr>
        <w:pStyle w:val="Paragraphe"/>
        <w:numPr>
          <w:ilvl w:val="0"/>
          <w:numId w:val="0"/>
        </w:numPr>
        <w:ind w:left="567"/>
        <w:rPr>
          <w:i/>
        </w:rPr>
      </w:pPr>
      <w:r w:rsidRPr="00185F6A">
        <w:t>ii)</w:t>
      </w:r>
      <w:r w:rsidRPr="00185F6A">
        <w:tab/>
      </w:r>
      <w:r w:rsidR="00FD0272" w:rsidRPr="00185F6A">
        <w:rPr>
          <w:i/>
        </w:rPr>
        <w:t>The “connection” or “factor”</w:t>
      </w:r>
    </w:p>
    <w:p w14:paraId="5DE6F95F" w14:textId="3BB9D5E4" w:rsidR="00F54ACD" w:rsidRPr="00185F6A" w:rsidRDefault="00FD0272" w:rsidP="00F54ACD">
      <w:pPr>
        <w:pStyle w:val="Paragraphe"/>
      </w:pPr>
      <w:r w:rsidRPr="00185F6A">
        <w:t>At this stage of the analysis, the plaintiff need only establish a connection between the alleged grounds of discrimination and the conduct of the person alleged to have engaged in discrimination:</w:t>
      </w:r>
    </w:p>
    <w:p w14:paraId="00F99DA3" w14:textId="3DA59356" w:rsidR="00F54ACD" w:rsidRPr="00185F6A" w:rsidRDefault="00FD0272" w:rsidP="00F54ACD">
      <w:pPr>
        <w:pStyle w:val="Citationenretrait"/>
        <w:rPr>
          <w:lang w:val="en-CA"/>
        </w:rPr>
      </w:pPr>
      <w:proofErr w:type="gramStart"/>
      <w:r w:rsidRPr="00185F6A">
        <w:rPr>
          <w:lang w:val="en-CA"/>
        </w:rPr>
        <w:t xml:space="preserve">[48] ... the decision or action of the person responsible for the distinction, exclusion or preference need not be based </w:t>
      </w:r>
      <w:r w:rsidRPr="00185F6A">
        <w:rPr>
          <w:u w:val="single"/>
          <w:lang w:val="en-CA"/>
        </w:rPr>
        <w:t>solely</w:t>
      </w:r>
      <w:r w:rsidRPr="00185F6A">
        <w:rPr>
          <w:lang w:val="en-CA"/>
        </w:rPr>
        <w:t xml:space="preserve"> on the prohibited ground; it is enough if that decision or action is based </w:t>
      </w:r>
      <w:r w:rsidRPr="00185F6A">
        <w:rPr>
          <w:u w:val="single"/>
          <w:lang w:val="en-CA"/>
        </w:rPr>
        <w:t>in part</w:t>
      </w:r>
      <w:r w:rsidRPr="00185F6A">
        <w:rPr>
          <w:lang w:val="en-CA"/>
        </w:rPr>
        <w:t xml:space="preserve"> on such a ground ...</w:t>
      </w:r>
      <w:r w:rsidR="00F54ACD" w:rsidRPr="00185F6A">
        <w:rPr>
          <w:lang w:val="en-CA"/>
        </w:rPr>
        <w:t xml:space="preserve"> </w:t>
      </w:r>
      <w:r w:rsidRPr="00185F6A">
        <w:rPr>
          <w:lang w:val="en-CA"/>
        </w:rPr>
        <w:t xml:space="preserve">In other words, for a particular decision or action to be considered discriminatory, </w:t>
      </w:r>
      <w:r w:rsidRPr="00185F6A">
        <w:rPr>
          <w:u w:val="single"/>
          <w:lang w:val="en-CA"/>
        </w:rPr>
        <w:t xml:space="preserve">the prohibited </w:t>
      </w:r>
      <w:r w:rsidRPr="00A23CE3">
        <w:rPr>
          <w:u w:val="single"/>
          <w:lang w:val="en-CA"/>
        </w:rPr>
        <w:t>ground need only have contributed</w:t>
      </w:r>
      <w:r w:rsidRPr="00185F6A">
        <w:rPr>
          <w:lang w:val="en-CA"/>
        </w:rPr>
        <w:t xml:space="preserve"> to it.</w:t>
      </w:r>
      <w:r w:rsidR="00F54ACD" w:rsidRPr="00185F6A">
        <w:rPr>
          <w:rStyle w:val="Appelnotedebasdep"/>
          <w:szCs w:val="22"/>
          <w:lang w:val="en-CA"/>
        </w:rPr>
        <w:footnoteReference w:id="32"/>
      </w:r>
      <w:proofErr w:type="gramEnd"/>
    </w:p>
    <w:p w14:paraId="03212DD1" w14:textId="22E8206F" w:rsidR="00F54ACD" w:rsidRPr="00185F6A" w:rsidRDefault="00FD0272" w:rsidP="00F54ACD">
      <w:pPr>
        <w:pStyle w:val="Citationenretrait"/>
        <w:spacing w:after="0"/>
        <w:jc w:val="right"/>
        <w:rPr>
          <w:sz w:val="20"/>
          <w:lang w:val="en-CA"/>
        </w:rPr>
      </w:pPr>
      <w:r w:rsidRPr="00185F6A">
        <w:rPr>
          <w:sz w:val="20"/>
          <w:lang w:val="en-CA"/>
        </w:rPr>
        <w:t>[Emphasis added.]</w:t>
      </w:r>
      <w:r w:rsidR="00F54ACD" w:rsidRPr="00185F6A">
        <w:rPr>
          <w:sz w:val="20"/>
          <w:lang w:val="en-CA"/>
        </w:rPr>
        <w:t xml:space="preserve"> </w:t>
      </w:r>
    </w:p>
    <w:p w14:paraId="2AE755DD" w14:textId="1BE750D2" w:rsidR="00F54ACD" w:rsidRPr="00185F6A" w:rsidRDefault="00FD0272" w:rsidP="00F54ACD">
      <w:pPr>
        <w:pStyle w:val="Citationenretrait"/>
        <w:jc w:val="right"/>
        <w:rPr>
          <w:sz w:val="20"/>
          <w:lang w:val="en-CA"/>
        </w:rPr>
      </w:pPr>
      <w:r w:rsidRPr="00185F6A">
        <w:rPr>
          <w:sz w:val="20"/>
          <w:lang w:val="en-CA"/>
        </w:rPr>
        <w:t>[Citations omitted.]</w:t>
      </w:r>
    </w:p>
    <w:p w14:paraId="07D5C156" w14:textId="77777777" w:rsidR="00F54ACD" w:rsidRPr="00185F6A" w:rsidRDefault="00F54ACD" w:rsidP="00F54ACD">
      <w:pPr>
        <w:pStyle w:val="Paragraphe"/>
        <w:numPr>
          <w:ilvl w:val="0"/>
          <w:numId w:val="0"/>
        </w:numPr>
        <w:spacing w:before="0" w:after="0" w:line="240" w:lineRule="auto"/>
        <w:ind w:left="709" w:right="431"/>
        <w:jc w:val="right"/>
        <w:rPr>
          <w:sz w:val="20"/>
        </w:rPr>
      </w:pPr>
    </w:p>
    <w:p w14:paraId="2E66B45B" w14:textId="2525B9EE" w:rsidR="00F54ACD" w:rsidRPr="00185F6A" w:rsidRDefault="00FD0272" w:rsidP="00F54ACD">
      <w:pPr>
        <w:pStyle w:val="Paragraphe"/>
      </w:pPr>
      <w:r w:rsidRPr="00185F6A">
        <w:t>That being said, “</w:t>
      </w:r>
      <w:r w:rsidR="00A23CE3">
        <w:t xml:space="preserve">the </w:t>
      </w:r>
      <w:r w:rsidRPr="00185F6A">
        <w:t xml:space="preserve">degree of proof” required to establish the “connection” or prove at least one of the </w:t>
      </w:r>
      <w:r w:rsidR="0002673C">
        <w:t xml:space="preserve">prohibited </w:t>
      </w:r>
      <w:r w:rsidRPr="00185F6A">
        <w:t xml:space="preserve">grounds </w:t>
      </w:r>
      <w:r w:rsidR="0002673C">
        <w:t xml:space="preserve">in </w:t>
      </w:r>
      <w:r w:rsidRPr="00185F6A">
        <w:t>s.</w:t>
      </w:r>
      <w:r w:rsidR="00A23CE3">
        <w:t> </w:t>
      </w:r>
      <w:r w:rsidRPr="00185F6A">
        <w:t xml:space="preserve">10 of the </w:t>
      </w:r>
      <w:r w:rsidRPr="00A23CE3">
        <w:rPr>
          <w:i/>
        </w:rPr>
        <w:t>Charter</w:t>
      </w:r>
      <w:r w:rsidRPr="00185F6A">
        <w:t xml:space="preserve"> was a “factor” that contributed to the alleged discriminatory conduct remains the same as in any civil proceeding:</w:t>
      </w:r>
    </w:p>
    <w:p w14:paraId="3521DA6B" w14:textId="2FA06706" w:rsidR="00F54ACD" w:rsidRPr="00185F6A" w:rsidRDefault="00FD0272" w:rsidP="00F54ACD">
      <w:pPr>
        <w:pStyle w:val="Citationenretrait"/>
        <w:rPr>
          <w:lang w:val="en-CA"/>
        </w:rPr>
      </w:pPr>
      <w:r w:rsidRPr="00185F6A">
        <w:rPr>
          <w:lang w:val="en-CA"/>
        </w:rPr>
        <w:t xml:space="preserve">[56] ... even though the plaintiff and the defendant have separate burdens of proof in an application under the </w:t>
      </w:r>
      <w:r w:rsidRPr="00185F6A">
        <w:rPr>
          <w:i/>
          <w:lang w:val="en-CA"/>
        </w:rPr>
        <w:t>Charter</w:t>
      </w:r>
      <w:r w:rsidRPr="00185F6A">
        <w:rPr>
          <w:lang w:val="en-CA"/>
        </w:rPr>
        <w:t xml:space="preserve">, and even though the proof required of the plaintiff is of a simple “connection” or “factor” rather than of a “causal connection”, </w:t>
      </w:r>
      <w:r w:rsidRPr="00185F6A">
        <w:rPr>
          <w:u w:val="single"/>
          <w:lang w:val="en-CA"/>
        </w:rPr>
        <w:t>he or she must nonetheless prove the three elements of discrimination on a balance of probabilities</w:t>
      </w:r>
      <w:r w:rsidRPr="00185F6A">
        <w:rPr>
          <w:lang w:val="en-CA"/>
        </w:rPr>
        <w:t>.</w:t>
      </w:r>
      <w:r w:rsidR="00F54ACD" w:rsidRPr="00185F6A">
        <w:rPr>
          <w:lang w:val="en-CA"/>
        </w:rPr>
        <w:t xml:space="preserve"> </w:t>
      </w:r>
      <w:r w:rsidRPr="00185F6A">
        <w:rPr>
          <w:lang w:val="en-CA"/>
        </w:rPr>
        <w:t xml:space="preserve">This means that </w:t>
      </w:r>
      <w:r w:rsidRPr="00185F6A">
        <w:rPr>
          <w:u w:val="single"/>
          <w:lang w:val="en-CA"/>
        </w:rPr>
        <w:t xml:space="preserve">the “connection” or “factor” </w:t>
      </w:r>
      <w:proofErr w:type="gramStart"/>
      <w:r w:rsidRPr="00185F6A">
        <w:rPr>
          <w:u w:val="single"/>
          <w:lang w:val="en-CA"/>
        </w:rPr>
        <w:t>must be proven</w:t>
      </w:r>
      <w:proofErr w:type="gramEnd"/>
      <w:r w:rsidRPr="00185F6A">
        <w:rPr>
          <w:u w:val="single"/>
          <w:lang w:val="en-CA"/>
        </w:rPr>
        <w:t xml:space="preserve"> on a balance of probabilities</w:t>
      </w:r>
      <w:r w:rsidRPr="00185F6A">
        <w:rPr>
          <w:lang w:val="en-CA"/>
        </w:rPr>
        <w:t>.</w:t>
      </w:r>
      <w:r w:rsidR="00F54ACD" w:rsidRPr="00185F6A">
        <w:rPr>
          <w:rStyle w:val="Appelnotedebasdep"/>
          <w:szCs w:val="22"/>
          <w:lang w:val="en-CA"/>
        </w:rPr>
        <w:footnoteReference w:id="33"/>
      </w:r>
      <w:r w:rsidR="00F54ACD" w:rsidRPr="00185F6A">
        <w:rPr>
          <w:lang w:val="en-CA"/>
        </w:rPr>
        <w:t xml:space="preserve">  </w:t>
      </w:r>
    </w:p>
    <w:p w14:paraId="6EC50469" w14:textId="1FD02F84" w:rsidR="00F54ACD" w:rsidRPr="00185F6A" w:rsidRDefault="00FD0272" w:rsidP="00F54ACD">
      <w:pPr>
        <w:pStyle w:val="Citationenretrait"/>
        <w:jc w:val="right"/>
        <w:rPr>
          <w:sz w:val="20"/>
          <w:lang w:val="en-CA"/>
        </w:rPr>
      </w:pPr>
      <w:r w:rsidRPr="00185F6A">
        <w:rPr>
          <w:sz w:val="20"/>
          <w:lang w:val="en-CA"/>
        </w:rPr>
        <w:t>[Emphasis added.]</w:t>
      </w:r>
    </w:p>
    <w:p w14:paraId="174727EC" w14:textId="77777777" w:rsidR="00F54ACD" w:rsidRPr="00185F6A" w:rsidRDefault="00F54ACD" w:rsidP="00F54ACD">
      <w:pPr>
        <w:pStyle w:val="Paragraphe"/>
        <w:numPr>
          <w:ilvl w:val="0"/>
          <w:numId w:val="0"/>
        </w:numPr>
        <w:jc w:val="center"/>
      </w:pPr>
      <w:r w:rsidRPr="00185F6A">
        <w:t>* * *</w:t>
      </w:r>
    </w:p>
    <w:p w14:paraId="1FD336AB" w14:textId="33D9A580" w:rsidR="00F54ACD" w:rsidRPr="00185F6A" w:rsidRDefault="00FD0272" w:rsidP="00F54ACD">
      <w:pPr>
        <w:pStyle w:val="Paragraphe"/>
      </w:pPr>
      <w:r w:rsidRPr="00185F6A">
        <w:t xml:space="preserve">In this case, Ms. Sam </w:t>
      </w:r>
      <w:r w:rsidR="0002673C">
        <w:t xml:space="preserve">was the only one to </w:t>
      </w:r>
      <w:r w:rsidRPr="00185F6A">
        <w:t>testif</w:t>
      </w:r>
      <w:r w:rsidR="0002673C">
        <w:t xml:space="preserve">y </w:t>
      </w:r>
      <w:r w:rsidRPr="00185F6A">
        <w:t>for the plaintiff.</w:t>
      </w:r>
      <w:r w:rsidR="00F54ACD" w:rsidRPr="00185F6A">
        <w:t xml:space="preserve"> </w:t>
      </w:r>
    </w:p>
    <w:p w14:paraId="04E4FEDD" w14:textId="11472B73" w:rsidR="00F54ACD" w:rsidRPr="00185F6A" w:rsidRDefault="00661CBB" w:rsidP="00F54ACD">
      <w:pPr>
        <w:pStyle w:val="Paragraphe"/>
      </w:pPr>
      <w:r w:rsidRPr="00185F6A">
        <w:lastRenderedPageBreak/>
        <w:t xml:space="preserve">In defence, Mr. Liu was </w:t>
      </w:r>
      <w:r w:rsidR="0002673C">
        <w:t xml:space="preserve">the only one </w:t>
      </w:r>
      <w:r w:rsidRPr="00185F6A">
        <w:t>summoned to appear for 9377-1905.</w:t>
      </w:r>
    </w:p>
    <w:p w14:paraId="6012155D" w14:textId="5695443F" w:rsidR="00F54ACD" w:rsidRPr="00185F6A" w:rsidRDefault="00D27310" w:rsidP="00F54ACD">
      <w:pPr>
        <w:pStyle w:val="Paragraphe"/>
      </w:pPr>
      <w:r w:rsidRPr="00185F6A">
        <w:t>These two people have largely contradictory versions of the events.</w:t>
      </w:r>
    </w:p>
    <w:p w14:paraId="30CA69A7" w14:textId="5A82D301" w:rsidR="00F54ACD" w:rsidRPr="00185F6A" w:rsidRDefault="00D27310" w:rsidP="00F54ACD">
      <w:pPr>
        <w:pStyle w:val="Paragraphe"/>
      </w:pPr>
      <w:r w:rsidRPr="00185F6A">
        <w:t>The evidence reveals that Mr. Liu had only been operating the convenience store a very short time when Ms. Sam went there the first time.</w:t>
      </w:r>
      <w:r w:rsidR="00F54ACD" w:rsidRPr="00185F6A">
        <w:t xml:space="preserve"> </w:t>
      </w:r>
      <w:r w:rsidRPr="00185F6A">
        <w:t xml:space="preserve">The slowness in obtaining confirmation of Ms. Sam’s payment by </w:t>
      </w:r>
      <w:proofErr w:type="gramStart"/>
      <w:r w:rsidRPr="00185F6A">
        <w:t>bank card</w:t>
      </w:r>
      <w:proofErr w:type="gramEnd"/>
      <w:r w:rsidRPr="00185F6A">
        <w:t xml:space="preserve"> immediately caused him to worry </w:t>
      </w:r>
      <w:r w:rsidR="005A4C40">
        <w:t xml:space="preserve">about </w:t>
      </w:r>
      <w:r w:rsidRPr="00185F6A">
        <w:t>whether she had sufficient funds.</w:t>
      </w:r>
    </w:p>
    <w:p w14:paraId="6043EF7A" w14:textId="20252B92" w:rsidR="00F54ACD" w:rsidRPr="00185F6A" w:rsidRDefault="0002673C" w:rsidP="00F54ACD">
      <w:pPr>
        <w:pStyle w:val="Paragraphe"/>
      </w:pPr>
      <w:r>
        <w:t>Evidently</w:t>
      </w:r>
      <w:r w:rsidR="00813176" w:rsidRPr="00185F6A">
        <w:t xml:space="preserve">, his subjective fear of </w:t>
      </w:r>
      <w:proofErr w:type="gramStart"/>
      <w:r w:rsidR="00813176" w:rsidRPr="00185F6A">
        <w:t>being cheated</w:t>
      </w:r>
      <w:proofErr w:type="gramEnd"/>
      <w:r w:rsidR="00813176" w:rsidRPr="00185F6A">
        <w:t xml:space="preserve"> </w:t>
      </w:r>
      <w:r>
        <w:t xml:space="preserve">already </w:t>
      </w:r>
      <w:r w:rsidR="00813176" w:rsidRPr="00185F6A">
        <w:t xml:space="preserve">outweighed the </w:t>
      </w:r>
      <w:r w:rsidR="00691475">
        <w:t xml:space="preserve">importance </w:t>
      </w:r>
      <w:r w:rsidR="00813176" w:rsidRPr="00185F6A">
        <w:t xml:space="preserve">for merchants to </w:t>
      </w:r>
      <w:r w:rsidR="00691475">
        <w:t xml:space="preserve">nurture their relationships with </w:t>
      </w:r>
      <w:r>
        <w:t xml:space="preserve">their </w:t>
      </w:r>
      <w:r w:rsidR="00813176" w:rsidRPr="00185F6A">
        <w:t>customers.</w:t>
      </w:r>
    </w:p>
    <w:p w14:paraId="294703EC" w14:textId="5857F2B5" w:rsidR="00F54ACD" w:rsidRPr="00185F6A" w:rsidRDefault="00813176" w:rsidP="00F54ACD">
      <w:pPr>
        <w:pStyle w:val="Paragraphe"/>
      </w:pPr>
      <w:r w:rsidRPr="00185F6A">
        <w:t xml:space="preserve">The events of January 15, 2019, </w:t>
      </w:r>
      <w:r w:rsidR="005A4C40">
        <w:t>unfolded</w:t>
      </w:r>
      <w:r w:rsidR="005A4C40" w:rsidRPr="00185F6A">
        <w:t xml:space="preserve"> </w:t>
      </w:r>
      <w:r w:rsidRPr="00185F6A">
        <w:t>similarly.</w:t>
      </w:r>
    </w:p>
    <w:p w14:paraId="246E3E17" w14:textId="60D45B43" w:rsidR="00F54ACD" w:rsidRPr="00185F6A" w:rsidRDefault="00813176" w:rsidP="00F54ACD">
      <w:pPr>
        <w:pStyle w:val="Paragraphe"/>
      </w:pPr>
      <w:r w:rsidRPr="00185F6A">
        <w:t>Despite the stress that generally inhabits witness</w:t>
      </w:r>
      <w:r w:rsidR="0002673C">
        <w:t>es</w:t>
      </w:r>
      <w:r w:rsidRPr="00185F6A">
        <w:t xml:space="preserve"> called to testify before a court, it was </w:t>
      </w:r>
      <w:r w:rsidR="00EF7C5D">
        <w:t xml:space="preserve">apparent </w:t>
      </w:r>
      <w:r w:rsidRPr="00185F6A">
        <w:t xml:space="preserve">at the hearing that Mr. Liu is a particularly </w:t>
      </w:r>
      <w:r w:rsidR="00F07AD5">
        <w:t>fretful</w:t>
      </w:r>
      <w:r w:rsidR="00F07AD5" w:rsidRPr="00185F6A">
        <w:t xml:space="preserve"> </w:t>
      </w:r>
      <w:r w:rsidRPr="00185F6A">
        <w:t xml:space="preserve">and nervous man who </w:t>
      </w:r>
      <w:r w:rsidR="00F07AD5">
        <w:t>appears to be</w:t>
      </w:r>
      <w:r w:rsidR="00F07AD5" w:rsidRPr="00185F6A">
        <w:t xml:space="preserve"> </w:t>
      </w:r>
      <w:r w:rsidRPr="00185F6A">
        <w:t>very insecure.</w:t>
      </w:r>
    </w:p>
    <w:p w14:paraId="3450CB87" w14:textId="2C78A9CA" w:rsidR="00F54ACD" w:rsidRPr="00185F6A" w:rsidRDefault="00EF7C5D" w:rsidP="00F54ACD">
      <w:pPr>
        <w:pStyle w:val="Paragraphe"/>
      </w:pPr>
      <w:r>
        <w:t xml:space="preserve">Mr. Liu </w:t>
      </w:r>
      <w:r w:rsidR="00813176" w:rsidRPr="00185F6A">
        <w:t xml:space="preserve">is Chinese and </w:t>
      </w:r>
      <w:r>
        <w:t xml:space="preserve">he and his </w:t>
      </w:r>
      <w:r w:rsidR="00813176" w:rsidRPr="00185F6A">
        <w:t>wife</w:t>
      </w:r>
      <w:r>
        <w:t xml:space="preserve"> are</w:t>
      </w:r>
      <w:r w:rsidR="00813176" w:rsidRPr="00185F6A">
        <w:t xml:space="preserve"> the </w:t>
      </w:r>
      <w:r>
        <w:t>only</w:t>
      </w:r>
      <w:r w:rsidR="00813176" w:rsidRPr="00185F6A">
        <w:t xml:space="preserve"> directors of 9377-1905.</w:t>
      </w:r>
      <w:r w:rsidR="00F54ACD" w:rsidRPr="00185F6A">
        <w:t xml:space="preserve"> </w:t>
      </w:r>
      <w:r w:rsidR="00813176" w:rsidRPr="00185F6A">
        <w:t>They live above the convenience store with their</w:t>
      </w:r>
      <w:r w:rsidR="00975016">
        <w:t xml:space="preserve"> young</w:t>
      </w:r>
      <w:r w:rsidR="00813176" w:rsidRPr="00185F6A">
        <w:t xml:space="preserve"> daughter.</w:t>
      </w:r>
      <w:r w:rsidR="00F54ACD" w:rsidRPr="00185F6A">
        <w:t xml:space="preserve"> </w:t>
      </w:r>
    </w:p>
    <w:p w14:paraId="1A9CC559" w14:textId="67FDEE4A" w:rsidR="00F54ACD" w:rsidRPr="00185F6A" w:rsidRDefault="00813176" w:rsidP="00F54ACD">
      <w:pPr>
        <w:pStyle w:val="Paragraphe"/>
      </w:pPr>
      <w:r w:rsidRPr="00185F6A">
        <w:t xml:space="preserve">Mr. Liu said that </w:t>
      </w:r>
      <w:r w:rsidR="00EF7C5D" w:rsidRPr="00185F6A">
        <w:t xml:space="preserve">every day </w:t>
      </w:r>
      <w:r w:rsidRPr="00185F6A">
        <w:t>he works very long hours in the store, often from 8:00 a.m. to 11:00 p.m.</w:t>
      </w:r>
      <w:r w:rsidR="00EF7C5D">
        <w:t xml:space="preserve"> H</w:t>
      </w:r>
      <w:r w:rsidRPr="00185F6A">
        <w:t xml:space="preserve">is 6-year old daughter </w:t>
      </w:r>
      <w:r w:rsidR="00EF7C5D">
        <w:t>s</w:t>
      </w:r>
      <w:r w:rsidR="00EF7C5D" w:rsidRPr="00185F6A">
        <w:t xml:space="preserve">ometimes </w:t>
      </w:r>
      <w:r w:rsidRPr="00185F6A">
        <w:t>comes down to see him at work, when she misses her father.</w:t>
      </w:r>
    </w:p>
    <w:p w14:paraId="0B4BAFDE" w14:textId="20B534F9" w:rsidR="00F54ACD" w:rsidRPr="00185F6A" w:rsidRDefault="00813176" w:rsidP="00F54ACD">
      <w:pPr>
        <w:pStyle w:val="Paragraphe"/>
      </w:pPr>
      <w:r w:rsidRPr="00185F6A">
        <w:t>She was there when Ms. Sam and her children entered the convenience store.</w:t>
      </w:r>
      <w:r w:rsidR="00F54ACD" w:rsidRPr="00185F6A">
        <w:t xml:space="preserve"> </w:t>
      </w:r>
    </w:p>
    <w:p w14:paraId="71A68487" w14:textId="73673310" w:rsidR="00F54ACD" w:rsidRPr="007A046B" w:rsidRDefault="00813176" w:rsidP="00F54ACD">
      <w:pPr>
        <w:pStyle w:val="Paragraphe"/>
      </w:pPr>
      <w:r w:rsidRPr="00185F6A">
        <w:t xml:space="preserve">Ms. Sam testified that the </w:t>
      </w:r>
      <w:r w:rsidR="00975016">
        <w:t>little girl</w:t>
      </w:r>
      <w:r w:rsidRPr="00185F6A">
        <w:t xml:space="preserve"> followed them around the convenience store.</w:t>
      </w:r>
      <w:r w:rsidR="00F54ACD" w:rsidRPr="00185F6A">
        <w:t xml:space="preserve"> </w:t>
      </w:r>
      <w:r w:rsidRPr="00185F6A">
        <w:t xml:space="preserve">The Commission considers the fact that </w:t>
      </w:r>
      <w:r w:rsidR="00975016">
        <w:t>the</w:t>
      </w:r>
      <w:r w:rsidRPr="00185F6A">
        <w:t xml:space="preserve"> white woman with blond hair who later entered the premises and was not </w:t>
      </w:r>
      <w:r w:rsidR="009230C4" w:rsidRPr="007A046B">
        <w:t xml:space="preserve">subjected to this surveillance </w:t>
      </w:r>
      <w:r w:rsidRPr="007A046B">
        <w:t>an indication of “differential treatment”.</w:t>
      </w:r>
    </w:p>
    <w:p w14:paraId="1C3727AE" w14:textId="5845E76E" w:rsidR="00F54ACD" w:rsidRPr="00185F6A" w:rsidRDefault="00813176" w:rsidP="00F54ACD">
      <w:pPr>
        <w:pStyle w:val="Paragraphe"/>
      </w:pPr>
      <w:r w:rsidRPr="00185F6A">
        <w:t xml:space="preserve">In this regard, </w:t>
      </w:r>
      <w:r w:rsidR="00F07AD5">
        <w:t xml:space="preserve">it is </w:t>
      </w:r>
      <w:r w:rsidRPr="00185F6A">
        <w:t>note</w:t>
      </w:r>
      <w:r w:rsidR="00F07AD5">
        <w:t>worthy</w:t>
      </w:r>
      <w:r w:rsidRPr="00185F6A">
        <w:t xml:space="preserve"> that the</w:t>
      </w:r>
      <w:r w:rsidR="00F07AD5">
        <w:t xml:space="preserve"> area of the</w:t>
      </w:r>
      <w:r w:rsidRPr="00185F6A">
        <w:t xml:space="preserve"> convenience store is small and </w:t>
      </w:r>
      <w:r w:rsidR="00975016">
        <w:t xml:space="preserve">rather </w:t>
      </w:r>
      <w:r w:rsidRPr="00185F6A">
        <w:t>encumbered by the goods for sale.</w:t>
      </w:r>
      <w:r w:rsidR="00F54ACD" w:rsidRPr="00185F6A">
        <w:t xml:space="preserve"> </w:t>
      </w:r>
      <w:r w:rsidRPr="00185F6A">
        <w:t>There were already five people there when that customer entered.</w:t>
      </w:r>
      <w:r w:rsidR="00F54ACD" w:rsidRPr="00185F6A">
        <w:t xml:space="preserve"> </w:t>
      </w:r>
      <w:r w:rsidRPr="00185F6A">
        <w:t xml:space="preserve">The fact that she </w:t>
      </w:r>
      <w:proofErr w:type="gramStart"/>
      <w:r w:rsidRPr="00185F6A">
        <w:t>was not followed</w:t>
      </w:r>
      <w:proofErr w:type="gramEnd"/>
      <w:r w:rsidRPr="00185F6A">
        <w:t xml:space="preserve"> may very well be explained by the </w:t>
      </w:r>
      <w:r w:rsidR="007D4595">
        <w:t>little girl</w:t>
      </w:r>
      <w:r w:rsidRPr="00185F6A">
        <w:t>’s greater interest in the young children of her age or the craft paper she was holding in her hands, according to the video clip entered into evidence.</w:t>
      </w:r>
      <w:r w:rsidR="00F54ACD" w:rsidRPr="00185F6A">
        <w:rPr>
          <w:rStyle w:val="Appelnotedebasdep"/>
        </w:rPr>
        <w:footnoteReference w:id="34"/>
      </w:r>
      <w:r w:rsidRPr="00185F6A">
        <w:t xml:space="preserve"> </w:t>
      </w:r>
      <w:r w:rsidR="00F54ACD" w:rsidRPr="00185F6A">
        <w:t xml:space="preserve"> </w:t>
      </w:r>
    </w:p>
    <w:p w14:paraId="0AFA02C6" w14:textId="287E7A04" w:rsidR="00F54ACD" w:rsidRPr="00185F6A" w:rsidRDefault="00813176" w:rsidP="00F54ACD">
      <w:pPr>
        <w:pStyle w:val="Paragraphe"/>
      </w:pPr>
      <w:r w:rsidRPr="00185F6A">
        <w:lastRenderedPageBreak/>
        <w:t>In any event, Mr. Liu was closely watching the four cameras that cover the entire store.</w:t>
      </w:r>
      <w:r w:rsidR="00F54ACD" w:rsidRPr="00185F6A">
        <w:t xml:space="preserve"> </w:t>
      </w:r>
      <w:r w:rsidRPr="00185F6A">
        <w:t xml:space="preserve">He testified that he saw one of Ms. Sam’s sons </w:t>
      </w:r>
      <w:r w:rsidR="007D4595">
        <w:t xml:space="preserve">grab </w:t>
      </w:r>
      <w:r w:rsidRPr="00185F6A">
        <w:t xml:space="preserve">a chocolate bar and the youngest </w:t>
      </w:r>
      <w:r w:rsidR="007D4595">
        <w:t xml:space="preserve">one put </w:t>
      </w:r>
      <w:r w:rsidRPr="00185F6A">
        <w:t>a candy in his mouth.</w:t>
      </w:r>
      <w:r w:rsidR="00F54ACD" w:rsidRPr="00185F6A">
        <w:t xml:space="preserve"> </w:t>
      </w:r>
    </w:p>
    <w:p w14:paraId="34492120" w14:textId="0F4B3AC9" w:rsidR="00F54ACD" w:rsidRPr="00185F6A" w:rsidRDefault="00813176" w:rsidP="00F54ACD">
      <w:pPr>
        <w:pStyle w:val="Paragraphe"/>
      </w:pPr>
      <w:r w:rsidRPr="00185F6A">
        <w:t xml:space="preserve">He warned Ms. Sam about the </w:t>
      </w:r>
      <w:r w:rsidR="007D4595">
        <w:t xml:space="preserve">store </w:t>
      </w:r>
      <w:r w:rsidRPr="00185F6A">
        <w:t xml:space="preserve">policy, clearly in view in the convenience store, </w:t>
      </w:r>
      <w:r w:rsidR="007D4595">
        <w:t xml:space="preserve">which he summarized as </w:t>
      </w:r>
      <w:r w:rsidRPr="00185F6A">
        <w:t>“You cannot open or eat before payment”:</w:t>
      </w:r>
    </w:p>
    <w:p w14:paraId="6B325D9E" w14:textId="3DEA3FDE" w:rsidR="00813176" w:rsidRPr="00185F6A" w:rsidRDefault="00813176" w:rsidP="00813176">
      <w:pPr>
        <w:pStyle w:val="Paragraphe"/>
        <w:numPr>
          <w:ilvl w:val="0"/>
          <w:numId w:val="0"/>
        </w:numPr>
        <w:spacing w:line="240" w:lineRule="auto"/>
        <w:ind w:left="709"/>
        <w:rPr>
          <w:rFonts w:cs="Arial"/>
          <w:smallCaps/>
          <w:u w:val="single"/>
        </w:rPr>
      </w:pPr>
      <w:r w:rsidRPr="00185F6A">
        <w:rPr>
          <w:rFonts w:cs="Arial"/>
          <w:u w:val="single"/>
        </w:rPr>
        <w:t>[</w:t>
      </w:r>
      <w:r w:rsidRPr="00185F6A">
        <w:rPr>
          <w:rFonts w:cs="Arial"/>
          <w:smallCaps/>
          <w:u w:val="single"/>
        </w:rPr>
        <w:t>translation</w:t>
      </w:r>
      <w:r w:rsidRPr="00185F6A">
        <w:rPr>
          <w:rFonts w:cs="Arial"/>
          <w:u w:val="single"/>
        </w:rPr>
        <w:t>]</w:t>
      </w:r>
    </w:p>
    <w:p w14:paraId="74888F21" w14:textId="03E45F8D" w:rsidR="00F54ACD" w:rsidRPr="00185F6A" w:rsidRDefault="00813176" w:rsidP="00F54ACD">
      <w:pPr>
        <w:pStyle w:val="Paragraphe"/>
        <w:numPr>
          <w:ilvl w:val="0"/>
          <w:numId w:val="0"/>
        </w:numPr>
        <w:spacing w:line="240" w:lineRule="auto"/>
        <w:ind w:left="709"/>
        <w:rPr>
          <w:u w:val="single"/>
        </w:rPr>
      </w:pPr>
      <w:r w:rsidRPr="00185F6A">
        <w:rPr>
          <w:u w:val="single"/>
        </w:rPr>
        <w:t>BEFORE PAYMENT</w:t>
      </w:r>
    </w:p>
    <w:p w14:paraId="35E7E245" w14:textId="245ED8EE" w:rsidR="00F54ACD" w:rsidRPr="00185F6A" w:rsidRDefault="00813176" w:rsidP="00F54ACD">
      <w:pPr>
        <w:pStyle w:val="Paragraphe"/>
        <w:numPr>
          <w:ilvl w:val="0"/>
          <w:numId w:val="0"/>
        </w:numPr>
        <w:spacing w:before="0" w:after="0" w:line="240" w:lineRule="auto"/>
        <w:ind w:left="709"/>
      </w:pPr>
      <w:r w:rsidRPr="00185F6A">
        <w:t>Please</w:t>
      </w:r>
      <w:r w:rsidR="00F54ACD" w:rsidRPr="00185F6A">
        <w:t xml:space="preserve"> </w:t>
      </w:r>
      <w:r w:rsidRPr="00185F6A">
        <w:t>do not put anything in your pocket</w:t>
      </w:r>
    </w:p>
    <w:p w14:paraId="1BE03F85" w14:textId="483E7756" w:rsidR="00F54ACD" w:rsidRPr="00185F6A" w:rsidRDefault="00813176" w:rsidP="00F54ACD">
      <w:pPr>
        <w:pStyle w:val="Paragraphe"/>
        <w:numPr>
          <w:ilvl w:val="0"/>
          <w:numId w:val="0"/>
        </w:numPr>
        <w:spacing w:before="0" w:after="0" w:line="240" w:lineRule="auto"/>
        <w:ind w:left="709"/>
      </w:pPr>
      <w:r w:rsidRPr="00185F6A">
        <w:t>Please</w:t>
      </w:r>
      <w:r w:rsidR="00F54ACD" w:rsidRPr="00185F6A">
        <w:t xml:space="preserve"> </w:t>
      </w:r>
      <w:r w:rsidRPr="00185F6A">
        <w:t xml:space="preserve">do not open </w:t>
      </w:r>
      <w:r w:rsidR="007D4595">
        <w:t xml:space="preserve">or consume </w:t>
      </w:r>
      <w:r w:rsidRPr="00185F6A">
        <w:t>anything</w:t>
      </w:r>
    </w:p>
    <w:p w14:paraId="04F18B9D" w14:textId="0401582C" w:rsidR="00F54ACD" w:rsidRPr="00185F6A" w:rsidRDefault="00813176" w:rsidP="00F54ACD">
      <w:pPr>
        <w:pStyle w:val="Paragraphe"/>
        <w:numPr>
          <w:ilvl w:val="0"/>
          <w:numId w:val="0"/>
        </w:numPr>
        <w:spacing w:before="0" w:after="0" w:line="240" w:lineRule="auto"/>
        <w:ind w:left="709"/>
      </w:pPr>
      <w:r w:rsidRPr="00185F6A">
        <w:t>Please do not leave the store</w:t>
      </w:r>
      <w:r w:rsidR="00F54ACD" w:rsidRPr="00185F6A">
        <w:rPr>
          <w:rStyle w:val="Appelnotedebasdep"/>
        </w:rPr>
        <w:footnoteReference w:id="35"/>
      </w:r>
    </w:p>
    <w:p w14:paraId="4185C5A6" w14:textId="77777777" w:rsidR="00F54ACD" w:rsidRPr="00185F6A" w:rsidRDefault="00F54ACD" w:rsidP="00F54ACD">
      <w:pPr>
        <w:pStyle w:val="Paragraphe"/>
        <w:numPr>
          <w:ilvl w:val="0"/>
          <w:numId w:val="0"/>
        </w:numPr>
        <w:spacing w:before="0" w:after="0" w:line="240" w:lineRule="auto"/>
        <w:ind w:left="709"/>
      </w:pPr>
    </w:p>
    <w:p w14:paraId="43FC5350" w14:textId="53ECF4B6" w:rsidR="00F54ACD" w:rsidRPr="00185F6A" w:rsidRDefault="00813176" w:rsidP="00F54ACD">
      <w:pPr>
        <w:pStyle w:val="Paragraphe"/>
      </w:pPr>
      <w:r w:rsidRPr="00185F6A">
        <w:t xml:space="preserve">He </w:t>
      </w:r>
      <w:r w:rsidR="007D4595">
        <w:t>implored</w:t>
      </w:r>
      <w:r w:rsidRPr="00185F6A">
        <w:t xml:space="preserve"> Ms. Sam to control the children.</w:t>
      </w:r>
      <w:r w:rsidR="00F54ACD" w:rsidRPr="00185F6A">
        <w:t xml:space="preserve"> </w:t>
      </w:r>
    </w:p>
    <w:p w14:paraId="4214EE04" w14:textId="0421A923" w:rsidR="00F54ACD" w:rsidRPr="00185F6A" w:rsidRDefault="00813176" w:rsidP="00F54ACD">
      <w:pPr>
        <w:pStyle w:val="Paragraphe"/>
      </w:pPr>
      <w:r w:rsidRPr="00185F6A">
        <w:t xml:space="preserve">He said that they were </w:t>
      </w:r>
      <w:r w:rsidR="00BF6AA3">
        <w:t>going</w:t>
      </w:r>
      <w:r w:rsidR="00BF6AA3" w:rsidRPr="00185F6A">
        <w:t xml:space="preserve"> </w:t>
      </w:r>
      <w:r w:rsidRPr="00185F6A">
        <w:t xml:space="preserve">up and down the aisles chaotically </w:t>
      </w:r>
      <w:r w:rsidR="007D4595">
        <w:t>–</w:t>
      </w:r>
      <w:r w:rsidRPr="00185F6A">
        <w:t xml:space="preserve"> he used the </w:t>
      </w:r>
      <w:r w:rsidR="00016E87">
        <w:t xml:space="preserve">expression </w:t>
      </w:r>
      <w:r w:rsidRPr="00185F6A">
        <w:t>“a mess”.</w:t>
      </w:r>
      <w:r w:rsidR="00F54ACD" w:rsidRPr="00185F6A">
        <w:t xml:space="preserve"> </w:t>
      </w:r>
      <w:r w:rsidRPr="00185F6A">
        <w:t xml:space="preserve">The apparent calmness of Ms. Sam’s two youngest children </w:t>
      </w:r>
      <w:r w:rsidR="007D4595">
        <w:t>i</w:t>
      </w:r>
      <w:r w:rsidRPr="00185F6A">
        <w:t>n the video clip</w:t>
      </w:r>
      <w:r w:rsidR="00F54ACD" w:rsidRPr="00185F6A">
        <w:rPr>
          <w:rStyle w:val="Appelnotedebasdep"/>
        </w:rPr>
        <w:footnoteReference w:id="36"/>
      </w:r>
      <w:r w:rsidRPr="00185F6A">
        <w:t xml:space="preserve"> prove that this description is </w:t>
      </w:r>
      <w:r w:rsidR="00016E87">
        <w:t>definitely</w:t>
      </w:r>
      <w:r w:rsidR="00016E87" w:rsidRPr="00185F6A">
        <w:t xml:space="preserve"> </w:t>
      </w:r>
      <w:r w:rsidRPr="00185F6A">
        <w:t xml:space="preserve">exaggerated. </w:t>
      </w:r>
    </w:p>
    <w:p w14:paraId="37FBF402" w14:textId="6E42317D" w:rsidR="00F54ACD" w:rsidRPr="00185F6A" w:rsidRDefault="00813176" w:rsidP="00F54ACD">
      <w:pPr>
        <w:pStyle w:val="Paragraphe"/>
      </w:pPr>
      <w:r w:rsidRPr="00185F6A">
        <w:t xml:space="preserve">It nonetheless conveys Mr. Liu’s subjective fear </w:t>
      </w:r>
      <w:r w:rsidR="007D4595">
        <w:t xml:space="preserve">of seeing </w:t>
      </w:r>
      <w:r w:rsidRPr="00185F6A">
        <w:t xml:space="preserve">his merchandise </w:t>
      </w:r>
      <w:r w:rsidR="007D4595">
        <w:t xml:space="preserve">consumed </w:t>
      </w:r>
      <w:r w:rsidRPr="00185F6A">
        <w:t xml:space="preserve">or stolen </w:t>
      </w:r>
      <w:r w:rsidR="007D4595">
        <w:t>without his knowledge</w:t>
      </w:r>
      <w:r w:rsidRPr="00185F6A">
        <w:t>.</w:t>
      </w:r>
    </w:p>
    <w:p w14:paraId="57CCC16C" w14:textId="63D7B5E1" w:rsidR="00F54ACD" w:rsidRPr="00185F6A" w:rsidRDefault="00813176" w:rsidP="00F54ACD">
      <w:pPr>
        <w:pStyle w:val="Paragraphe"/>
      </w:pPr>
      <w:r w:rsidRPr="00185F6A">
        <w:t xml:space="preserve">When Ms. Sam asked him to return the cash already paid so </w:t>
      </w:r>
      <w:r w:rsidR="007D4595">
        <w:t xml:space="preserve">that </w:t>
      </w:r>
      <w:r w:rsidRPr="00185F6A">
        <w:t xml:space="preserve">she could instead pay with her </w:t>
      </w:r>
      <w:proofErr w:type="gramStart"/>
      <w:r w:rsidRPr="00185F6A">
        <w:t>bank card</w:t>
      </w:r>
      <w:proofErr w:type="gramEnd"/>
      <w:r w:rsidRPr="00185F6A">
        <w:t xml:space="preserve">, this fear increased to the point that Mr. Liu preferred not to complete the sale. </w:t>
      </w:r>
    </w:p>
    <w:p w14:paraId="65253E20" w14:textId="02CFE81F" w:rsidR="00F54ACD" w:rsidRPr="00185F6A" w:rsidRDefault="00813176" w:rsidP="00F54ACD">
      <w:pPr>
        <w:pStyle w:val="Paragraphe"/>
      </w:pPr>
      <w:r w:rsidRPr="00185F6A">
        <w:t xml:space="preserve">After Ms. Sam insisted </w:t>
      </w:r>
      <w:r w:rsidR="007D4595">
        <w:t xml:space="preserve">on </w:t>
      </w:r>
      <w:r w:rsidRPr="00185F6A">
        <w:t>pay</w:t>
      </w:r>
      <w:r w:rsidR="007D4595">
        <w:t>ing</w:t>
      </w:r>
      <w:r w:rsidRPr="00185F6A">
        <w:t xml:space="preserve"> for the selected items, Mr. Liu insulted her by stating: “You people always come here to steal my stuff”.</w:t>
      </w:r>
    </w:p>
    <w:p w14:paraId="60CD2F0F" w14:textId="5025E463" w:rsidR="00F54ACD" w:rsidRPr="00185F6A" w:rsidRDefault="00813176" w:rsidP="00F54ACD">
      <w:pPr>
        <w:pStyle w:val="Paragraphe"/>
      </w:pPr>
      <w:r w:rsidRPr="00185F6A">
        <w:t xml:space="preserve">Offended, Ms. Sam started to </w:t>
      </w:r>
      <w:r w:rsidR="007D4595">
        <w:t xml:space="preserve">record </w:t>
      </w:r>
      <w:r w:rsidRPr="00185F6A">
        <w:t>what was happening in the convenience store</w:t>
      </w:r>
      <w:r w:rsidR="007D4595" w:rsidRPr="007D4595">
        <w:t xml:space="preserve"> </w:t>
      </w:r>
      <w:r w:rsidR="007D4595" w:rsidRPr="00185F6A">
        <w:t>live on Instagram</w:t>
      </w:r>
      <w:r w:rsidRPr="00185F6A">
        <w:t>, commenting on what had just happened.</w:t>
      </w:r>
      <w:r w:rsidR="00F54ACD" w:rsidRPr="00185F6A">
        <w:t xml:space="preserve"> </w:t>
      </w:r>
    </w:p>
    <w:p w14:paraId="3A933FB2" w14:textId="1A10BB99" w:rsidR="00F54ACD" w:rsidRPr="00185F6A" w:rsidRDefault="00813176" w:rsidP="00F54ACD">
      <w:pPr>
        <w:pStyle w:val="Paragraphe"/>
      </w:pPr>
      <w:r w:rsidRPr="00185F6A">
        <w:t xml:space="preserve">Her oldest son, apparently </w:t>
      </w:r>
      <w:r w:rsidR="00016E87">
        <w:t>bothered</w:t>
      </w:r>
      <w:r w:rsidR="00016E87" w:rsidRPr="00185F6A">
        <w:t xml:space="preserve"> </w:t>
      </w:r>
      <w:r w:rsidRPr="00185F6A">
        <w:t xml:space="preserve">by his </w:t>
      </w:r>
      <w:proofErr w:type="gramStart"/>
      <w:r w:rsidRPr="00185F6A">
        <w:t>mother’s</w:t>
      </w:r>
      <w:proofErr w:type="gramEnd"/>
      <w:r w:rsidRPr="00185F6A">
        <w:t xml:space="preserve"> raised voice, covered his ears with his hands and left the convenience store.</w:t>
      </w:r>
    </w:p>
    <w:p w14:paraId="3DFF630F" w14:textId="718CD445" w:rsidR="00F54ACD" w:rsidRPr="00185F6A" w:rsidRDefault="00813176" w:rsidP="00F54ACD">
      <w:pPr>
        <w:pStyle w:val="Paragraphe"/>
      </w:pPr>
      <w:r w:rsidRPr="00185F6A">
        <w:t xml:space="preserve">Cutting short the telephone conversation he was having with the police, Mr. Liu followed him outside and </w:t>
      </w:r>
      <w:proofErr w:type="gramStart"/>
      <w:r w:rsidRPr="00185F6A">
        <w:t>yelled:</w:t>
      </w:r>
      <w:proofErr w:type="gramEnd"/>
      <w:r w:rsidRPr="00185F6A">
        <w:t xml:space="preserve"> “Take off my stuff”, “You steal, you steal”.</w:t>
      </w:r>
    </w:p>
    <w:p w14:paraId="098816A9" w14:textId="7E82A9DD" w:rsidR="00F54ACD" w:rsidRPr="00185F6A" w:rsidRDefault="00813176" w:rsidP="00F54ACD">
      <w:pPr>
        <w:pStyle w:val="Paragraphe"/>
      </w:pPr>
      <w:r w:rsidRPr="00185F6A">
        <w:lastRenderedPageBreak/>
        <w:t xml:space="preserve">The video clip does not reveal whether Mr. Liu touched the child, but it ended with Ms. Sam </w:t>
      </w:r>
      <w:proofErr w:type="gramStart"/>
      <w:r w:rsidRPr="00185F6A">
        <w:t>saying:</w:t>
      </w:r>
      <w:proofErr w:type="gramEnd"/>
      <w:r w:rsidRPr="00185F6A">
        <w:t xml:space="preserve"> “Don’t touch my child!</w:t>
      </w:r>
      <w:r w:rsidR="00F54ACD" w:rsidRPr="00185F6A">
        <w:rPr>
          <w:i/>
        </w:rPr>
        <w:t xml:space="preserve"> </w:t>
      </w:r>
      <w:r w:rsidRPr="00185F6A">
        <w:rPr>
          <w:i/>
        </w:rPr>
        <w:t xml:space="preserve">… </w:t>
      </w:r>
      <w:r w:rsidRPr="00C208D3">
        <w:t>What happened?</w:t>
      </w:r>
      <w:r w:rsidR="00F54ACD" w:rsidRPr="00C208D3">
        <w:t xml:space="preserve"> What happened? What </w:t>
      </w:r>
      <w:r w:rsidR="0095373D">
        <w:t>ha</w:t>
      </w:r>
      <w:r w:rsidR="0095373D" w:rsidRPr="00C208D3">
        <w:t>ppened</w:t>
      </w:r>
      <w:r w:rsidR="00F54ACD" w:rsidRPr="00C208D3">
        <w:t>?</w:t>
      </w:r>
      <w:r w:rsidR="00C208D3">
        <w:t>”</w:t>
      </w:r>
      <w:r w:rsidR="00F54ACD" w:rsidRPr="00185F6A">
        <w:t xml:space="preserve"> </w:t>
      </w:r>
    </w:p>
    <w:p w14:paraId="44DA0D90" w14:textId="47F2CB9C" w:rsidR="00F54ACD" w:rsidRPr="00185F6A" w:rsidRDefault="00813176" w:rsidP="00F54ACD">
      <w:pPr>
        <w:pStyle w:val="Paragraphe"/>
      </w:pPr>
      <w:r w:rsidRPr="00185F6A">
        <w:t xml:space="preserve">She </w:t>
      </w:r>
      <w:r w:rsidR="009E19E6">
        <w:t>contends</w:t>
      </w:r>
      <w:r w:rsidRPr="00185F6A">
        <w:t xml:space="preserve"> that Mr. Liu </w:t>
      </w:r>
      <w:r w:rsidR="00A10393">
        <w:t xml:space="preserve">pulled </w:t>
      </w:r>
      <w:r w:rsidRPr="00185F6A">
        <w:t xml:space="preserve">her son’s hands, which </w:t>
      </w:r>
      <w:r w:rsidR="009E19E6">
        <w:t xml:space="preserve">he </w:t>
      </w:r>
      <w:r w:rsidR="00691475">
        <w:t xml:space="preserve">had kept </w:t>
      </w:r>
      <w:r w:rsidRPr="00185F6A">
        <w:t>in his pockets, but the evidence does not establish on a balance of probabilities that he touched the boy.</w:t>
      </w:r>
      <w:r w:rsidR="00F54ACD" w:rsidRPr="00185F6A">
        <w:t xml:space="preserve"> </w:t>
      </w:r>
    </w:p>
    <w:p w14:paraId="7C4721AE" w14:textId="77777777" w:rsidR="00F54ACD" w:rsidRPr="00185F6A" w:rsidRDefault="00F54ACD" w:rsidP="00F54ACD">
      <w:pPr>
        <w:pStyle w:val="Paragraphe"/>
        <w:numPr>
          <w:ilvl w:val="0"/>
          <w:numId w:val="0"/>
        </w:numPr>
        <w:jc w:val="center"/>
      </w:pPr>
      <w:r w:rsidRPr="00185F6A">
        <w:t>* * *</w:t>
      </w:r>
    </w:p>
    <w:p w14:paraId="4FE3FE48" w14:textId="1D428F38" w:rsidR="00F54ACD" w:rsidRPr="00185F6A" w:rsidRDefault="00813176" w:rsidP="00F54ACD">
      <w:pPr>
        <w:pStyle w:val="Paragraphe"/>
      </w:pPr>
      <w:r w:rsidRPr="00185F6A">
        <w:t xml:space="preserve">The Commission had to establish that race or colour were in some way connected </w:t>
      </w:r>
      <w:r w:rsidR="009E19E6">
        <w:t xml:space="preserve">to </w:t>
      </w:r>
      <w:r w:rsidRPr="00185F6A">
        <w:t>Mr. Liu’s treatment of Ms. Sam.</w:t>
      </w:r>
    </w:p>
    <w:p w14:paraId="789EE38C" w14:textId="6BB0A357" w:rsidR="00F54ACD" w:rsidRPr="00185F6A" w:rsidRDefault="008A7DB1" w:rsidP="00F54ACD">
      <w:pPr>
        <w:pStyle w:val="Paragraphe"/>
      </w:pPr>
      <w:r w:rsidRPr="00185F6A">
        <w:t xml:space="preserve">The fact that </w:t>
      </w:r>
      <w:r w:rsidR="00105D24">
        <w:t>an individual’s unique personhood</w:t>
      </w:r>
      <w:r w:rsidRPr="00185F6A">
        <w:t xml:space="preserve"> may be defined </w:t>
      </w:r>
      <w:r w:rsidR="009E19E6">
        <w:t xml:space="preserve">by </w:t>
      </w:r>
      <w:r w:rsidRPr="00185F6A">
        <w:t>several personal characteristics set out in s.</w:t>
      </w:r>
      <w:r w:rsidR="009E19E6">
        <w:t> </w:t>
      </w:r>
      <w:r w:rsidRPr="00185F6A">
        <w:t xml:space="preserve">10 of the </w:t>
      </w:r>
      <w:r w:rsidRPr="00C208D3">
        <w:rPr>
          <w:i/>
        </w:rPr>
        <w:t>Charter</w:t>
      </w:r>
      <w:r w:rsidRPr="00185F6A">
        <w:t xml:space="preserve"> does not create a presumption that being treated callously, in</w:t>
      </w:r>
      <w:r w:rsidR="009E19E6">
        <w:t>sensitive</w:t>
      </w:r>
      <w:r w:rsidRPr="00185F6A">
        <w:t>ly, or boorishly by a merchant is necessarily discriminatory.</w:t>
      </w:r>
    </w:p>
    <w:p w14:paraId="028C786F" w14:textId="29B1064B" w:rsidR="00F54ACD" w:rsidRPr="00185F6A" w:rsidRDefault="008A7DB1" w:rsidP="00F54ACD">
      <w:pPr>
        <w:pStyle w:val="Paragraphe"/>
      </w:pPr>
      <w:r w:rsidRPr="00185F6A">
        <w:t>From all the evidence, the Tribunal accepts that Mr. Liu</w:t>
      </w:r>
      <w:r w:rsidR="00105D24">
        <w:t>’s reaction was</w:t>
      </w:r>
      <w:r w:rsidRPr="00185F6A">
        <w:t xml:space="preserve"> disproportion</w:t>
      </w:r>
      <w:r w:rsidR="00105D24">
        <w:t xml:space="preserve">ate </w:t>
      </w:r>
      <w:r w:rsidR="00691475">
        <w:t>in</w:t>
      </w:r>
      <w:r w:rsidRPr="00185F6A">
        <w:t xml:space="preserve"> the circumstances.</w:t>
      </w:r>
      <w:r w:rsidR="00F54ACD" w:rsidRPr="00185F6A">
        <w:t xml:space="preserve"> </w:t>
      </w:r>
      <w:r w:rsidRPr="00185F6A">
        <w:t xml:space="preserve">His irritable behaviour </w:t>
      </w:r>
      <w:r w:rsidR="009E19E6">
        <w:t xml:space="preserve">marked by suspicion and motivated by </w:t>
      </w:r>
      <w:r w:rsidRPr="00185F6A">
        <w:t>a</w:t>
      </w:r>
      <w:r w:rsidR="009E19E6">
        <w:t>n</w:t>
      </w:r>
      <w:r w:rsidRPr="00185F6A">
        <w:t xml:space="preserve"> </w:t>
      </w:r>
      <w:r w:rsidR="009E19E6">
        <w:t xml:space="preserve">almost </w:t>
      </w:r>
      <w:r w:rsidRPr="00185F6A">
        <w:t xml:space="preserve">obsessive fear of </w:t>
      </w:r>
      <w:proofErr w:type="gramStart"/>
      <w:r w:rsidRPr="00185F6A">
        <w:t>being robbed</w:t>
      </w:r>
      <w:proofErr w:type="gramEnd"/>
      <w:r w:rsidRPr="00185F6A">
        <w:t xml:space="preserve"> </w:t>
      </w:r>
      <w:r w:rsidR="009E19E6">
        <w:t>caused him to wrongly accuse</w:t>
      </w:r>
      <w:r w:rsidRPr="00185F6A">
        <w:t xml:space="preserve"> Ms. Sam and her sons, which obviously hurt her.</w:t>
      </w:r>
    </w:p>
    <w:p w14:paraId="61F4F67D" w14:textId="3B124EDF" w:rsidR="00F54ACD" w:rsidRPr="00185F6A" w:rsidRDefault="008A7DB1" w:rsidP="00F54ACD">
      <w:pPr>
        <w:pStyle w:val="Paragraphe"/>
      </w:pPr>
      <w:r w:rsidRPr="00185F6A">
        <w:t xml:space="preserve">That </w:t>
      </w:r>
      <w:proofErr w:type="gramStart"/>
      <w:r w:rsidRPr="00185F6A">
        <w:t>being said</w:t>
      </w:r>
      <w:proofErr w:type="gramEnd"/>
      <w:r w:rsidRPr="00185F6A">
        <w:t>, the false accusations in this instance are not connected to any of the alleged grounds of discrimination.</w:t>
      </w:r>
      <w:r w:rsidR="00F54ACD" w:rsidRPr="00185F6A">
        <w:t xml:space="preserve"> </w:t>
      </w:r>
    </w:p>
    <w:p w14:paraId="0DA11426" w14:textId="36975071" w:rsidR="00F54ACD" w:rsidRPr="00185F6A" w:rsidRDefault="008A7DB1" w:rsidP="00F54ACD">
      <w:pPr>
        <w:pStyle w:val="Paragraphe"/>
      </w:pPr>
      <w:r w:rsidRPr="00185F6A">
        <w:t xml:space="preserve">Mr. Liu’s </w:t>
      </w:r>
      <w:r w:rsidR="00691475">
        <w:t xml:space="preserve">inappropriate </w:t>
      </w:r>
      <w:r w:rsidRPr="00185F6A">
        <w:t xml:space="preserve">reaction would have been </w:t>
      </w:r>
      <w:r w:rsidR="009E19E6">
        <w:t xml:space="preserve">the same </w:t>
      </w:r>
      <w:r w:rsidRPr="00185F6A">
        <w:t>had Ms. Sam and her children not been black.</w:t>
      </w:r>
    </w:p>
    <w:p w14:paraId="778EAE26" w14:textId="491E0FF8" w:rsidR="00F54ACD" w:rsidRPr="00185F6A" w:rsidRDefault="008A7DB1" w:rsidP="00F54ACD">
      <w:pPr>
        <w:pStyle w:val="Paragraphe"/>
      </w:pPr>
      <w:r w:rsidRPr="00185F6A">
        <w:t>In the Tribunal’s view, his disproportionate</w:t>
      </w:r>
      <w:r w:rsidR="00F16647">
        <w:t>,</w:t>
      </w:r>
      <w:r w:rsidRPr="00185F6A">
        <w:t xml:space="preserve"> visceral fear </w:t>
      </w:r>
      <w:r w:rsidR="009E19E6">
        <w:t>that</w:t>
      </w:r>
      <w:r w:rsidRPr="00185F6A">
        <w:t xml:space="preserve"> goods </w:t>
      </w:r>
      <w:proofErr w:type="gramStart"/>
      <w:r w:rsidR="00F16647">
        <w:t xml:space="preserve">might </w:t>
      </w:r>
      <w:r w:rsidRPr="00185F6A">
        <w:t xml:space="preserve">be consumed or stolen </w:t>
      </w:r>
      <w:r w:rsidR="009E19E6">
        <w:t>without his knowledge</w:t>
      </w:r>
      <w:proofErr w:type="gramEnd"/>
      <w:r w:rsidR="009E19E6">
        <w:t xml:space="preserve"> </w:t>
      </w:r>
      <w:r w:rsidRPr="00185F6A">
        <w:t xml:space="preserve">was </w:t>
      </w:r>
      <w:r w:rsidR="009E19E6">
        <w:t xml:space="preserve">essentially </w:t>
      </w:r>
      <w:r w:rsidRPr="00185F6A">
        <w:t xml:space="preserve">the only </w:t>
      </w:r>
      <w:r w:rsidR="009E19E6">
        <w:t>driving force behind his action</w:t>
      </w:r>
      <w:r w:rsidRPr="00185F6A">
        <w:t>.</w:t>
      </w:r>
      <w:r w:rsidR="00F54ACD" w:rsidRPr="00185F6A">
        <w:t xml:space="preserve"> </w:t>
      </w:r>
      <w:r w:rsidRPr="00185F6A">
        <w:t xml:space="preserve">Because of the </w:t>
      </w:r>
      <w:r w:rsidR="009E19E6">
        <w:t xml:space="preserve">high </w:t>
      </w:r>
      <w:r w:rsidRPr="00185F6A">
        <w:t xml:space="preserve">number of hours </w:t>
      </w:r>
      <w:r w:rsidR="009E19E6">
        <w:t xml:space="preserve">he </w:t>
      </w:r>
      <w:r w:rsidRPr="00185F6A">
        <w:t>work</w:t>
      </w:r>
      <w:r w:rsidR="009E19E6">
        <w:t>s</w:t>
      </w:r>
      <w:r w:rsidRPr="00185F6A">
        <w:t xml:space="preserve"> and </w:t>
      </w:r>
      <w:r w:rsidR="009E19E6">
        <w:t xml:space="preserve">the </w:t>
      </w:r>
      <w:r w:rsidRPr="00185F6A">
        <w:t xml:space="preserve">considerable efforts he devotes to growing his business, he abhors the economic loss </w:t>
      </w:r>
      <w:r w:rsidR="009E19E6">
        <w:t xml:space="preserve">due to </w:t>
      </w:r>
      <w:r w:rsidRPr="00185F6A">
        <w:t>theft, hence his repeated calls to the police during arguments with his customers in this regard.</w:t>
      </w:r>
    </w:p>
    <w:p w14:paraId="37BBD86C" w14:textId="3FFACEE7" w:rsidR="00F54ACD" w:rsidRPr="00185F6A" w:rsidRDefault="008A7DB1" w:rsidP="00F54ACD">
      <w:pPr>
        <w:pStyle w:val="Paragraphe"/>
      </w:pPr>
      <w:r w:rsidRPr="00185F6A">
        <w:t xml:space="preserve">Despite the Commission’s </w:t>
      </w:r>
      <w:r w:rsidR="00F16647">
        <w:t>objection in this respect</w:t>
      </w:r>
      <w:r w:rsidRPr="00185F6A">
        <w:t>, the Tribunal considers Mr. Liu’s repeated calls to the Service de police de la Ville de Montréal (SPVM) relevant.</w:t>
      </w:r>
      <w:r w:rsidR="00F54ACD" w:rsidRPr="00185F6A">
        <w:t xml:space="preserve"> </w:t>
      </w:r>
      <w:r w:rsidRPr="00185F6A">
        <w:t>The notes o</w:t>
      </w:r>
      <w:r w:rsidR="009E19E6">
        <w:t xml:space="preserve">n a call made on June 12, 2019, </w:t>
      </w:r>
      <w:r w:rsidRPr="00185F6A">
        <w:t>(less than five months after the facts of this case)</w:t>
      </w:r>
      <w:r w:rsidR="00F54ACD" w:rsidRPr="00185F6A">
        <w:rPr>
          <w:rStyle w:val="Appelnotedebasdep"/>
        </w:rPr>
        <w:footnoteReference w:id="37"/>
      </w:r>
      <w:r w:rsidRPr="00185F6A">
        <w:t xml:space="preserve"> </w:t>
      </w:r>
      <w:r w:rsidR="00F16647">
        <w:t>state</w:t>
      </w:r>
      <w:r w:rsidRPr="00185F6A">
        <w:t>:</w:t>
      </w:r>
      <w:r w:rsidR="00F54ACD" w:rsidRPr="00185F6A">
        <w:t xml:space="preserve"> </w:t>
      </w:r>
    </w:p>
    <w:p w14:paraId="2A0E476B" w14:textId="4610D932" w:rsidR="008A7DB1" w:rsidRPr="00185F6A" w:rsidRDefault="008A7DB1" w:rsidP="008A7DB1">
      <w:pPr>
        <w:pStyle w:val="Citationenretrait"/>
        <w:rPr>
          <w:sz w:val="18"/>
          <w:szCs w:val="18"/>
          <w:lang w:val="en-CA"/>
        </w:rPr>
      </w:pPr>
      <w:r w:rsidRPr="00185F6A">
        <w:rPr>
          <w:rFonts w:cs="Arial"/>
          <w:u w:val="single"/>
          <w:lang w:val="en-CA"/>
        </w:rPr>
        <w:lastRenderedPageBreak/>
        <w:t>[</w:t>
      </w:r>
      <w:r w:rsidRPr="00185F6A">
        <w:rPr>
          <w:rFonts w:cs="Arial"/>
          <w:smallCaps/>
          <w:u w:val="single"/>
          <w:lang w:val="en-CA"/>
        </w:rPr>
        <w:t>translation</w:t>
      </w:r>
      <w:r w:rsidRPr="00185F6A">
        <w:rPr>
          <w:rFonts w:cs="Arial"/>
          <w:u w:val="single"/>
          <w:lang w:val="en-CA"/>
        </w:rPr>
        <w:t>]</w:t>
      </w:r>
    </w:p>
    <w:p w14:paraId="3C6A8160" w14:textId="7E414C05" w:rsidR="00F54ACD" w:rsidRPr="00185F6A" w:rsidRDefault="008A7DB1" w:rsidP="00F54ACD">
      <w:pPr>
        <w:pStyle w:val="Citationenretrait"/>
        <w:spacing w:after="0"/>
        <w:rPr>
          <w:sz w:val="18"/>
          <w:szCs w:val="18"/>
          <w:lang w:val="en-CA"/>
        </w:rPr>
      </w:pPr>
      <w:r w:rsidRPr="00185F6A">
        <w:rPr>
          <w:sz w:val="18"/>
          <w:szCs w:val="18"/>
          <w:lang w:val="en-CA"/>
        </w:rPr>
        <w:t>VERBAL ARGUMENT</w:t>
      </w:r>
      <w:r w:rsidR="00F54ACD" w:rsidRPr="00185F6A">
        <w:rPr>
          <w:sz w:val="18"/>
          <w:szCs w:val="18"/>
          <w:lang w:val="en-CA"/>
        </w:rPr>
        <w:t xml:space="preserve"> </w:t>
      </w:r>
    </w:p>
    <w:p w14:paraId="5CF2070E" w14:textId="1E311D2C" w:rsidR="00F54ACD" w:rsidRPr="00185F6A" w:rsidRDefault="008A7DB1" w:rsidP="00F54ACD">
      <w:pPr>
        <w:pStyle w:val="Citationenretrait"/>
        <w:spacing w:after="0"/>
        <w:rPr>
          <w:sz w:val="18"/>
          <w:szCs w:val="18"/>
          <w:lang w:val="en-CA"/>
        </w:rPr>
      </w:pPr>
      <w:r w:rsidRPr="00185F6A">
        <w:rPr>
          <w:sz w:val="18"/>
          <w:szCs w:val="18"/>
          <w:lang w:val="en-CA"/>
        </w:rPr>
        <w:t>WITH CUSTOMER</w:t>
      </w:r>
    </w:p>
    <w:p w14:paraId="4C05935B" w14:textId="70A3BCD1" w:rsidR="00F54ACD" w:rsidRPr="00185F6A" w:rsidRDefault="008A7DB1" w:rsidP="00F54ACD">
      <w:pPr>
        <w:pStyle w:val="Citationenretrait"/>
        <w:spacing w:after="0"/>
        <w:rPr>
          <w:sz w:val="18"/>
          <w:szCs w:val="18"/>
          <w:lang w:val="en-CA"/>
        </w:rPr>
      </w:pPr>
      <w:r w:rsidRPr="00185F6A">
        <w:rPr>
          <w:sz w:val="18"/>
          <w:szCs w:val="18"/>
          <w:lang w:val="en-CA"/>
        </w:rPr>
        <w:t>CONVENIENCE STORE OWNER</w:t>
      </w:r>
    </w:p>
    <w:p w14:paraId="0CF2D9C9" w14:textId="3E7A2F57" w:rsidR="00F54ACD" w:rsidRPr="00185F6A" w:rsidRDefault="008A7DB1" w:rsidP="00F54ACD">
      <w:pPr>
        <w:pStyle w:val="Citationenretrait"/>
        <w:spacing w:after="0"/>
        <w:rPr>
          <w:sz w:val="18"/>
          <w:szCs w:val="18"/>
          <w:lang w:val="en-CA"/>
        </w:rPr>
      </w:pPr>
      <w:r w:rsidRPr="00185F6A">
        <w:rPr>
          <w:sz w:val="18"/>
          <w:szCs w:val="18"/>
          <w:lang w:val="en-CA"/>
        </w:rPr>
        <w:t>KNOWN FOR HAVING</w:t>
      </w:r>
    </w:p>
    <w:p w14:paraId="5B99B1AF" w14:textId="287AD409" w:rsidR="00F54ACD" w:rsidRPr="00185F6A" w:rsidRDefault="008A7DB1" w:rsidP="00F54ACD">
      <w:pPr>
        <w:pStyle w:val="Citationenretrait"/>
        <w:spacing w:after="0"/>
        <w:rPr>
          <w:sz w:val="18"/>
          <w:szCs w:val="18"/>
          <w:lang w:val="en-CA"/>
        </w:rPr>
      </w:pPr>
      <w:r w:rsidRPr="00185F6A">
        <w:rPr>
          <w:sz w:val="18"/>
          <w:szCs w:val="18"/>
          <w:lang w:val="en-CA"/>
        </w:rPr>
        <w:t>ARGUMENTS WITH HIS</w:t>
      </w:r>
    </w:p>
    <w:p w14:paraId="32427339" w14:textId="0403DA1D" w:rsidR="00F54ACD" w:rsidRPr="00185F6A" w:rsidRDefault="008A7DB1" w:rsidP="00F54ACD">
      <w:pPr>
        <w:pStyle w:val="Citationenretrait"/>
        <w:spacing w:after="0"/>
        <w:rPr>
          <w:sz w:val="18"/>
          <w:szCs w:val="18"/>
          <w:lang w:val="en-CA"/>
        </w:rPr>
      </w:pPr>
      <w:proofErr w:type="gramStart"/>
      <w:r w:rsidRPr="00185F6A">
        <w:rPr>
          <w:sz w:val="18"/>
          <w:szCs w:val="18"/>
          <w:lang w:val="en-CA"/>
        </w:rPr>
        <w:t>CUSTOMERS ...</w:t>
      </w:r>
      <w:proofErr w:type="gramEnd"/>
    </w:p>
    <w:p w14:paraId="3A4B13B8" w14:textId="1997E817" w:rsidR="00F54ACD" w:rsidRPr="00185F6A" w:rsidRDefault="008A7DB1" w:rsidP="00F54ACD">
      <w:pPr>
        <w:pStyle w:val="Citationenretrait"/>
        <w:spacing w:after="0"/>
        <w:rPr>
          <w:sz w:val="18"/>
          <w:szCs w:val="18"/>
          <w:lang w:val="en-CA"/>
        </w:rPr>
      </w:pPr>
      <w:r w:rsidRPr="00185F6A">
        <w:rPr>
          <w:sz w:val="18"/>
          <w:szCs w:val="18"/>
          <w:lang w:val="en-CA"/>
        </w:rPr>
        <w:t>CONVENIENCE STORE OWR</w:t>
      </w:r>
    </w:p>
    <w:p w14:paraId="6D4054A8" w14:textId="6ABB991D" w:rsidR="00F54ACD" w:rsidRPr="00185F6A" w:rsidRDefault="008A7DB1" w:rsidP="00F54ACD">
      <w:pPr>
        <w:pStyle w:val="Citationenretrait"/>
        <w:spacing w:after="0"/>
        <w:rPr>
          <w:sz w:val="18"/>
          <w:szCs w:val="18"/>
          <w:lang w:val="en-CA"/>
        </w:rPr>
      </w:pPr>
      <w:r w:rsidRPr="00185F6A">
        <w:rPr>
          <w:sz w:val="18"/>
          <w:szCs w:val="18"/>
          <w:lang w:val="en-CA"/>
        </w:rPr>
        <w:t>KNOWN FOR BEING</w:t>
      </w:r>
    </w:p>
    <w:p w14:paraId="57FC9090" w14:textId="44FC8789" w:rsidR="00F54ACD" w:rsidRPr="00185F6A" w:rsidRDefault="008A7DB1" w:rsidP="00F54ACD">
      <w:pPr>
        <w:pStyle w:val="Citationenretrait"/>
        <w:spacing w:after="0"/>
        <w:rPr>
          <w:sz w:val="18"/>
          <w:szCs w:val="18"/>
          <w:lang w:val="en-CA"/>
        </w:rPr>
      </w:pPr>
      <w:r w:rsidRPr="00185F6A">
        <w:rPr>
          <w:sz w:val="18"/>
          <w:szCs w:val="18"/>
          <w:lang w:val="en-CA"/>
        </w:rPr>
        <w:t>IMPATIENT</w:t>
      </w:r>
      <w:r w:rsidR="00F54ACD" w:rsidRPr="00185F6A">
        <w:rPr>
          <w:rStyle w:val="Appelnotedebasdep"/>
          <w:sz w:val="18"/>
          <w:szCs w:val="18"/>
          <w:lang w:val="en-CA"/>
        </w:rPr>
        <w:footnoteReference w:id="38"/>
      </w:r>
      <w:r w:rsidR="00F54ACD" w:rsidRPr="00185F6A">
        <w:rPr>
          <w:sz w:val="18"/>
          <w:szCs w:val="18"/>
          <w:lang w:val="en-CA"/>
        </w:rPr>
        <w:t xml:space="preserve">  </w:t>
      </w:r>
    </w:p>
    <w:p w14:paraId="11EF8887" w14:textId="3ABBF7C1" w:rsidR="00F54ACD" w:rsidRPr="00185F6A" w:rsidRDefault="000564F2" w:rsidP="00F54ACD">
      <w:pPr>
        <w:pStyle w:val="Paragraphe"/>
      </w:pPr>
      <w:r w:rsidRPr="00185F6A">
        <w:t xml:space="preserve"> As insulting as the merchant’s conduct may </w:t>
      </w:r>
      <w:r w:rsidR="00BC7B12">
        <w:t xml:space="preserve">have </w:t>
      </w:r>
      <w:r w:rsidRPr="00185F6A">
        <w:t>be</w:t>
      </w:r>
      <w:r w:rsidR="00BC7B12">
        <w:t>en</w:t>
      </w:r>
      <w:r w:rsidRPr="00185F6A">
        <w:t>, the evidence does not establish on a balance of probab</w:t>
      </w:r>
      <w:r w:rsidR="002C4ADE" w:rsidRPr="00185F6A">
        <w:t>i</w:t>
      </w:r>
      <w:r w:rsidRPr="00185F6A">
        <w:t xml:space="preserve">lities that it </w:t>
      </w:r>
      <w:proofErr w:type="gramStart"/>
      <w:r w:rsidRPr="00185F6A">
        <w:t>is co</w:t>
      </w:r>
      <w:r w:rsidR="00BC7B12">
        <w:t>nnected</w:t>
      </w:r>
      <w:proofErr w:type="gramEnd"/>
      <w:r w:rsidR="00BC7B12">
        <w:t xml:space="preserve"> to </w:t>
      </w:r>
      <w:r w:rsidR="00BC7B12" w:rsidRPr="00185F6A">
        <w:t>Ms. Sam</w:t>
      </w:r>
      <w:r w:rsidR="00BC7B12">
        <w:t>’s colour or race</w:t>
      </w:r>
      <w:r w:rsidRPr="00185F6A">
        <w:t xml:space="preserve">. </w:t>
      </w:r>
    </w:p>
    <w:p w14:paraId="2D556342" w14:textId="4A2699D3" w:rsidR="00F54ACD" w:rsidRPr="004C2CFC" w:rsidRDefault="000564F2" w:rsidP="00F54ACD">
      <w:pPr>
        <w:pStyle w:val="Paragraphe"/>
        <w:rPr>
          <w:lang w:val="fr-CA"/>
        </w:rPr>
      </w:pPr>
      <w:r w:rsidRPr="004C2CFC">
        <w:rPr>
          <w:lang w:val="fr-CA"/>
        </w:rPr>
        <w:t xml:space="preserve">In </w:t>
      </w:r>
      <w:r w:rsidRPr="004C2CFC">
        <w:rPr>
          <w:i/>
          <w:lang w:val="fr-CA"/>
        </w:rPr>
        <w:t>Commission des droits de la personne et des droits de la jeunesse (X) c. Commission scolaire de Montréal,</w:t>
      </w:r>
      <w:r w:rsidR="00F54ACD" w:rsidRPr="00185F6A">
        <w:rPr>
          <w:rStyle w:val="Appelnotedebasdep"/>
        </w:rPr>
        <w:footnoteReference w:id="39"/>
      </w:r>
      <w:r w:rsidRPr="004C2CFC">
        <w:rPr>
          <w:lang w:val="fr-CA"/>
        </w:rPr>
        <w:t xml:space="preserve"> the Court of </w:t>
      </w:r>
      <w:proofErr w:type="spellStart"/>
      <w:r w:rsidRPr="004C2CFC">
        <w:rPr>
          <w:lang w:val="fr-CA"/>
        </w:rPr>
        <w:t>Appeal</w:t>
      </w:r>
      <w:proofErr w:type="spellEnd"/>
      <w:r w:rsidRPr="004C2CFC">
        <w:rPr>
          <w:lang w:val="fr-CA"/>
        </w:rPr>
        <w:t xml:space="preserve"> of </w:t>
      </w:r>
      <w:proofErr w:type="spellStart"/>
      <w:r w:rsidRPr="004C2CFC">
        <w:rPr>
          <w:lang w:val="fr-CA"/>
        </w:rPr>
        <w:t>Quebec</w:t>
      </w:r>
      <w:proofErr w:type="spellEnd"/>
      <w:r w:rsidRPr="004C2CFC">
        <w:rPr>
          <w:lang w:val="fr-CA"/>
        </w:rPr>
        <w:t xml:space="preserve"> </w:t>
      </w:r>
      <w:proofErr w:type="spellStart"/>
      <w:r w:rsidRPr="004C2CFC">
        <w:rPr>
          <w:lang w:val="fr-CA"/>
        </w:rPr>
        <w:t>recalled</w:t>
      </w:r>
      <w:proofErr w:type="spellEnd"/>
      <w:r w:rsidRPr="004C2CFC">
        <w:rPr>
          <w:lang w:val="fr-CA"/>
        </w:rPr>
        <w:t>:</w:t>
      </w:r>
    </w:p>
    <w:p w14:paraId="4799E07E" w14:textId="4291BA7D" w:rsidR="002A746B" w:rsidRDefault="002A746B" w:rsidP="00F54ACD">
      <w:pPr>
        <w:pStyle w:val="Citationenretrait"/>
        <w:rPr>
          <w:lang w:val="en-CA"/>
        </w:rPr>
      </w:pPr>
      <w:r w:rsidRPr="002A746B">
        <w:rPr>
          <w:lang w:val="en-CA"/>
        </w:rPr>
        <w:t>[TRANSLATION]</w:t>
      </w:r>
    </w:p>
    <w:p w14:paraId="3FCDA801" w14:textId="75462E1E" w:rsidR="00F54ACD" w:rsidRPr="00185F6A" w:rsidRDefault="000564F2" w:rsidP="00F54ACD">
      <w:pPr>
        <w:pStyle w:val="Citationenretrait"/>
        <w:rPr>
          <w:lang w:val="en-CA"/>
        </w:rPr>
      </w:pPr>
      <w:r w:rsidRPr="00185F6A">
        <w:rPr>
          <w:lang w:val="en-CA"/>
        </w:rPr>
        <w:t>[18]</w:t>
      </w:r>
      <w:proofErr w:type="gramStart"/>
      <w:r w:rsidRPr="00185F6A">
        <w:rPr>
          <w:lang w:val="en-CA"/>
        </w:rPr>
        <w:t>  …</w:t>
      </w:r>
      <w:proofErr w:type="gramEnd"/>
      <w:r w:rsidRPr="00185F6A">
        <w:rPr>
          <w:lang w:val="en-CA"/>
        </w:rPr>
        <w:t xml:space="preserve"> When the balance of probabilities favours neither of the opposing positions, it is important to know which party is required to meet the burden, </w:t>
      </w:r>
      <w:proofErr w:type="gramStart"/>
      <w:r w:rsidRPr="00185F6A">
        <w:rPr>
          <w:u w:val="single"/>
          <w:lang w:val="en-CA"/>
        </w:rPr>
        <w:t>as this is the party who will lose</w:t>
      </w:r>
      <w:proofErr w:type="gramEnd"/>
      <w:r w:rsidRPr="00185F6A">
        <w:rPr>
          <w:lang w:val="en-CA"/>
        </w:rPr>
        <w:t>.</w:t>
      </w:r>
    </w:p>
    <w:p w14:paraId="4FB2FDB6" w14:textId="4661084F" w:rsidR="00F54ACD" w:rsidRPr="00185F6A" w:rsidRDefault="00E0679C" w:rsidP="00F54ACD">
      <w:pPr>
        <w:pStyle w:val="Citationenretrait"/>
        <w:jc w:val="right"/>
        <w:rPr>
          <w:sz w:val="20"/>
          <w:lang w:val="en-CA"/>
        </w:rPr>
      </w:pPr>
      <w:r w:rsidRPr="00185F6A">
        <w:rPr>
          <w:sz w:val="20"/>
          <w:lang w:val="en-CA"/>
        </w:rPr>
        <w:t>[Emphasis added.]</w:t>
      </w:r>
    </w:p>
    <w:p w14:paraId="20BC16AC" w14:textId="1998C5B0" w:rsidR="00F54ACD" w:rsidRPr="00185F6A" w:rsidRDefault="00BC7B12" w:rsidP="00F54ACD">
      <w:pPr>
        <w:pStyle w:val="Paragraphe"/>
      </w:pPr>
      <w:r>
        <w:t>Because the Tribunal</w:t>
      </w:r>
      <w:r w:rsidR="000564F2" w:rsidRPr="00185F6A">
        <w:t xml:space="preserve"> answer</w:t>
      </w:r>
      <w:r>
        <w:t>ed</w:t>
      </w:r>
      <w:r w:rsidR="000564F2" w:rsidRPr="00185F6A">
        <w:t xml:space="preserve"> the first issue </w:t>
      </w:r>
      <w:r>
        <w:t xml:space="preserve">in the negative, </w:t>
      </w:r>
      <w:r w:rsidR="000564F2" w:rsidRPr="00185F6A">
        <w:t>the applic</w:t>
      </w:r>
      <w:r>
        <w:t xml:space="preserve">ation </w:t>
      </w:r>
      <w:proofErr w:type="gramStart"/>
      <w:r>
        <w:t>must be</w:t>
      </w:r>
      <w:r w:rsidR="000564F2" w:rsidRPr="00185F6A">
        <w:t xml:space="preserve"> dismiss</w:t>
      </w:r>
      <w:r>
        <w:t>ed</w:t>
      </w:r>
      <w:proofErr w:type="gramEnd"/>
      <w:r w:rsidR="000564F2" w:rsidRPr="00185F6A">
        <w:t>.</w:t>
      </w:r>
    </w:p>
    <w:p w14:paraId="6ABE7902" w14:textId="55A5DB04" w:rsidR="00F54ACD" w:rsidRPr="00185F6A" w:rsidRDefault="00FA10D8" w:rsidP="00F54ACD">
      <w:pPr>
        <w:pStyle w:val="Paragraphe"/>
        <w:numPr>
          <w:ilvl w:val="0"/>
          <w:numId w:val="27"/>
        </w:numPr>
        <w:ind w:hanging="720"/>
        <w:rPr>
          <w:b/>
        </w:rPr>
      </w:pPr>
      <w:r>
        <w:rPr>
          <w:b/>
        </w:rPr>
        <w:t>The c</w:t>
      </w:r>
      <w:r w:rsidR="00C208D3">
        <w:rPr>
          <w:b/>
        </w:rPr>
        <w:t>ompensation</w:t>
      </w:r>
    </w:p>
    <w:p w14:paraId="2835283B" w14:textId="74211963" w:rsidR="00F54ACD" w:rsidRPr="00185F6A" w:rsidRDefault="000564F2" w:rsidP="00F54ACD">
      <w:pPr>
        <w:pStyle w:val="Paragraphe"/>
      </w:pPr>
      <w:r w:rsidRPr="00185F6A">
        <w:t xml:space="preserve">Given the Tribunal’s conclusion on the first issue, the second </w:t>
      </w:r>
      <w:r w:rsidR="00C208D3">
        <w:t xml:space="preserve">one </w:t>
      </w:r>
      <w:r w:rsidRPr="00185F6A">
        <w:t>becomes moot.</w:t>
      </w:r>
    </w:p>
    <w:p w14:paraId="1A55257F" w14:textId="2D405F62" w:rsidR="00F54ACD" w:rsidRPr="00185F6A" w:rsidRDefault="000564F2" w:rsidP="00F54ACD">
      <w:pPr>
        <w:pStyle w:val="Paragraphe"/>
        <w:numPr>
          <w:ilvl w:val="0"/>
          <w:numId w:val="0"/>
        </w:numPr>
        <w:rPr>
          <w:b/>
        </w:rPr>
      </w:pPr>
      <w:r w:rsidRPr="00185F6A">
        <w:rPr>
          <w:b/>
        </w:rPr>
        <w:t>FOR THESE REASONS, THE TRIBUNAL:</w:t>
      </w:r>
      <w:r w:rsidR="00F54ACD" w:rsidRPr="00185F6A">
        <w:rPr>
          <w:b/>
        </w:rPr>
        <w:t xml:space="preserve"> </w:t>
      </w:r>
    </w:p>
    <w:p w14:paraId="4F8C263E" w14:textId="5626264E" w:rsidR="00F54ACD" w:rsidRPr="00185F6A" w:rsidRDefault="000564F2" w:rsidP="00F54ACD">
      <w:pPr>
        <w:pStyle w:val="Paragraphe"/>
      </w:pPr>
      <w:r w:rsidRPr="00185F6A">
        <w:rPr>
          <w:b/>
        </w:rPr>
        <w:t>DISMISSES</w:t>
      </w:r>
      <w:r w:rsidRPr="00185F6A">
        <w:t xml:space="preserve"> the application, with legal costs.</w:t>
      </w:r>
    </w:p>
    <w:p w14:paraId="4EA3FFB3" w14:textId="77777777" w:rsidR="00F54ACD" w:rsidRPr="00185F6A" w:rsidRDefault="00F54ACD" w:rsidP="00F54ACD">
      <w:pPr>
        <w:pStyle w:val="Paragraphe"/>
        <w:numPr>
          <w:ilvl w:val="0"/>
          <w:numId w:val="0"/>
        </w:numPr>
      </w:pPr>
    </w:p>
    <w:tbl>
      <w:tblPr>
        <w:tblW w:w="9505" w:type="dxa"/>
        <w:tblLayout w:type="fixed"/>
        <w:tblCellMar>
          <w:left w:w="70" w:type="dxa"/>
          <w:right w:w="70" w:type="dxa"/>
        </w:tblCellMar>
        <w:tblLook w:val="0000" w:firstRow="0" w:lastRow="0" w:firstColumn="0" w:lastColumn="0" w:noHBand="0" w:noVBand="0"/>
      </w:tblPr>
      <w:tblGrid>
        <w:gridCol w:w="2197"/>
        <w:gridCol w:w="2670"/>
        <w:gridCol w:w="4638"/>
      </w:tblGrid>
      <w:tr w:rsidR="00FC14C7" w:rsidRPr="007A046B" w14:paraId="6FD5216E" w14:textId="77777777" w:rsidTr="00F54ACD">
        <w:trPr>
          <w:trHeight w:val="576"/>
        </w:trPr>
        <w:tc>
          <w:tcPr>
            <w:tcW w:w="9505" w:type="dxa"/>
            <w:gridSpan w:val="3"/>
            <w:shd w:val="clear" w:color="auto" w:fill="auto"/>
          </w:tcPr>
          <w:p w14:paraId="04955471" w14:textId="77777777" w:rsidR="00F54ACD" w:rsidRPr="00185F6A" w:rsidRDefault="00F54ACD">
            <w:pPr>
              <w:keepNext/>
              <w:keepLines/>
              <w:rPr>
                <w:lang w:val="en-CA"/>
              </w:rPr>
            </w:pPr>
          </w:p>
        </w:tc>
      </w:tr>
      <w:tr w:rsidR="00FC14C7" w:rsidRPr="007A046B" w14:paraId="302C9EC1" w14:textId="77777777" w:rsidTr="00F54ACD">
        <w:tblPrEx>
          <w:tblCellMar>
            <w:left w:w="0" w:type="dxa"/>
            <w:right w:w="0" w:type="dxa"/>
          </w:tblCellMar>
        </w:tblPrEx>
        <w:trPr>
          <w:cantSplit/>
        </w:trPr>
        <w:tc>
          <w:tcPr>
            <w:tcW w:w="4867" w:type="dxa"/>
            <w:gridSpan w:val="2"/>
            <w:shd w:val="clear" w:color="auto" w:fill="auto"/>
          </w:tcPr>
          <w:p w14:paraId="5E706382" w14:textId="77777777" w:rsidR="00F54ACD" w:rsidRPr="00185F6A" w:rsidRDefault="00F54ACD">
            <w:pPr>
              <w:rPr>
                <w:lang w:val="en-CA"/>
              </w:rPr>
            </w:pPr>
          </w:p>
        </w:tc>
        <w:tc>
          <w:tcPr>
            <w:tcW w:w="4638" w:type="dxa"/>
            <w:shd w:val="clear" w:color="auto" w:fill="auto"/>
          </w:tcPr>
          <w:p w14:paraId="18A65775" w14:textId="77777777" w:rsidR="00F54ACD" w:rsidRPr="00185F6A" w:rsidRDefault="00F54ACD">
            <w:pPr>
              <w:pStyle w:val="zSoquijdatSignature3Juge"/>
              <w:rPr>
                <w:lang w:val="en-CA"/>
              </w:rPr>
            </w:pPr>
            <w:r w:rsidRPr="00185F6A">
              <w:rPr>
                <w:lang w:val="en-CA"/>
              </w:rPr>
              <w:t>__________________________________</w:t>
            </w:r>
          </w:p>
          <w:p w14:paraId="4075E631" w14:textId="77777777" w:rsidR="00F54ACD" w:rsidRPr="00185F6A" w:rsidRDefault="006051CB">
            <w:pPr>
              <w:pStyle w:val="zSoquijdatSignature3Juge"/>
              <w:rPr>
                <w:b/>
                <w:lang w:val="en-CA"/>
              </w:rPr>
            </w:pPr>
            <w:r w:rsidRPr="00185F6A">
              <w:rPr>
                <w:b/>
                <w:caps/>
                <w:lang w:val="en-CA"/>
              </w:rPr>
              <w:t>CHRISTIAN BRUNELLE</w:t>
            </w:r>
          </w:p>
          <w:p w14:paraId="060CB29B" w14:textId="3FB285F2" w:rsidR="00F54ACD" w:rsidRPr="00185F6A" w:rsidRDefault="000564F2">
            <w:pPr>
              <w:pStyle w:val="zSoquijdatSignature3Juge"/>
              <w:rPr>
                <w:b/>
                <w:lang w:val="en-CA"/>
              </w:rPr>
            </w:pPr>
            <w:r w:rsidRPr="00185F6A">
              <w:rPr>
                <w:b/>
                <w:lang w:val="en-CA"/>
              </w:rPr>
              <w:t>Judge of the Human Rights Tribunal</w:t>
            </w:r>
          </w:p>
        </w:tc>
      </w:tr>
      <w:tr w:rsidR="00FC14C7" w:rsidRPr="007A046B" w14:paraId="50729685" w14:textId="77777777" w:rsidTr="00F54ACD">
        <w:tc>
          <w:tcPr>
            <w:tcW w:w="9505" w:type="dxa"/>
            <w:gridSpan w:val="3"/>
            <w:shd w:val="clear" w:color="auto" w:fill="auto"/>
          </w:tcPr>
          <w:p w14:paraId="3AD31FAA" w14:textId="77777777" w:rsidR="00F54ACD" w:rsidRPr="00185F6A" w:rsidRDefault="00F54ACD">
            <w:pPr>
              <w:rPr>
                <w:lang w:val="en-CA"/>
              </w:rPr>
            </w:pPr>
          </w:p>
        </w:tc>
      </w:tr>
      <w:tr w:rsidR="00FC14C7" w:rsidRPr="007A046B" w14:paraId="5977F93D" w14:textId="77777777" w:rsidTr="00F54ACD">
        <w:tc>
          <w:tcPr>
            <w:tcW w:w="9505" w:type="dxa"/>
            <w:gridSpan w:val="3"/>
            <w:shd w:val="clear" w:color="auto" w:fill="auto"/>
          </w:tcPr>
          <w:p w14:paraId="36E06463" w14:textId="77777777" w:rsidR="00F54ACD" w:rsidRPr="00185F6A" w:rsidRDefault="00F54ACD">
            <w:pPr>
              <w:rPr>
                <w:lang w:val="en-CA"/>
              </w:rPr>
            </w:pPr>
          </w:p>
        </w:tc>
      </w:tr>
      <w:tr w:rsidR="00FC14C7" w:rsidRPr="007A046B" w14:paraId="4FC84D08" w14:textId="77777777" w:rsidTr="00F54ACD">
        <w:tc>
          <w:tcPr>
            <w:tcW w:w="9505" w:type="dxa"/>
            <w:gridSpan w:val="3"/>
            <w:shd w:val="clear" w:color="auto" w:fill="auto"/>
          </w:tcPr>
          <w:p w14:paraId="6AA179BE" w14:textId="77777777" w:rsidR="00F54ACD" w:rsidRPr="00185F6A" w:rsidRDefault="00F54ACD">
            <w:pPr>
              <w:rPr>
                <w:lang w:val="en-CA"/>
              </w:rPr>
            </w:pPr>
          </w:p>
        </w:tc>
      </w:tr>
      <w:tr w:rsidR="00FC14C7" w:rsidRPr="00185F6A" w14:paraId="57F3E8E8" w14:textId="77777777" w:rsidTr="00F54ACD">
        <w:trPr>
          <w:cantSplit/>
        </w:trPr>
        <w:tc>
          <w:tcPr>
            <w:tcW w:w="9505" w:type="dxa"/>
            <w:gridSpan w:val="3"/>
            <w:shd w:val="clear" w:color="auto" w:fill="auto"/>
          </w:tcPr>
          <w:p w14:paraId="52401208" w14:textId="07C1E1F5" w:rsidR="00F54ACD" w:rsidRPr="00185F6A" w:rsidRDefault="000564F2" w:rsidP="00F54ACD">
            <w:pPr>
              <w:pStyle w:val="zSoquijdatNomProcureurDem"/>
              <w:rPr>
                <w:sz w:val="22"/>
                <w:szCs w:val="22"/>
                <w:lang w:val="en-CA"/>
              </w:rPr>
            </w:pPr>
            <w:proofErr w:type="spellStart"/>
            <w:r w:rsidRPr="00185F6A">
              <w:rPr>
                <w:sz w:val="22"/>
                <w:szCs w:val="22"/>
                <w:lang w:val="en-CA"/>
              </w:rPr>
              <w:t>Mtre</w:t>
            </w:r>
            <w:proofErr w:type="spellEnd"/>
            <w:r w:rsidRPr="00185F6A">
              <w:rPr>
                <w:sz w:val="22"/>
                <w:szCs w:val="22"/>
                <w:lang w:val="en-CA"/>
              </w:rPr>
              <w:t xml:space="preserve"> Geneviève Griffin</w:t>
            </w:r>
          </w:p>
          <w:p w14:paraId="7F00ACD8" w14:textId="77777777" w:rsidR="00F54ACD" w:rsidRPr="00185F6A" w:rsidRDefault="00F54ACD" w:rsidP="00F54ACD">
            <w:pPr>
              <w:pStyle w:val="zSoquijdatNomProcureurDem"/>
              <w:rPr>
                <w:sz w:val="22"/>
                <w:szCs w:val="22"/>
                <w:lang w:val="en-CA"/>
              </w:rPr>
            </w:pPr>
            <w:r w:rsidRPr="00185F6A">
              <w:rPr>
                <w:sz w:val="22"/>
                <w:szCs w:val="22"/>
                <w:lang w:val="en-CA"/>
              </w:rPr>
              <w:t>BITZAKIDIS CLÉMENT-MAJOR FOURNIER</w:t>
            </w:r>
          </w:p>
        </w:tc>
      </w:tr>
      <w:tr w:rsidR="00FC14C7" w:rsidRPr="00185F6A" w14:paraId="4755B104" w14:textId="77777777" w:rsidTr="00F54ACD">
        <w:trPr>
          <w:cantSplit/>
        </w:trPr>
        <w:tc>
          <w:tcPr>
            <w:tcW w:w="9505" w:type="dxa"/>
            <w:gridSpan w:val="3"/>
            <w:shd w:val="clear" w:color="auto" w:fill="auto"/>
          </w:tcPr>
          <w:p w14:paraId="433AF1A9" w14:textId="44DB9F87" w:rsidR="00F54ACD" w:rsidRPr="00185F6A" w:rsidRDefault="000564F2">
            <w:pPr>
              <w:pStyle w:val="zSoquijlblProcureurDem"/>
              <w:rPr>
                <w:sz w:val="22"/>
                <w:szCs w:val="22"/>
                <w:lang w:val="en-CA"/>
              </w:rPr>
            </w:pPr>
            <w:r w:rsidRPr="00185F6A">
              <w:rPr>
                <w:sz w:val="22"/>
                <w:szCs w:val="22"/>
                <w:lang w:val="en-CA"/>
              </w:rPr>
              <w:t>Counsel for the plaintiff</w:t>
            </w:r>
          </w:p>
        </w:tc>
      </w:tr>
      <w:tr w:rsidR="00FC14C7" w:rsidRPr="00185F6A" w14:paraId="4591316E" w14:textId="77777777" w:rsidTr="00F54ACD">
        <w:trPr>
          <w:cantSplit/>
        </w:trPr>
        <w:tc>
          <w:tcPr>
            <w:tcW w:w="9505" w:type="dxa"/>
            <w:gridSpan w:val="3"/>
            <w:shd w:val="clear" w:color="auto" w:fill="auto"/>
          </w:tcPr>
          <w:p w14:paraId="3D74D160" w14:textId="77777777" w:rsidR="00F54ACD" w:rsidRPr="00185F6A" w:rsidRDefault="00F54ACD">
            <w:pPr>
              <w:rPr>
                <w:sz w:val="22"/>
                <w:szCs w:val="22"/>
                <w:lang w:val="en-CA"/>
              </w:rPr>
            </w:pPr>
          </w:p>
        </w:tc>
      </w:tr>
      <w:tr w:rsidR="00FC14C7" w:rsidRPr="00185F6A" w14:paraId="3178034C" w14:textId="77777777" w:rsidTr="00F54ACD">
        <w:trPr>
          <w:cantSplit/>
        </w:trPr>
        <w:tc>
          <w:tcPr>
            <w:tcW w:w="9505" w:type="dxa"/>
            <w:gridSpan w:val="3"/>
            <w:shd w:val="clear" w:color="auto" w:fill="auto"/>
          </w:tcPr>
          <w:p w14:paraId="6E2235D4" w14:textId="0C25AAA6" w:rsidR="00F54ACD" w:rsidRPr="00185F6A" w:rsidRDefault="000564F2" w:rsidP="00F54ACD">
            <w:pPr>
              <w:pStyle w:val="zSoquijdatNomProcureurDem"/>
              <w:rPr>
                <w:sz w:val="22"/>
                <w:szCs w:val="22"/>
                <w:lang w:val="en-CA"/>
              </w:rPr>
            </w:pPr>
            <w:proofErr w:type="spellStart"/>
            <w:r w:rsidRPr="00185F6A">
              <w:rPr>
                <w:sz w:val="22"/>
                <w:szCs w:val="22"/>
                <w:lang w:val="en-CA"/>
              </w:rPr>
              <w:t>Mtre</w:t>
            </w:r>
            <w:proofErr w:type="spellEnd"/>
            <w:r w:rsidRPr="00185F6A">
              <w:rPr>
                <w:sz w:val="22"/>
                <w:szCs w:val="22"/>
                <w:lang w:val="en-CA"/>
              </w:rPr>
              <w:t xml:space="preserve"> Dominique Pion</w:t>
            </w:r>
          </w:p>
        </w:tc>
      </w:tr>
      <w:tr w:rsidR="00FC14C7" w:rsidRPr="00185F6A" w14:paraId="38B6A51C" w14:textId="77777777" w:rsidTr="00F54ACD">
        <w:trPr>
          <w:cantSplit/>
        </w:trPr>
        <w:tc>
          <w:tcPr>
            <w:tcW w:w="9505" w:type="dxa"/>
            <w:gridSpan w:val="3"/>
            <w:shd w:val="clear" w:color="auto" w:fill="auto"/>
          </w:tcPr>
          <w:p w14:paraId="6423490F" w14:textId="1CB67EC4" w:rsidR="00F54ACD" w:rsidRPr="00185F6A" w:rsidRDefault="000564F2" w:rsidP="00F54ACD">
            <w:pPr>
              <w:pStyle w:val="zSoquijlblProcureurDem"/>
              <w:rPr>
                <w:sz w:val="22"/>
                <w:szCs w:val="22"/>
                <w:lang w:val="en-CA"/>
              </w:rPr>
            </w:pPr>
            <w:r w:rsidRPr="00185F6A">
              <w:rPr>
                <w:sz w:val="22"/>
                <w:szCs w:val="22"/>
                <w:lang w:val="en-CA"/>
              </w:rPr>
              <w:t>Counsel for the defendant</w:t>
            </w:r>
          </w:p>
        </w:tc>
      </w:tr>
      <w:tr w:rsidR="00FC14C7" w:rsidRPr="00185F6A" w14:paraId="6E511B06" w14:textId="77777777" w:rsidTr="00F54ACD">
        <w:tc>
          <w:tcPr>
            <w:tcW w:w="9505" w:type="dxa"/>
            <w:gridSpan w:val="3"/>
            <w:shd w:val="clear" w:color="auto" w:fill="auto"/>
          </w:tcPr>
          <w:p w14:paraId="51E8E2C9" w14:textId="77777777" w:rsidR="00F54ACD" w:rsidRPr="00185F6A" w:rsidRDefault="00F54ACD">
            <w:pPr>
              <w:rPr>
                <w:sz w:val="22"/>
                <w:szCs w:val="22"/>
                <w:lang w:val="en-CA"/>
              </w:rPr>
            </w:pPr>
          </w:p>
        </w:tc>
      </w:tr>
      <w:tr w:rsidR="00FC14C7" w:rsidRPr="00185F6A" w14:paraId="2087DDC5" w14:textId="77777777" w:rsidTr="00F54ACD">
        <w:tc>
          <w:tcPr>
            <w:tcW w:w="9505" w:type="dxa"/>
            <w:gridSpan w:val="3"/>
            <w:shd w:val="clear" w:color="auto" w:fill="auto"/>
          </w:tcPr>
          <w:p w14:paraId="3886A57F" w14:textId="77777777" w:rsidR="00F54ACD" w:rsidRPr="00185F6A" w:rsidRDefault="00F54ACD">
            <w:pPr>
              <w:rPr>
                <w:sz w:val="22"/>
                <w:szCs w:val="22"/>
                <w:lang w:val="en-CA"/>
              </w:rPr>
            </w:pPr>
          </w:p>
        </w:tc>
      </w:tr>
      <w:tr w:rsidR="00FC14C7" w:rsidRPr="00185F6A" w14:paraId="0CA2C7AF" w14:textId="77777777" w:rsidTr="00F54ACD">
        <w:tc>
          <w:tcPr>
            <w:tcW w:w="2197" w:type="dxa"/>
            <w:shd w:val="clear" w:color="auto" w:fill="auto"/>
          </w:tcPr>
          <w:p w14:paraId="17537FDF" w14:textId="4F6E1D95" w:rsidR="00F54ACD" w:rsidRPr="00185F6A" w:rsidRDefault="000564F2" w:rsidP="00F54ACD">
            <w:pPr>
              <w:pStyle w:val="zSoquijlblDateAudience"/>
              <w:rPr>
                <w:sz w:val="22"/>
                <w:szCs w:val="22"/>
                <w:lang w:val="en-CA"/>
              </w:rPr>
            </w:pPr>
            <w:r w:rsidRPr="00185F6A">
              <w:rPr>
                <w:sz w:val="22"/>
                <w:szCs w:val="22"/>
                <w:lang w:val="en-CA"/>
              </w:rPr>
              <w:t>Date of hearing:</w:t>
            </w:r>
          </w:p>
        </w:tc>
        <w:tc>
          <w:tcPr>
            <w:tcW w:w="7308" w:type="dxa"/>
            <w:gridSpan w:val="2"/>
            <w:shd w:val="clear" w:color="auto" w:fill="auto"/>
          </w:tcPr>
          <w:p w14:paraId="795D556A" w14:textId="3BA2A7DC" w:rsidR="00F54ACD" w:rsidRPr="00185F6A" w:rsidRDefault="000564F2">
            <w:pPr>
              <w:pStyle w:val="zSoquijdatDateAudience"/>
              <w:rPr>
                <w:sz w:val="22"/>
                <w:szCs w:val="22"/>
                <w:lang w:val="en-CA"/>
              </w:rPr>
            </w:pPr>
            <w:r w:rsidRPr="00185F6A">
              <w:rPr>
                <w:sz w:val="22"/>
                <w:szCs w:val="22"/>
                <w:lang w:val="en-CA"/>
              </w:rPr>
              <w:t>June 10, 2021</w:t>
            </w:r>
          </w:p>
        </w:tc>
      </w:tr>
    </w:tbl>
    <w:p w14:paraId="5BD347EF" w14:textId="77777777" w:rsidR="00F54ACD" w:rsidRPr="00185F6A" w:rsidRDefault="00F54ACD" w:rsidP="00C208D3">
      <w:pPr>
        <w:rPr>
          <w:lang w:val="en-CA"/>
        </w:rPr>
      </w:pPr>
      <w:bookmarkStart w:id="0" w:name="_GoBack"/>
      <w:bookmarkEnd w:id="0"/>
    </w:p>
    <w:sectPr w:rsidR="00F54ACD" w:rsidRPr="00185F6A" w:rsidSect="00F54AC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9" w:bottom="1440" w:left="1871" w:header="1440" w:footer="794" w:gutter="0"/>
      <w:paperSrc w:first="3" w:other="3"/>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7A58B" w14:textId="77777777" w:rsidR="006531EF" w:rsidRDefault="006531EF">
      <w:r>
        <w:separator/>
      </w:r>
    </w:p>
  </w:endnote>
  <w:endnote w:type="continuationSeparator" w:id="0">
    <w:p w14:paraId="08FD696F" w14:textId="77777777" w:rsidR="006531EF" w:rsidRDefault="0065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Gras">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B3EF" w14:textId="77777777" w:rsidR="00F54ACD" w:rsidRDefault="00F54ACD">
    <w:pPr>
      <w:framePr w:wrap="around" w:vAnchor="text" w:hAnchor="margin" w:xAlign="right" w:y="1"/>
    </w:pPr>
    <w:r>
      <w:fldChar w:fldCharType="begin"/>
    </w:r>
    <w:r>
      <w:instrText xml:space="preserve">PAGE  </w:instrText>
    </w:r>
    <w:r>
      <w:fldChar w:fldCharType="separate"/>
    </w:r>
    <w:r>
      <w:rPr>
        <w:noProof/>
      </w:rPr>
      <w:t>2</w:t>
    </w:r>
    <w:r>
      <w:fldChar w:fldCharType="end"/>
    </w:r>
  </w:p>
  <w:p w14:paraId="2881B676" w14:textId="77777777" w:rsidR="00F54ACD" w:rsidRDefault="00F54AC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531A" w14:textId="77777777" w:rsidR="002E331A" w:rsidRDefault="002E33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50CB" w14:textId="77777777" w:rsidR="002E331A" w:rsidRDefault="002E33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8D67A" w14:textId="77777777" w:rsidR="006531EF" w:rsidRDefault="006531EF">
      <w:r>
        <w:separator/>
      </w:r>
    </w:p>
  </w:footnote>
  <w:footnote w:type="continuationSeparator" w:id="0">
    <w:p w14:paraId="2AD6D724" w14:textId="77777777" w:rsidR="006531EF" w:rsidRDefault="006531EF">
      <w:r>
        <w:continuationSeparator/>
      </w:r>
    </w:p>
  </w:footnote>
  <w:footnote w:id="1">
    <w:p w14:paraId="54BACCD3" w14:textId="77777777" w:rsidR="009439C5" w:rsidRPr="00AC3C31" w:rsidRDefault="009439C5" w:rsidP="009439C5">
      <w:pPr>
        <w:pStyle w:val="Notedebasdepage"/>
        <w:rPr>
          <w:lang w:val="en-CA"/>
        </w:rPr>
      </w:pPr>
      <w:r w:rsidRPr="00AC3C31">
        <w:rPr>
          <w:rStyle w:val="Appelnotedebasdep"/>
          <w:lang w:val="en-CA"/>
        </w:rPr>
        <w:footnoteRef/>
      </w:r>
      <w:r w:rsidRPr="00AC3C31">
        <w:rPr>
          <w:lang w:val="en-CA"/>
        </w:rPr>
        <w:t xml:space="preserve"> </w:t>
      </w:r>
      <w:r w:rsidRPr="00AC3C31">
        <w:rPr>
          <w:lang w:val="en-CA"/>
        </w:rPr>
        <w:tab/>
        <w:t xml:space="preserve">Exhibit P-1, </w:t>
      </w:r>
      <w:proofErr w:type="gramStart"/>
      <w:r w:rsidRPr="00AC3C31">
        <w:rPr>
          <w:lang w:val="en-CA"/>
        </w:rPr>
        <w:t>Written</w:t>
      </w:r>
      <w:proofErr w:type="gramEnd"/>
      <w:r w:rsidRPr="00AC3C31">
        <w:rPr>
          <w:lang w:val="en-CA"/>
        </w:rPr>
        <w:t xml:space="preserve"> consent of Kianna Sam authorizing the Commission to act on her behalf.</w:t>
      </w:r>
    </w:p>
  </w:footnote>
  <w:footnote w:id="2">
    <w:p w14:paraId="315BC0B9" w14:textId="77777777" w:rsidR="009439C5" w:rsidRPr="00AC3C31" w:rsidRDefault="009439C5" w:rsidP="009439C5">
      <w:pPr>
        <w:pStyle w:val="Notedebasdepage"/>
        <w:rPr>
          <w:lang w:val="en-CA"/>
        </w:rPr>
      </w:pPr>
      <w:r w:rsidRPr="00AC3C31">
        <w:rPr>
          <w:rStyle w:val="Appelnotedebasdep"/>
          <w:lang w:val="en-CA"/>
        </w:rPr>
        <w:footnoteRef/>
      </w:r>
      <w:r w:rsidRPr="00AC3C31">
        <w:rPr>
          <w:lang w:val="en-CA"/>
        </w:rPr>
        <w:t xml:space="preserve"> </w:t>
      </w:r>
      <w:r w:rsidRPr="00AC3C31">
        <w:rPr>
          <w:lang w:val="en-CA"/>
        </w:rPr>
        <w:tab/>
        <w:t>Exhibit P-2, Information statement concerning a legal person from the enterprise register dated January 18, 2019.</w:t>
      </w:r>
    </w:p>
  </w:footnote>
  <w:footnote w:id="3">
    <w:p w14:paraId="4DC91982" w14:textId="276E887D"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CQLR, c. C-12 (</w:t>
      </w:r>
      <w:r w:rsidRPr="00AC3C31">
        <w:rPr>
          <w:i/>
          <w:lang w:val="en-CA"/>
        </w:rPr>
        <w:t>Charter</w:t>
      </w:r>
      <w:r w:rsidRPr="00AC3C31">
        <w:rPr>
          <w:lang w:val="en-CA"/>
        </w:rPr>
        <w:t>).</w:t>
      </w:r>
    </w:p>
  </w:footnote>
  <w:footnote w:id="4">
    <w:p w14:paraId="36E46A4B" w14:textId="687040A6"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Exhibit P-4, video clip on USB stick.</w:t>
      </w:r>
    </w:p>
  </w:footnote>
  <w:footnote w:id="5">
    <w:p w14:paraId="73CE7F75" w14:textId="00247E4F"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Exhibit P-3, Resolution CP-766.2, April 9, 2020.</w:t>
      </w:r>
    </w:p>
  </w:footnote>
  <w:footnote w:id="6">
    <w:p w14:paraId="53FC9EE5" w14:textId="168F77E4"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r>
      <w:proofErr w:type="gramStart"/>
      <w:r w:rsidRPr="00AC3C31">
        <w:rPr>
          <w:lang w:val="en-CA"/>
        </w:rPr>
        <w:t xml:space="preserve">Even though the concept of “racial profiling” was originally developed in the context of proceedings brought against public authorities for abuse of power, it may also be used against a legal person established for a private interest: </w:t>
      </w:r>
      <w:r w:rsidRPr="00AC3C31">
        <w:rPr>
          <w:i/>
          <w:lang w:val="en-CA"/>
        </w:rPr>
        <w:t xml:space="preserve">Quebec (Commission des droits de la </w:t>
      </w:r>
      <w:proofErr w:type="spellStart"/>
      <w:r w:rsidRPr="00AC3C31">
        <w:rPr>
          <w:i/>
          <w:lang w:val="en-CA"/>
        </w:rPr>
        <w:t>personne</w:t>
      </w:r>
      <w:proofErr w:type="spellEnd"/>
      <w:r w:rsidRPr="00AC3C31">
        <w:rPr>
          <w:i/>
          <w:lang w:val="en-CA"/>
        </w:rPr>
        <w:t xml:space="preserve"> et des droits de la </w:t>
      </w:r>
      <w:proofErr w:type="spellStart"/>
      <w:r w:rsidRPr="00AC3C31">
        <w:rPr>
          <w:i/>
          <w:lang w:val="en-CA"/>
        </w:rPr>
        <w:t>jeunesse</w:t>
      </w:r>
      <w:proofErr w:type="spellEnd"/>
      <w:r w:rsidRPr="00AC3C31">
        <w:rPr>
          <w:i/>
          <w:lang w:val="en-CA"/>
        </w:rPr>
        <w:t>) v. Bombardier Inc</w:t>
      </w:r>
      <w:r w:rsidRPr="00AC3C31">
        <w:rPr>
          <w:lang w:val="en-CA"/>
        </w:rPr>
        <w:t>.</w:t>
      </w:r>
      <w:r w:rsidRPr="00AC3C31">
        <w:rPr>
          <w:i/>
          <w:lang w:val="en-CA"/>
        </w:rPr>
        <w:t xml:space="preserve"> (Bombardier Aerospace Training Center),</w:t>
      </w:r>
      <w:r w:rsidRPr="00AC3C31">
        <w:rPr>
          <w:lang w:val="en-CA"/>
        </w:rPr>
        <w:t xml:space="preserve"> 2015 SCC 39, [2015] 2 SCR 789 (</w:t>
      </w:r>
      <w:r w:rsidRPr="00AC3C31">
        <w:rPr>
          <w:i/>
          <w:lang w:val="en-CA"/>
        </w:rPr>
        <w:t>Bombardier</w:t>
      </w:r>
      <w:r w:rsidRPr="00AC3C31">
        <w:rPr>
          <w:lang w:val="en-CA"/>
        </w:rPr>
        <w:t>) at para.</w:t>
      </w:r>
      <w:proofErr w:type="gramEnd"/>
      <w:r w:rsidRPr="00AC3C31">
        <w:rPr>
          <w:lang w:val="en-CA"/>
        </w:rPr>
        <w:t xml:space="preserve"> 33. </w:t>
      </w:r>
    </w:p>
  </w:footnote>
  <w:footnote w:id="7">
    <w:p w14:paraId="1D68868B" w14:textId="5AF671DE"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 xml:space="preserve">Section 123 of the </w:t>
      </w:r>
      <w:r w:rsidRPr="00AC3C31">
        <w:rPr>
          <w:i/>
          <w:lang w:val="en-CA"/>
        </w:rPr>
        <w:t>Charter</w:t>
      </w:r>
      <w:r w:rsidRPr="00AC3C31">
        <w:rPr>
          <w:lang w:val="en-CA"/>
        </w:rPr>
        <w:t>.</w:t>
      </w:r>
    </w:p>
  </w:footnote>
  <w:footnote w:id="8">
    <w:p w14:paraId="4DFE43AF" w14:textId="40D9BA5D" w:rsidR="00F54ACD" w:rsidRPr="00AC3C31" w:rsidRDefault="00F54ACD">
      <w:pPr>
        <w:pStyle w:val="Notedebasdepage"/>
        <w:rPr>
          <w:lang w:val="en-CA"/>
        </w:rPr>
      </w:pPr>
      <w:r w:rsidRPr="00AC3C31">
        <w:rPr>
          <w:rStyle w:val="Appelnotedebasdep"/>
          <w:lang w:val="en-CA"/>
        </w:rPr>
        <w:footnoteRef/>
      </w:r>
      <w:r w:rsidRPr="0095373D">
        <w:t xml:space="preserve"> </w:t>
      </w:r>
      <w:r w:rsidRPr="0095373D">
        <w:tab/>
      </w:r>
      <w:r w:rsidRPr="0095373D">
        <w:rPr>
          <w:i/>
        </w:rPr>
        <w:t>Bombardier, supra</w:t>
      </w:r>
      <w:r w:rsidRPr="0095373D">
        <w:t xml:space="preserve"> note 6 at para. </w:t>
      </w:r>
      <w:r w:rsidRPr="00AC3C31">
        <w:rPr>
          <w:lang w:val="en-CA"/>
        </w:rPr>
        <w:t>55.</w:t>
      </w:r>
    </w:p>
  </w:footnote>
  <w:footnote w:id="9">
    <w:p w14:paraId="2E776B77" w14:textId="05A5E9A1"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r>
      <w:r w:rsidRPr="00AC3C31">
        <w:rPr>
          <w:i/>
          <w:lang w:val="en-CA"/>
        </w:rPr>
        <w:t>Ibid</w:t>
      </w:r>
      <w:r w:rsidRPr="00AC3C31">
        <w:rPr>
          <w:lang w:val="en-CA"/>
        </w:rPr>
        <w:t>. at para. 40.</w:t>
      </w:r>
    </w:p>
  </w:footnote>
  <w:footnote w:id="10">
    <w:p w14:paraId="3662745F" w14:textId="1B4A63E5" w:rsidR="00F54ACD" w:rsidRPr="0095373D" w:rsidRDefault="00F54ACD">
      <w:pPr>
        <w:pStyle w:val="Notedebasdepage"/>
      </w:pPr>
      <w:r w:rsidRPr="00AC3C31">
        <w:rPr>
          <w:rStyle w:val="Appelnotedebasdep"/>
          <w:lang w:val="en-CA"/>
        </w:rPr>
        <w:footnoteRef/>
      </w:r>
      <w:r w:rsidRPr="00AC3C31">
        <w:rPr>
          <w:lang w:val="en-CA"/>
        </w:rPr>
        <w:t xml:space="preserve"> </w:t>
      </w:r>
      <w:r w:rsidRPr="00AC3C31">
        <w:rPr>
          <w:lang w:val="en-CA"/>
        </w:rPr>
        <w:tab/>
      </w:r>
      <w:r w:rsidRPr="00AC3C31">
        <w:rPr>
          <w:i/>
          <w:lang w:val="en-CA"/>
        </w:rPr>
        <w:t xml:space="preserve">Ibid. </w:t>
      </w:r>
      <w:r w:rsidRPr="00AC3C31">
        <w:rPr>
          <w:lang w:val="en-CA"/>
        </w:rPr>
        <w:t xml:space="preserve">at para. </w:t>
      </w:r>
      <w:r w:rsidRPr="0095373D">
        <w:t xml:space="preserve">35. </w:t>
      </w:r>
    </w:p>
  </w:footnote>
  <w:footnote w:id="11">
    <w:p w14:paraId="7A172691" w14:textId="5351255E" w:rsidR="00F54ACD" w:rsidRPr="004C2CFC" w:rsidRDefault="00F54ACD">
      <w:pPr>
        <w:pStyle w:val="Notedebasdepage"/>
      </w:pPr>
      <w:r w:rsidRPr="00AC3C31">
        <w:rPr>
          <w:rStyle w:val="Appelnotedebasdep"/>
          <w:lang w:val="en-CA"/>
        </w:rPr>
        <w:footnoteRef/>
      </w:r>
      <w:r w:rsidRPr="0095373D">
        <w:t xml:space="preserve"> </w:t>
      </w:r>
      <w:r w:rsidRPr="0095373D">
        <w:tab/>
      </w:r>
      <w:r w:rsidRPr="0095373D">
        <w:rPr>
          <w:i/>
        </w:rPr>
        <w:t>Ibid</w:t>
      </w:r>
      <w:r w:rsidRPr="0095373D">
        <w:t xml:space="preserve">. at paras. </w:t>
      </w:r>
      <w:r w:rsidRPr="004C2CFC">
        <w:t xml:space="preserve">50, 56, 59, 65, and 67; </w:t>
      </w:r>
      <w:r w:rsidRPr="004C2CFC">
        <w:rPr>
          <w:i/>
        </w:rPr>
        <w:t>Commission des droits de la personne et des droits de la jeunesse (</w:t>
      </w:r>
      <w:proofErr w:type="spellStart"/>
      <w:r w:rsidRPr="004C2CFC">
        <w:rPr>
          <w:i/>
        </w:rPr>
        <w:t>Bencheqroun</w:t>
      </w:r>
      <w:proofErr w:type="spellEnd"/>
      <w:r w:rsidRPr="004C2CFC">
        <w:rPr>
          <w:i/>
        </w:rPr>
        <w:t>) c. Société de transport de Montréal</w:t>
      </w:r>
      <w:r w:rsidRPr="004C2CFC">
        <w:t xml:space="preserve">, 2020 QCCA 602 at para. 23. </w:t>
      </w:r>
    </w:p>
  </w:footnote>
  <w:footnote w:id="12">
    <w:p w14:paraId="652F8282" w14:textId="10D1D92A" w:rsidR="00F54ACD" w:rsidRPr="004C2CFC" w:rsidRDefault="00F54ACD">
      <w:pPr>
        <w:pStyle w:val="Notedebasdepage"/>
      </w:pPr>
      <w:r w:rsidRPr="00AC3C31">
        <w:rPr>
          <w:rStyle w:val="Appelnotedebasdep"/>
          <w:lang w:val="en-CA"/>
        </w:rPr>
        <w:footnoteRef/>
      </w:r>
      <w:r w:rsidRPr="004C2CFC">
        <w:t xml:space="preserve"> </w:t>
      </w:r>
      <w:r w:rsidRPr="004C2CFC">
        <w:tab/>
      </w:r>
      <w:r w:rsidRPr="004C2CFC">
        <w:rPr>
          <w:i/>
        </w:rPr>
        <w:t>Bombardier</w:t>
      </w:r>
      <w:r w:rsidRPr="0095373D">
        <w:t>,</w:t>
      </w:r>
      <w:r w:rsidRPr="004C2CFC">
        <w:rPr>
          <w:i/>
        </w:rPr>
        <w:t xml:space="preserve"> ibid. </w:t>
      </w:r>
      <w:r w:rsidRPr="0095373D">
        <w:t>at para. 59</w:t>
      </w:r>
      <w:r w:rsidRPr="004C2CFC">
        <w:rPr>
          <w:i/>
        </w:rPr>
        <w:t>.</w:t>
      </w:r>
    </w:p>
  </w:footnote>
  <w:footnote w:id="13">
    <w:p w14:paraId="6AAE9C8D" w14:textId="5B02F632" w:rsidR="00F54ACD" w:rsidRPr="004C2CFC" w:rsidRDefault="00F54ACD">
      <w:pPr>
        <w:pStyle w:val="Notedebasdepage"/>
      </w:pPr>
      <w:r w:rsidRPr="00AC3C31">
        <w:rPr>
          <w:rStyle w:val="Appelnotedebasdep"/>
          <w:lang w:val="en-CA"/>
        </w:rPr>
        <w:footnoteRef/>
      </w:r>
      <w:r w:rsidRPr="004C2CFC">
        <w:t xml:space="preserve"> </w:t>
      </w:r>
      <w:r w:rsidRPr="004C2CFC">
        <w:tab/>
      </w:r>
      <w:r w:rsidRPr="004C2CFC">
        <w:rPr>
          <w:i/>
        </w:rPr>
        <w:t xml:space="preserve">Ibid. </w:t>
      </w:r>
      <w:r w:rsidRPr="004C2CFC">
        <w:t xml:space="preserve">at para. 42. </w:t>
      </w:r>
    </w:p>
  </w:footnote>
  <w:footnote w:id="14">
    <w:p w14:paraId="47B8B992" w14:textId="686E4306" w:rsidR="00F54ACD" w:rsidRPr="004C2CFC" w:rsidRDefault="00F54ACD">
      <w:pPr>
        <w:pStyle w:val="Notedebasdepage"/>
      </w:pPr>
      <w:r w:rsidRPr="00AC3C31">
        <w:rPr>
          <w:rStyle w:val="Appelnotedebasdep"/>
          <w:lang w:val="en-CA"/>
        </w:rPr>
        <w:footnoteRef/>
      </w:r>
      <w:r w:rsidRPr="004C2CFC">
        <w:t xml:space="preserve"> </w:t>
      </w:r>
      <w:r w:rsidRPr="004C2CFC">
        <w:tab/>
      </w:r>
      <w:r w:rsidRPr="004C2CFC">
        <w:rPr>
          <w:i/>
        </w:rPr>
        <w:t xml:space="preserve">Ward v. </w:t>
      </w:r>
      <w:proofErr w:type="spellStart"/>
      <w:r w:rsidRPr="004C2CFC">
        <w:rPr>
          <w:i/>
        </w:rPr>
        <w:t>Quebec</w:t>
      </w:r>
      <w:proofErr w:type="spellEnd"/>
      <w:r w:rsidRPr="004C2CFC">
        <w:rPr>
          <w:i/>
        </w:rPr>
        <w:t xml:space="preserve"> (Commission des droits de la personne et des droits de la jeunesse)</w:t>
      </w:r>
      <w:r w:rsidRPr="004C2CFC">
        <w:t>, 2021 SCC 43 at para. 95.</w:t>
      </w:r>
    </w:p>
  </w:footnote>
  <w:footnote w:id="15">
    <w:p w14:paraId="14B3E28B" w14:textId="5164BD67" w:rsidR="00F54ACD" w:rsidRPr="004C2CFC" w:rsidRDefault="00F54ACD">
      <w:pPr>
        <w:pStyle w:val="Notedebasdepage"/>
      </w:pPr>
      <w:r w:rsidRPr="00AC3C31">
        <w:rPr>
          <w:rStyle w:val="Appelnotedebasdep"/>
          <w:lang w:val="en-CA"/>
        </w:rPr>
        <w:footnoteRef/>
      </w:r>
      <w:r w:rsidRPr="004C2CFC">
        <w:t xml:space="preserve"> </w:t>
      </w:r>
      <w:r w:rsidRPr="004C2CFC">
        <w:tab/>
      </w:r>
      <w:r w:rsidRPr="004C2CFC">
        <w:rPr>
          <w:i/>
        </w:rPr>
        <w:t>Bombardier, supra</w:t>
      </w:r>
      <w:r w:rsidRPr="004C2CFC">
        <w:t xml:space="preserve"> note 6 at para. 52.</w:t>
      </w:r>
    </w:p>
  </w:footnote>
  <w:footnote w:id="16">
    <w:p w14:paraId="5406B36E" w14:textId="249BD126" w:rsidR="00F54ACD" w:rsidRPr="004C2CFC" w:rsidRDefault="00F54ACD">
      <w:pPr>
        <w:pStyle w:val="Notedebasdepage"/>
      </w:pPr>
      <w:r w:rsidRPr="00AC3C31">
        <w:rPr>
          <w:rStyle w:val="Appelnotedebasdep"/>
          <w:lang w:val="en-CA"/>
        </w:rPr>
        <w:footnoteRef/>
      </w:r>
      <w:r w:rsidRPr="004C2CFC">
        <w:t xml:space="preserve"> </w:t>
      </w:r>
      <w:r w:rsidRPr="004C2CFC">
        <w:tab/>
      </w:r>
      <w:proofErr w:type="spellStart"/>
      <w:r w:rsidRPr="004C2CFC">
        <w:t>Exhibit</w:t>
      </w:r>
      <w:proofErr w:type="spellEnd"/>
      <w:r w:rsidRPr="004C2CFC">
        <w:t xml:space="preserve"> P-3, </w:t>
      </w:r>
      <w:r w:rsidRPr="004C2CFC">
        <w:rPr>
          <w:i/>
        </w:rPr>
        <w:t>supra</w:t>
      </w:r>
      <w:r w:rsidRPr="004C2CFC">
        <w:t xml:space="preserve"> note 5.</w:t>
      </w:r>
    </w:p>
  </w:footnote>
  <w:footnote w:id="17">
    <w:p w14:paraId="201E6100" w14:textId="4162A2E4" w:rsidR="00F54ACD" w:rsidRPr="004C2CFC" w:rsidRDefault="00F54ACD">
      <w:pPr>
        <w:pStyle w:val="Notedebasdepage"/>
      </w:pPr>
      <w:r w:rsidRPr="00AC3C31">
        <w:rPr>
          <w:rStyle w:val="Appelnotedebasdep"/>
          <w:lang w:val="en-CA"/>
        </w:rPr>
        <w:footnoteRef/>
      </w:r>
      <w:r w:rsidRPr="004C2CFC">
        <w:t xml:space="preserve"> </w:t>
      </w:r>
      <w:r w:rsidRPr="004C2CFC">
        <w:tab/>
        <w:t xml:space="preserve">The </w:t>
      </w:r>
      <w:proofErr w:type="spellStart"/>
      <w:r w:rsidRPr="004C2CFC">
        <w:t>term</w:t>
      </w:r>
      <w:proofErr w:type="spellEnd"/>
      <w:r w:rsidRPr="004C2CFC">
        <w:t xml:space="preserve"> </w:t>
      </w:r>
      <w:proofErr w:type="spellStart"/>
      <w:r w:rsidRPr="004C2CFC">
        <w:t>is</w:t>
      </w:r>
      <w:proofErr w:type="spellEnd"/>
      <w:r w:rsidRPr="004C2CFC">
        <w:t xml:space="preserve"> </w:t>
      </w:r>
      <w:proofErr w:type="spellStart"/>
      <w:r w:rsidRPr="004C2CFC">
        <w:t>borrowed</w:t>
      </w:r>
      <w:proofErr w:type="spellEnd"/>
      <w:r w:rsidRPr="004C2CFC">
        <w:t xml:space="preserve"> </w:t>
      </w:r>
      <w:proofErr w:type="spellStart"/>
      <w:r w:rsidRPr="004C2CFC">
        <w:t>from</w:t>
      </w:r>
      <w:proofErr w:type="spellEnd"/>
      <w:r w:rsidRPr="004C2CFC">
        <w:t xml:space="preserve"> </w:t>
      </w:r>
      <w:r w:rsidR="00B4130D" w:rsidRPr="004C2CFC">
        <w:t>PIERRE BOSSET</w:t>
      </w:r>
      <w:r w:rsidRPr="004C2CFC">
        <w:t xml:space="preserve">, “Les fondements juridiques et l’évolution de l’obligation d’accommodement raisonnable” in </w:t>
      </w:r>
      <w:r w:rsidR="00B4130D" w:rsidRPr="004C2CFC">
        <w:t xml:space="preserve">Myriam JÉZÉQUEL </w:t>
      </w:r>
      <w:r w:rsidRPr="004C2CFC">
        <w:t>(</w:t>
      </w:r>
      <w:proofErr w:type="spellStart"/>
      <w:r w:rsidRPr="004C2CFC">
        <w:t>Dir</w:t>
      </w:r>
      <w:proofErr w:type="spellEnd"/>
      <w:r w:rsidRPr="004C2CFC">
        <w:t xml:space="preserve">.), </w:t>
      </w:r>
      <w:r w:rsidRPr="004C2CFC">
        <w:rPr>
          <w:i/>
        </w:rPr>
        <w:t>Les accommodements raisonnables: quoi, comment, jusqu’où? Des outils pour tous</w:t>
      </w:r>
      <w:r w:rsidRPr="004C2CFC">
        <w:t xml:space="preserve"> (</w:t>
      </w:r>
      <w:proofErr w:type="spellStart"/>
      <w:r w:rsidRPr="004C2CFC">
        <w:t>Cowansville</w:t>
      </w:r>
      <w:proofErr w:type="spellEnd"/>
      <w:r w:rsidRPr="004C2CFC">
        <w:t xml:space="preserve">, </w:t>
      </w:r>
      <w:proofErr w:type="spellStart"/>
      <w:r w:rsidRPr="004C2CFC">
        <w:t>Qc</w:t>
      </w:r>
      <w:proofErr w:type="spellEnd"/>
      <w:r w:rsidRPr="004C2CFC">
        <w:t xml:space="preserve">.: Yvon Blais, 2007) 3 at 14.   </w:t>
      </w:r>
    </w:p>
  </w:footnote>
  <w:footnote w:id="18">
    <w:p w14:paraId="487BEEE7" w14:textId="4175A1A5" w:rsidR="00F54ACD" w:rsidRPr="004C2CFC" w:rsidRDefault="00F54ACD">
      <w:pPr>
        <w:pStyle w:val="Notedebasdepage"/>
      </w:pPr>
      <w:r w:rsidRPr="00AC3C31">
        <w:rPr>
          <w:rStyle w:val="Appelnotedebasdep"/>
          <w:lang w:val="en-CA"/>
        </w:rPr>
        <w:footnoteRef/>
      </w:r>
      <w:r w:rsidRPr="004C2CFC">
        <w:t xml:space="preserve"> </w:t>
      </w:r>
      <w:r w:rsidRPr="004C2CFC">
        <w:tab/>
      </w:r>
      <w:r w:rsidRPr="004C2CFC">
        <w:rPr>
          <w:i/>
        </w:rPr>
        <w:t>Commission des droits de la personne et des droits de la jeunesse (Tardif et autres) c. Syndicat des constables spéciaux</w:t>
      </w:r>
      <w:r w:rsidRPr="004C2CFC">
        <w:t>, 2010 QCTDP 3 at para. 216 (</w:t>
      </w:r>
      <w:proofErr w:type="spellStart"/>
      <w:r w:rsidRPr="004C2CFC">
        <w:t>rev’d</w:t>
      </w:r>
      <w:proofErr w:type="spellEnd"/>
      <w:r w:rsidRPr="004C2CFC">
        <w:t xml:space="preserve"> on </w:t>
      </w:r>
      <w:proofErr w:type="spellStart"/>
      <w:r w:rsidRPr="004C2CFC">
        <w:t>appeal</w:t>
      </w:r>
      <w:proofErr w:type="spellEnd"/>
      <w:r w:rsidRPr="004C2CFC">
        <w:t xml:space="preserve">, but not on </w:t>
      </w:r>
      <w:proofErr w:type="spellStart"/>
      <w:r w:rsidRPr="004C2CFC">
        <w:t>this</w:t>
      </w:r>
      <w:proofErr w:type="spellEnd"/>
      <w:r w:rsidRPr="004C2CFC">
        <w:t xml:space="preserve"> point: </w:t>
      </w:r>
      <w:r w:rsidRPr="004C2CFC">
        <w:rPr>
          <w:i/>
        </w:rPr>
        <w:t>Québec (Procureur général) c. Commission des droits de la personne et des droits de la jeunesse</w:t>
      </w:r>
      <w:r w:rsidRPr="004C2CFC">
        <w:t>, 2013 QCCA 141).</w:t>
      </w:r>
    </w:p>
  </w:footnote>
  <w:footnote w:id="19">
    <w:p w14:paraId="5588ECB5" w14:textId="30D2B579" w:rsidR="00F54ACD" w:rsidRPr="00AC3C31" w:rsidRDefault="00F54ACD">
      <w:pPr>
        <w:pStyle w:val="Notedebasdepage"/>
        <w:rPr>
          <w:rFonts w:cs="Arial"/>
          <w:lang w:val="en-CA"/>
        </w:rPr>
      </w:pPr>
      <w:r w:rsidRPr="00AC3C31">
        <w:rPr>
          <w:rStyle w:val="Appelnotedebasdep"/>
          <w:rFonts w:cs="Arial"/>
          <w:lang w:val="en-CA"/>
        </w:rPr>
        <w:footnoteRef/>
      </w:r>
      <w:r w:rsidRPr="00AC3C31">
        <w:rPr>
          <w:rFonts w:cs="Arial"/>
          <w:lang w:val="en-CA"/>
        </w:rPr>
        <w:t xml:space="preserve"> </w:t>
      </w:r>
      <w:r w:rsidRPr="00AC3C31">
        <w:rPr>
          <w:rFonts w:cs="Arial"/>
          <w:lang w:val="en-CA"/>
        </w:rPr>
        <w:tab/>
      </w:r>
      <w:proofErr w:type="spellStart"/>
      <w:r w:rsidRPr="00AC3C31">
        <w:rPr>
          <w:rFonts w:cs="Arial"/>
          <w:i/>
          <w:lang w:val="en-CA"/>
        </w:rPr>
        <w:t>Withler</w:t>
      </w:r>
      <w:proofErr w:type="spellEnd"/>
      <w:r w:rsidRPr="00AC3C31">
        <w:rPr>
          <w:rFonts w:cs="Arial"/>
          <w:i/>
          <w:lang w:val="en-CA"/>
        </w:rPr>
        <w:t xml:space="preserve"> v. Canada (Attorney General), </w:t>
      </w:r>
      <w:r w:rsidRPr="00AC3C31">
        <w:rPr>
          <w:rFonts w:cs="Arial"/>
          <w:lang w:val="en-CA"/>
        </w:rPr>
        <w:t xml:space="preserve">2011 SCC 12, [2011] </w:t>
      </w:r>
      <w:proofErr w:type="gramStart"/>
      <w:r w:rsidRPr="00AC3C31">
        <w:rPr>
          <w:rFonts w:cs="Arial"/>
          <w:lang w:val="en-CA"/>
        </w:rPr>
        <w:t>1</w:t>
      </w:r>
      <w:proofErr w:type="gramEnd"/>
      <w:r w:rsidRPr="00AC3C31">
        <w:rPr>
          <w:rFonts w:cs="Arial"/>
          <w:lang w:val="en-CA"/>
        </w:rPr>
        <w:t xml:space="preserve"> SCR 396 at para. 58.</w:t>
      </w:r>
    </w:p>
  </w:footnote>
  <w:footnote w:id="20">
    <w:p w14:paraId="00EDBEF7" w14:textId="0AB9E2BC" w:rsidR="00F54ACD" w:rsidRPr="00AC3C31" w:rsidRDefault="00F54ACD">
      <w:pPr>
        <w:pStyle w:val="Notedebasdepage"/>
        <w:rPr>
          <w:rFonts w:cs="Arial"/>
          <w:lang w:val="en-CA"/>
        </w:rPr>
      </w:pPr>
      <w:r w:rsidRPr="00AC3C31">
        <w:rPr>
          <w:rStyle w:val="Appelnotedebasdep"/>
          <w:rFonts w:cs="Arial"/>
          <w:lang w:val="en-CA"/>
        </w:rPr>
        <w:footnoteRef/>
      </w:r>
      <w:r w:rsidRPr="00AC3C31">
        <w:rPr>
          <w:rFonts w:cs="Arial"/>
          <w:lang w:val="en-CA"/>
        </w:rPr>
        <w:t xml:space="preserve"> </w:t>
      </w:r>
      <w:r w:rsidRPr="00AC3C31">
        <w:rPr>
          <w:rFonts w:cs="Arial"/>
          <w:lang w:val="en-CA"/>
        </w:rPr>
        <w:tab/>
        <w:t xml:space="preserve">There is no provision in the </w:t>
      </w:r>
      <w:r w:rsidRPr="00AC3C31">
        <w:rPr>
          <w:rFonts w:cs="Arial"/>
          <w:i/>
          <w:lang w:val="en-CA"/>
        </w:rPr>
        <w:t xml:space="preserve">Quebec Charter </w:t>
      </w:r>
      <w:r w:rsidR="00AB4EBC" w:rsidRPr="00AC3C31">
        <w:rPr>
          <w:rFonts w:cs="Arial"/>
          <w:lang w:val="en-CA"/>
        </w:rPr>
        <w:t xml:space="preserve">equivalent </w:t>
      </w:r>
      <w:r w:rsidRPr="00AC3C31">
        <w:rPr>
          <w:rFonts w:cs="Arial"/>
          <w:lang w:val="en-CA"/>
        </w:rPr>
        <w:t xml:space="preserve">to s. 3.1 </w:t>
      </w:r>
      <w:r w:rsidR="00AB4EBC">
        <w:rPr>
          <w:rFonts w:cs="Arial"/>
          <w:lang w:val="en-CA"/>
        </w:rPr>
        <w:t xml:space="preserve">found in </w:t>
      </w:r>
      <w:r w:rsidRPr="00AC3C31">
        <w:rPr>
          <w:rFonts w:cs="Arial"/>
          <w:lang w:val="en-CA"/>
        </w:rPr>
        <w:t xml:space="preserve">the </w:t>
      </w:r>
      <w:r w:rsidRPr="00AC3C31">
        <w:rPr>
          <w:rFonts w:cs="Arial"/>
          <w:i/>
          <w:lang w:val="en-CA"/>
        </w:rPr>
        <w:t>Canadian Human Rights Act</w:t>
      </w:r>
      <w:r w:rsidRPr="00AC3C31">
        <w:rPr>
          <w:rFonts w:cs="Arial"/>
          <w:lang w:val="en-CA"/>
        </w:rPr>
        <w:t xml:space="preserve"> (RSC 1985, c. H-6)</w:t>
      </w:r>
      <w:r w:rsidR="00AB4EBC">
        <w:rPr>
          <w:rFonts w:cs="Arial"/>
          <w:lang w:val="en-CA"/>
        </w:rPr>
        <w:t xml:space="preserve"> since 1998</w:t>
      </w:r>
      <w:r w:rsidRPr="00AC3C31">
        <w:rPr>
          <w:rFonts w:cs="Arial"/>
          <w:lang w:val="en-CA"/>
        </w:rPr>
        <w:t xml:space="preserve">: “For greater certainty, a discriminatory practice includes a practice based on one or more prohibited grounds of discrimination or on the effect of a combination of prohibited grounds.”   </w:t>
      </w:r>
    </w:p>
  </w:footnote>
  <w:footnote w:id="21">
    <w:p w14:paraId="3BC3A9BA" w14:textId="6EDA959B" w:rsidR="00F54ACD" w:rsidRPr="004C2CFC" w:rsidRDefault="00F54ACD">
      <w:pPr>
        <w:pStyle w:val="Notedebasdepage"/>
        <w:rPr>
          <w:rFonts w:cs="Arial"/>
        </w:rPr>
      </w:pPr>
      <w:r w:rsidRPr="00AC3C31">
        <w:rPr>
          <w:rStyle w:val="Appelnotedebasdep"/>
          <w:rFonts w:cs="Arial"/>
          <w:lang w:val="en-CA"/>
        </w:rPr>
        <w:footnoteRef/>
      </w:r>
      <w:r w:rsidRPr="00AC3C31">
        <w:rPr>
          <w:rFonts w:cs="Arial"/>
          <w:lang w:val="en-CA"/>
        </w:rPr>
        <w:t xml:space="preserve"> </w:t>
      </w:r>
      <w:r w:rsidRPr="00AC3C31">
        <w:rPr>
          <w:rFonts w:cs="Arial"/>
          <w:lang w:val="en-CA"/>
        </w:rPr>
        <w:tab/>
      </w:r>
      <w:r w:rsidRPr="00AC3C31">
        <w:rPr>
          <w:rFonts w:cs="Arial"/>
          <w:i/>
          <w:lang w:val="en-CA"/>
        </w:rPr>
        <w:t>Fraser v. Canada (Attorney General)</w:t>
      </w:r>
      <w:r w:rsidRPr="00AC3C31">
        <w:rPr>
          <w:rFonts w:cs="Arial"/>
          <w:lang w:val="en-CA"/>
        </w:rPr>
        <w:t xml:space="preserve">, 2020 SCC 28 at para. </w:t>
      </w:r>
      <w:r w:rsidRPr="004C2CFC">
        <w:rPr>
          <w:rFonts w:cs="Arial"/>
        </w:rPr>
        <w:t>116.</w:t>
      </w:r>
    </w:p>
  </w:footnote>
  <w:footnote w:id="22">
    <w:p w14:paraId="5C530D8D" w14:textId="05BAA76A" w:rsidR="00F54ACD" w:rsidRPr="004C2CFC" w:rsidRDefault="00F54ACD">
      <w:pPr>
        <w:pStyle w:val="Notedebasdepage"/>
      </w:pPr>
      <w:r w:rsidRPr="00AC3C31">
        <w:rPr>
          <w:rStyle w:val="Appelnotedebasdep"/>
          <w:lang w:val="en-CA"/>
        </w:rPr>
        <w:footnoteRef/>
      </w:r>
      <w:r w:rsidRPr="004C2CFC">
        <w:t xml:space="preserve"> </w:t>
      </w:r>
      <w:r w:rsidRPr="004C2CFC">
        <w:tab/>
      </w:r>
      <w:proofErr w:type="spellStart"/>
      <w:r w:rsidRPr="004C2CFC">
        <w:t>Sirma</w:t>
      </w:r>
      <w:proofErr w:type="spellEnd"/>
      <w:r w:rsidRPr="004C2CFC">
        <w:t xml:space="preserve"> </w:t>
      </w:r>
      <w:r w:rsidR="00B4130D" w:rsidRPr="004C2CFC">
        <w:t xml:space="preserve">BILGE </w:t>
      </w:r>
      <w:r w:rsidRPr="004C2CFC">
        <w:t xml:space="preserve">&amp; Olivier </w:t>
      </w:r>
      <w:r w:rsidR="00B4130D" w:rsidRPr="004C2CFC">
        <w:t>ROY</w:t>
      </w:r>
      <w:r w:rsidRPr="004C2CFC">
        <w:t xml:space="preserve">, “La discrimination </w:t>
      </w:r>
      <w:proofErr w:type="spellStart"/>
      <w:r w:rsidRPr="004C2CFC">
        <w:t>intersectionnelle</w:t>
      </w:r>
      <w:proofErr w:type="spellEnd"/>
      <w:r w:rsidRPr="004C2CFC">
        <w:t>: la naissance et le développement d’un concept et les paradoxes de sa mise en application en droit antidiscriminatoire”, (2010) 25-1</w:t>
      </w:r>
      <w:r w:rsidRPr="004C2CFC">
        <w:rPr>
          <w:i/>
        </w:rPr>
        <w:t xml:space="preserve"> Canadian Journal of Law and Society / Revue Canadienne Droit et Société</w:t>
      </w:r>
      <w:r w:rsidRPr="004C2CFC">
        <w:t xml:space="preserve"> 51 at 66 </w:t>
      </w:r>
      <w:r w:rsidRPr="004C2CFC">
        <w:rPr>
          <w:i/>
        </w:rPr>
        <w:t xml:space="preserve">et </w:t>
      </w:r>
      <w:proofErr w:type="spellStart"/>
      <w:r w:rsidRPr="004C2CFC">
        <w:rPr>
          <w:i/>
        </w:rPr>
        <w:t>seq</w:t>
      </w:r>
      <w:proofErr w:type="spellEnd"/>
      <w:r w:rsidRPr="004C2CFC">
        <w:t>.</w:t>
      </w:r>
    </w:p>
  </w:footnote>
  <w:footnote w:id="23">
    <w:p w14:paraId="793BBC60" w14:textId="3AC85C7E" w:rsidR="00F54ACD" w:rsidRPr="004C2CFC" w:rsidRDefault="00F54ACD" w:rsidP="00F54ACD">
      <w:pPr>
        <w:pStyle w:val="Notedebasdepage"/>
        <w:rPr>
          <w:rFonts w:cs="Arial"/>
        </w:rPr>
      </w:pPr>
      <w:r w:rsidRPr="00AC3C31">
        <w:rPr>
          <w:rStyle w:val="Appelnotedebasdep"/>
          <w:rFonts w:cs="Arial"/>
          <w:lang w:val="en-CA"/>
        </w:rPr>
        <w:footnoteRef/>
      </w:r>
      <w:r w:rsidRPr="004C2CFC">
        <w:rPr>
          <w:rFonts w:cs="Arial"/>
        </w:rPr>
        <w:t xml:space="preserve"> </w:t>
      </w:r>
      <w:r w:rsidRPr="004C2CFC">
        <w:rPr>
          <w:rFonts w:cs="Arial"/>
        </w:rPr>
        <w:tab/>
        <w:t xml:space="preserve">Vanessa </w:t>
      </w:r>
      <w:r w:rsidR="00B4130D" w:rsidRPr="004C2CFC">
        <w:rPr>
          <w:rFonts w:cs="Arial"/>
        </w:rPr>
        <w:t>TANGUAY</w:t>
      </w:r>
      <w:r w:rsidRPr="004C2CFC">
        <w:rPr>
          <w:rFonts w:cs="Arial"/>
        </w:rPr>
        <w:t>, “La Charte québécoise des droits et libertés permet-elle de mobiliser l’</w:t>
      </w:r>
      <w:proofErr w:type="spellStart"/>
      <w:r w:rsidRPr="004C2CFC">
        <w:rPr>
          <w:rFonts w:cs="Arial"/>
        </w:rPr>
        <w:t>intersectionnalité</w:t>
      </w:r>
      <w:proofErr w:type="spellEnd"/>
      <w:r w:rsidRPr="004C2CFC">
        <w:rPr>
          <w:rFonts w:cs="Arial"/>
        </w:rPr>
        <w:t xml:space="preserve"> comme cadre d’analyse de la discrimination? Quelques pistes de réflexion”, (2021) 36-1 </w:t>
      </w:r>
      <w:r w:rsidRPr="004C2CFC">
        <w:rPr>
          <w:rFonts w:cs="Arial"/>
          <w:i/>
        </w:rPr>
        <w:t>Canadian Journal of Law and Society / Revue Canadienne Droit et Société</w:t>
      </w:r>
      <w:r w:rsidRPr="004C2CFC">
        <w:rPr>
          <w:rFonts w:cs="Arial"/>
        </w:rPr>
        <w:t xml:space="preserve"> 47 at 50. </w:t>
      </w:r>
    </w:p>
  </w:footnote>
  <w:footnote w:id="24">
    <w:p w14:paraId="03B6AD22" w14:textId="72F5A9DB"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 xml:space="preserve">Section 58 of the </w:t>
      </w:r>
      <w:r w:rsidRPr="00AC3C31">
        <w:rPr>
          <w:i/>
          <w:lang w:val="en-CA"/>
        </w:rPr>
        <w:t>Charter</w:t>
      </w:r>
      <w:r w:rsidRPr="00AC3C31">
        <w:rPr>
          <w:lang w:val="en-CA"/>
        </w:rPr>
        <w:t>.</w:t>
      </w:r>
    </w:p>
  </w:footnote>
  <w:footnote w:id="25">
    <w:p w14:paraId="121CA761" w14:textId="7DC958BE"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 xml:space="preserve">Section 62 of the </w:t>
      </w:r>
      <w:r w:rsidRPr="00AC3C31">
        <w:rPr>
          <w:i/>
          <w:lang w:val="en-CA"/>
        </w:rPr>
        <w:t>Charter</w:t>
      </w:r>
      <w:r w:rsidRPr="00AC3C31">
        <w:rPr>
          <w:lang w:val="en-CA"/>
        </w:rPr>
        <w:t>.</w:t>
      </w:r>
    </w:p>
  </w:footnote>
  <w:footnote w:id="26">
    <w:p w14:paraId="704DE64A" w14:textId="4BD9D31C"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 xml:space="preserve">2015 SCC 16, [2015] </w:t>
      </w:r>
      <w:proofErr w:type="gramStart"/>
      <w:r w:rsidRPr="00AC3C31">
        <w:rPr>
          <w:lang w:val="en-CA"/>
        </w:rPr>
        <w:t>2</w:t>
      </w:r>
      <w:proofErr w:type="gramEnd"/>
      <w:r w:rsidRPr="00AC3C31">
        <w:rPr>
          <w:lang w:val="en-CA"/>
        </w:rPr>
        <w:t> SCR 3.</w:t>
      </w:r>
    </w:p>
  </w:footnote>
  <w:footnote w:id="27">
    <w:p w14:paraId="77888B9B" w14:textId="12B8C2DF"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r>
      <w:r w:rsidRPr="00AC3C31">
        <w:rPr>
          <w:i/>
          <w:lang w:val="en-CA"/>
        </w:rPr>
        <w:t>Ibid</w:t>
      </w:r>
      <w:r w:rsidRPr="00AC3C31">
        <w:rPr>
          <w:lang w:val="en-CA"/>
        </w:rPr>
        <w:t>. at para. 40.</w:t>
      </w:r>
    </w:p>
  </w:footnote>
  <w:footnote w:id="28">
    <w:p w14:paraId="4C60BAB6" w14:textId="32887A00"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 xml:space="preserve">Section 84 of the </w:t>
      </w:r>
      <w:r w:rsidRPr="00AC3C31">
        <w:rPr>
          <w:i/>
          <w:lang w:val="en-CA"/>
        </w:rPr>
        <w:t>Charter</w:t>
      </w:r>
      <w:r w:rsidRPr="00AC3C31">
        <w:rPr>
          <w:lang w:val="en-CA"/>
        </w:rPr>
        <w:t>.</w:t>
      </w:r>
    </w:p>
  </w:footnote>
  <w:footnote w:id="29">
    <w:p w14:paraId="35E7A645" w14:textId="0059C2CF" w:rsidR="00F54ACD" w:rsidRPr="00AC3C31" w:rsidRDefault="00F54ACD">
      <w:pPr>
        <w:pStyle w:val="Notedebasdepage"/>
        <w:rPr>
          <w:lang w:val="en-CA"/>
        </w:rPr>
      </w:pPr>
      <w:r w:rsidRPr="00AC3C31">
        <w:rPr>
          <w:rStyle w:val="Appelnotedebasdep"/>
          <w:lang w:val="en-CA"/>
        </w:rPr>
        <w:footnoteRef/>
      </w:r>
      <w:r w:rsidRPr="007A38CE">
        <w:rPr>
          <w:lang w:val="en-CA"/>
        </w:rPr>
        <w:t xml:space="preserve"> </w:t>
      </w:r>
      <w:r w:rsidRPr="007A38CE">
        <w:rPr>
          <w:lang w:val="en-CA"/>
        </w:rPr>
        <w:tab/>
      </w:r>
      <w:proofErr w:type="spellStart"/>
      <w:r w:rsidRPr="007A38CE">
        <w:rPr>
          <w:i/>
          <w:lang w:val="en-CA"/>
        </w:rPr>
        <w:t>Mouvement</w:t>
      </w:r>
      <w:proofErr w:type="spellEnd"/>
      <w:r w:rsidRPr="007A38CE">
        <w:rPr>
          <w:i/>
          <w:lang w:val="en-CA"/>
        </w:rPr>
        <w:t xml:space="preserve"> </w:t>
      </w:r>
      <w:proofErr w:type="spellStart"/>
      <w:r w:rsidRPr="007A38CE">
        <w:rPr>
          <w:i/>
          <w:lang w:val="en-CA"/>
        </w:rPr>
        <w:t>laïque</w:t>
      </w:r>
      <w:proofErr w:type="spellEnd"/>
      <w:r w:rsidRPr="007A38CE">
        <w:rPr>
          <w:i/>
          <w:lang w:val="en-CA"/>
        </w:rPr>
        <w:t xml:space="preserve"> </w:t>
      </w:r>
      <w:proofErr w:type="spellStart"/>
      <w:r w:rsidRPr="007A38CE">
        <w:rPr>
          <w:i/>
          <w:lang w:val="en-CA"/>
        </w:rPr>
        <w:t>québécois</w:t>
      </w:r>
      <w:proofErr w:type="spellEnd"/>
      <w:r w:rsidRPr="007A38CE">
        <w:rPr>
          <w:i/>
          <w:lang w:val="en-CA"/>
        </w:rPr>
        <w:t xml:space="preserve"> v. Saguenay (City</w:t>
      </w:r>
      <w:proofErr w:type="gramStart"/>
      <w:r w:rsidRPr="007A38CE">
        <w:rPr>
          <w:i/>
          <w:lang w:val="en-CA"/>
        </w:rPr>
        <w:t>)</w:t>
      </w:r>
      <w:r w:rsidRPr="007A38CE">
        <w:rPr>
          <w:lang w:val="en-CA"/>
        </w:rPr>
        <w:t>,</w:t>
      </w:r>
      <w:proofErr w:type="gramEnd"/>
      <w:r w:rsidRPr="007A38CE">
        <w:rPr>
          <w:lang w:val="en-CA"/>
        </w:rPr>
        <w:t xml:space="preserve"> </w:t>
      </w:r>
      <w:r w:rsidRPr="007A38CE">
        <w:rPr>
          <w:i/>
          <w:lang w:val="en-CA"/>
        </w:rPr>
        <w:t xml:space="preserve">supra </w:t>
      </w:r>
      <w:r w:rsidRPr="007A38CE">
        <w:rPr>
          <w:lang w:val="en-CA"/>
        </w:rPr>
        <w:t xml:space="preserve">note 26 at paras. </w:t>
      </w:r>
      <w:r w:rsidRPr="00AC3C31">
        <w:rPr>
          <w:lang w:val="en-CA"/>
        </w:rPr>
        <w:t>57 and 60.</w:t>
      </w:r>
    </w:p>
  </w:footnote>
  <w:footnote w:id="30">
    <w:p w14:paraId="40D23C61" w14:textId="416B5F04" w:rsidR="0002673C" w:rsidRPr="007A38CE" w:rsidRDefault="0002673C" w:rsidP="0002673C">
      <w:pPr>
        <w:pStyle w:val="Notedebasdepage"/>
        <w:rPr>
          <w:lang w:val="en-CA"/>
        </w:rPr>
      </w:pPr>
      <w:r>
        <w:rPr>
          <w:rStyle w:val="Appelnotedebasdep"/>
        </w:rPr>
        <w:footnoteRef/>
      </w:r>
      <w:r w:rsidRPr="007A38CE">
        <w:rPr>
          <w:lang w:val="en-CA"/>
        </w:rPr>
        <w:t xml:space="preserve"> </w:t>
      </w:r>
      <w:r w:rsidRPr="007A38CE">
        <w:rPr>
          <w:lang w:val="en-CA"/>
        </w:rPr>
        <w:tab/>
      </w:r>
      <w:proofErr w:type="spellStart"/>
      <w:r w:rsidRPr="007A38CE">
        <w:rPr>
          <w:i/>
          <w:lang w:val="en-CA"/>
        </w:rPr>
        <w:t>Amer</w:t>
      </w:r>
      <w:proofErr w:type="spellEnd"/>
      <w:r w:rsidRPr="007A38CE">
        <w:rPr>
          <w:i/>
          <w:lang w:val="en-CA"/>
        </w:rPr>
        <w:t xml:space="preserve"> c. </w:t>
      </w:r>
      <w:proofErr w:type="spellStart"/>
      <w:r w:rsidRPr="007A38CE">
        <w:rPr>
          <w:i/>
          <w:lang w:val="en-CA"/>
        </w:rPr>
        <w:t>Bédard-Lafrance</w:t>
      </w:r>
      <w:proofErr w:type="spellEnd"/>
      <w:r w:rsidRPr="007A38CE">
        <w:rPr>
          <w:lang w:val="en-CA"/>
        </w:rPr>
        <w:t xml:space="preserve">, 2021 QCTDP 38 at para. </w:t>
      </w:r>
      <w:proofErr w:type="gramStart"/>
      <w:r w:rsidRPr="007A38CE">
        <w:rPr>
          <w:lang w:val="en-CA"/>
        </w:rPr>
        <w:t>91</w:t>
      </w:r>
      <w:proofErr w:type="gramEnd"/>
      <w:r w:rsidRPr="007A38CE">
        <w:rPr>
          <w:lang w:val="en-CA"/>
        </w:rPr>
        <w:t xml:space="preserve"> </w:t>
      </w:r>
      <w:r w:rsidRPr="007A38CE">
        <w:rPr>
          <w:i/>
          <w:lang w:val="en-CA"/>
        </w:rPr>
        <w:t>et seq</w:t>
      </w:r>
      <w:r w:rsidRPr="007A38CE">
        <w:rPr>
          <w:lang w:val="en-CA"/>
        </w:rPr>
        <w:t>.</w:t>
      </w:r>
    </w:p>
  </w:footnote>
  <w:footnote w:id="31">
    <w:p w14:paraId="12E269DB" w14:textId="4449CCE5" w:rsidR="00F54ACD" w:rsidRPr="004C2CFC" w:rsidRDefault="00F54ACD" w:rsidP="0002673C">
      <w:pPr>
        <w:pStyle w:val="Notedebasdepage"/>
      </w:pPr>
      <w:r w:rsidRPr="00AC3C31">
        <w:rPr>
          <w:rStyle w:val="Appelnotedebasdep"/>
          <w:lang w:val="en-CA"/>
        </w:rPr>
        <w:footnoteRef/>
      </w:r>
      <w:r w:rsidRPr="00AC3C31">
        <w:rPr>
          <w:lang w:val="en-CA"/>
        </w:rPr>
        <w:t xml:space="preserve"> </w:t>
      </w:r>
      <w:r w:rsidRPr="00AC3C31">
        <w:rPr>
          <w:lang w:val="en-CA"/>
        </w:rPr>
        <w:tab/>
      </w:r>
      <w:proofErr w:type="spellStart"/>
      <w:r w:rsidR="0002673C" w:rsidRPr="00AC3C31">
        <w:rPr>
          <w:i/>
          <w:lang w:val="en-CA"/>
        </w:rPr>
        <w:t>Yapi</w:t>
      </w:r>
      <w:proofErr w:type="spellEnd"/>
      <w:r w:rsidR="0002673C" w:rsidRPr="00AC3C31">
        <w:rPr>
          <w:i/>
          <w:lang w:val="en-CA"/>
        </w:rPr>
        <w:t xml:space="preserve"> c. </w:t>
      </w:r>
      <w:proofErr w:type="spellStart"/>
      <w:r w:rsidR="0002673C" w:rsidRPr="00AC3C31">
        <w:rPr>
          <w:i/>
          <w:lang w:val="en-CA"/>
        </w:rPr>
        <w:t>Moustafa</w:t>
      </w:r>
      <w:proofErr w:type="spellEnd"/>
      <w:r w:rsidR="0002673C" w:rsidRPr="00AC3C31">
        <w:rPr>
          <w:lang w:val="en-CA"/>
        </w:rPr>
        <w:t xml:space="preserve">, 2021 QCTDP 9 at para. </w:t>
      </w:r>
      <w:r w:rsidR="0002673C" w:rsidRPr="004C2CFC">
        <w:t xml:space="preserve">56 </w:t>
      </w:r>
      <w:r w:rsidR="0002673C" w:rsidRPr="004C2CFC">
        <w:rPr>
          <w:i/>
        </w:rPr>
        <w:t xml:space="preserve">et </w:t>
      </w:r>
      <w:proofErr w:type="spellStart"/>
      <w:r w:rsidR="0002673C" w:rsidRPr="004C2CFC">
        <w:rPr>
          <w:i/>
        </w:rPr>
        <w:t>seq</w:t>
      </w:r>
      <w:proofErr w:type="spellEnd"/>
      <w:r w:rsidRPr="004C2CFC">
        <w:t>.</w:t>
      </w:r>
    </w:p>
  </w:footnote>
  <w:footnote w:id="32">
    <w:p w14:paraId="0D293DC2" w14:textId="74039C4C" w:rsidR="00F54ACD" w:rsidRPr="00AC3C31" w:rsidRDefault="00F54ACD">
      <w:pPr>
        <w:pStyle w:val="Notedebasdepage"/>
        <w:rPr>
          <w:lang w:val="en-CA"/>
        </w:rPr>
      </w:pPr>
      <w:r w:rsidRPr="00AC3C31">
        <w:rPr>
          <w:rStyle w:val="Appelnotedebasdep"/>
          <w:lang w:val="en-CA"/>
        </w:rPr>
        <w:footnoteRef/>
      </w:r>
      <w:r w:rsidRPr="004C2CFC">
        <w:t xml:space="preserve"> </w:t>
      </w:r>
      <w:r w:rsidRPr="004C2CFC">
        <w:tab/>
      </w:r>
      <w:r w:rsidRPr="004C2CFC">
        <w:rPr>
          <w:i/>
        </w:rPr>
        <w:t>Bombardier, supra</w:t>
      </w:r>
      <w:r w:rsidRPr="004C2CFC">
        <w:t xml:space="preserve"> note 6 at para. </w:t>
      </w:r>
      <w:r w:rsidRPr="00AC3C31">
        <w:rPr>
          <w:lang w:val="en-CA"/>
        </w:rPr>
        <w:t>48.</w:t>
      </w:r>
    </w:p>
  </w:footnote>
  <w:footnote w:id="33">
    <w:p w14:paraId="0232ED28" w14:textId="59BE935B"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r>
      <w:r w:rsidRPr="00AC3C31">
        <w:rPr>
          <w:i/>
          <w:lang w:val="en-CA"/>
        </w:rPr>
        <w:t>Ibid</w:t>
      </w:r>
      <w:r w:rsidRPr="00AC3C31">
        <w:rPr>
          <w:lang w:val="en-CA"/>
        </w:rPr>
        <w:t xml:space="preserve">. at para. 56. </w:t>
      </w:r>
    </w:p>
  </w:footnote>
  <w:footnote w:id="34">
    <w:p w14:paraId="76C0DB6A" w14:textId="4AB8DBF8"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 xml:space="preserve">Exhibit P-4, </w:t>
      </w:r>
      <w:r w:rsidRPr="00AC3C31">
        <w:rPr>
          <w:i/>
          <w:lang w:val="en-CA"/>
        </w:rPr>
        <w:t>supra</w:t>
      </w:r>
      <w:r w:rsidRPr="00AC3C31">
        <w:rPr>
          <w:lang w:val="en-CA"/>
        </w:rPr>
        <w:t xml:space="preserve"> note </w:t>
      </w:r>
      <w:proofErr w:type="gramStart"/>
      <w:r w:rsidRPr="00AC3C31">
        <w:rPr>
          <w:lang w:val="en-CA"/>
        </w:rPr>
        <w:t>4</w:t>
      </w:r>
      <w:proofErr w:type="gramEnd"/>
      <w:r w:rsidRPr="00AC3C31">
        <w:rPr>
          <w:lang w:val="en-CA"/>
        </w:rPr>
        <w:t>.</w:t>
      </w:r>
    </w:p>
  </w:footnote>
  <w:footnote w:id="35">
    <w:p w14:paraId="5FAE6114" w14:textId="59616E2A"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Exhibit D-4, Policy posted in the convenience store.</w:t>
      </w:r>
    </w:p>
  </w:footnote>
  <w:footnote w:id="36">
    <w:p w14:paraId="3FCF1881" w14:textId="02804939" w:rsidR="00F54ACD" w:rsidRPr="004C2CFC" w:rsidRDefault="00F54ACD">
      <w:pPr>
        <w:pStyle w:val="Notedebasdepage"/>
      </w:pPr>
      <w:r w:rsidRPr="00AC3C31">
        <w:rPr>
          <w:rStyle w:val="Appelnotedebasdep"/>
          <w:lang w:val="en-CA"/>
        </w:rPr>
        <w:footnoteRef/>
      </w:r>
      <w:r w:rsidRPr="004C2CFC">
        <w:t xml:space="preserve"> </w:t>
      </w:r>
      <w:r w:rsidRPr="004C2CFC">
        <w:tab/>
      </w:r>
      <w:proofErr w:type="spellStart"/>
      <w:r w:rsidRPr="004C2CFC">
        <w:t>Exhibit</w:t>
      </w:r>
      <w:proofErr w:type="spellEnd"/>
      <w:r w:rsidRPr="004C2CFC">
        <w:t xml:space="preserve"> P-4, </w:t>
      </w:r>
      <w:r w:rsidRPr="004C2CFC">
        <w:rPr>
          <w:i/>
        </w:rPr>
        <w:t>supra</w:t>
      </w:r>
      <w:r w:rsidRPr="004C2CFC">
        <w:t xml:space="preserve"> note 4.</w:t>
      </w:r>
    </w:p>
  </w:footnote>
  <w:footnote w:id="37">
    <w:p w14:paraId="06EBD759" w14:textId="2DF101FC" w:rsidR="00F54ACD" w:rsidRPr="007A38CE" w:rsidRDefault="00F54ACD" w:rsidP="00F54ACD">
      <w:pPr>
        <w:pStyle w:val="Notedebasdepage"/>
      </w:pPr>
      <w:r w:rsidRPr="00AC3C31">
        <w:rPr>
          <w:rStyle w:val="Appelnotedebasdep"/>
          <w:lang w:val="en-CA"/>
        </w:rPr>
        <w:footnoteRef/>
      </w:r>
      <w:r w:rsidRPr="004C2CFC">
        <w:t xml:space="preserve"> </w:t>
      </w:r>
      <w:r w:rsidRPr="004C2CFC">
        <w:tab/>
      </w:r>
      <w:r w:rsidRPr="004C2CFC">
        <w:rPr>
          <w:i/>
        </w:rPr>
        <w:t>Commission des droits de la personne et des droits de la jeunesse (</w:t>
      </w:r>
      <w:proofErr w:type="spellStart"/>
      <w:r w:rsidRPr="004C2CFC">
        <w:rPr>
          <w:i/>
        </w:rPr>
        <w:t>Dorion</w:t>
      </w:r>
      <w:proofErr w:type="spellEnd"/>
      <w:r w:rsidRPr="004C2CFC">
        <w:rPr>
          <w:i/>
        </w:rPr>
        <w:t xml:space="preserve"> et une autre) c. Englander</w:t>
      </w:r>
      <w:r w:rsidRPr="004C2CFC">
        <w:t xml:space="preserve">, 2021 QCTDP 17 at para. </w:t>
      </w:r>
      <w:proofErr w:type="gramStart"/>
      <w:r w:rsidRPr="00AC3C31">
        <w:rPr>
          <w:lang w:val="en-CA"/>
        </w:rPr>
        <w:t>53</w:t>
      </w:r>
      <w:proofErr w:type="gramEnd"/>
      <w:r w:rsidRPr="00AC3C31">
        <w:rPr>
          <w:lang w:val="en-CA"/>
        </w:rPr>
        <w:t xml:space="preserve">: </w:t>
      </w:r>
      <w:r w:rsidRPr="00AC3C31">
        <w:rPr>
          <w:rFonts w:cs="Arial"/>
          <w:lang w:val="en-CA"/>
        </w:rPr>
        <w:t>[</w:t>
      </w:r>
      <w:r w:rsidRPr="00AC3C31">
        <w:rPr>
          <w:rFonts w:cs="Arial"/>
          <w:smallCaps/>
          <w:lang w:val="en-CA"/>
        </w:rPr>
        <w:t>translation</w:t>
      </w:r>
      <w:r w:rsidRPr="00AC3C31">
        <w:rPr>
          <w:rFonts w:cs="Arial"/>
          <w:lang w:val="en-CA"/>
        </w:rPr>
        <w:t>]</w:t>
      </w:r>
      <w:r w:rsidRPr="00AC3C31">
        <w:rPr>
          <w:lang w:val="en-CA"/>
        </w:rPr>
        <w:t xml:space="preserve"> “… a fact that arises after the dispute is admissible if relevant”. </w:t>
      </w:r>
      <w:proofErr w:type="spellStart"/>
      <w:r w:rsidRPr="004C2CFC">
        <w:t>See</w:t>
      </w:r>
      <w:proofErr w:type="spellEnd"/>
      <w:r w:rsidRPr="004C2CFC">
        <w:t xml:space="preserve"> </w:t>
      </w:r>
      <w:proofErr w:type="spellStart"/>
      <w:r w:rsidRPr="004C2CFC">
        <w:t>also</w:t>
      </w:r>
      <w:proofErr w:type="spellEnd"/>
      <w:r w:rsidRPr="004C2CFC">
        <w:t xml:space="preserve"> </w:t>
      </w:r>
      <w:r w:rsidRPr="004C2CFC">
        <w:rPr>
          <w:i/>
        </w:rPr>
        <w:t>Commission des droits de la personne et des droits de la jeunesse (Samson-</w:t>
      </w:r>
      <w:r w:rsidR="007A38CE">
        <w:rPr>
          <w:i/>
        </w:rPr>
        <w:t xml:space="preserve"> </w:t>
      </w:r>
    </w:p>
  </w:footnote>
  <w:footnote w:id="38">
    <w:p w14:paraId="20B11394" w14:textId="4EA891CA"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 xml:space="preserve">Exhibit D-3. See also exhibit D-5, which reveals that the police also intervened at the convenience store on September 18, 2019, and on November 28, 2020.  </w:t>
      </w:r>
    </w:p>
  </w:footnote>
  <w:footnote w:id="39">
    <w:p w14:paraId="4448C89E" w14:textId="79B812B2" w:rsidR="00F54ACD" w:rsidRPr="00AC3C31" w:rsidRDefault="00F54ACD">
      <w:pPr>
        <w:pStyle w:val="Notedebasdepage"/>
        <w:rPr>
          <w:lang w:val="en-CA"/>
        </w:rPr>
      </w:pPr>
      <w:r w:rsidRPr="00AC3C31">
        <w:rPr>
          <w:rStyle w:val="Appelnotedebasdep"/>
          <w:lang w:val="en-CA"/>
        </w:rPr>
        <w:footnoteRef/>
      </w:r>
      <w:r w:rsidRPr="00AC3C31">
        <w:rPr>
          <w:lang w:val="en-CA"/>
        </w:rPr>
        <w:t xml:space="preserve"> </w:t>
      </w:r>
      <w:r w:rsidRPr="00AC3C31">
        <w:rPr>
          <w:lang w:val="en-CA"/>
        </w:rPr>
        <w:tab/>
        <w:t xml:space="preserve">2017 QCCA 286 at para. </w:t>
      </w:r>
      <w:proofErr w:type="gramStart"/>
      <w:r w:rsidRPr="00AC3C31">
        <w:rPr>
          <w:lang w:val="en-CA"/>
        </w:rPr>
        <w:t>18,</w:t>
      </w:r>
      <w:proofErr w:type="gramEnd"/>
      <w:r w:rsidRPr="00AC3C31">
        <w:rPr>
          <w:lang w:val="en-CA"/>
        </w:rPr>
        <w:t xml:space="preserve"> leave to appeal to SCC refused, 37538 (17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BBED" w14:textId="14DF8034" w:rsidR="002E331A" w:rsidRDefault="00B4130D">
    <w:pPr>
      <w:pStyle w:val="En-tte"/>
    </w:pPr>
    <w:r>
      <w:rPr>
        <w:noProof/>
      </w:rPr>
      <w:pict w14:anchorId="41207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76219" o:spid="_x0000_s2050" type="#_x0000_t136" style="position:absolute;margin-left:0;margin-top:0;width:594pt;height:66pt;rotation:315;z-index:-251655168;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AE0B" w14:textId="056BD528" w:rsidR="00F54ACD" w:rsidRDefault="00B4130D">
    <w:pPr>
      <w:tabs>
        <w:tab w:val="center" w:pos="4709"/>
        <w:tab w:val="right" w:pos="9360"/>
      </w:tabs>
      <w:ind w:right="524"/>
    </w:pPr>
    <w:r>
      <w:rPr>
        <w:noProof/>
      </w:rPr>
      <w:pict w14:anchorId="5EBCD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76220" o:spid="_x0000_s2051" type="#_x0000_t136" style="position:absolute;margin-left:0;margin-top:0;width:594pt;height:66pt;rotation:315;z-index:-25165312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F54ACD">
      <w:t>500-53-000572-204</w:t>
    </w:r>
    <w:r w:rsidR="00F54ACD">
      <w:tab/>
    </w:r>
    <w:r w:rsidR="00F54ACD">
      <w:tab/>
    </w:r>
    <w:r w:rsidR="00F54ACD" w:rsidRPr="009439C5">
      <w:t>PAGE:</w:t>
    </w:r>
    <w:r w:rsidR="00F54ACD">
      <w:t xml:space="preserve"> </w:t>
    </w:r>
    <w:r w:rsidR="00F54ACD">
      <w:fldChar w:fldCharType="begin"/>
    </w:r>
    <w:r w:rsidR="00F54ACD">
      <w:instrText xml:space="preserve"> PAGE </w:instrText>
    </w:r>
    <w:r w:rsidR="00F54ACD">
      <w:fldChar w:fldCharType="separate"/>
    </w:r>
    <w:r>
      <w:rPr>
        <w:noProof/>
      </w:rPr>
      <w:t>15</w:t>
    </w:r>
    <w:r w:rsidR="00F54ACD">
      <w:fldChar w:fldCharType="end"/>
    </w:r>
  </w:p>
  <w:p w14:paraId="2F12C0C7" w14:textId="77777777" w:rsidR="00F54ACD" w:rsidRDefault="00F54ACD">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B19E" w14:textId="5A65D688" w:rsidR="002E331A" w:rsidRDefault="00B4130D">
    <w:pPr>
      <w:pStyle w:val="En-tte"/>
    </w:pPr>
    <w:r>
      <w:rPr>
        <w:noProof/>
      </w:rPr>
      <w:pict w14:anchorId="39B47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76218" o:spid="_x0000_s2049" type="#_x0000_t136" style="position:absolute;margin-left:0;margin-top:0;width:594pt;height:66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07D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EF3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163F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EE6F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B67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6AAD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501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6A6F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8A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40F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4E7A"/>
    <w:multiLevelType w:val="hybridMultilevel"/>
    <w:tmpl w:val="468E3246"/>
    <w:lvl w:ilvl="0" w:tplc="019ADA80">
      <w:start w:val="2"/>
      <w:numFmt w:val="bullet"/>
      <w:lvlText w:val=""/>
      <w:lvlJc w:val="left"/>
      <w:pPr>
        <w:ind w:left="720" w:hanging="360"/>
      </w:pPr>
      <w:rPr>
        <w:rFonts w:ascii="Symbol" w:eastAsia="Times New Roman" w:hAnsi="Symbol" w:cs="Times New Roman" w:hint="default"/>
      </w:rPr>
    </w:lvl>
    <w:lvl w:ilvl="1" w:tplc="EF9AA97A" w:tentative="1">
      <w:start w:val="1"/>
      <w:numFmt w:val="bullet"/>
      <w:lvlText w:val="o"/>
      <w:lvlJc w:val="left"/>
      <w:pPr>
        <w:ind w:left="1440" w:hanging="360"/>
      </w:pPr>
      <w:rPr>
        <w:rFonts w:ascii="Courier New" w:hAnsi="Courier New" w:cs="Courier New" w:hint="default"/>
      </w:rPr>
    </w:lvl>
    <w:lvl w:ilvl="2" w:tplc="19EE2536" w:tentative="1">
      <w:start w:val="1"/>
      <w:numFmt w:val="bullet"/>
      <w:lvlText w:val=""/>
      <w:lvlJc w:val="left"/>
      <w:pPr>
        <w:ind w:left="2160" w:hanging="360"/>
      </w:pPr>
      <w:rPr>
        <w:rFonts w:ascii="Wingdings" w:hAnsi="Wingdings" w:hint="default"/>
      </w:rPr>
    </w:lvl>
    <w:lvl w:ilvl="3" w:tplc="F9E8E720" w:tentative="1">
      <w:start w:val="1"/>
      <w:numFmt w:val="bullet"/>
      <w:lvlText w:val=""/>
      <w:lvlJc w:val="left"/>
      <w:pPr>
        <w:ind w:left="2880" w:hanging="360"/>
      </w:pPr>
      <w:rPr>
        <w:rFonts w:ascii="Symbol" w:hAnsi="Symbol" w:hint="default"/>
      </w:rPr>
    </w:lvl>
    <w:lvl w:ilvl="4" w:tplc="3BA45604" w:tentative="1">
      <w:start w:val="1"/>
      <w:numFmt w:val="bullet"/>
      <w:lvlText w:val="o"/>
      <w:lvlJc w:val="left"/>
      <w:pPr>
        <w:ind w:left="3600" w:hanging="360"/>
      </w:pPr>
      <w:rPr>
        <w:rFonts w:ascii="Courier New" w:hAnsi="Courier New" w:cs="Courier New" w:hint="default"/>
      </w:rPr>
    </w:lvl>
    <w:lvl w:ilvl="5" w:tplc="414C76E0" w:tentative="1">
      <w:start w:val="1"/>
      <w:numFmt w:val="bullet"/>
      <w:lvlText w:val=""/>
      <w:lvlJc w:val="left"/>
      <w:pPr>
        <w:ind w:left="4320" w:hanging="360"/>
      </w:pPr>
      <w:rPr>
        <w:rFonts w:ascii="Wingdings" w:hAnsi="Wingdings" w:hint="default"/>
      </w:rPr>
    </w:lvl>
    <w:lvl w:ilvl="6" w:tplc="F44A6350" w:tentative="1">
      <w:start w:val="1"/>
      <w:numFmt w:val="bullet"/>
      <w:lvlText w:val=""/>
      <w:lvlJc w:val="left"/>
      <w:pPr>
        <w:ind w:left="5040" w:hanging="360"/>
      </w:pPr>
      <w:rPr>
        <w:rFonts w:ascii="Symbol" w:hAnsi="Symbol" w:hint="default"/>
      </w:rPr>
    </w:lvl>
    <w:lvl w:ilvl="7" w:tplc="7CA64BFE" w:tentative="1">
      <w:start w:val="1"/>
      <w:numFmt w:val="bullet"/>
      <w:lvlText w:val="o"/>
      <w:lvlJc w:val="left"/>
      <w:pPr>
        <w:ind w:left="5760" w:hanging="360"/>
      </w:pPr>
      <w:rPr>
        <w:rFonts w:ascii="Courier New" w:hAnsi="Courier New" w:cs="Courier New" w:hint="default"/>
      </w:rPr>
    </w:lvl>
    <w:lvl w:ilvl="8" w:tplc="DB32A99C" w:tentative="1">
      <w:start w:val="1"/>
      <w:numFmt w:val="bullet"/>
      <w:lvlText w:val=""/>
      <w:lvlJc w:val="left"/>
      <w:pPr>
        <w:ind w:left="6480" w:hanging="360"/>
      </w:pPr>
      <w:rPr>
        <w:rFonts w:ascii="Wingdings" w:hAnsi="Wingdings" w:hint="default"/>
      </w:rPr>
    </w:lvl>
  </w:abstractNum>
  <w:abstractNum w:abstractNumId="11" w15:restartNumberingAfterBreak="0">
    <w:nsid w:val="02BF0BEA"/>
    <w:multiLevelType w:val="hybridMultilevel"/>
    <w:tmpl w:val="656EAD6C"/>
    <w:lvl w:ilvl="0" w:tplc="0EF8A986">
      <w:start w:val="1"/>
      <w:numFmt w:val="lowerRoman"/>
      <w:lvlText w:val="%1)"/>
      <w:lvlJc w:val="left"/>
      <w:pPr>
        <w:ind w:left="1080" w:hanging="720"/>
      </w:pPr>
      <w:rPr>
        <w:rFonts w:hint="default"/>
        <w:i w:val="0"/>
      </w:rPr>
    </w:lvl>
    <w:lvl w:ilvl="1" w:tplc="E438BC9C">
      <w:start w:val="1"/>
      <w:numFmt w:val="lowerLetter"/>
      <w:lvlText w:val="%2."/>
      <w:lvlJc w:val="left"/>
      <w:pPr>
        <w:ind w:left="1440" w:hanging="360"/>
      </w:pPr>
    </w:lvl>
    <w:lvl w:ilvl="2" w:tplc="53D8EA7E" w:tentative="1">
      <w:start w:val="1"/>
      <w:numFmt w:val="lowerRoman"/>
      <w:lvlText w:val="%3."/>
      <w:lvlJc w:val="right"/>
      <w:pPr>
        <w:ind w:left="2160" w:hanging="180"/>
      </w:pPr>
    </w:lvl>
    <w:lvl w:ilvl="3" w:tplc="7802579E" w:tentative="1">
      <w:start w:val="1"/>
      <w:numFmt w:val="decimal"/>
      <w:lvlText w:val="%4."/>
      <w:lvlJc w:val="left"/>
      <w:pPr>
        <w:ind w:left="2880" w:hanging="360"/>
      </w:pPr>
    </w:lvl>
    <w:lvl w:ilvl="4" w:tplc="A32C570A" w:tentative="1">
      <w:start w:val="1"/>
      <w:numFmt w:val="lowerLetter"/>
      <w:lvlText w:val="%5."/>
      <w:lvlJc w:val="left"/>
      <w:pPr>
        <w:ind w:left="3600" w:hanging="360"/>
      </w:pPr>
    </w:lvl>
    <w:lvl w:ilvl="5" w:tplc="8FCE7B40" w:tentative="1">
      <w:start w:val="1"/>
      <w:numFmt w:val="lowerRoman"/>
      <w:lvlText w:val="%6."/>
      <w:lvlJc w:val="right"/>
      <w:pPr>
        <w:ind w:left="4320" w:hanging="180"/>
      </w:pPr>
    </w:lvl>
    <w:lvl w:ilvl="6" w:tplc="B0CADDF6" w:tentative="1">
      <w:start w:val="1"/>
      <w:numFmt w:val="decimal"/>
      <w:lvlText w:val="%7."/>
      <w:lvlJc w:val="left"/>
      <w:pPr>
        <w:ind w:left="5040" w:hanging="360"/>
      </w:pPr>
    </w:lvl>
    <w:lvl w:ilvl="7" w:tplc="D1FEA35A" w:tentative="1">
      <w:start w:val="1"/>
      <w:numFmt w:val="lowerLetter"/>
      <w:lvlText w:val="%8."/>
      <w:lvlJc w:val="left"/>
      <w:pPr>
        <w:ind w:left="5760" w:hanging="360"/>
      </w:pPr>
    </w:lvl>
    <w:lvl w:ilvl="8" w:tplc="3C063A8A" w:tentative="1">
      <w:start w:val="1"/>
      <w:numFmt w:val="lowerRoman"/>
      <w:lvlText w:val="%9."/>
      <w:lvlJc w:val="right"/>
      <w:pPr>
        <w:ind w:left="6480" w:hanging="180"/>
      </w:pPr>
    </w:lvl>
  </w:abstractNum>
  <w:abstractNum w:abstractNumId="12" w15:restartNumberingAfterBreak="0">
    <w:nsid w:val="0E6977C4"/>
    <w:multiLevelType w:val="multilevel"/>
    <w:tmpl w:val="781C253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15A92599"/>
    <w:multiLevelType w:val="hybridMultilevel"/>
    <w:tmpl w:val="A21A6874"/>
    <w:lvl w:ilvl="0" w:tplc="9F5627F2">
      <w:start w:val="2"/>
      <w:numFmt w:val="bullet"/>
      <w:lvlText w:val=""/>
      <w:lvlJc w:val="left"/>
      <w:pPr>
        <w:ind w:left="720" w:hanging="360"/>
      </w:pPr>
      <w:rPr>
        <w:rFonts w:ascii="Symbol" w:eastAsia="Times New Roman" w:hAnsi="Symbol" w:cs="Times New Roman" w:hint="default"/>
      </w:rPr>
    </w:lvl>
    <w:lvl w:ilvl="1" w:tplc="E7240630" w:tentative="1">
      <w:start w:val="1"/>
      <w:numFmt w:val="bullet"/>
      <w:lvlText w:val="o"/>
      <w:lvlJc w:val="left"/>
      <w:pPr>
        <w:ind w:left="1440" w:hanging="360"/>
      </w:pPr>
      <w:rPr>
        <w:rFonts w:ascii="Courier New" w:hAnsi="Courier New" w:cs="Courier New" w:hint="default"/>
      </w:rPr>
    </w:lvl>
    <w:lvl w:ilvl="2" w:tplc="BE7E6B40" w:tentative="1">
      <w:start w:val="1"/>
      <w:numFmt w:val="bullet"/>
      <w:lvlText w:val=""/>
      <w:lvlJc w:val="left"/>
      <w:pPr>
        <w:ind w:left="2160" w:hanging="360"/>
      </w:pPr>
      <w:rPr>
        <w:rFonts w:ascii="Wingdings" w:hAnsi="Wingdings" w:hint="default"/>
      </w:rPr>
    </w:lvl>
    <w:lvl w:ilvl="3" w:tplc="CF3CDCAE" w:tentative="1">
      <w:start w:val="1"/>
      <w:numFmt w:val="bullet"/>
      <w:lvlText w:val=""/>
      <w:lvlJc w:val="left"/>
      <w:pPr>
        <w:ind w:left="2880" w:hanging="360"/>
      </w:pPr>
      <w:rPr>
        <w:rFonts w:ascii="Symbol" w:hAnsi="Symbol" w:hint="default"/>
      </w:rPr>
    </w:lvl>
    <w:lvl w:ilvl="4" w:tplc="837E21DA" w:tentative="1">
      <w:start w:val="1"/>
      <w:numFmt w:val="bullet"/>
      <w:lvlText w:val="o"/>
      <w:lvlJc w:val="left"/>
      <w:pPr>
        <w:ind w:left="3600" w:hanging="360"/>
      </w:pPr>
      <w:rPr>
        <w:rFonts w:ascii="Courier New" w:hAnsi="Courier New" w:cs="Courier New" w:hint="default"/>
      </w:rPr>
    </w:lvl>
    <w:lvl w:ilvl="5" w:tplc="FA6451BE" w:tentative="1">
      <w:start w:val="1"/>
      <w:numFmt w:val="bullet"/>
      <w:lvlText w:val=""/>
      <w:lvlJc w:val="left"/>
      <w:pPr>
        <w:ind w:left="4320" w:hanging="360"/>
      </w:pPr>
      <w:rPr>
        <w:rFonts w:ascii="Wingdings" w:hAnsi="Wingdings" w:hint="default"/>
      </w:rPr>
    </w:lvl>
    <w:lvl w:ilvl="6" w:tplc="34A2A316" w:tentative="1">
      <w:start w:val="1"/>
      <w:numFmt w:val="bullet"/>
      <w:lvlText w:val=""/>
      <w:lvlJc w:val="left"/>
      <w:pPr>
        <w:ind w:left="5040" w:hanging="360"/>
      </w:pPr>
      <w:rPr>
        <w:rFonts w:ascii="Symbol" w:hAnsi="Symbol" w:hint="default"/>
      </w:rPr>
    </w:lvl>
    <w:lvl w:ilvl="7" w:tplc="26A048E8" w:tentative="1">
      <w:start w:val="1"/>
      <w:numFmt w:val="bullet"/>
      <w:lvlText w:val="o"/>
      <w:lvlJc w:val="left"/>
      <w:pPr>
        <w:ind w:left="5760" w:hanging="360"/>
      </w:pPr>
      <w:rPr>
        <w:rFonts w:ascii="Courier New" w:hAnsi="Courier New" w:cs="Courier New" w:hint="default"/>
      </w:rPr>
    </w:lvl>
    <w:lvl w:ilvl="8" w:tplc="6D72452E" w:tentative="1">
      <w:start w:val="1"/>
      <w:numFmt w:val="bullet"/>
      <w:lvlText w:val=""/>
      <w:lvlJc w:val="left"/>
      <w:pPr>
        <w:ind w:left="6480" w:hanging="360"/>
      </w:pPr>
      <w:rPr>
        <w:rFonts w:ascii="Wingdings" w:hAnsi="Wingdings" w:hint="default"/>
      </w:rPr>
    </w:lvl>
  </w:abstractNum>
  <w:abstractNum w:abstractNumId="14" w15:restartNumberingAfterBreak="0">
    <w:nsid w:val="1F7D341A"/>
    <w:multiLevelType w:val="multilevel"/>
    <w:tmpl w:val="A33A51D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9DE545F"/>
    <w:multiLevelType w:val="multilevel"/>
    <w:tmpl w:val="C116F6C6"/>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lowerRoman"/>
      <w:pStyle w:val="Titre5"/>
      <w:lvlText w:val="(%5)"/>
      <w:lvlJc w:val="left"/>
      <w:pPr>
        <w:ind w:left="2880" w:firstLine="0"/>
      </w:pPr>
      <w:rPr>
        <w:rFonts w:hint="default"/>
        <w:b w:val="0"/>
        <w:i w:val="0"/>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6" w15:restartNumberingAfterBreak="0">
    <w:nsid w:val="29E97F82"/>
    <w:multiLevelType w:val="multilevel"/>
    <w:tmpl w:val="DFBAA75E"/>
    <w:lvl w:ilvl="0">
      <w:start w:val="1"/>
      <w:numFmt w:val="decimal"/>
      <w:lvlText w:val="%1."/>
      <w:lvlJc w:val="left"/>
      <w:pPr>
        <w:tabs>
          <w:tab w:val="num" w:pos="1094"/>
        </w:tabs>
        <w:ind w:left="734" w:firstLine="0"/>
      </w:pPr>
      <w:rPr>
        <w:rFonts w:hint="default"/>
        <w:b w:val="0"/>
        <w:i w:val="0"/>
        <w:sz w:val="24"/>
      </w:rPr>
    </w:lvl>
    <w:lvl w:ilvl="1">
      <w:start w:val="1"/>
      <w:numFmt w:val="decimal"/>
      <w:lvlText w:val="%1.%2."/>
      <w:lvlJc w:val="left"/>
      <w:pPr>
        <w:tabs>
          <w:tab w:val="num" w:pos="1526"/>
        </w:tabs>
        <w:ind w:left="1526" w:hanging="432"/>
      </w:pPr>
    </w:lvl>
    <w:lvl w:ilvl="2">
      <w:start w:val="1"/>
      <w:numFmt w:val="decimal"/>
      <w:lvlText w:val="%1.%2.%3."/>
      <w:lvlJc w:val="left"/>
      <w:pPr>
        <w:tabs>
          <w:tab w:val="num" w:pos="2174"/>
        </w:tabs>
        <w:ind w:left="1958" w:hanging="504"/>
      </w:pPr>
    </w:lvl>
    <w:lvl w:ilvl="3">
      <w:start w:val="1"/>
      <w:numFmt w:val="decimal"/>
      <w:lvlText w:val="%1.%2.%3.%4."/>
      <w:lvlJc w:val="left"/>
      <w:pPr>
        <w:tabs>
          <w:tab w:val="num" w:pos="2462"/>
        </w:tabs>
        <w:ind w:left="2462" w:hanging="648"/>
      </w:pPr>
    </w:lvl>
    <w:lvl w:ilvl="4">
      <w:start w:val="1"/>
      <w:numFmt w:val="decimal"/>
      <w:lvlText w:val="%1.%2.%3.%4.%5."/>
      <w:lvlJc w:val="left"/>
      <w:pPr>
        <w:tabs>
          <w:tab w:val="num" w:pos="3254"/>
        </w:tabs>
        <w:ind w:left="2966" w:hanging="792"/>
      </w:pPr>
    </w:lvl>
    <w:lvl w:ilvl="5">
      <w:start w:val="1"/>
      <w:numFmt w:val="decimal"/>
      <w:lvlText w:val="%1.%2.%3.%4.%5.%6."/>
      <w:lvlJc w:val="left"/>
      <w:pPr>
        <w:tabs>
          <w:tab w:val="num" w:pos="3974"/>
        </w:tabs>
        <w:ind w:left="3470" w:hanging="936"/>
      </w:pPr>
    </w:lvl>
    <w:lvl w:ilvl="6">
      <w:start w:val="1"/>
      <w:numFmt w:val="decimal"/>
      <w:lvlText w:val="%1.%2.%3.%4.%5.%6.%7."/>
      <w:lvlJc w:val="left"/>
      <w:pPr>
        <w:tabs>
          <w:tab w:val="num" w:pos="4334"/>
        </w:tabs>
        <w:ind w:left="3974" w:hanging="1080"/>
      </w:pPr>
    </w:lvl>
    <w:lvl w:ilvl="7">
      <w:start w:val="1"/>
      <w:numFmt w:val="decimal"/>
      <w:lvlText w:val="%1.%2.%3.%4.%5.%6.%7.%8."/>
      <w:lvlJc w:val="left"/>
      <w:pPr>
        <w:tabs>
          <w:tab w:val="num" w:pos="5054"/>
        </w:tabs>
        <w:ind w:left="4478" w:hanging="1224"/>
      </w:pPr>
    </w:lvl>
    <w:lvl w:ilvl="8">
      <w:start w:val="1"/>
      <w:numFmt w:val="decimal"/>
      <w:lvlText w:val="%1.%2.%3.%4.%5.%6.%7.%8.%9."/>
      <w:lvlJc w:val="left"/>
      <w:pPr>
        <w:tabs>
          <w:tab w:val="num" w:pos="5774"/>
        </w:tabs>
        <w:ind w:left="5054" w:hanging="1440"/>
      </w:pPr>
    </w:lvl>
  </w:abstractNum>
  <w:abstractNum w:abstractNumId="17" w15:restartNumberingAfterBreak="0">
    <w:nsid w:val="2BD12CF1"/>
    <w:multiLevelType w:val="multilevel"/>
    <w:tmpl w:val="C91A8326"/>
    <w:lvl w:ilvl="0">
      <w:start w:val="1"/>
      <w:numFmt w:val="decimal"/>
      <w:pStyle w:val="numration"/>
      <w:lvlText w:val="%1)"/>
      <w:lvlJc w:val="left"/>
      <w:pPr>
        <w:tabs>
          <w:tab w:val="num" w:pos="1094"/>
        </w:tabs>
        <w:ind w:left="734" w:firstLine="0"/>
      </w:pPr>
      <w:rPr>
        <w:rFonts w:hint="default"/>
        <w:b w:val="0"/>
        <w:i w:val="0"/>
        <w:sz w:val="24"/>
      </w:rPr>
    </w:lvl>
    <w:lvl w:ilvl="1">
      <w:start w:val="1"/>
      <w:numFmt w:val="decimal"/>
      <w:lvlText w:val="%1.%2."/>
      <w:lvlJc w:val="left"/>
      <w:pPr>
        <w:tabs>
          <w:tab w:val="num" w:pos="1526"/>
        </w:tabs>
        <w:ind w:left="1526" w:hanging="432"/>
      </w:pPr>
    </w:lvl>
    <w:lvl w:ilvl="2">
      <w:start w:val="1"/>
      <w:numFmt w:val="decimal"/>
      <w:lvlText w:val="%1.%2.%3."/>
      <w:lvlJc w:val="left"/>
      <w:pPr>
        <w:tabs>
          <w:tab w:val="num" w:pos="2174"/>
        </w:tabs>
        <w:ind w:left="1958" w:hanging="504"/>
      </w:pPr>
    </w:lvl>
    <w:lvl w:ilvl="3">
      <w:start w:val="1"/>
      <w:numFmt w:val="decimal"/>
      <w:lvlText w:val="%1.%2.%3.%4."/>
      <w:lvlJc w:val="left"/>
      <w:pPr>
        <w:tabs>
          <w:tab w:val="num" w:pos="2462"/>
        </w:tabs>
        <w:ind w:left="2462" w:hanging="648"/>
      </w:pPr>
    </w:lvl>
    <w:lvl w:ilvl="4">
      <w:start w:val="1"/>
      <w:numFmt w:val="decimal"/>
      <w:lvlText w:val="%1.%2.%3.%4.%5."/>
      <w:lvlJc w:val="left"/>
      <w:pPr>
        <w:tabs>
          <w:tab w:val="num" w:pos="3254"/>
        </w:tabs>
        <w:ind w:left="2966" w:hanging="792"/>
      </w:pPr>
    </w:lvl>
    <w:lvl w:ilvl="5">
      <w:start w:val="1"/>
      <w:numFmt w:val="decimal"/>
      <w:lvlText w:val="%1.%2.%3.%4.%5.%6."/>
      <w:lvlJc w:val="left"/>
      <w:pPr>
        <w:tabs>
          <w:tab w:val="num" w:pos="3974"/>
        </w:tabs>
        <w:ind w:left="3470" w:hanging="936"/>
      </w:pPr>
    </w:lvl>
    <w:lvl w:ilvl="6">
      <w:start w:val="1"/>
      <w:numFmt w:val="decimal"/>
      <w:lvlText w:val="%1.%2.%3.%4.%5.%6.%7."/>
      <w:lvlJc w:val="left"/>
      <w:pPr>
        <w:tabs>
          <w:tab w:val="num" w:pos="4334"/>
        </w:tabs>
        <w:ind w:left="3974" w:hanging="1080"/>
      </w:pPr>
    </w:lvl>
    <w:lvl w:ilvl="7">
      <w:start w:val="1"/>
      <w:numFmt w:val="decimal"/>
      <w:lvlText w:val="%1.%2.%3.%4.%5.%6.%7.%8."/>
      <w:lvlJc w:val="left"/>
      <w:pPr>
        <w:tabs>
          <w:tab w:val="num" w:pos="5054"/>
        </w:tabs>
        <w:ind w:left="4478" w:hanging="1224"/>
      </w:pPr>
    </w:lvl>
    <w:lvl w:ilvl="8">
      <w:start w:val="1"/>
      <w:numFmt w:val="decimal"/>
      <w:lvlText w:val="%1.%2.%3.%4.%5.%6.%7.%8.%9."/>
      <w:lvlJc w:val="left"/>
      <w:pPr>
        <w:tabs>
          <w:tab w:val="num" w:pos="5774"/>
        </w:tabs>
        <w:ind w:left="5054" w:hanging="1440"/>
      </w:pPr>
    </w:lvl>
  </w:abstractNum>
  <w:abstractNum w:abstractNumId="18" w15:restartNumberingAfterBreak="0">
    <w:nsid w:val="392F07A6"/>
    <w:multiLevelType w:val="hybridMultilevel"/>
    <w:tmpl w:val="CAC0C8BC"/>
    <w:lvl w:ilvl="0" w:tplc="B7A6D556">
      <w:start w:val="1"/>
      <w:numFmt w:val="upperLetter"/>
      <w:lvlText w:val="%1)"/>
      <w:lvlJc w:val="left"/>
      <w:pPr>
        <w:ind w:left="720" w:hanging="360"/>
      </w:pPr>
      <w:rPr>
        <w:rFonts w:hint="default"/>
      </w:rPr>
    </w:lvl>
    <w:lvl w:ilvl="1" w:tplc="CC56B12A" w:tentative="1">
      <w:start w:val="1"/>
      <w:numFmt w:val="lowerLetter"/>
      <w:lvlText w:val="%2."/>
      <w:lvlJc w:val="left"/>
      <w:pPr>
        <w:ind w:left="1440" w:hanging="360"/>
      </w:pPr>
    </w:lvl>
    <w:lvl w:ilvl="2" w:tplc="1B9468A4" w:tentative="1">
      <w:start w:val="1"/>
      <w:numFmt w:val="lowerRoman"/>
      <w:lvlText w:val="%3."/>
      <w:lvlJc w:val="right"/>
      <w:pPr>
        <w:ind w:left="2160" w:hanging="180"/>
      </w:pPr>
    </w:lvl>
    <w:lvl w:ilvl="3" w:tplc="D7E85910" w:tentative="1">
      <w:start w:val="1"/>
      <w:numFmt w:val="decimal"/>
      <w:lvlText w:val="%4."/>
      <w:lvlJc w:val="left"/>
      <w:pPr>
        <w:ind w:left="2880" w:hanging="360"/>
      </w:pPr>
    </w:lvl>
    <w:lvl w:ilvl="4" w:tplc="46B637C6" w:tentative="1">
      <w:start w:val="1"/>
      <w:numFmt w:val="lowerLetter"/>
      <w:lvlText w:val="%5."/>
      <w:lvlJc w:val="left"/>
      <w:pPr>
        <w:ind w:left="3600" w:hanging="360"/>
      </w:pPr>
    </w:lvl>
    <w:lvl w:ilvl="5" w:tplc="027000F8" w:tentative="1">
      <w:start w:val="1"/>
      <w:numFmt w:val="lowerRoman"/>
      <w:lvlText w:val="%6."/>
      <w:lvlJc w:val="right"/>
      <w:pPr>
        <w:ind w:left="4320" w:hanging="180"/>
      </w:pPr>
    </w:lvl>
    <w:lvl w:ilvl="6" w:tplc="6D828160" w:tentative="1">
      <w:start w:val="1"/>
      <w:numFmt w:val="decimal"/>
      <w:lvlText w:val="%7."/>
      <w:lvlJc w:val="left"/>
      <w:pPr>
        <w:ind w:left="5040" w:hanging="360"/>
      </w:pPr>
    </w:lvl>
    <w:lvl w:ilvl="7" w:tplc="DB7E3208" w:tentative="1">
      <w:start w:val="1"/>
      <w:numFmt w:val="lowerLetter"/>
      <w:lvlText w:val="%8."/>
      <w:lvlJc w:val="left"/>
      <w:pPr>
        <w:ind w:left="5760" w:hanging="360"/>
      </w:pPr>
    </w:lvl>
    <w:lvl w:ilvl="8" w:tplc="BB3A252C" w:tentative="1">
      <w:start w:val="1"/>
      <w:numFmt w:val="lowerRoman"/>
      <w:lvlText w:val="%9."/>
      <w:lvlJc w:val="right"/>
      <w:pPr>
        <w:ind w:left="6480" w:hanging="180"/>
      </w:pPr>
    </w:lvl>
  </w:abstractNum>
  <w:abstractNum w:abstractNumId="19" w15:restartNumberingAfterBreak="0">
    <w:nsid w:val="4003783C"/>
    <w:multiLevelType w:val="hybridMultilevel"/>
    <w:tmpl w:val="180E31FA"/>
    <w:lvl w:ilvl="0" w:tplc="2F38F64C">
      <w:start w:val="2"/>
      <w:numFmt w:val="bullet"/>
      <w:lvlText w:val=""/>
      <w:lvlJc w:val="left"/>
      <w:pPr>
        <w:ind w:left="720" w:hanging="360"/>
      </w:pPr>
      <w:rPr>
        <w:rFonts w:ascii="Symbol" w:eastAsia="Times New Roman" w:hAnsi="Symbol" w:cs="Times New Roman" w:hint="default"/>
      </w:rPr>
    </w:lvl>
    <w:lvl w:ilvl="1" w:tplc="8074655E" w:tentative="1">
      <w:start w:val="1"/>
      <w:numFmt w:val="bullet"/>
      <w:lvlText w:val="o"/>
      <w:lvlJc w:val="left"/>
      <w:pPr>
        <w:ind w:left="1440" w:hanging="360"/>
      </w:pPr>
      <w:rPr>
        <w:rFonts w:ascii="Courier New" w:hAnsi="Courier New" w:cs="Courier New" w:hint="default"/>
      </w:rPr>
    </w:lvl>
    <w:lvl w:ilvl="2" w:tplc="5F9C3680" w:tentative="1">
      <w:start w:val="1"/>
      <w:numFmt w:val="bullet"/>
      <w:lvlText w:val=""/>
      <w:lvlJc w:val="left"/>
      <w:pPr>
        <w:ind w:left="2160" w:hanging="360"/>
      </w:pPr>
      <w:rPr>
        <w:rFonts w:ascii="Wingdings" w:hAnsi="Wingdings" w:hint="default"/>
      </w:rPr>
    </w:lvl>
    <w:lvl w:ilvl="3" w:tplc="1A6E3E4C" w:tentative="1">
      <w:start w:val="1"/>
      <w:numFmt w:val="bullet"/>
      <w:lvlText w:val=""/>
      <w:lvlJc w:val="left"/>
      <w:pPr>
        <w:ind w:left="2880" w:hanging="360"/>
      </w:pPr>
      <w:rPr>
        <w:rFonts w:ascii="Symbol" w:hAnsi="Symbol" w:hint="default"/>
      </w:rPr>
    </w:lvl>
    <w:lvl w:ilvl="4" w:tplc="750267B0" w:tentative="1">
      <w:start w:val="1"/>
      <w:numFmt w:val="bullet"/>
      <w:lvlText w:val="o"/>
      <w:lvlJc w:val="left"/>
      <w:pPr>
        <w:ind w:left="3600" w:hanging="360"/>
      </w:pPr>
      <w:rPr>
        <w:rFonts w:ascii="Courier New" w:hAnsi="Courier New" w:cs="Courier New" w:hint="default"/>
      </w:rPr>
    </w:lvl>
    <w:lvl w:ilvl="5" w:tplc="537ABF36" w:tentative="1">
      <w:start w:val="1"/>
      <w:numFmt w:val="bullet"/>
      <w:lvlText w:val=""/>
      <w:lvlJc w:val="left"/>
      <w:pPr>
        <w:ind w:left="4320" w:hanging="360"/>
      </w:pPr>
      <w:rPr>
        <w:rFonts w:ascii="Wingdings" w:hAnsi="Wingdings" w:hint="default"/>
      </w:rPr>
    </w:lvl>
    <w:lvl w:ilvl="6" w:tplc="0D2A88D0" w:tentative="1">
      <w:start w:val="1"/>
      <w:numFmt w:val="bullet"/>
      <w:lvlText w:val=""/>
      <w:lvlJc w:val="left"/>
      <w:pPr>
        <w:ind w:left="5040" w:hanging="360"/>
      </w:pPr>
      <w:rPr>
        <w:rFonts w:ascii="Symbol" w:hAnsi="Symbol" w:hint="default"/>
      </w:rPr>
    </w:lvl>
    <w:lvl w:ilvl="7" w:tplc="04C43670" w:tentative="1">
      <w:start w:val="1"/>
      <w:numFmt w:val="bullet"/>
      <w:lvlText w:val="o"/>
      <w:lvlJc w:val="left"/>
      <w:pPr>
        <w:ind w:left="5760" w:hanging="360"/>
      </w:pPr>
      <w:rPr>
        <w:rFonts w:ascii="Courier New" w:hAnsi="Courier New" w:cs="Courier New" w:hint="default"/>
      </w:rPr>
    </w:lvl>
    <w:lvl w:ilvl="8" w:tplc="DB88A346" w:tentative="1">
      <w:start w:val="1"/>
      <w:numFmt w:val="bullet"/>
      <w:lvlText w:val=""/>
      <w:lvlJc w:val="left"/>
      <w:pPr>
        <w:ind w:left="6480" w:hanging="360"/>
      </w:pPr>
      <w:rPr>
        <w:rFonts w:ascii="Wingdings" w:hAnsi="Wingdings" w:hint="default"/>
      </w:rPr>
    </w:lvl>
  </w:abstractNum>
  <w:abstractNum w:abstractNumId="20" w15:restartNumberingAfterBreak="0">
    <w:nsid w:val="415528DF"/>
    <w:multiLevelType w:val="hybridMultilevel"/>
    <w:tmpl w:val="7C6E06E8"/>
    <w:lvl w:ilvl="0" w:tplc="7B167842">
      <w:start w:val="1"/>
      <w:numFmt w:val="upperLetter"/>
      <w:lvlText w:val="%1."/>
      <w:lvlJc w:val="left"/>
      <w:pPr>
        <w:ind w:left="720" w:hanging="360"/>
      </w:pPr>
      <w:rPr>
        <w:rFonts w:hint="default"/>
      </w:rPr>
    </w:lvl>
    <w:lvl w:ilvl="1" w:tplc="FBFA3A98" w:tentative="1">
      <w:start w:val="1"/>
      <w:numFmt w:val="lowerLetter"/>
      <w:lvlText w:val="%2."/>
      <w:lvlJc w:val="left"/>
      <w:pPr>
        <w:ind w:left="1440" w:hanging="360"/>
      </w:pPr>
    </w:lvl>
    <w:lvl w:ilvl="2" w:tplc="4C303DAE" w:tentative="1">
      <w:start w:val="1"/>
      <w:numFmt w:val="lowerRoman"/>
      <w:lvlText w:val="%3."/>
      <w:lvlJc w:val="right"/>
      <w:pPr>
        <w:ind w:left="2160" w:hanging="180"/>
      </w:pPr>
    </w:lvl>
    <w:lvl w:ilvl="3" w:tplc="C4CEBDEC" w:tentative="1">
      <w:start w:val="1"/>
      <w:numFmt w:val="decimal"/>
      <w:lvlText w:val="%4."/>
      <w:lvlJc w:val="left"/>
      <w:pPr>
        <w:ind w:left="2880" w:hanging="360"/>
      </w:pPr>
    </w:lvl>
    <w:lvl w:ilvl="4" w:tplc="85744D00" w:tentative="1">
      <w:start w:val="1"/>
      <w:numFmt w:val="lowerLetter"/>
      <w:lvlText w:val="%5."/>
      <w:lvlJc w:val="left"/>
      <w:pPr>
        <w:ind w:left="3600" w:hanging="360"/>
      </w:pPr>
    </w:lvl>
    <w:lvl w:ilvl="5" w:tplc="680ADB88" w:tentative="1">
      <w:start w:val="1"/>
      <w:numFmt w:val="lowerRoman"/>
      <w:lvlText w:val="%6."/>
      <w:lvlJc w:val="right"/>
      <w:pPr>
        <w:ind w:left="4320" w:hanging="180"/>
      </w:pPr>
    </w:lvl>
    <w:lvl w:ilvl="6" w:tplc="A8D6B036" w:tentative="1">
      <w:start w:val="1"/>
      <w:numFmt w:val="decimal"/>
      <w:lvlText w:val="%7."/>
      <w:lvlJc w:val="left"/>
      <w:pPr>
        <w:ind w:left="5040" w:hanging="360"/>
      </w:pPr>
    </w:lvl>
    <w:lvl w:ilvl="7" w:tplc="A87417E2" w:tentative="1">
      <w:start w:val="1"/>
      <w:numFmt w:val="lowerLetter"/>
      <w:lvlText w:val="%8."/>
      <w:lvlJc w:val="left"/>
      <w:pPr>
        <w:ind w:left="5760" w:hanging="360"/>
      </w:pPr>
    </w:lvl>
    <w:lvl w:ilvl="8" w:tplc="957074FA" w:tentative="1">
      <w:start w:val="1"/>
      <w:numFmt w:val="lowerRoman"/>
      <w:lvlText w:val="%9."/>
      <w:lvlJc w:val="right"/>
      <w:pPr>
        <w:ind w:left="6480" w:hanging="180"/>
      </w:pPr>
    </w:lvl>
  </w:abstractNum>
  <w:abstractNum w:abstractNumId="21" w15:restartNumberingAfterBreak="0">
    <w:nsid w:val="609C0DCC"/>
    <w:multiLevelType w:val="multilevel"/>
    <w:tmpl w:val="98DA7FD4"/>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97F6B7D"/>
    <w:multiLevelType w:val="hybridMultilevel"/>
    <w:tmpl w:val="7DE2E0B4"/>
    <w:lvl w:ilvl="0" w:tplc="6F4418EE">
      <w:start w:val="1"/>
      <w:numFmt w:val="upperLetter"/>
      <w:lvlText w:val="%1)"/>
      <w:lvlJc w:val="left"/>
      <w:pPr>
        <w:ind w:left="720" w:hanging="360"/>
      </w:pPr>
      <w:rPr>
        <w:rFonts w:hint="default"/>
      </w:rPr>
    </w:lvl>
    <w:lvl w:ilvl="1" w:tplc="AB3CA730" w:tentative="1">
      <w:start w:val="1"/>
      <w:numFmt w:val="lowerLetter"/>
      <w:lvlText w:val="%2."/>
      <w:lvlJc w:val="left"/>
      <w:pPr>
        <w:ind w:left="1440" w:hanging="360"/>
      </w:pPr>
    </w:lvl>
    <w:lvl w:ilvl="2" w:tplc="792C0954" w:tentative="1">
      <w:start w:val="1"/>
      <w:numFmt w:val="lowerRoman"/>
      <w:lvlText w:val="%3."/>
      <w:lvlJc w:val="right"/>
      <w:pPr>
        <w:ind w:left="2160" w:hanging="180"/>
      </w:pPr>
    </w:lvl>
    <w:lvl w:ilvl="3" w:tplc="1BC26AE0" w:tentative="1">
      <w:start w:val="1"/>
      <w:numFmt w:val="decimal"/>
      <w:lvlText w:val="%4."/>
      <w:lvlJc w:val="left"/>
      <w:pPr>
        <w:ind w:left="2880" w:hanging="360"/>
      </w:pPr>
    </w:lvl>
    <w:lvl w:ilvl="4" w:tplc="7B1EA210" w:tentative="1">
      <w:start w:val="1"/>
      <w:numFmt w:val="lowerLetter"/>
      <w:lvlText w:val="%5."/>
      <w:lvlJc w:val="left"/>
      <w:pPr>
        <w:ind w:left="3600" w:hanging="360"/>
      </w:pPr>
    </w:lvl>
    <w:lvl w:ilvl="5" w:tplc="D538848A" w:tentative="1">
      <w:start w:val="1"/>
      <w:numFmt w:val="lowerRoman"/>
      <w:lvlText w:val="%6."/>
      <w:lvlJc w:val="right"/>
      <w:pPr>
        <w:ind w:left="4320" w:hanging="180"/>
      </w:pPr>
    </w:lvl>
    <w:lvl w:ilvl="6" w:tplc="1A5CA9DE" w:tentative="1">
      <w:start w:val="1"/>
      <w:numFmt w:val="decimal"/>
      <w:lvlText w:val="%7."/>
      <w:lvlJc w:val="left"/>
      <w:pPr>
        <w:ind w:left="5040" w:hanging="360"/>
      </w:pPr>
    </w:lvl>
    <w:lvl w:ilvl="7" w:tplc="2E12F2D8" w:tentative="1">
      <w:start w:val="1"/>
      <w:numFmt w:val="lowerLetter"/>
      <w:lvlText w:val="%8."/>
      <w:lvlJc w:val="left"/>
      <w:pPr>
        <w:ind w:left="5760" w:hanging="360"/>
      </w:pPr>
    </w:lvl>
    <w:lvl w:ilvl="8" w:tplc="0DB074B0" w:tentative="1">
      <w:start w:val="1"/>
      <w:numFmt w:val="lowerRoman"/>
      <w:lvlText w:val="%9."/>
      <w:lvlJc w:val="right"/>
      <w:pPr>
        <w:ind w:left="6480" w:hanging="180"/>
      </w:pPr>
    </w:lvl>
  </w:abstractNum>
  <w:abstractNum w:abstractNumId="23" w15:restartNumberingAfterBreak="0">
    <w:nsid w:val="6B0D1C2C"/>
    <w:multiLevelType w:val="multilevel"/>
    <w:tmpl w:val="090E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F4A43"/>
    <w:multiLevelType w:val="hybridMultilevel"/>
    <w:tmpl w:val="A7E8F9E2"/>
    <w:lvl w:ilvl="0" w:tplc="3F5E7470">
      <w:start w:val="1"/>
      <w:numFmt w:val="upperLetter"/>
      <w:lvlText w:val="%1)"/>
      <w:lvlJc w:val="left"/>
      <w:pPr>
        <w:ind w:left="720" w:hanging="360"/>
      </w:pPr>
      <w:rPr>
        <w:rFonts w:hint="default"/>
      </w:rPr>
    </w:lvl>
    <w:lvl w:ilvl="1" w:tplc="48D43D66" w:tentative="1">
      <w:start w:val="1"/>
      <w:numFmt w:val="lowerLetter"/>
      <w:lvlText w:val="%2."/>
      <w:lvlJc w:val="left"/>
      <w:pPr>
        <w:ind w:left="1440" w:hanging="360"/>
      </w:pPr>
    </w:lvl>
    <w:lvl w:ilvl="2" w:tplc="E3A27C3E" w:tentative="1">
      <w:start w:val="1"/>
      <w:numFmt w:val="lowerRoman"/>
      <w:lvlText w:val="%3."/>
      <w:lvlJc w:val="right"/>
      <w:pPr>
        <w:ind w:left="2160" w:hanging="180"/>
      </w:pPr>
    </w:lvl>
    <w:lvl w:ilvl="3" w:tplc="D32A9E58" w:tentative="1">
      <w:start w:val="1"/>
      <w:numFmt w:val="decimal"/>
      <w:lvlText w:val="%4."/>
      <w:lvlJc w:val="left"/>
      <w:pPr>
        <w:ind w:left="2880" w:hanging="360"/>
      </w:pPr>
    </w:lvl>
    <w:lvl w:ilvl="4" w:tplc="14B83CB0" w:tentative="1">
      <w:start w:val="1"/>
      <w:numFmt w:val="lowerLetter"/>
      <w:lvlText w:val="%5."/>
      <w:lvlJc w:val="left"/>
      <w:pPr>
        <w:ind w:left="3600" w:hanging="360"/>
      </w:pPr>
    </w:lvl>
    <w:lvl w:ilvl="5" w:tplc="75DCFA8C" w:tentative="1">
      <w:start w:val="1"/>
      <w:numFmt w:val="lowerRoman"/>
      <w:lvlText w:val="%6."/>
      <w:lvlJc w:val="right"/>
      <w:pPr>
        <w:ind w:left="4320" w:hanging="180"/>
      </w:pPr>
    </w:lvl>
    <w:lvl w:ilvl="6" w:tplc="7AEC2678" w:tentative="1">
      <w:start w:val="1"/>
      <w:numFmt w:val="decimal"/>
      <w:lvlText w:val="%7."/>
      <w:lvlJc w:val="left"/>
      <w:pPr>
        <w:ind w:left="5040" w:hanging="360"/>
      </w:pPr>
    </w:lvl>
    <w:lvl w:ilvl="7" w:tplc="39502DC8" w:tentative="1">
      <w:start w:val="1"/>
      <w:numFmt w:val="lowerLetter"/>
      <w:lvlText w:val="%8."/>
      <w:lvlJc w:val="left"/>
      <w:pPr>
        <w:ind w:left="5760" w:hanging="360"/>
      </w:pPr>
    </w:lvl>
    <w:lvl w:ilvl="8" w:tplc="9794AB3C" w:tentative="1">
      <w:start w:val="1"/>
      <w:numFmt w:val="lowerRoman"/>
      <w:lvlText w:val="%9."/>
      <w:lvlJc w:val="right"/>
      <w:pPr>
        <w:ind w:left="6480" w:hanging="180"/>
      </w:pPr>
    </w:lvl>
  </w:abstractNum>
  <w:abstractNum w:abstractNumId="25" w15:restartNumberingAfterBreak="0">
    <w:nsid w:val="79D250FB"/>
    <w:multiLevelType w:val="hybridMultilevel"/>
    <w:tmpl w:val="27F422F2"/>
    <w:lvl w:ilvl="0" w:tplc="F4867430">
      <w:start w:val="1"/>
      <w:numFmt w:val="decimal"/>
      <w:lvlText w:val="%1."/>
      <w:lvlJc w:val="left"/>
      <w:pPr>
        <w:ind w:left="720" w:hanging="360"/>
      </w:pPr>
      <w:rPr>
        <w:rFonts w:hint="default"/>
      </w:rPr>
    </w:lvl>
    <w:lvl w:ilvl="1" w:tplc="CCF21FC6" w:tentative="1">
      <w:start w:val="1"/>
      <w:numFmt w:val="lowerLetter"/>
      <w:lvlText w:val="%2."/>
      <w:lvlJc w:val="left"/>
      <w:pPr>
        <w:ind w:left="1440" w:hanging="360"/>
      </w:pPr>
    </w:lvl>
    <w:lvl w:ilvl="2" w:tplc="5D1EB796" w:tentative="1">
      <w:start w:val="1"/>
      <w:numFmt w:val="lowerRoman"/>
      <w:lvlText w:val="%3."/>
      <w:lvlJc w:val="right"/>
      <w:pPr>
        <w:ind w:left="2160" w:hanging="180"/>
      </w:pPr>
    </w:lvl>
    <w:lvl w:ilvl="3" w:tplc="96C23ADA" w:tentative="1">
      <w:start w:val="1"/>
      <w:numFmt w:val="decimal"/>
      <w:lvlText w:val="%4."/>
      <w:lvlJc w:val="left"/>
      <w:pPr>
        <w:ind w:left="2880" w:hanging="360"/>
      </w:pPr>
    </w:lvl>
    <w:lvl w:ilvl="4" w:tplc="07F81434" w:tentative="1">
      <w:start w:val="1"/>
      <w:numFmt w:val="lowerLetter"/>
      <w:lvlText w:val="%5."/>
      <w:lvlJc w:val="left"/>
      <w:pPr>
        <w:ind w:left="3600" w:hanging="360"/>
      </w:pPr>
    </w:lvl>
    <w:lvl w:ilvl="5" w:tplc="54DA95C0" w:tentative="1">
      <w:start w:val="1"/>
      <w:numFmt w:val="lowerRoman"/>
      <w:lvlText w:val="%6."/>
      <w:lvlJc w:val="right"/>
      <w:pPr>
        <w:ind w:left="4320" w:hanging="180"/>
      </w:pPr>
    </w:lvl>
    <w:lvl w:ilvl="6" w:tplc="69BE2B36" w:tentative="1">
      <w:start w:val="1"/>
      <w:numFmt w:val="decimal"/>
      <w:lvlText w:val="%7."/>
      <w:lvlJc w:val="left"/>
      <w:pPr>
        <w:ind w:left="5040" w:hanging="360"/>
      </w:pPr>
    </w:lvl>
    <w:lvl w:ilvl="7" w:tplc="0C022120" w:tentative="1">
      <w:start w:val="1"/>
      <w:numFmt w:val="lowerLetter"/>
      <w:lvlText w:val="%8."/>
      <w:lvlJc w:val="left"/>
      <w:pPr>
        <w:ind w:left="5760" w:hanging="360"/>
      </w:pPr>
    </w:lvl>
    <w:lvl w:ilvl="8" w:tplc="12B05900" w:tentative="1">
      <w:start w:val="1"/>
      <w:numFmt w:val="lowerRoman"/>
      <w:lvlText w:val="%9."/>
      <w:lvlJc w:val="right"/>
      <w:pPr>
        <w:ind w:left="6480" w:hanging="180"/>
      </w:pPr>
    </w:lvl>
  </w:abstractNum>
  <w:abstractNum w:abstractNumId="26" w15:restartNumberingAfterBreak="0">
    <w:nsid w:val="7AAD0DB2"/>
    <w:multiLevelType w:val="hybridMultilevel"/>
    <w:tmpl w:val="7F38F416"/>
    <w:lvl w:ilvl="0" w:tplc="C3BEF80A">
      <w:start w:val="1"/>
      <w:numFmt w:val="upperRoman"/>
      <w:lvlText w:val="%1."/>
      <w:lvlJc w:val="left"/>
      <w:pPr>
        <w:ind w:left="1080" w:hanging="720"/>
      </w:pPr>
      <w:rPr>
        <w:rFonts w:hint="default"/>
      </w:rPr>
    </w:lvl>
    <w:lvl w:ilvl="1" w:tplc="49F6D208" w:tentative="1">
      <w:start w:val="1"/>
      <w:numFmt w:val="lowerLetter"/>
      <w:lvlText w:val="%2."/>
      <w:lvlJc w:val="left"/>
      <w:pPr>
        <w:ind w:left="1440" w:hanging="360"/>
      </w:pPr>
    </w:lvl>
    <w:lvl w:ilvl="2" w:tplc="F76EDB8A" w:tentative="1">
      <w:start w:val="1"/>
      <w:numFmt w:val="lowerRoman"/>
      <w:lvlText w:val="%3."/>
      <w:lvlJc w:val="right"/>
      <w:pPr>
        <w:ind w:left="2160" w:hanging="180"/>
      </w:pPr>
    </w:lvl>
    <w:lvl w:ilvl="3" w:tplc="BED8DCBA" w:tentative="1">
      <w:start w:val="1"/>
      <w:numFmt w:val="decimal"/>
      <w:lvlText w:val="%4."/>
      <w:lvlJc w:val="left"/>
      <w:pPr>
        <w:ind w:left="2880" w:hanging="360"/>
      </w:pPr>
    </w:lvl>
    <w:lvl w:ilvl="4" w:tplc="837CBF4C" w:tentative="1">
      <w:start w:val="1"/>
      <w:numFmt w:val="lowerLetter"/>
      <w:lvlText w:val="%5."/>
      <w:lvlJc w:val="left"/>
      <w:pPr>
        <w:ind w:left="3600" w:hanging="360"/>
      </w:pPr>
    </w:lvl>
    <w:lvl w:ilvl="5" w:tplc="5CEE6BB8" w:tentative="1">
      <w:start w:val="1"/>
      <w:numFmt w:val="lowerRoman"/>
      <w:lvlText w:val="%6."/>
      <w:lvlJc w:val="right"/>
      <w:pPr>
        <w:ind w:left="4320" w:hanging="180"/>
      </w:pPr>
    </w:lvl>
    <w:lvl w:ilvl="6" w:tplc="025E0AD0" w:tentative="1">
      <w:start w:val="1"/>
      <w:numFmt w:val="decimal"/>
      <w:lvlText w:val="%7."/>
      <w:lvlJc w:val="left"/>
      <w:pPr>
        <w:ind w:left="5040" w:hanging="360"/>
      </w:pPr>
    </w:lvl>
    <w:lvl w:ilvl="7" w:tplc="1430E5D4" w:tentative="1">
      <w:start w:val="1"/>
      <w:numFmt w:val="lowerLetter"/>
      <w:lvlText w:val="%8."/>
      <w:lvlJc w:val="left"/>
      <w:pPr>
        <w:ind w:left="5760" w:hanging="360"/>
      </w:pPr>
    </w:lvl>
    <w:lvl w:ilvl="8" w:tplc="782C96B2" w:tentative="1">
      <w:start w:val="1"/>
      <w:numFmt w:val="lowerRoman"/>
      <w:lvlText w:val="%9."/>
      <w:lvlJc w:val="right"/>
      <w:pPr>
        <w:ind w:left="6480" w:hanging="180"/>
      </w:pPr>
    </w:lvl>
  </w:abstractNum>
  <w:num w:numId="1">
    <w:abstractNumId w:val="21"/>
  </w:num>
  <w:num w:numId="2">
    <w:abstractNumId w:val="21"/>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7"/>
  </w:num>
  <w:num w:numId="16">
    <w:abstractNumId w:val="15"/>
  </w:num>
  <w:num w:numId="17">
    <w:abstractNumId w:val="12"/>
  </w:num>
  <w:num w:numId="18">
    <w:abstractNumId w:val="14"/>
  </w:num>
  <w:num w:numId="19">
    <w:abstractNumId w:val="26"/>
  </w:num>
  <w:num w:numId="20">
    <w:abstractNumId w:val="18"/>
  </w:num>
  <w:num w:numId="21">
    <w:abstractNumId w:val="22"/>
  </w:num>
  <w:num w:numId="22">
    <w:abstractNumId w:val="24"/>
  </w:num>
  <w:num w:numId="23">
    <w:abstractNumId w:val="25"/>
  </w:num>
  <w:num w:numId="24">
    <w:abstractNumId w:val="11"/>
  </w:num>
  <w:num w:numId="25">
    <w:abstractNumId w:val="13"/>
  </w:num>
  <w:num w:numId="26">
    <w:abstractNumId w:val="10"/>
  </w:num>
  <w:num w:numId="27">
    <w:abstractNumId w:val="20"/>
  </w:num>
  <w:num w:numId="28">
    <w:abstractNumId w:val="19"/>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35426B-A92D-4772-B679-B77D2E3502AE}"/>
    <w:docVar w:name="dgnword-eventsink" w:val="874298016"/>
  </w:docVars>
  <w:rsids>
    <w:rsidRoot w:val="00FC14C7"/>
    <w:rsid w:val="00016E87"/>
    <w:rsid w:val="0002673C"/>
    <w:rsid w:val="000564F2"/>
    <w:rsid w:val="000B00F6"/>
    <w:rsid w:val="00105D24"/>
    <w:rsid w:val="00121AA2"/>
    <w:rsid w:val="00185F6A"/>
    <w:rsid w:val="001C24D0"/>
    <w:rsid w:val="001C61C9"/>
    <w:rsid w:val="00276020"/>
    <w:rsid w:val="002820CE"/>
    <w:rsid w:val="002A746B"/>
    <w:rsid w:val="002C4ADE"/>
    <w:rsid w:val="002D3EFD"/>
    <w:rsid w:val="002E331A"/>
    <w:rsid w:val="002E4F4B"/>
    <w:rsid w:val="00320F74"/>
    <w:rsid w:val="004C1B97"/>
    <w:rsid w:val="004C2CFC"/>
    <w:rsid w:val="004D21F1"/>
    <w:rsid w:val="00530B12"/>
    <w:rsid w:val="00541D98"/>
    <w:rsid w:val="00543057"/>
    <w:rsid w:val="005A4C40"/>
    <w:rsid w:val="005A4C99"/>
    <w:rsid w:val="006051CB"/>
    <w:rsid w:val="006531EF"/>
    <w:rsid w:val="00661CBB"/>
    <w:rsid w:val="00691475"/>
    <w:rsid w:val="006A11D5"/>
    <w:rsid w:val="006A7447"/>
    <w:rsid w:val="0072468C"/>
    <w:rsid w:val="00743E4A"/>
    <w:rsid w:val="00796D25"/>
    <w:rsid w:val="007A046B"/>
    <w:rsid w:val="007A38CE"/>
    <w:rsid w:val="007B6B4C"/>
    <w:rsid w:val="007C1A87"/>
    <w:rsid w:val="007D4595"/>
    <w:rsid w:val="007F2EAA"/>
    <w:rsid w:val="00813176"/>
    <w:rsid w:val="00876298"/>
    <w:rsid w:val="008A7DB1"/>
    <w:rsid w:val="009230C4"/>
    <w:rsid w:val="009439C5"/>
    <w:rsid w:val="0095373D"/>
    <w:rsid w:val="00972CE8"/>
    <w:rsid w:val="00975016"/>
    <w:rsid w:val="009E19E6"/>
    <w:rsid w:val="00A10393"/>
    <w:rsid w:val="00A23CE3"/>
    <w:rsid w:val="00A36875"/>
    <w:rsid w:val="00AB4EBC"/>
    <w:rsid w:val="00AB54E6"/>
    <w:rsid w:val="00AC3C31"/>
    <w:rsid w:val="00B20010"/>
    <w:rsid w:val="00B4130D"/>
    <w:rsid w:val="00B44D04"/>
    <w:rsid w:val="00B64060"/>
    <w:rsid w:val="00B80629"/>
    <w:rsid w:val="00BC0CB6"/>
    <w:rsid w:val="00BC7B12"/>
    <w:rsid w:val="00BF6AA3"/>
    <w:rsid w:val="00C208D3"/>
    <w:rsid w:val="00C944AA"/>
    <w:rsid w:val="00CC56EA"/>
    <w:rsid w:val="00CF06D6"/>
    <w:rsid w:val="00D27310"/>
    <w:rsid w:val="00D37CCA"/>
    <w:rsid w:val="00DA32BE"/>
    <w:rsid w:val="00DD0EEF"/>
    <w:rsid w:val="00E0679C"/>
    <w:rsid w:val="00E36841"/>
    <w:rsid w:val="00E6464E"/>
    <w:rsid w:val="00EE6B5C"/>
    <w:rsid w:val="00EF7C5D"/>
    <w:rsid w:val="00F07AD5"/>
    <w:rsid w:val="00F16647"/>
    <w:rsid w:val="00F362AF"/>
    <w:rsid w:val="00F54ACD"/>
    <w:rsid w:val="00FA10D8"/>
    <w:rsid w:val="00FC0351"/>
    <w:rsid w:val="00FC14C7"/>
    <w:rsid w:val="00FD0272"/>
    <w:rsid w:val="00FE24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33B273"/>
  <w15:chartTrackingRefBased/>
  <w15:docId w15:val="{FCFA5A70-8F6E-4628-8C98-D88C3B6F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5BC4"/>
    <w:rPr>
      <w:rFonts w:ascii="Arial" w:hAnsi="Arial"/>
      <w:sz w:val="24"/>
      <w:lang w:eastAsia="fr-FR"/>
    </w:rPr>
  </w:style>
  <w:style w:type="paragraph" w:styleId="Titre1">
    <w:name w:val="heading 1"/>
    <w:basedOn w:val="Normal"/>
    <w:next w:val="Normal"/>
    <w:qFormat/>
    <w:rsid w:val="00DF7910"/>
    <w:pPr>
      <w:keepNext/>
      <w:numPr>
        <w:numId w:val="16"/>
      </w:numPr>
      <w:tabs>
        <w:tab w:val="left" w:pos="567"/>
      </w:tabs>
      <w:spacing w:before="120" w:after="120" w:line="480" w:lineRule="exact"/>
      <w:outlineLvl w:val="0"/>
    </w:pPr>
    <w:rPr>
      <w:b/>
      <w:smallCaps/>
      <w:kern w:val="28"/>
      <w:u w:val="single"/>
    </w:rPr>
  </w:style>
  <w:style w:type="paragraph" w:styleId="Titre2">
    <w:name w:val="heading 2"/>
    <w:basedOn w:val="Normal"/>
    <w:next w:val="Normal"/>
    <w:qFormat/>
    <w:rsid w:val="00D74145"/>
    <w:pPr>
      <w:keepNext/>
      <w:numPr>
        <w:ilvl w:val="1"/>
        <w:numId w:val="16"/>
      </w:numPr>
      <w:spacing w:before="120" w:after="120" w:line="480" w:lineRule="exact"/>
      <w:ind w:left="567" w:hanging="567"/>
      <w:outlineLvl w:val="1"/>
    </w:pPr>
    <w:rPr>
      <w:b/>
    </w:rPr>
  </w:style>
  <w:style w:type="paragraph" w:styleId="Titre3">
    <w:name w:val="heading 3"/>
    <w:basedOn w:val="Normal"/>
    <w:next w:val="Normal"/>
    <w:qFormat/>
    <w:rsid w:val="00D74145"/>
    <w:pPr>
      <w:keepNext/>
      <w:numPr>
        <w:ilvl w:val="2"/>
        <w:numId w:val="16"/>
      </w:numPr>
      <w:spacing w:before="120" w:after="120" w:line="480" w:lineRule="exact"/>
      <w:ind w:left="567" w:hanging="567"/>
      <w:outlineLvl w:val="2"/>
    </w:pPr>
    <w:rPr>
      <w:u w:val="single"/>
    </w:rPr>
  </w:style>
  <w:style w:type="paragraph" w:styleId="Titre4">
    <w:name w:val="heading 4"/>
    <w:basedOn w:val="Normal"/>
    <w:next w:val="Normal"/>
    <w:qFormat/>
    <w:rsid w:val="00D74145"/>
    <w:pPr>
      <w:keepNext/>
      <w:numPr>
        <w:ilvl w:val="3"/>
        <w:numId w:val="16"/>
      </w:numPr>
      <w:spacing w:before="120" w:after="120" w:line="480" w:lineRule="exact"/>
      <w:ind w:left="567" w:hanging="567"/>
      <w:outlineLvl w:val="3"/>
    </w:pPr>
    <w:rPr>
      <w:iCs/>
    </w:rPr>
  </w:style>
  <w:style w:type="paragraph" w:styleId="Titre5">
    <w:name w:val="heading 5"/>
    <w:basedOn w:val="Normal"/>
    <w:next w:val="Normal"/>
    <w:rsid w:val="00D74145"/>
    <w:pPr>
      <w:numPr>
        <w:ilvl w:val="4"/>
        <w:numId w:val="16"/>
      </w:numPr>
      <w:spacing w:before="240" w:after="60"/>
      <w:ind w:left="567" w:hanging="567"/>
      <w:outlineLvl w:val="4"/>
    </w:pPr>
    <w:rPr>
      <w:i/>
      <w:iCs/>
      <w:szCs w:val="24"/>
    </w:rPr>
  </w:style>
  <w:style w:type="paragraph" w:styleId="Titre6">
    <w:name w:val="heading 6"/>
    <w:basedOn w:val="Normal"/>
    <w:next w:val="Normal"/>
    <w:pPr>
      <w:numPr>
        <w:ilvl w:val="5"/>
        <w:numId w:val="16"/>
      </w:numPr>
      <w:spacing w:before="240" w:after="60"/>
      <w:outlineLvl w:val="5"/>
    </w:pPr>
    <w:rPr>
      <w:i/>
      <w:sz w:val="22"/>
    </w:rPr>
  </w:style>
  <w:style w:type="paragraph" w:styleId="Titre7">
    <w:name w:val="heading 7"/>
    <w:basedOn w:val="Normal"/>
    <w:next w:val="Normal"/>
    <w:pPr>
      <w:numPr>
        <w:ilvl w:val="6"/>
        <w:numId w:val="16"/>
      </w:numPr>
      <w:spacing w:before="240" w:after="60"/>
      <w:outlineLvl w:val="6"/>
    </w:pPr>
    <w:rPr>
      <w:sz w:val="20"/>
    </w:rPr>
  </w:style>
  <w:style w:type="paragraph" w:styleId="Titre8">
    <w:name w:val="heading 8"/>
    <w:basedOn w:val="Normal"/>
    <w:next w:val="Normal"/>
    <w:pPr>
      <w:numPr>
        <w:ilvl w:val="7"/>
        <w:numId w:val="16"/>
      </w:numPr>
      <w:spacing w:before="240" w:after="60"/>
      <w:outlineLvl w:val="7"/>
    </w:pPr>
    <w:rPr>
      <w:i/>
      <w:sz w:val="20"/>
    </w:rPr>
  </w:style>
  <w:style w:type="paragraph" w:styleId="Titre9">
    <w:name w:val="heading 9"/>
    <w:basedOn w:val="Normal"/>
    <w:next w:val="Normal"/>
    <w:pPr>
      <w:numPr>
        <w:ilvl w:val="8"/>
        <w:numId w:val="16"/>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495107"/>
    <w:pPr>
      <w:numPr>
        <w:numId w:val="2"/>
      </w:numPr>
      <w:tabs>
        <w:tab w:val="left" w:pos="567"/>
      </w:tabs>
      <w:spacing w:before="120" w:after="120" w:line="276" w:lineRule="auto"/>
      <w:jc w:val="both"/>
    </w:pPr>
    <w:rPr>
      <w:kern w:val="28"/>
      <w:lang w:val="en-CA"/>
    </w:rPr>
  </w:style>
  <w:style w:type="paragraph" w:customStyle="1" w:styleId="Citationenretrait">
    <w:name w:val="Citation en retrait"/>
    <w:basedOn w:val="Normal"/>
    <w:link w:val="CitationenretraitCar"/>
    <w:qFormat/>
    <w:rsid w:val="00AE5BC4"/>
    <w:pPr>
      <w:spacing w:after="120" w:line="276" w:lineRule="auto"/>
      <w:ind w:left="567"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link w:val="CorpsdetexteCar"/>
    <w:semiHidden/>
    <w:pPr>
      <w:spacing w:after="120"/>
    </w:pPr>
  </w:style>
  <w:style w:type="paragraph" w:styleId="Notedebasdepage">
    <w:name w:val="footnote text"/>
    <w:basedOn w:val="Normal"/>
    <w:link w:val="NotedebasdepageCar"/>
    <w:semiHidden/>
    <w:qFormat/>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2"/>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lamarge">
    <w:name w:val="Par. à la marge"/>
    <w:basedOn w:val="ParagNonNum"/>
    <w:qFormat/>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link w:val="En-tteCar"/>
    <w:uiPriority w:val="99"/>
    <w:unhideWhenUsed/>
    <w:rsid w:val="00E728B8"/>
    <w:pPr>
      <w:tabs>
        <w:tab w:val="center" w:pos="4320"/>
        <w:tab w:val="right" w:pos="8640"/>
      </w:tabs>
    </w:pPr>
  </w:style>
  <w:style w:type="character" w:customStyle="1" w:styleId="En-tteCar">
    <w:name w:val="En-tête Car"/>
    <w:link w:val="En-tte"/>
    <w:uiPriority w:val="99"/>
    <w:rsid w:val="00E728B8"/>
    <w:rPr>
      <w:rFonts w:ascii="Arial" w:hAnsi="Arial"/>
      <w:sz w:val="24"/>
      <w:lang w:eastAsia="fr-FR"/>
    </w:rPr>
  </w:style>
  <w:style w:type="paragraph" w:styleId="Pieddepage">
    <w:name w:val="footer"/>
    <w:basedOn w:val="Normal"/>
    <w:link w:val="PieddepageCar"/>
    <w:uiPriority w:val="99"/>
    <w:unhideWhenUsed/>
    <w:rsid w:val="00E728B8"/>
    <w:pPr>
      <w:tabs>
        <w:tab w:val="center" w:pos="4320"/>
        <w:tab w:val="right" w:pos="8640"/>
      </w:tabs>
    </w:pPr>
  </w:style>
  <w:style w:type="character" w:customStyle="1" w:styleId="PieddepageCar">
    <w:name w:val="Pied de page Car"/>
    <w:link w:val="Pieddepage"/>
    <w:uiPriority w:val="99"/>
    <w:rsid w:val="00E728B8"/>
    <w:rPr>
      <w:rFonts w:ascii="Arial" w:hAnsi="Arial"/>
      <w:sz w:val="24"/>
      <w:lang w:eastAsia="fr-FR"/>
    </w:rPr>
  </w:style>
  <w:style w:type="paragraph" w:customStyle="1" w:styleId="numration">
    <w:name w:val="Énumération"/>
    <w:basedOn w:val="Paragraphe"/>
    <w:qFormat/>
    <w:rsid w:val="00495107"/>
    <w:pPr>
      <w:numPr>
        <w:numId w:val="15"/>
      </w:numPr>
      <w:tabs>
        <w:tab w:val="clear" w:pos="567"/>
        <w:tab w:val="clear" w:pos="1094"/>
      </w:tabs>
      <w:spacing w:before="0"/>
      <w:ind w:left="1134" w:hanging="567"/>
    </w:pPr>
  </w:style>
  <w:style w:type="character" w:styleId="Appelnotedebasdep">
    <w:name w:val="footnote reference"/>
    <w:uiPriority w:val="99"/>
    <w:semiHidden/>
    <w:unhideWhenUsed/>
    <w:rsid w:val="00AE5BC4"/>
    <w:rPr>
      <w:vertAlign w:val="superscript"/>
    </w:rPr>
  </w:style>
  <w:style w:type="character" w:customStyle="1" w:styleId="CorpsdetexteCar">
    <w:name w:val="Corps de texte Car"/>
    <w:link w:val="Corpsdetexte"/>
    <w:semiHidden/>
    <w:rsid w:val="00AE5BC4"/>
    <w:rPr>
      <w:rFonts w:ascii="Arial" w:hAnsi="Arial"/>
      <w:sz w:val="24"/>
      <w:lang w:eastAsia="fr-FR"/>
    </w:rPr>
  </w:style>
  <w:style w:type="paragraph" w:customStyle="1" w:styleId="Citationdansunecitation">
    <w:name w:val="Citation dans une citation"/>
    <w:basedOn w:val="Citationenretrait"/>
    <w:link w:val="CitationdansunecitationCar"/>
    <w:qFormat/>
    <w:rsid w:val="005C0430"/>
    <w:pPr>
      <w:ind w:left="1134" w:right="1282"/>
    </w:pPr>
    <w:rPr>
      <w:sz w:val="20"/>
    </w:rPr>
  </w:style>
  <w:style w:type="character" w:customStyle="1" w:styleId="CitationenretraitCar">
    <w:name w:val="Citation en retrait Car"/>
    <w:link w:val="Citationenretrait"/>
    <w:rsid w:val="005C0430"/>
    <w:rPr>
      <w:rFonts w:ascii="Arial" w:hAnsi="Arial"/>
      <w:kern w:val="24"/>
      <w:sz w:val="22"/>
      <w:lang w:eastAsia="fr-FR"/>
    </w:rPr>
  </w:style>
  <w:style w:type="character" w:customStyle="1" w:styleId="CitationdansunecitationCar">
    <w:name w:val="Citation dans une citation Car"/>
    <w:link w:val="Citationdansunecitation"/>
    <w:rsid w:val="005C0430"/>
    <w:rPr>
      <w:rFonts w:ascii="Arial" w:hAnsi="Arial"/>
      <w:kern w:val="24"/>
      <w:sz w:val="22"/>
      <w:lang w:eastAsia="fr-FR"/>
    </w:rPr>
  </w:style>
  <w:style w:type="character" w:styleId="Marquedecommentaire">
    <w:name w:val="annotation reference"/>
    <w:basedOn w:val="Policepardfaut"/>
    <w:uiPriority w:val="99"/>
    <w:semiHidden/>
    <w:unhideWhenUsed/>
    <w:rsid w:val="0054289E"/>
    <w:rPr>
      <w:sz w:val="16"/>
      <w:szCs w:val="16"/>
    </w:rPr>
  </w:style>
  <w:style w:type="paragraph" w:styleId="Commentaire">
    <w:name w:val="annotation text"/>
    <w:basedOn w:val="Normal"/>
    <w:link w:val="CommentaireCar"/>
    <w:uiPriority w:val="99"/>
    <w:semiHidden/>
    <w:unhideWhenUsed/>
    <w:rsid w:val="0054289E"/>
    <w:rPr>
      <w:sz w:val="20"/>
    </w:rPr>
  </w:style>
  <w:style w:type="character" w:customStyle="1" w:styleId="CommentaireCar">
    <w:name w:val="Commentaire Car"/>
    <w:basedOn w:val="Policepardfaut"/>
    <w:link w:val="Commentaire"/>
    <w:uiPriority w:val="99"/>
    <w:semiHidden/>
    <w:rsid w:val="0054289E"/>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54289E"/>
    <w:rPr>
      <w:b/>
      <w:bCs/>
    </w:rPr>
  </w:style>
  <w:style w:type="character" w:customStyle="1" w:styleId="ObjetducommentaireCar">
    <w:name w:val="Objet du commentaire Car"/>
    <w:basedOn w:val="CommentaireCar"/>
    <w:link w:val="Objetducommentaire"/>
    <w:uiPriority w:val="99"/>
    <w:semiHidden/>
    <w:rsid w:val="0054289E"/>
    <w:rPr>
      <w:rFonts w:ascii="Arial" w:hAnsi="Arial"/>
      <w:b/>
      <w:bCs/>
      <w:lang w:eastAsia="fr-FR"/>
    </w:rPr>
  </w:style>
  <w:style w:type="paragraph" w:styleId="Textedebulles">
    <w:name w:val="Balloon Text"/>
    <w:basedOn w:val="Normal"/>
    <w:link w:val="TextedebullesCar"/>
    <w:uiPriority w:val="99"/>
    <w:semiHidden/>
    <w:unhideWhenUsed/>
    <w:rsid w:val="005428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289E"/>
    <w:rPr>
      <w:rFonts w:ascii="Segoe UI" w:hAnsi="Segoe UI" w:cs="Segoe UI"/>
      <w:sz w:val="18"/>
      <w:szCs w:val="18"/>
      <w:lang w:eastAsia="fr-FR"/>
    </w:rPr>
  </w:style>
  <w:style w:type="character" w:customStyle="1" w:styleId="canliisection">
    <w:name w:val="canlii_section"/>
    <w:basedOn w:val="Policepardfaut"/>
    <w:rsid w:val="00554D13"/>
  </w:style>
  <w:style w:type="character" w:styleId="Accentuation">
    <w:name w:val="Emphasis"/>
    <w:basedOn w:val="Policepardfaut"/>
    <w:uiPriority w:val="20"/>
    <w:qFormat/>
    <w:rsid w:val="00BD0074"/>
    <w:rPr>
      <w:i/>
      <w:iCs/>
    </w:rPr>
  </w:style>
  <w:style w:type="character" w:customStyle="1" w:styleId="NotedebasdepageCar">
    <w:name w:val="Note de bas de page Car"/>
    <w:basedOn w:val="Policepardfaut"/>
    <w:link w:val="Notedebasdepage"/>
    <w:semiHidden/>
    <w:rsid w:val="001C21F5"/>
    <w:rPr>
      <w:rFonts w:ascii="Arial" w:hAnsi="Arial"/>
      <w:lang w:eastAsia="fr-FR"/>
    </w:rPr>
  </w:style>
  <w:style w:type="character" w:styleId="Lienhypertexte">
    <w:name w:val="Hyperlink"/>
    <w:basedOn w:val="Policepardfaut"/>
    <w:uiPriority w:val="99"/>
    <w:unhideWhenUsed/>
    <w:rsid w:val="000024A2"/>
    <w:rPr>
      <w:color w:val="0000FF"/>
      <w:u w:val="single"/>
    </w:rPr>
  </w:style>
  <w:style w:type="character" w:styleId="Lienhypertextesuivivisit">
    <w:name w:val="FollowedHyperlink"/>
    <w:basedOn w:val="Policepardfaut"/>
    <w:uiPriority w:val="99"/>
    <w:semiHidden/>
    <w:unhideWhenUsed/>
    <w:rsid w:val="00953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9221F-E9B0-4FBA-A1B4-215D6CC1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3560</Words>
  <Characters>19582</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Gabarit EDJ</vt:lpstr>
    </vt:vector>
  </TitlesOfParts>
  <Manager>Stéphane Renauld</Manager>
  <Company>SOQUIJ</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EDJ</dc:title>
  <dc:creator>Ann-Marie Jones</dc:creator>
  <cp:lastModifiedBy>Boucher, Kathleen</cp:lastModifiedBy>
  <cp:revision>9</cp:revision>
  <cp:lastPrinted>2022-01-28T20:29:00Z</cp:lastPrinted>
  <dcterms:created xsi:type="dcterms:W3CDTF">2022-03-14T16:23:00Z</dcterms:created>
  <dcterms:modified xsi:type="dcterms:W3CDTF">2022-03-29T11:32:00Z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CQ</vt:lpwstr>
  </property>
  <property fmtid="{D5CDD505-2E9C-101B-9397-08002B2CF9AE}" pid="3" name="Soquij_DateModification">
    <vt:lpwstr>01/24/2002</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