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88971" w14:textId="12684DE3" w:rsidR="005F75F9" w:rsidRDefault="005F75F9">
      <w:proofErr w:type="spellStart"/>
      <w:r w:rsidRPr="002F51DA">
        <w:rPr>
          <w:bCs/>
          <w:i/>
          <w:iCs/>
        </w:rPr>
        <w:t>Unofficial</w:t>
      </w:r>
      <w:proofErr w:type="spellEnd"/>
      <w:r w:rsidRPr="002F51DA">
        <w:rPr>
          <w:bCs/>
          <w:i/>
          <w:iCs/>
        </w:rPr>
        <w:t xml:space="preserve"> English Translation</w:t>
      </w:r>
    </w:p>
    <w:tbl>
      <w:tblPr>
        <w:tblW w:w="9520" w:type="dxa"/>
        <w:tblLayout w:type="fixed"/>
        <w:tblCellMar>
          <w:left w:w="70" w:type="dxa"/>
          <w:right w:w="70" w:type="dxa"/>
        </w:tblCellMar>
        <w:tblLook w:val="0000" w:firstRow="0" w:lastRow="0" w:firstColumn="0" w:lastColumn="0" w:noHBand="0" w:noVBand="0"/>
      </w:tblPr>
      <w:tblGrid>
        <w:gridCol w:w="1913"/>
        <w:gridCol w:w="691"/>
        <w:gridCol w:w="2048"/>
        <w:gridCol w:w="4846"/>
        <w:gridCol w:w="22"/>
      </w:tblGrid>
      <w:tr w:rsidR="002836BC" w:rsidRPr="00CC140F" w14:paraId="267B4AF5" w14:textId="77777777" w:rsidTr="00EC178F">
        <w:trPr>
          <w:gridAfter w:val="1"/>
          <w:wAfter w:w="22" w:type="dxa"/>
          <w:trHeight w:val="360"/>
        </w:trPr>
        <w:tc>
          <w:tcPr>
            <w:tcW w:w="4652" w:type="dxa"/>
            <w:gridSpan w:val="3"/>
          </w:tcPr>
          <w:p w14:paraId="08D819E7" w14:textId="77777777" w:rsidR="002836BC" w:rsidRPr="00D5545C" w:rsidRDefault="002836BC" w:rsidP="00EC178F">
            <w:pPr>
              <w:pStyle w:val="zSoquijdatRepertorie"/>
              <w:rPr>
                <w:rFonts w:cs="Arial"/>
              </w:rPr>
            </w:pPr>
            <w:r>
              <w:rPr>
                <w:rFonts w:cs="Arial"/>
              </w:rPr>
              <w:t>Autorité des marchés financiers c. Alteon Senat</w:t>
            </w:r>
          </w:p>
        </w:tc>
        <w:tc>
          <w:tcPr>
            <w:tcW w:w="4846" w:type="dxa"/>
          </w:tcPr>
          <w:p w14:paraId="656673F4" w14:textId="77777777" w:rsidR="002836BC" w:rsidRPr="00CC140F" w:rsidRDefault="002836BC" w:rsidP="00EC178F">
            <w:pPr>
              <w:pStyle w:val="zSoquijdatRefNeutre"/>
              <w:jc w:val="right"/>
              <w:rPr>
                <w:rFonts w:cs="Arial"/>
              </w:rPr>
            </w:pPr>
            <w:r w:rsidRPr="00CC140F">
              <w:rPr>
                <w:rFonts w:cs="Arial"/>
              </w:rPr>
              <w:t>2022 QCTMF 10</w:t>
            </w:r>
          </w:p>
        </w:tc>
      </w:tr>
      <w:tr w:rsidR="00B4030F" w14:paraId="1679A7C2" w14:textId="77777777" w:rsidTr="000A1282">
        <w:trPr>
          <w:gridAfter w:val="1"/>
          <w:wAfter w:w="22" w:type="dxa"/>
          <w:trHeight w:val="900"/>
        </w:trPr>
        <w:tc>
          <w:tcPr>
            <w:tcW w:w="9498" w:type="dxa"/>
            <w:gridSpan w:val="4"/>
            <w:vAlign w:val="bottom"/>
          </w:tcPr>
          <w:p w14:paraId="7E978942" w14:textId="77777777" w:rsidR="00B4030F" w:rsidRDefault="00D15968" w:rsidP="00D15968">
            <w:pPr>
              <w:pStyle w:val="zSoquijlblCour"/>
            </w:pPr>
            <w:bookmarkStart w:id="0" w:name="_GoBack"/>
            <w:bookmarkEnd w:id="0"/>
            <w:r>
              <w:rPr>
                <w:bCs/>
                <w:lang w:val="en-CA"/>
              </w:rPr>
              <w:t>FINANCIAL MARKETS</w:t>
            </w:r>
            <w:r>
              <w:rPr>
                <w:b w:val="0"/>
                <w:lang w:val="en-CA"/>
              </w:rPr>
              <w:br/>
            </w:r>
            <w:r>
              <w:rPr>
                <w:bCs/>
                <w:lang w:val="en-CA"/>
              </w:rPr>
              <w:t>ADMINISTRATIVE TRIBUNAL</w:t>
            </w:r>
          </w:p>
        </w:tc>
      </w:tr>
      <w:tr w:rsidR="00B4030F" w14:paraId="3D597C12" w14:textId="77777777" w:rsidTr="000A1282">
        <w:trPr>
          <w:gridAfter w:val="1"/>
          <w:wAfter w:w="22" w:type="dxa"/>
          <w:trHeight w:val="540"/>
        </w:trPr>
        <w:tc>
          <w:tcPr>
            <w:tcW w:w="9498" w:type="dxa"/>
            <w:gridSpan w:val="4"/>
          </w:tcPr>
          <w:p w14:paraId="54257DD7" w14:textId="77777777" w:rsidR="00B4030F" w:rsidRDefault="00B4030F">
            <w:pPr>
              <w:pStyle w:val="zSoquijdatDivision"/>
            </w:pPr>
          </w:p>
        </w:tc>
      </w:tr>
      <w:tr w:rsidR="00B4030F" w14:paraId="7B88F33D" w14:textId="77777777" w:rsidTr="000A1282">
        <w:trPr>
          <w:gridAfter w:val="1"/>
          <w:wAfter w:w="22" w:type="dxa"/>
        </w:trPr>
        <w:tc>
          <w:tcPr>
            <w:tcW w:w="9498" w:type="dxa"/>
            <w:gridSpan w:val="4"/>
          </w:tcPr>
          <w:p w14:paraId="2CF985A6" w14:textId="77777777" w:rsidR="00B4030F" w:rsidRDefault="00B4030F">
            <w:pPr>
              <w:pStyle w:val="zSoquijlblPays"/>
            </w:pPr>
            <w:r>
              <w:rPr>
                <w:lang w:val="en-CA"/>
              </w:rPr>
              <w:t>CANADA</w:t>
            </w:r>
          </w:p>
        </w:tc>
      </w:tr>
      <w:tr w:rsidR="00B4030F" w14:paraId="2185AAE1" w14:textId="77777777" w:rsidTr="000A1282">
        <w:trPr>
          <w:gridAfter w:val="1"/>
          <w:wAfter w:w="22" w:type="dxa"/>
        </w:trPr>
        <w:tc>
          <w:tcPr>
            <w:tcW w:w="9498" w:type="dxa"/>
            <w:gridSpan w:val="4"/>
          </w:tcPr>
          <w:p w14:paraId="4FE8655E" w14:textId="77777777" w:rsidR="00B4030F" w:rsidRDefault="00B4030F">
            <w:pPr>
              <w:pStyle w:val="zSoquijlblProvince"/>
            </w:pPr>
            <w:r>
              <w:rPr>
                <w:lang w:val="en-CA"/>
              </w:rPr>
              <w:t>PROVINCE OF QUÉBEC</w:t>
            </w:r>
          </w:p>
        </w:tc>
      </w:tr>
      <w:tr w:rsidR="00EB39E3" w14:paraId="39AC5616" w14:textId="77777777" w:rsidTr="000A1282">
        <w:trPr>
          <w:gridAfter w:val="1"/>
          <w:wAfter w:w="22" w:type="dxa"/>
        </w:trPr>
        <w:tc>
          <w:tcPr>
            <w:tcW w:w="9498" w:type="dxa"/>
            <w:gridSpan w:val="4"/>
          </w:tcPr>
          <w:p w14:paraId="1FF94A83" w14:textId="77777777" w:rsidR="00EB39E3" w:rsidRDefault="00EB39E3" w:rsidP="00BB0D33">
            <w:pPr>
              <w:pStyle w:val="zSoquijdatGreffe"/>
              <w:ind w:left="0"/>
            </w:pPr>
            <w:r>
              <w:rPr>
                <w:lang w:val="en-CA"/>
              </w:rPr>
              <w:t>MONTRÉAL</w:t>
            </w:r>
          </w:p>
        </w:tc>
      </w:tr>
      <w:tr w:rsidR="00B4030F" w14:paraId="034194F6" w14:textId="77777777" w:rsidTr="000A1282">
        <w:trPr>
          <w:gridAfter w:val="1"/>
          <w:wAfter w:w="22" w:type="dxa"/>
          <w:trHeight w:val="540"/>
        </w:trPr>
        <w:tc>
          <w:tcPr>
            <w:tcW w:w="9498" w:type="dxa"/>
            <w:gridSpan w:val="4"/>
          </w:tcPr>
          <w:p w14:paraId="236F634F" w14:textId="77777777" w:rsidR="00B4030F" w:rsidRDefault="00B4030F">
            <w:pPr>
              <w:pStyle w:val="zSoquijlblNomChambre"/>
            </w:pPr>
          </w:p>
        </w:tc>
      </w:tr>
      <w:tr w:rsidR="00B4030F" w14:paraId="0E29B602" w14:textId="77777777" w:rsidTr="000A1282">
        <w:trPr>
          <w:gridAfter w:val="1"/>
          <w:wAfter w:w="22" w:type="dxa"/>
        </w:trPr>
        <w:tc>
          <w:tcPr>
            <w:tcW w:w="1913" w:type="dxa"/>
          </w:tcPr>
          <w:p w14:paraId="05FC4AE2" w14:textId="77777777" w:rsidR="00B4030F" w:rsidRDefault="00EB39E3">
            <w:pPr>
              <w:pStyle w:val="zSoquijlblNoDossier"/>
            </w:pPr>
            <w:r>
              <w:rPr>
                <w:lang w:val="en-CA"/>
              </w:rPr>
              <w:t>FILE NO.:</w:t>
            </w:r>
          </w:p>
        </w:tc>
        <w:tc>
          <w:tcPr>
            <w:tcW w:w="7585" w:type="dxa"/>
            <w:gridSpan w:val="3"/>
          </w:tcPr>
          <w:p w14:paraId="3AD16558" w14:textId="5314E404" w:rsidR="00B4030F" w:rsidRDefault="001032FE" w:rsidP="00E50BA3">
            <w:pPr>
              <w:pStyle w:val="zSoquijdatNoDossier"/>
            </w:pPr>
            <w:r>
              <w:rPr>
                <w:lang w:val="en-CA"/>
              </w:rPr>
              <w:t>2020-033</w:t>
            </w:r>
          </w:p>
        </w:tc>
      </w:tr>
      <w:tr w:rsidR="00EB39E3" w14:paraId="0F8FB237" w14:textId="77777777" w:rsidTr="000A1282">
        <w:trPr>
          <w:gridAfter w:val="1"/>
          <w:wAfter w:w="22" w:type="dxa"/>
        </w:trPr>
        <w:tc>
          <w:tcPr>
            <w:tcW w:w="9498" w:type="dxa"/>
            <w:gridSpan w:val="4"/>
          </w:tcPr>
          <w:p w14:paraId="71381522" w14:textId="77777777" w:rsidR="00EB39E3" w:rsidRDefault="00EB39E3" w:rsidP="00EB39E3"/>
        </w:tc>
      </w:tr>
      <w:tr w:rsidR="00EB39E3" w14:paraId="300C8165" w14:textId="77777777" w:rsidTr="000A1282">
        <w:trPr>
          <w:gridAfter w:val="1"/>
          <w:wAfter w:w="22" w:type="dxa"/>
        </w:trPr>
        <w:tc>
          <w:tcPr>
            <w:tcW w:w="1913" w:type="dxa"/>
          </w:tcPr>
          <w:p w14:paraId="16B49B02" w14:textId="77777777" w:rsidR="00EB39E3" w:rsidRDefault="00EB39E3">
            <w:pPr>
              <w:pStyle w:val="zSoquijlblNoDossier"/>
            </w:pPr>
            <w:r>
              <w:rPr>
                <w:lang w:val="en-CA"/>
              </w:rPr>
              <w:t>DECISION NO.:</w:t>
            </w:r>
          </w:p>
        </w:tc>
        <w:tc>
          <w:tcPr>
            <w:tcW w:w="7585" w:type="dxa"/>
            <w:gridSpan w:val="3"/>
          </w:tcPr>
          <w:p w14:paraId="29AB69F4" w14:textId="77704C39" w:rsidR="00EB39E3" w:rsidRDefault="004315FE" w:rsidP="00E50BA3">
            <w:pPr>
              <w:pStyle w:val="zSoquijdatNoDossier"/>
            </w:pPr>
            <w:r>
              <w:rPr>
                <w:lang w:val="en-CA"/>
              </w:rPr>
              <w:t>2020-033-005</w:t>
            </w:r>
          </w:p>
        </w:tc>
      </w:tr>
      <w:tr w:rsidR="00B4030F" w14:paraId="4DAE4001" w14:textId="77777777" w:rsidTr="000A1282">
        <w:trPr>
          <w:gridAfter w:val="1"/>
          <w:wAfter w:w="22" w:type="dxa"/>
          <w:cantSplit/>
          <w:trHeight w:val="235"/>
        </w:trPr>
        <w:tc>
          <w:tcPr>
            <w:tcW w:w="9498" w:type="dxa"/>
            <w:gridSpan w:val="4"/>
          </w:tcPr>
          <w:p w14:paraId="6ACCCBAB" w14:textId="77777777" w:rsidR="00B4030F" w:rsidRDefault="00B4030F"/>
        </w:tc>
      </w:tr>
      <w:tr w:rsidR="00B4030F" w14:paraId="1622655C" w14:textId="77777777" w:rsidTr="000A1282">
        <w:trPr>
          <w:gridAfter w:val="1"/>
          <w:wAfter w:w="22" w:type="dxa"/>
        </w:trPr>
        <w:tc>
          <w:tcPr>
            <w:tcW w:w="1913" w:type="dxa"/>
          </w:tcPr>
          <w:p w14:paraId="30DA3AF5" w14:textId="77777777" w:rsidR="00B4030F" w:rsidRDefault="00B4030F">
            <w:pPr>
              <w:pStyle w:val="zSoquijlblDateJugement"/>
            </w:pPr>
            <w:r>
              <w:rPr>
                <w:lang w:val="en-CA"/>
              </w:rPr>
              <w:t>DATE:</w:t>
            </w:r>
          </w:p>
        </w:tc>
        <w:tc>
          <w:tcPr>
            <w:tcW w:w="7585" w:type="dxa"/>
            <w:gridSpan w:val="3"/>
          </w:tcPr>
          <w:p w14:paraId="3F14A59E" w14:textId="563F5F7E" w:rsidR="00B4030F" w:rsidRDefault="0039151A" w:rsidP="000F2F31">
            <w:pPr>
              <w:pStyle w:val="zSoquijdatDateJugement"/>
            </w:pPr>
            <w:r>
              <w:rPr>
                <w:lang w:val="en-CA"/>
              </w:rPr>
              <w:t xml:space="preserve">March 3, 2022 </w:t>
            </w:r>
          </w:p>
        </w:tc>
      </w:tr>
      <w:tr w:rsidR="00B4030F" w14:paraId="02DCC153" w14:textId="77777777" w:rsidTr="000A1282">
        <w:trPr>
          <w:gridAfter w:val="1"/>
          <w:wAfter w:w="22" w:type="dxa"/>
        </w:trPr>
        <w:tc>
          <w:tcPr>
            <w:tcW w:w="9498" w:type="dxa"/>
            <w:gridSpan w:val="4"/>
            <w:tcBorders>
              <w:bottom w:val="single" w:sz="4" w:space="0" w:color="auto"/>
            </w:tcBorders>
          </w:tcPr>
          <w:p w14:paraId="40972E6C" w14:textId="77777777" w:rsidR="00B4030F" w:rsidRDefault="00B4030F" w:rsidP="0002722E">
            <w:pPr>
              <w:ind w:left="14" w:right="-67"/>
            </w:pPr>
          </w:p>
        </w:tc>
      </w:tr>
      <w:tr w:rsidR="00B4030F" w14:paraId="68A50283" w14:textId="77777777" w:rsidTr="000A1282">
        <w:trPr>
          <w:gridAfter w:val="1"/>
          <w:wAfter w:w="22" w:type="dxa"/>
        </w:trPr>
        <w:tc>
          <w:tcPr>
            <w:tcW w:w="9498" w:type="dxa"/>
            <w:gridSpan w:val="4"/>
            <w:tcBorders>
              <w:top w:val="single" w:sz="4" w:space="0" w:color="auto"/>
            </w:tcBorders>
          </w:tcPr>
          <w:p w14:paraId="69F149B1" w14:textId="77777777" w:rsidR="00B4030F" w:rsidRDefault="00B4030F"/>
        </w:tc>
      </w:tr>
      <w:tr w:rsidR="00D201EF" w14:paraId="0C61A13A" w14:textId="77777777" w:rsidTr="000A1282">
        <w:tblPrEx>
          <w:tblCellMar>
            <w:left w:w="0" w:type="dxa"/>
            <w:right w:w="0" w:type="dxa"/>
          </w:tblCellMar>
        </w:tblPrEx>
        <w:tc>
          <w:tcPr>
            <w:tcW w:w="2604" w:type="dxa"/>
            <w:gridSpan w:val="2"/>
          </w:tcPr>
          <w:p w14:paraId="1D5E4C0F" w14:textId="77777777" w:rsidR="00D201EF" w:rsidRDefault="00585FBC">
            <w:pPr>
              <w:pStyle w:val="zSoquijdatQteJuge"/>
            </w:pPr>
            <w:r>
              <w:rPr>
                <w:bCs/>
                <w:lang w:val="en-CA"/>
              </w:rPr>
              <w:t>BEFORE:</w:t>
            </w:r>
          </w:p>
        </w:tc>
        <w:tc>
          <w:tcPr>
            <w:tcW w:w="6916" w:type="dxa"/>
            <w:gridSpan w:val="3"/>
          </w:tcPr>
          <w:p w14:paraId="4598A794" w14:textId="04986499" w:rsidR="00D201EF" w:rsidRDefault="00070D64" w:rsidP="001032FE">
            <w:pPr>
              <w:pStyle w:val="zSoquijdatJuge"/>
            </w:pPr>
            <w:proofErr w:type="spellStart"/>
            <w:r>
              <w:rPr>
                <w:bCs/>
                <w:lang w:val="en-CA"/>
              </w:rPr>
              <w:t>Mtre</w:t>
            </w:r>
            <w:proofErr w:type="spellEnd"/>
            <w:r>
              <w:rPr>
                <w:bCs/>
                <w:lang w:val="en-CA"/>
              </w:rPr>
              <w:t>. JEAN-PIERRE CRISTEL</w:t>
            </w:r>
          </w:p>
        </w:tc>
      </w:tr>
      <w:tr w:rsidR="00B4030F" w14:paraId="083B40F1" w14:textId="77777777" w:rsidTr="000A1282">
        <w:trPr>
          <w:gridAfter w:val="1"/>
          <w:wAfter w:w="22" w:type="dxa"/>
        </w:trPr>
        <w:tc>
          <w:tcPr>
            <w:tcW w:w="9498" w:type="dxa"/>
            <w:gridSpan w:val="4"/>
            <w:tcBorders>
              <w:bottom w:val="single" w:sz="4" w:space="0" w:color="auto"/>
            </w:tcBorders>
          </w:tcPr>
          <w:p w14:paraId="1872D3FD" w14:textId="77777777" w:rsidR="00B4030F" w:rsidRDefault="00B4030F" w:rsidP="0002722E">
            <w:pPr>
              <w:ind w:left="14" w:right="-67"/>
            </w:pPr>
          </w:p>
        </w:tc>
      </w:tr>
      <w:tr w:rsidR="00B4030F" w14:paraId="32104EA3" w14:textId="77777777" w:rsidTr="000A1282">
        <w:trPr>
          <w:gridAfter w:val="1"/>
          <w:wAfter w:w="22" w:type="dxa"/>
        </w:trPr>
        <w:tc>
          <w:tcPr>
            <w:tcW w:w="9498" w:type="dxa"/>
            <w:gridSpan w:val="4"/>
            <w:tcBorders>
              <w:top w:val="single" w:sz="4" w:space="0" w:color="auto"/>
            </w:tcBorders>
          </w:tcPr>
          <w:p w14:paraId="64372195" w14:textId="77777777" w:rsidR="00B4030F" w:rsidRDefault="00B4030F">
            <w:pPr>
              <w:pStyle w:val="zSoquijlblTitrePartie"/>
            </w:pPr>
          </w:p>
        </w:tc>
      </w:tr>
      <w:tr w:rsidR="00B4030F" w14:paraId="0634458D" w14:textId="77777777" w:rsidTr="000A1282">
        <w:trPr>
          <w:gridAfter w:val="1"/>
          <w:wAfter w:w="22" w:type="dxa"/>
        </w:trPr>
        <w:tc>
          <w:tcPr>
            <w:tcW w:w="9498" w:type="dxa"/>
            <w:gridSpan w:val="4"/>
          </w:tcPr>
          <w:p w14:paraId="36A58035" w14:textId="77777777" w:rsidR="00B4030F" w:rsidRDefault="00B4030F"/>
        </w:tc>
      </w:tr>
      <w:tr w:rsidR="00B4030F" w14:paraId="6EE19ECE" w14:textId="77777777" w:rsidTr="000A1282">
        <w:trPr>
          <w:gridAfter w:val="1"/>
          <w:wAfter w:w="22" w:type="dxa"/>
        </w:trPr>
        <w:tc>
          <w:tcPr>
            <w:tcW w:w="9498" w:type="dxa"/>
            <w:gridSpan w:val="4"/>
          </w:tcPr>
          <w:p w14:paraId="1E5CF2F7" w14:textId="77777777" w:rsidR="00B4030F" w:rsidRDefault="00E54E09" w:rsidP="00070D64">
            <w:pPr>
              <w:pStyle w:val="zSoquijdatNomPartieDem"/>
            </w:pPr>
            <w:r>
              <w:rPr>
                <w:lang w:val="en-CA"/>
              </w:rPr>
              <w:t xml:space="preserve">AUTORITÉ DES MARCHÉS FINANCIERS </w:t>
            </w:r>
          </w:p>
        </w:tc>
      </w:tr>
      <w:tr w:rsidR="00B4030F" w14:paraId="7FBE0422" w14:textId="77777777" w:rsidTr="000A1282">
        <w:trPr>
          <w:gridAfter w:val="1"/>
          <w:wAfter w:w="22" w:type="dxa"/>
        </w:trPr>
        <w:tc>
          <w:tcPr>
            <w:tcW w:w="9498" w:type="dxa"/>
            <w:gridSpan w:val="4"/>
          </w:tcPr>
          <w:p w14:paraId="60964410" w14:textId="77777777" w:rsidR="00B4030F" w:rsidRDefault="00E54E09" w:rsidP="00E54E09">
            <w:pPr>
              <w:pStyle w:val="zSoquijdatQtePartieDem"/>
              <w:ind w:left="709"/>
            </w:pPr>
            <w:r>
              <w:rPr>
                <w:lang w:val="en-CA"/>
              </w:rPr>
              <w:t>Applicant</w:t>
            </w:r>
          </w:p>
        </w:tc>
      </w:tr>
      <w:tr w:rsidR="00B4030F" w14:paraId="2FF72618" w14:textId="77777777" w:rsidTr="000A1282">
        <w:trPr>
          <w:gridAfter w:val="1"/>
          <w:wAfter w:w="22" w:type="dxa"/>
        </w:trPr>
        <w:tc>
          <w:tcPr>
            <w:tcW w:w="9498" w:type="dxa"/>
            <w:gridSpan w:val="4"/>
          </w:tcPr>
          <w:p w14:paraId="37B182E4" w14:textId="77777777" w:rsidR="00B4030F" w:rsidRDefault="00B4030F">
            <w:pPr>
              <w:pStyle w:val="zSoquijlblLienParties"/>
            </w:pPr>
            <w:r>
              <w:rPr>
                <w:lang w:val="en-CA"/>
              </w:rPr>
              <w:t>v.</w:t>
            </w:r>
          </w:p>
        </w:tc>
      </w:tr>
      <w:tr w:rsidR="001032FE" w14:paraId="569653FF" w14:textId="77777777" w:rsidTr="000A1282">
        <w:trPr>
          <w:gridAfter w:val="1"/>
          <w:wAfter w:w="22" w:type="dxa"/>
        </w:trPr>
        <w:tc>
          <w:tcPr>
            <w:tcW w:w="9498" w:type="dxa"/>
            <w:gridSpan w:val="4"/>
          </w:tcPr>
          <w:p w14:paraId="377D2236" w14:textId="648CDB47" w:rsidR="001032FE" w:rsidRPr="00B24BEF" w:rsidRDefault="004315FE" w:rsidP="004315FE">
            <w:pPr>
              <w:jc w:val="both"/>
              <w:rPr>
                <w:rFonts w:cs="Arial"/>
                <w:color w:val="000000" w:themeColor="text1"/>
              </w:rPr>
            </w:pPr>
            <w:r>
              <w:rPr>
                <w:rFonts w:cs="Arial"/>
                <w:b/>
                <w:bCs/>
                <w:color w:val="000000" w:themeColor="text1"/>
                <w:lang w:val="en-CA"/>
              </w:rPr>
              <w:t>SANDLY ALTEON SENAT</w:t>
            </w:r>
          </w:p>
        </w:tc>
      </w:tr>
      <w:tr w:rsidR="004315FE" w14:paraId="2C1658CD" w14:textId="77777777" w:rsidTr="000A1282">
        <w:trPr>
          <w:gridAfter w:val="1"/>
          <w:wAfter w:w="22" w:type="dxa"/>
        </w:trPr>
        <w:tc>
          <w:tcPr>
            <w:tcW w:w="9498" w:type="dxa"/>
            <w:gridSpan w:val="4"/>
          </w:tcPr>
          <w:p w14:paraId="3872EDB7" w14:textId="705989B6" w:rsidR="004315FE" w:rsidRPr="004315FE" w:rsidRDefault="004315FE" w:rsidP="004315FE">
            <w:pPr>
              <w:jc w:val="both"/>
              <w:rPr>
                <w:rFonts w:cs="Arial"/>
                <w:color w:val="000000" w:themeColor="text1"/>
              </w:rPr>
            </w:pPr>
            <w:r>
              <w:rPr>
                <w:rFonts w:cs="Arial"/>
                <w:color w:val="000000" w:themeColor="text1"/>
                <w:lang w:val="en-CA"/>
              </w:rPr>
              <w:t xml:space="preserve">and </w:t>
            </w:r>
          </w:p>
        </w:tc>
      </w:tr>
      <w:tr w:rsidR="004315FE" w14:paraId="0F698D08" w14:textId="77777777" w:rsidTr="000A1282">
        <w:trPr>
          <w:gridAfter w:val="1"/>
          <w:wAfter w:w="22" w:type="dxa"/>
        </w:trPr>
        <w:tc>
          <w:tcPr>
            <w:tcW w:w="9498" w:type="dxa"/>
            <w:gridSpan w:val="4"/>
          </w:tcPr>
          <w:p w14:paraId="627DCE8B" w14:textId="05EF1530" w:rsidR="004315FE" w:rsidRDefault="004315FE" w:rsidP="004315FE">
            <w:pPr>
              <w:jc w:val="both"/>
              <w:rPr>
                <w:rFonts w:cs="Arial"/>
                <w:b/>
                <w:color w:val="000000" w:themeColor="text1"/>
              </w:rPr>
            </w:pPr>
            <w:r>
              <w:rPr>
                <w:rFonts w:cs="Arial"/>
                <w:b/>
                <w:bCs/>
                <w:color w:val="000000" w:themeColor="text1"/>
                <w:lang w:val="en-CA"/>
              </w:rPr>
              <w:t>ALTEON FINANCIAL SERVICES INC.</w:t>
            </w:r>
          </w:p>
        </w:tc>
      </w:tr>
      <w:tr w:rsidR="004315FE" w14:paraId="3D835310" w14:textId="77777777" w:rsidTr="000A1282">
        <w:trPr>
          <w:gridAfter w:val="1"/>
          <w:wAfter w:w="22" w:type="dxa"/>
        </w:trPr>
        <w:tc>
          <w:tcPr>
            <w:tcW w:w="9498" w:type="dxa"/>
            <w:gridSpan w:val="4"/>
          </w:tcPr>
          <w:p w14:paraId="0721FA13" w14:textId="400C7A00" w:rsidR="004315FE" w:rsidRPr="004315FE" w:rsidRDefault="004315FE" w:rsidP="004315FE">
            <w:pPr>
              <w:jc w:val="both"/>
              <w:rPr>
                <w:rFonts w:cs="Arial"/>
                <w:color w:val="000000" w:themeColor="text1"/>
              </w:rPr>
            </w:pPr>
            <w:r>
              <w:rPr>
                <w:rFonts w:cs="Arial"/>
                <w:color w:val="000000" w:themeColor="text1"/>
                <w:lang w:val="en-CA"/>
              </w:rPr>
              <w:t>and</w:t>
            </w:r>
          </w:p>
        </w:tc>
      </w:tr>
      <w:tr w:rsidR="004315FE" w14:paraId="04E4EA7C" w14:textId="77777777" w:rsidTr="000A1282">
        <w:trPr>
          <w:gridAfter w:val="1"/>
          <w:wAfter w:w="22" w:type="dxa"/>
        </w:trPr>
        <w:tc>
          <w:tcPr>
            <w:tcW w:w="9498" w:type="dxa"/>
            <w:gridSpan w:val="4"/>
          </w:tcPr>
          <w:p w14:paraId="45B326D1" w14:textId="20A40F4C" w:rsidR="004315FE" w:rsidRPr="004315FE" w:rsidRDefault="004315FE" w:rsidP="004315FE">
            <w:pPr>
              <w:jc w:val="both"/>
              <w:rPr>
                <w:rFonts w:cs="Arial"/>
                <w:b/>
                <w:color w:val="000000" w:themeColor="text1"/>
              </w:rPr>
            </w:pPr>
            <w:r>
              <w:rPr>
                <w:rFonts w:cs="Arial"/>
                <w:b/>
                <w:bCs/>
                <w:color w:val="000000" w:themeColor="text1"/>
                <w:lang w:val="en-CA"/>
              </w:rPr>
              <w:t>VASAN &amp; SAVYAN ASSET MANAGEMENT INC.</w:t>
            </w:r>
          </w:p>
        </w:tc>
      </w:tr>
      <w:tr w:rsidR="00B4030F" w14:paraId="65676FFB" w14:textId="77777777" w:rsidTr="000A1282">
        <w:trPr>
          <w:gridAfter w:val="1"/>
          <w:wAfter w:w="22" w:type="dxa"/>
        </w:trPr>
        <w:tc>
          <w:tcPr>
            <w:tcW w:w="9498" w:type="dxa"/>
            <w:gridSpan w:val="4"/>
          </w:tcPr>
          <w:p w14:paraId="1DC338D1" w14:textId="051DA08F" w:rsidR="00B4030F" w:rsidRDefault="00070D64">
            <w:pPr>
              <w:pStyle w:val="zSoquijdatQtePartieDef"/>
            </w:pPr>
            <w:r>
              <w:rPr>
                <w:lang w:val="en-CA"/>
              </w:rPr>
              <w:t>Respondents</w:t>
            </w:r>
          </w:p>
        </w:tc>
      </w:tr>
      <w:tr w:rsidR="00B31361" w14:paraId="4B0182A1" w14:textId="77777777" w:rsidTr="000A1282">
        <w:trPr>
          <w:gridAfter w:val="1"/>
          <w:wAfter w:w="22" w:type="dxa"/>
        </w:trPr>
        <w:tc>
          <w:tcPr>
            <w:tcW w:w="9498" w:type="dxa"/>
            <w:gridSpan w:val="4"/>
          </w:tcPr>
          <w:p w14:paraId="4C3FEA04" w14:textId="77777777" w:rsidR="00B31361" w:rsidRDefault="001032FE" w:rsidP="00B31361">
            <w:pPr>
              <w:pStyle w:val="zSoquijdatQtePartieDef"/>
              <w:ind w:left="0"/>
            </w:pPr>
            <w:r>
              <w:rPr>
                <w:lang w:val="en-CA"/>
              </w:rPr>
              <w:t>and</w:t>
            </w:r>
          </w:p>
        </w:tc>
      </w:tr>
      <w:tr w:rsidR="009F1B90" w:rsidRPr="008B6D04" w14:paraId="20E83E6F" w14:textId="77777777" w:rsidTr="000A1282">
        <w:trPr>
          <w:gridAfter w:val="1"/>
          <w:wAfter w:w="22" w:type="dxa"/>
        </w:trPr>
        <w:tc>
          <w:tcPr>
            <w:tcW w:w="9498" w:type="dxa"/>
            <w:gridSpan w:val="4"/>
          </w:tcPr>
          <w:p w14:paraId="17A49B58" w14:textId="7909AA70" w:rsidR="009F1B90" w:rsidRPr="00D91AB0" w:rsidRDefault="009F1B90" w:rsidP="00B31361">
            <w:pPr>
              <w:pStyle w:val="zSoquijdatQtePartieDef"/>
              <w:ind w:left="0"/>
              <w:rPr>
                <w:lang w:val="en-US"/>
              </w:rPr>
            </w:pPr>
            <w:r>
              <w:rPr>
                <w:b/>
                <w:bCs/>
                <w:lang w:val="en-CA"/>
              </w:rPr>
              <w:t xml:space="preserve">SCOTIA BANK </w:t>
            </w:r>
            <w:r>
              <w:rPr>
                <w:lang w:val="en-CA"/>
              </w:rPr>
              <w:t xml:space="preserve">(Branches at 3070 Boulevard de la </w:t>
            </w:r>
            <w:proofErr w:type="spellStart"/>
            <w:r>
              <w:rPr>
                <w:lang w:val="en-CA"/>
              </w:rPr>
              <w:t>Gare</w:t>
            </w:r>
            <w:proofErr w:type="spellEnd"/>
            <w:r>
              <w:rPr>
                <w:lang w:val="en-CA"/>
              </w:rPr>
              <w:t xml:space="preserve"> in </w:t>
            </w:r>
            <w:proofErr w:type="spellStart"/>
            <w:r>
              <w:rPr>
                <w:lang w:val="en-CA"/>
              </w:rPr>
              <w:t>Vaudreuil-Dorion</w:t>
            </w:r>
            <w:proofErr w:type="spellEnd"/>
            <w:r>
              <w:rPr>
                <w:lang w:val="en-CA"/>
              </w:rPr>
              <w:t xml:space="preserve"> and 1002 </w:t>
            </w:r>
            <w:proofErr w:type="spellStart"/>
            <w:r>
              <w:rPr>
                <w:lang w:val="en-CA"/>
              </w:rPr>
              <w:t>Sherbrooke</w:t>
            </w:r>
            <w:proofErr w:type="spellEnd"/>
            <w:r>
              <w:rPr>
                <w:lang w:val="en-CA"/>
              </w:rPr>
              <w:t xml:space="preserve"> Street West in Montréal)</w:t>
            </w:r>
          </w:p>
        </w:tc>
      </w:tr>
      <w:tr w:rsidR="009F1B90" w14:paraId="337A7FCF" w14:textId="77777777" w:rsidTr="000A1282">
        <w:trPr>
          <w:gridAfter w:val="1"/>
          <w:wAfter w:w="22" w:type="dxa"/>
        </w:trPr>
        <w:tc>
          <w:tcPr>
            <w:tcW w:w="9498" w:type="dxa"/>
            <w:gridSpan w:val="4"/>
          </w:tcPr>
          <w:p w14:paraId="40B9D057" w14:textId="02DC7F21" w:rsidR="009F1B90" w:rsidRDefault="009F1B90" w:rsidP="00B31361">
            <w:pPr>
              <w:pStyle w:val="zSoquijdatQtePartieDef"/>
              <w:ind w:left="0"/>
            </w:pPr>
            <w:r>
              <w:rPr>
                <w:lang w:val="en-CA"/>
              </w:rPr>
              <w:t>and</w:t>
            </w:r>
          </w:p>
        </w:tc>
      </w:tr>
      <w:tr w:rsidR="009F1B90" w:rsidRPr="008B6D04" w14:paraId="38156B0B" w14:textId="77777777" w:rsidTr="000A1282">
        <w:trPr>
          <w:gridAfter w:val="1"/>
          <w:wAfter w:w="22" w:type="dxa"/>
        </w:trPr>
        <w:tc>
          <w:tcPr>
            <w:tcW w:w="9498" w:type="dxa"/>
            <w:gridSpan w:val="4"/>
          </w:tcPr>
          <w:p w14:paraId="49CC2788" w14:textId="12B49CA2" w:rsidR="009F1B90" w:rsidRPr="00D91AB0" w:rsidRDefault="009F1B90" w:rsidP="00B31361">
            <w:pPr>
              <w:pStyle w:val="zSoquijdatQtePartieDef"/>
              <w:ind w:left="0"/>
              <w:rPr>
                <w:lang w:val="en-US"/>
              </w:rPr>
            </w:pPr>
            <w:r>
              <w:rPr>
                <w:b/>
                <w:bCs/>
                <w:lang w:val="en-CA"/>
              </w:rPr>
              <w:t xml:space="preserve">ROYAL BANK OF CANADA </w:t>
            </w:r>
            <w:r>
              <w:rPr>
                <w:lang w:val="en-CA"/>
              </w:rPr>
              <w:t xml:space="preserve">(Branch at 30-585 Avenue Saint-Charles in </w:t>
            </w:r>
            <w:proofErr w:type="spellStart"/>
            <w:r>
              <w:rPr>
                <w:lang w:val="en-CA"/>
              </w:rPr>
              <w:t>Vaudreuil-Dorion</w:t>
            </w:r>
            <w:proofErr w:type="spellEnd"/>
            <w:r>
              <w:rPr>
                <w:lang w:val="en-CA"/>
              </w:rPr>
              <w:t>)</w:t>
            </w:r>
          </w:p>
        </w:tc>
      </w:tr>
      <w:tr w:rsidR="009F1B90" w14:paraId="3CD4FD8E" w14:textId="77777777" w:rsidTr="000A1282">
        <w:trPr>
          <w:gridAfter w:val="1"/>
          <w:wAfter w:w="22" w:type="dxa"/>
        </w:trPr>
        <w:tc>
          <w:tcPr>
            <w:tcW w:w="9498" w:type="dxa"/>
            <w:gridSpan w:val="4"/>
          </w:tcPr>
          <w:p w14:paraId="28BB8473" w14:textId="35E9BF21" w:rsidR="009F1B90" w:rsidRDefault="009F1B90" w:rsidP="00B31361">
            <w:pPr>
              <w:pStyle w:val="zSoquijdatQtePartieDef"/>
              <w:ind w:left="0"/>
            </w:pPr>
            <w:r>
              <w:rPr>
                <w:lang w:val="en-CA"/>
              </w:rPr>
              <w:t>and</w:t>
            </w:r>
          </w:p>
        </w:tc>
      </w:tr>
      <w:tr w:rsidR="009F1B90" w:rsidRPr="008B6D04" w14:paraId="72FF37B5" w14:textId="77777777" w:rsidTr="000A1282">
        <w:trPr>
          <w:gridAfter w:val="1"/>
          <w:wAfter w:w="22" w:type="dxa"/>
        </w:trPr>
        <w:tc>
          <w:tcPr>
            <w:tcW w:w="9498" w:type="dxa"/>
            <w:gridSpan w:val="4"/>
          </w:tcPr>
          <w:p w14:paraId="4EECF1A5" w14:textId="25377A1E" w:rsidR="009F1B90" w:rsidRPr="00D91AB0" w:rsidRDefault="009F1B90" w:rsidP="00B31361">
            <w:pPr>
              <w:pStyle w:val="zSoquijdatQtePartieDef"/>
              <w:ind w:left="0"/>
              <w:rPr>
                <w:lang w:val="en-US"/>
              </w:rPr>
            </w:pPr>
            <w:r>
              <w:rPr>
                <w:b/>
                <w:bCs/>
                <w:lang w:val="en-CA"/>
              </w:rPr>
              <w:t xml:space="preserve">BANK OF MONTREAL </w:t>
            </w:r>
            <w:r>
              <w:rPr>
                <w:lang w:val="en-CA"/>
              </w:rPr>
              <w:t>(Branch at 6500 Trans-Canada Highway in Pointe-Claire)</w:t>
            </w:r>
          </w:p>
        </w:tc>
      </w:tr>
      <w:tr w:rsidR="009F1B90" w14:paraId="03B4FB09" w14:textId="77777777" w:rsidTr="000A1282">
        <w:trPr>
          <w:gridAfter w:val="1"/>
          <w:wAfter w:w="22" w:type="dxa"/>
        </w:trPr>
        <w:tc>
          <w:tcPr>
            <w:tcW w:w="9498" w:type="dxa"/>
            <w:gridSpan w:val="4"/>
          </w:tcPr>
          <w:p w14:paraId="2733A7B1" w14:textId="004535B5" w:rsidR="009F1B90" w:rsidRDefault="009F1B90" w:rsidP="00B31361">
            <w:pPr>
              <w:pStyle w:val="zSoquijdatQtePartieDef"/>
              <w:ind w:left="0"/>
            </w:pPr>
            <w:r>
              <w:rPr>
                <w:lang w:val="en-CA"/>
              </w:rPr>
              <w:t>and</w:t>
            </w:r>
          </w:p>
        </w:tc>
      </w:tr>
      <w:tr w:rsidR="00E50BA3" w:rsidRPr="008B6D04" w14:paraId="3594BB65" w14:textId="77777777" w:rsidTr="000A1282">
        <w:trPr>
          <w:gridAfter w:val="1"/>
          <w:wAfter w:w="22" w:type="dxa"/>
        </w:trPr>
        <w:tc>
          <w:tcPr>
            <w:tcW w:w="9498" w:type="dxa"/>
            <w:gridSpan w:val="4"/>
          </w:tcPr>
          <w:p w14:paraId="0BA43512" w14:textId="2678F97F" w:rsidR="00E50BA3" w:rsidRPr="00D91AB0" w:rsidRDefault="009F1B90" w:rsidP="009F1B90">
            <w:pPr>
              <w:jc w:val="both"/>
              <w:rPr>
                <w:color w:val="000000" w:themeColor="text1"/>
                <w:szCs w:val="22"/>
                <w:lang w:val="en-US"/>
              </w:rPr>
            </w:pPr>
            <w:r>
              <w:rPr>
                <w:rFonts w:cs="Arial"/>
                <w:b/>
                <w:bCs/>
                <w:color w:val="000000" w:themeColor="text1"/>
                <w:lang w:val="en-CA"/>
              </w:rPr>
              <w:t>DESJARDINS FINANCIAL SECURITY INVESTMENTS INC.</w:t>
            </w:r>
          </w:p>
        </w:tc>
      </w:tr>
      <w:tr w:rsidR="001032FE" w14:paraId="044B60E2" w14:textId="77777777" w:rsidTr="005E20B8">
        <w:trPr>
          <w:gridAfter w:val="1"/>
          <w:wAfter w:w="22" w:type="dxa"/>
        </w:trPr>
        <w:tc>
          <w:tcPr>
            <w:tcW w:w="9498" w:type="dxa"/>
            <w:gridSpan w:val="4"/>
          </w:tcPr>
          <w:p w14:paraId="5C54A711" w14:textId="77777777" w:rsidR="001032FE" w:rsidRDefault="00E50BA3" w:rsidP="001032FE">
            <w:pPr>
              <w:pStyle w:val="zSoquijdatQtePartieDef"/>
            </w:pPr>
            <w:r>
              <w:rPr>
                <w:lang w:val="en-CA"/>
              </w:rPr>
              <w:t>Impleaded parties</w:t>
            </w:r>
          </w:p>
          <w:p w14:paraId="369A0CAB" w14:textId="77777777" w:rsidR="009F1B90" w:rsidRDefault="009F1B90" w:rsidP="001032FE">
            <w:pPr>
              <w:pStyle w:val="zSoquijdatQtePartieDef"/>
            </w:pPr>
          </w:p>
          <w:p w14:paraId="240238D7" w14:textId="7301E6E8" w:rsidR="009F1B90" w:rsidRDefault="009F1B90" w:rsidP="001032FE">
            <w:pPr>
              <w:pStyle w:val="zSoquijdatQtePartieDef"/>
            </w:pPr>
          </w:p>
        </w:tc>
      </w:tr>
      <w:tr w:rsidR="00FF6ABC" w:rsidRPr="00A36968" w14:paraId="0888591D" w14:textId="77777777" w:rsidTr="000A1282">
        <w:trPr>
          <w:gridAfter w:val="1"/>
          <w:wAfter w:w="22" w:type="dxa"/>
        </w:trPr>
        <w:tc>
          <w:tcPr>
            <w:tcW w:w="9498" w:type="dxa"/>
            <w:gridSpan w:val="4"/>
            <w:tcBorders>
              <w:bottom w:val="single" w:sz="4" w:space="0" w:color="auto"/>
            </w:tcBorders>
          </w:tcPr>
          <w:p w14:paraId="5AD06A3C" w14:textId="77777777" w:rsidR="00FF6ABC" w:rsidRPr="00A36968" w:rsidRDefault="00FF6ABC" w:rsidP="00A36968">
            <w:pPr>
              <w:ind w:right="-95"/>
              <w:rPr>
                <w:b/>
              </w:rPr>
            </w:pPr>
          </w:p>
        </w:tc>
      </w:tr>
      <w:tr w:rsidR="00FF6ABC" w:rsidRPr="00A36968" w14:paraId="3EC05F9F" w14:textId="77777777" w:rsidTr="000A1282">
        <w:trPr>
          <w:gridAfter w:val="1"/>
          <w:wAfter w:w="22" w:type="dxa"/>
        </w:trPr>
        <w:tc>
          <w:tcPr>
            <w:tcW w:w="9498" w:type="dxa"/>
            <w:gridSpan w:val="4"/>
            <w:tcBorders>
              <w:top w:val="single" w:sz="4" w:space="0" w:color="auto"/>
            </w:tcBorders>
          </w:tcPr>
          <w:p w14:paraId="71CF74CA" w14:textId="77777777" w:rsidR="00FF6ABC" w:rsidRPr="00A36968" w:rsidRDefault="00FF6ABC" w:rsidP="00B4030F">
            <w:pPr>
              <w:jc w:val="center"/>
              <w:rPr>
                <w:b/>
              </w:rPr>
            </w:pPr>
          </w:p>
        </w:tc>
      </w:tr>
      <w:tr w:rsidR="00FF6ABC" w:rsidRPr="008B6D04" w14:paraId="1335EDEF" w14:textId="77777777" w:rsidTr="000A1282">
        <w:trPr>
          <w:gridAfter w:val="1"/>
          <w:wAfter w:w="22" w:type="dxa"/>
        </w:trPr>
        <w:tc>
          <w:tcPr>
            <w:tcW w:w="9498" w:type="dxa"/>
            <w:gridSpan w:val="4"/>
          </w:tcPr>
          <w:p w14:paraId="16D1396B" w14:textId="77777777" w:rsidR="00FF6ABC" w:rsidRPr="00D91AB0" w:rsidRDefault="0010326D" w:rsidP="0010326D">
            <w:pPr>
              <w:pStyle w:val="zSoquijlblTypeDocument"/>
              <w:rPr>
                <w:lang w:val="en-US"/>
              </w:rPr>
            </w:pPr>
            <w:r>
              <w:rPr>
                <w:bCs/>
                <w:lang w:val="en-CA"/>
              </w:rPr>
              <w:t>DECISION</w:t>
            </w:r>
          </w:p>
          <w:p w14:paraId="75212283" w14:textId="30C5FDF2" w:rsidR="00E23CF0" w:rsidRPr="00D91AB0" w:rsidRDefault="00E23CF0" w:rsidP="0010326D">
            <w:pPr>
              <w:pStyle w:val="zSoquijlblTypeDocument"/>
              <w:rPr>
                <w:lang w:val="en-US"/>
              </w:rPr>
            </w:pPr>
            <w:r>
              <w:rPr>
                <w:bCs/>
                <w:lang w:val="en-CA"/>
              </w:rPr>
              <w:t>Extension of freeze orders</w:t>
            </w:r>
          </w:p>
        </w:tc>
      </w:tr>
      <w:tr w:rsidR="0002722E" w:rsidRPr="008B6D04" w14:paraId="68B4583A" w14:textId="77777777" w:rsidTr="000A1282">
        <w:trPr>
          <w:gridAfter w:val="1"/>
          <w:wAfter w:w="22" w:type="dxa"/>
        </w:trPr>
        <w:tc>
          <w:tcPr>
            <w:tcW w:w="9498" w:type="dxa"/>
            <w:gridSpan w:val="4"/>
            <w:tcBorders>
              <w:bottom w:val="single" w:sz="4" w:space="0" w:color="auto"/>
            </w:tcBorders>
          </w:tcPr>
          <w:p w14:paraId="16F5A47F" w14:textId="77777777" w:rsidR="0002722E" w:rsidRPr="00D91AB0" w:rsidRDefault="0002722E" w:rsidP="0010326D">
            <w:pPr>
              <w:pStyle w:val="zSoquijlblNosArticles"/>
              <w:rPr>
                <w:lang w:val="en-US"/>
              </w:rPr>
            </w:pPr>
          </w:p>
        </w:tc>
      </w:tr>
      <w:tr w:rsidR="0002722E" w14:paraId="2AF28992" w14:textId="77777777" w:rsidTr="000A1282">
        <w:trPr>
          <w:gridAfter w:val="1"/>
          <w:wAfter w:w="22" w:type="dxa"/>
        </w:trPr>
        <w:tc>
          <w:tcPr>
            <w:tcW w:w="9498" w:type="dxa"/>
            <w:gridSpan w:val="4"/>
            <w:tcBorders>
              <w:top w:val="single" w:sz="4" w:space="0" w:color="auto"/>
            </w:tcBorders>
          </w:tcPr>
          <w:p w14:paraId="6E09E23D" w14:textId="77777777" w:rsidR="00C33016" w:rsidRPr="00D91AB0" w:rsidRDefault="00C33016" w:rsidP="00C33016">
            <w:pPr>
              <w:pStyle w:val="Paragraphe"/>
              <w:numPr>
                <w:ilvl w:val="0"/>
                <w:numId w:val="0"/>
              </w:numPr>
              <w:rPr>
                <w:kern w:val="0"/>
                <w:lang w:val="en-US"/>
              </w:rPr>
            </w:pPr>
          </w:p>
          <w:p w14:paraId="69A99CD5" w14:textId="0C391F45" w:rsidR="00C33016" w:rsidRDefault="00C33016" w:rsidP="008B09E4">
            <w:pPr>
              <w:pStyle w:val="Paragraphe"/>
              <w:numPr>
                <w:ilvl w:val="0"/>
                <w:numId w:val="0"/>
              </w:numPr>
              <w:ind w:left="-70"/>
            </w:pPr>
            <w:r>
              <w:rPr>
                <w:b/>
                <w:bCs/>
                <w:lang w:val="en-CA"/>
              </w:rPr>
              <w:t>OVERVIEW</w:t>
            </w:r>
          </w:p>
        </w:tc>
      </w:tr>
    </w:tbl>
    <w:p w14:paraId="6A12FFAF" w14:textId="7AAF4A1C" w:rsidR="005B2A1D" w:rsidRPr="00D91AB0" w:rsidRDefault="00A017EC" w:rsidP="00BB0D33">
      <w:pPr>
        <w:pStyle w:val="Paragraphe"/>
        <w:rPr>
          <w:lang w:val="en-US"/>
        </w:rPr>
      </w:pPr>
      <w:r>
        <w:rPr>
          <w:szCs w:val="24"/>
          <w:lang w:val="en-CA"/>
        </w:rPr>
        <w:t>On December</w:t>
      </w:r>
      <w:r w:rsidR="00D91AB0">
        <w:rPr>
          <w:szCs w:val="24"/>
          <w:lang w:val="en-CA"/>
        </w:rPr>
        <w:t> </w:t>
      </w:r>
      <w:r>
        <w:rPr>
          <w:szCs w:val="24"/>
          <w:lang w:val="en-CA"/>
        </w:rPr>
        <w:t>18, 2020,</w:t>
      </w:r>
      <w:bookmarkStart w:id="1" w:name="_Ref77753877"/>
      <w:r>
        <w:rPr>
          <w:rStyle w:val="Appelnotedebasdep"/>
          <w:rFonts w:cs="Arial"/>
          <w:szCs w:val="24"/>
          <w:lang w:val="en-CA"/>
        </w:rPr>
        <w:footnoteReference w:id="1"/>
      </w:r>
      <w:bookmarkEnd w:id="1"/>
      <w:r>
        <w:rPr>
          <w:szCs w:val="24"/>
          <w:lang w:val="en-CA"/>
        </w:rPr>
        <w:t xml:space="preserve"> the Financial Markets Administrative Tribunal (“Tribunal”) issued, as a matter of urgency and </w:t>
      </w:r>
      <w:r>
        <w:rPr>
          <w:i/>
          <w:iCs/>
          <w:szCs w:val="24"/>
          <w:lang w:val="en-CA"/>
        </w:rPr>
        <w:t>ex parte</w:t>
      </w:r>
      <w:r>
        <w:rPr>
          <w:szCs w:val="24"/>
          <w:lang w:val="en-CA"/>
        </w:rPr>
        <w:t>,</w:t>
      </w:r>
      <w:r>
        <w:rPr>
          <w:i/>
          <w:iCs/>
          <w:szCs w:val="24"/>
          <w:lang w:val="en-CA"/>
        </w:rPr>
        <w:t xml:space="preserve"> </w:t>
      </w:r>
      <w:r>
        <w:rPr>
          <w:szCs w:val="24"/>
          <w:lang w:val="en-CA"/>
        </w:rPr>
        <w:t>freeze orders aimed at the respondents’ funds, securities and other assets, and those held for them by the impleaded financial institutions</w:t>
      </w:r>
      <w:r>
        <w:rPr>
          <w:lang w:val="en-CA"/>
        </w:rPr>
        <w:t xml:space="preserve">. </w:t>
      </w:r>
    </w:p>
    <w:p w14:paraId="42E582B4" w14:textId="43952ECD" w:rsidR="00FD081A" w:rsidRPr="00D91AB0" w:rsidRDefault="00FD081A" w:rsidP="00FD081A">
      <w:pPr>
        <w:pStyle w:val="Paragraphe"/>
        <w:rPr>
          <w:lang w:val="en-US"/>
        </w:rPr>
      </w:pPr>
      <w:r>
        <w:rPr>
          <w:lang w:val="en-CA"/>
        </w:rPr>
        <w:t xml:space="preserve">The initial freeze orders were issued in the context of an investigation conducted by the </w:t>
      </w:r>
      <w:proofErr w:type="spellStart"/>
      <w:r>
        <w:rPr>
          <w:lang w:val="en-CA"/>
        </w:rPr>
        <w:t>Autorité</w:t>
      </w:r>
      <w:proofErr w:type="spellEnd"/>
      <w:r>
        <w:rPr>
          <w:lang w:val="en-CA"/>
        </w:rPr>
        <w:t xml:space="preserve"> des </w:t>
      </w:r>
      <w:proofErr w:type="spellStart"/>
      <w:r>
        <w:rPr>
          <w:lang w:val="en-CA"/>
        </w:rPr>
        <w:t>marchés</w:t>
      </w:r>
      <w:proofErr w:type="spellEnd"/>
      <w:r>
        <w:rPr>
          <w:lang w:val="en-CA"/>
        </w:rPr>
        <w:t xml:space="preserve"> financiers (“</w:t>
      </w:r>
      <w:proofErr w:type="spellStart"/>
      <w:r>
        <w:rPr>
          <w:lang w:val="en-CA"/>
        </w:rPr>
        <w:t>Autorité</w:t>
      </w:r>
      <w:proofErr w:type="spellEnd"/>
      <w:r>
        <w:rPr>
          <w:lang w:val="en-CA"/>
        </w:rPr>
        <w:t>”) against the respondents. That investigation relates to serious alleged breaches by the respondents of sections </w:t>
      </w:r>
      <w:r>
        <w:rPr>
          <w:color w:val="000000"/>
          <w:lang w:val="en-CA"/>
        </w:rPr>
        <w:t xml:space="preserve">11, 148, 160 and 160.1 of the </w:t>
      </w:r>
      <w:r>
        <w:rPr>
          <w:i/>
          <w:iCs/>
          <w:color w:val="000000"/>
          <w:lang w:val="en-CA"/>
        </w:rPr>
        <w:t>Securities Act,</w:t>
      </w:r>
      <w:r>
        <w:rPr>
          <w:rStyle w:val="Appelnotedebasdep"/>
          <w:rFonts w:cs="Arial"/>
          <w:i/>
          <w:iCs/>
          <w:color w:val="000000"/>
          <w:lang w:val="en-CA"/>
        </w:rPr>
        <w:footnoteReference w:id="2"/>
      </w:r>
      <w:r>
        <w:rPr>
          <w:color w:val="000000"/>
          <w:lang w:val="en-CA"/>
        </w:rPr>
        <w:t xml:space="preserve"> sections 16, 84, 85 and 86 of the </w:t>
      </w:r>
      <w:r>
        <w:rPr>
          <w:i/>
          <w:iCs/>
          <w:color w:val="000000"/>
          <w:lang w:val="en-CA"/>
        </w:rPr>
        <w:t>Act respecting the distribution of financial products and services,</w:t>
      </w:r>
      <w:r>
        <w:rPr>
          <w:rStyle w:val="Appelnotedebasdep"/>
          <w:rFonts w:cs="Arial"/>
          <w:i/>
          <w:iCs/>
          <w:color w:val="000000"/>
          <w:lang w:val="en-CA"/>
        </w:rPr>
        <w:footnoteReference w:id="3"/>
      </w:r>
      <w:r>
        <w:rPr>
          <w:color w:val="000000"/>
          <w:lang w:val="en-CA"/>
        </w:rPr>
        <w:t xml:space="preserve"> and section 18 of the </w:t>
      </w:r>
      <w:r>
        <w:rPr>
          <w:i/>
          <w:iCs/>
          <w:color w:val="000000"/>
          <w:lang w:val="en-CA"/>
        </w:rPr>
        <w:t xml:space="preserve">Code of ethics of the </w:t>
      </w:r>
      <w:proofErr w:type="spellStart"/>
      <w:r>
        <w:rPr>
          <w:i/>
          <w:iCs/>
          <w:color w:val="000000"/>
          <w:lang w:val="en-CA"/>
        </w:rPr>
        <w:t>Chambre</w:t>
      </w:r>
      <w:proofErr w:type="spellEnd"/>
      <w:r>
        <w:rPr>
          <w:i/>
          <w:iCs/>
          <w:color w:val="000000"/>
          <w:lang w:val="en-CA"/>
        </w:rPr>
        <w:t xml:space="preserve"> de la </w:t>
      </w:r>
      <w:proofErr w:type="spellStart"/>
      <w:r>
        <w:rPr>
          <w:i/>
          <w:iCs/>
          <w:color w:val="000000"/>
          <w:lang w:val="en-CA"/>
        </w:rPr>
        <w:t>sécurité</w:t>
      </w:r>
      <w:proofErr w:type="spellEnd"/>
      <w:r>
        <w:rPr>
          <w:i/>
          <w:iCs/>
          <w:color w:val="000000"/>
          <w:lang w:val="en-CA"/>
        </w:rPr>
        <w:t xml:space="preserve"> </w:t>
      </w:r>
      <w:proofErr w:type="spellStart"/>
      <w:r>
        <w:rPr>
          <w:i/>
          <w:iCs/>
          <w:color w:val="000000"/>
          <w:lang w:val="en-CA"/>
        </w:rPr>
        <w:t>financière</w:t>
      </w:r>
      <w:proofErr w:type="spellEnd"/>
      <w:r>
        <w:rPr>
          <w:i/>
          <w:iCs/>
          <w:color w:val="000000"/>
          <w:lang w:val="en-CA"/>
        </w:rPr>
        <w:t>.</w:t>
      </w:r>
      <w:bookmarkStart w:id="2" w:name="_Ref42503108"/>
      <w:r>
        <w:rPr>
          <w:rStyle w:val="Appelnotedebasdep"/>
          <w:rFonts w:cs="Arial"/>
          <w:color w:val="000000"/>
          <w:lang w:val="en-CA"/>
        </w:rPr>
        <w:footnoteReference w:id="4"/>
      </w:r>
      <w:bookmarkEnd w:id="2"/>
      <w:r>
        <w:rPr>
          <w:lang w:val="en-CA"/>
        </w:rPr>
        <w:t xml:space="preserve"> These alleged breaches concern, in particular, the public distribution without a prospectus of forms of investment to which the </w:t>
      </w:r>
      <w:r>
        <w:rPr>
          <w:i/>
          <w:iCs/>
          <w:lang w:val="en-CA"/>
        </w:rPr>
        <w:t xml:space="preserve">Securities Act </w:t>
      </w:r>
      <w:r>
        <w:rPr>
          <w:lang w:val="en-CA"/>
        </w:rPr>
        <w:t xml:space="preserve">applies and to the exercise of the activity of securities dealer without the registrations required by the </w:t>
      </w:r>
      <w:proofErr w:type="spellStart"/>
      <w:r>
        <w:rPr>
          <w:lang w:val="en-CA"/>
        </w:rPr>
        <w:t>Authorité</w:t>
      </w:r>
      <w:proofErr w:type="spellEnd"/>
      <w:r>
        <w:rPr>
          <w:lang w:val="en-CA"/>
        </w:rPr>
        <w:t xml:space="preserve">. </w:t>
      </w:r>
      <w:bookmarkStart w:id="3" w:name="_ftnref1"/>
    </w:p>
    <w:bookmarkEnd w:id="3"/>
    <w:p w14:paraId="52973BED" w14:textId="3F659718" w:rsidR="00340200" w:rsidRPr="00D91AB0" w:rsidRDefault="0063560A" w:rsidP="0002693D">
      <w:pPr>
        <w:pStyle w:val="Paragraphe"/>
        <w:widowControl w:val="0"/>
        <w:tabs>
          <w:tab w:val="clear" w:pos="360"/>
          <w:tab w:val="left" w:pos="426"/>
        </w:tabs>
        <w:rPr>
          <w:lang w:val="en-US"/>
        </w:rPr>
      </w:pPr>
      <w:r>
        <w:rPr>
          <w:lang w:val="en-CA"/>
        </w:rPr>
        <w:t>Following a notice of contestation filed by the respondents to the aforementioned decision, the Tribunal concluded</w:t>
      </w:r>
      <w:r>
        <w:rPr>
          <w:color w:val="000000"/>
          <w:lang w:val="en-CA"/>
        </w:rPr>
        <w:t xml:space="preserve"> on June</w:t>
      </w:r>
      <w:r w:rsidR="00D91AB0">
        <w:rPr>
          <w:color w:val="000000"/>
          <w:lang w:val="en-CA"/>
        </w:rPr>
        <w:t> </w:t>
      </w:r>
      <w:r>
        <w:rPr>
          <w:color w:val="000000"/>
          <w:lang w:val="en-CA"/>
        </w:rPr>
        <w:t>2, 2021,</w:t>
      </w:r>
      <w:r>
        <w:rPr>
          <w:rStyle w:val="Appelnotedebasdep"/>
          <w:lang w:val="en-CA"/>
        </w:rPr>
        <w:footnoteReference w:id="5"/>
      </w:r>
      <w:r>
        <w:rPr>
          <w:color w:val="000000"/>
          <w:lang w:val="en-CA"/>
        </w:rPr>
        <w:t xml:space="preserve"> that it was justified, in the public interest, to maintain all orders of a protective, preventive and conservatory nature that it issued in its decision of December</w:t>
      </w:r>
      <w:r w:rsidR="00D91AB0">
        <w:rPr>
          <w:color w:val="000000"/>
          <w:lang w:val="en-CA"/>
        </w:rPr>
        <w:t> </w:t>
      </w:r>
      <w:r>
        <w:rPr>
          <w:color w:val="000000"/>
          <w:lang w:val="en-CA"/>
        </w:rPr>
        <w:t>18, 2020</w:t>
      </w:r>
      <w:r>
        <w:rPr>
          <w:lang w:val="en-CA"/>
        </w:rPr>
        <w:t>.</w:t>
      </w:r>
    </w:p>
    <w:p w14:paraId="12AA6C8D" w14:textId="50186633" w:rsidR="0078099D" w:rsidRPr="00D91AB0" w:rsidRDefault="0078099D" w:rsidP="00E205C0">
      <w:pPr>
        <w:pStyle w:val="Paragraphe"/>
        <w:rPr>
          <w:lang w:val="en-US"/>
        </w:rPr>
      </w:pPr>
      <w:r>
        <w:rPr>
          <w:lang w:val="en-CA"/>
        </w:rPr>
        <w:t>On November</w:t>
      </w:r>
      <w:r w:rsidR="00D91AB0">
        <w:rPr>
          <w:lang w:val="en-CA"/>
        </w:rPr>
        <w:t> </w:t>
      </w:r>
      <w:r>
        <w:rPr>
          <w:lang w:val="en-CA"/>
        </w:rPr>
        <w:t xml:space="preserve">10, 2021, the </w:t>
      </w:r>
      <w:proofErr w:type="spellStart"/>
      <w:r>
        <w:rPr>
          <w:lang w:val="en-CA"/>
        </w:rPr>
        <w:t>Autorité</w:t>
      </w:r>
      <w:proofErr w:type="spellEnd"/>
      <w:r>
        <w:rPr>
          <w:lang w:val="en-CA"/>
        </w:rPr>
        <w:t xml:space="preserve"> filed a request to extend the freeze orders currently in force in this case for a period of twelve (12) months.</w:t>
      </w:r>
    </w:p>
    <w:p w14:paraId="45E584A5" w14:textId="701B158F" w:rsidR="0078099D" w:rsidRPr="00D91AB0" w:rsidRDefault="0078099D" w:rsidP="0078099D">
      <w:pPr>
        <w:pStyle w:val="Paragraphe"/>
        <w:widowControl w:val="0"/>
        <w:tabs>
          <w:tab w:val="clear" w:pos="360"/>
          <w:tab w:val="left" w:pos="426"/>
        </w:tabs>
        <w:rPr>
          <w:rFonts w:cs="Arial"/>
          <w:color w:val="000000"/>
          <w:lang w:val="en-US"/>
        </w:rPr>
      </w:pPr>
      <w:r>
        <w:rPr>
          <w:rFonts w:cs="Arial"/>
          <w:color w:val="000000"/>
          <w:lang w:val="en-CA"/>
        </w:rPr>
        <w:t xml:space="preserve">At the </w:t>
      </w:r>
      <w:r>
        <w:rPr>
          <w:rFonts w:cs="Arial"/>
          <w:i/>
          <w:iCs/>
          <w:color w:val="000000"/>
          <w:lang w:val="en-CA"/>
        </w:rPr>
        <w:t>pro forma</w:t>
      </w:r>
      <w:r>
        <w:rPr>
          <w:rFonts w:cs="Arial"/>
          <w:color w:val="000000"/>
          <w:lang w:val="en-CA"/>
        </w:rPr>
        <w:t xml:space="preserve"> hearing on December</w:t>
      </w:r>
      <w:r w:rsidR="00D91AB0">
        <w:rPr>
          <w:rFonts w:cs="Arial"/>
          <w:color w:val="000000"/>
          <w:lang w:val="en-CA"/>
        </w:rPr>
        <w:t> </w:t>
      </w:r>
      <w:r>
        <w:rPr>
          <w:rFonts w:cs="Arial"/>
          <w:color w:val="000000"/>
          <w:lang w:val="en-CA"/>
        </w:rPr>
        <w:t xml:space="preserve">2, 2021, respondent </w:t>
      </w:r>
      <w:proofErr w:type="spellStart"/>
      <w:r>
        <w:rPr>
          <w:rFonts w:cs="Arial"/>
          <w:color w:val="000000"/>
          <w:lang w:val="en-CA"/>
        </w:rPr>
        <w:t>Sandly</w:t>
      </w:r>
      <w:proofErr w:type="spellEnd"/>
      <w:r>
        <w:rPr>
          <w:rFonts w:cs="Arial"/>
          <w:color w:val="000000"/>
          <w:lang w:val="en-CA"/>
        </w:rPr>
        <w:t xml:space="preserve"> </w:t>
      </w:r>
      <w:proofErr w:type="spellStart"/>
      <w:r>
        <w:rPr>
          <w:rFonts w:cs="Arial"/>
          <w:color w:val="000000"/>
          <w:lang w:val="en-CA"/>
        </w:rPr>
        <w:t>Alteon</w:t>
      </w:r>
      <w:proofErr w:type="spellEnd"/>
      <w:r>
        <w:rPr>
          <w:rFonts w:cs="Arial"/>
          <w:color w:val="000000"/>
          <w:lang w:val="en-CA"/>
        </w:rPr>
        <w:t xml:space="preserve"> </w:t>
      </w:r>
      <w:proofErr w:type="spellStart"/>
      <w:r>
        <w:rPr>
          <w:rFonts w:cs="Arial"/>
          <w:color w:val="000000"/>
          <w:lang w:val="en-CA"/>
        </w:rPr>
        <w:t>Senat</w:t>
      </w:r>
      <w:proofErr w:type="spellEnd"/>
      <w:r>
        <w:rPr>
          <w:rFonts w:cs="Arial"/>
          <w:color w:val="000000"/>
          <w:lang w:val="en-CA"/>
        </w:rPr>
        <w:t xml:space="preserve"> informed the Tribunal of her intention to contest this request to extend the freeze orders, indicating that she needed time to find counsel.</w:t>
      </w:r>
    </w:p>
    <w:p w14:paraId="111E8131" w14:textId="6D646415" w:rsidR="0078099D" w:rsidRPr="00D91AB0" w:rsidRDefault="0078099D" w:rsidP="0078099D">
      <w:pPr>
        <w:pStyle w:val="Paragraphe"/>
        <w:rPr>
          <w:lang w:val="en-US"/>
        </w:rPr>
      </w:pPr>
      <w:r>
        <w:rPr>
          <w:lang w:val="en-CA"/>
        </w:rPr>
        <w:t xml:space="preserve">In order to give respondent </w:t>
      </w:r>
      <w:proofErr w:type="spellStart"/>
      <w:r>
        <w:rPr>
          <w:lang w:val="en-CA"/>
        </w:rPr>
        <w:t>Sandly</w:t>
      </w:r>
      <w:proofErr w:type="spellEnd"/>
      <w:r>
        <w:rPr>
          <w:lang w:val="en-CA"/>
        </w:rPr>
        <w:t xml:space="preserve"> </w:t>
      </w:r>
      <w:proofErr w:type="spellStart"/>
      <w:r>
        <w:rPr>
          <w:lang w:val="en-CA"/>
        </w:rPr>
        <w:t>Alteon</w:t>
      </w:r>
      <w:proofErr w:type="spellEnd"/>
      <w:r>
        <w:rPr>
          <w:lang w:val="en-CA"/>
        </w:rPr>
        <w:t xml:space="preserve"> </w:t>
      </w:r>
      <w:proofErr w:type="spellStart"/>
      <w:r>
        <w:rPr>
          <w:lang w:val="en-CA"/>
        </w:rPr>
        <w:t>Senat</w:t>
      </w:r>
      <w:proofErr w:type="spellEnd"/>
      <w:r>
        <w:rPr>
          <w:lang w:val="en-CA"/>
        </w:rPr>
        <w:t xml:space="preserve"> time to retain the services of counsel to represent her in this case, the Tribunal - in agreement with the parties - decided to schedule the hearing for March</w:t>
      </w:r>
      <w:r w:rsidR="00D91AB0">
        <w:rPr>
          <w:lang w:val="en-CA"/>
        </w:rPr>
        <w:t> </w:t>
      </w:r>
      <w:r>
        <w:rPr>
          <w:lang w:val="en-CA"/>
        </w:rPr>
        <w:t>1, 2022, which would allow it to hear, on its merits, the above-mentioned request for an extension.</w:t>
      </w:r>
    </w:p>
    <w:p w14:paraId="6B4EFB9B" w14:textId="2893555E" w:rsidR="00BB0D33" w:rsidRPr="00D91AB0" w:rsidRDefault="007B6CB6" w:rsidP="00A50013">
      <w:pPr>
        <w:pStyle w:val="Paragraphe"/>
        <w:widowControl w:val="0"/>
        <w:tabs>
          <w:tab w:val="clear" w:pos="360"/>
          <w:tab w:val="left" w:pos="426"/>
        </w:tabs>
        <w:rPr>
          <w:lang w:val="en-US"/>
        </w:rPr>
      </w:pPr>
      <w:r>
        <w:rPr>
          <w:lang w:val="en-CA"/>
        </w:rPr>
        <w:t xml:space="preserve">Furthermore, given that the freeze orders in force in this case were to expire on </w:t>
      </w:r>
      <w:r>
        <w:rPr>
          <w:lang w:val="en-CA"/>
        </w:rPr>
        <w:lastRenderedPageBreak/>
        <w:t>December</w:t>
      </w:r>
      <w:r w:rsidR="00D91AB0">
        <w:rPr>
          <w:lang w:val="en-CA"/>
        </w:rPr>
        <w:t> </w:t>
      </w:r>
      <w:r>
        <w:rPr>
          <w:lang w:val="en-CA"/>
        </w:rPr>
        <w:t>18, 2021, the Tribunal decided, in order to continue protecting the public interest, to temporarily extend those freeze orders until March</w:t>
      </w:r>
      <w:r w:rsidR="00D91AB0">
        <w:rPr>
          <w:lang w:val="en-CA"/>
        </w:rPr>
        <w:t> </w:t>
      </w:r>
      <w:r>
        <w:rPr>
          <w:lang w:val="en-CA"/>
        </w:rPr>
        <w:t>17, 2022.</w:t>
      </w:r>
      <w:r>
        <w:rPr>
          <w:rStyle w:val="Appelnotedebasdep"/>
          <w:lang w:val="en-CA"/>
        </w:rPr>
        <w:footnoteReference w:id="6"/>
      </w:r>
    </w:p>
    <w:p w14:paraId="10277A66" w14:textId="7C8E91FD" w:rsidR="00616678" w:rsidRPr="00D91AB0" w:rsidRDefault="00F57849" w:rsidP="00616678">
      <w:pPr>
        <w:pStyle w:val="Paragraphe"/>
        <w:widowControl w:val="0"/>
        <w:tabs>
          <w:tab w:val="clear" w:pos="360"/>
          <w:tab w:val="left" w:pos="426"/>
        </w:tabs>
        <w:rPr>
          <w:lang w:val="en-US"/>
        </w:rPr>
      </w:pPr>
      <w:r>
        <w:rPr>
          <w:lang w:val="en-CA"/>
        </w:rPr>
        <w:t>At the hearing of March</w:t>
      </w:r>
      <w:r w:rsidR="00D91AB0">
        <w:rPr>
          <w:lang w:val="en-CA"/>
        </w:rPr>
        <w:t> </w:t>
      </w:r>
      <w:r>
        <w:rPr>
          <w:lang w:val="en-CA"/>
        </w:rPr>
        <w:t xml:space="preserve">1, 2022, the respondents were absent and not represented by counsel. However, the Tribunal was informed that the respondents had retained the services of counsel and that the latter had informed counsel for the </w:t>
      </w:r>
      <w:proofErr w:type="spellStart"/>
      <w:r>
        <w:rPr>
          <w:lang w:val="en-CA"/>
        </w:rPr>
        <w:t>Autorité</w:t>
      </w:r>
      <w:proofErr w:type="spellEnd"/>
      <w:r>
        <w:rPr>
          <w:lang w:val="en-CA"/>
        </w:rPr>
        <w:t xml:space="preserve"> by email that her clients had decided to no longer contest the </w:t>
      </w:r>
      <w:proofErr w:type="spellStart"/>
      <w:r>
        <w:rPr>
          <w:lang w:val="en-CA"/>
        </w:rPr>
        <w:t>Autorité’s</w:t>
      </w:r>
      <w:proofErr w:type="spellEnd"/>
      <w:r>
        <w:rPr>
          <w:lang w:val="en-CA"/>
        </w:rPr>
        <w:t xml:space="preserve"> request to extend the freeze orders currently in force in this case. </w:t>
      </w:r>
    </w:p>
    <w:p w14:paraId="7B0B945E" w14:textId="46AAEC52" w:rsidR="00FE6231" w:rsidRPr="00D91AB0" w:rsidRDefault="00D06FEA" w:rsidP="00616678">
      <w:pPr>
        <w:pStyle w:val="Paragraphe"/>
        <w:widowControl w:val="0"/>
        <w:tabs>
          <w:tab w:val="clear" w:pos="360"/>
          <w:tab w:val="left" w:pos="426"/>
        </w:tabs>
        <w:rPr>
          <w:lang w:val="en-US"/>
        </w:rPr>
      </w:pPr>
      <w:r>
        <w:rPr>
          <w:lang w:val="en-CA"/>
        </w:rPr>
        <w:t xml:space="preserve">Furthermore, at this hearing, counsel for the </w:t>
      </w:r>
      <w:proofErr w:type="spellStart"/>
      <w:r>
        <w:rPr>
          <w:lang w:val="en-CA"/>
        </w:rPr>
        <w:t>Autorité</w:t>
      </w:r>
      <w:proofErr w:type="spellEnd"/>
      <w:r>
        <w:rPr>
          <w:lang w:val="en-CA"/>
        </w:rPr>
        <w:t xml:space="preserve"> </w:t>
      </w:r>
      <w:r>
        <w:rPr>
          <w:color w:val="000000"/>
          <w:lang w:val="en-CA"/>
        </w:rPr>
        <w:t xml:space="preserve">informed the Tribunal that the </w:t>
      </w:r>
      <w:proofErr w:type="spellStart"/>
      <w:r>
        <w:rPr>
          <w:color w:val="000000"/>
          <w:lang w:val="en-CA"/>
        </w:rPr>
        <w:t>Autorité’s</w:t>
      </w:r>
      <w:proofErr w:type="spellEnd"/>
      <w:r>
        <w:rPr>
          <w:color w:val="000000"/>
          <w:lang w:val="en-CA"/>
        </w:rPr>
        <w:t xml:space="preserve"> investigation into the respondents is continuing. He also argued that the reasons that justified the initial freeze orders in this case still exist. Counsel for the </w:t>
      </w:r>
      <w:proofErr w:type="spellStart"/>
      <w:r>
        <w:rPr>
          <w:color w:val="000000"/>
          <w:lang w:val="en-CA"/>
        </w:rPr>
        <w:t>Autorité</w:t>
      </w:r>
      <w:proofErr w:type="spellEnd"/>
      <w:r>
        <w:rPr>
          <w:color w:val="000000"/>
          <w:lang w:val="en-CA"/>
        </w:rPr>
        <w:t xml:space="preserve"> asked the Tribunal to extend the freeze orders until December</w:t>
      </w:r>
      <w:r w:rsidR="00D91AB0">
        <w:rPr>
          <w:color w:val="000000"/>
          <w:lang w:val="en-CA"/>
        </w:rPr>
        <w:t> </w:t>
      </w:r>
      <w:r>
        <w:rPr>
          <w:color w:val="000000"/>
          <w:lang w:val="en-CA"/>
        </w:rPr>
        <w:t>17, 2022.</w:t>
      </w:r>
    </w:p>
    <w:p w14:paraId="7117EE8E" w14:textId="5A82CFBA" w:rsidR="00637805" w:rsidRPr="00D91AB0" w:rsidRDefault="00637805" w:rsidP="00637805">
      <w:pPr>
        <w:pStyle w:val="Paragraphe"/>
        <w:rPr>
          <w:lang w:val="en-US"/>
        </w:rPr>
      </w:pPr>
      <w:r>
        <w:rPr>
          <w:lang w:val="en-CA"/>
        </w:rPr>
        <w:t>The Tribunal must therefore determine whether, in the public interest, it will extend these freeze orders and, if so, it must determine the duration of the extension.</w:t>
      </w:r>
    </w:p>
    <w:p w14:paraId="3E27BE3D" w14:textId="32E5C700" w:rsidR="00637805" w:rsidRPr="00D91AB0" w:rsidRDefault="00637805" w:rsidP="00637805">
      <w:pPr>
        <w:pStyle w:val="Paragraphe"/>
        <w:rPr>
          <w:lang w:val="en-US"/>
        </w:rPr>
      </w:pPr>
      <w:r>
        <w:rPr>
          <w:lang w:val="en-CA"/>
        </w:rPr>
        <w:t>After hearing the arguments adduced at the March</w:t>
      </w:r>
      <w:r w:rsidR="00D91AB0">
        <w:rPr>
          <w:lang w:val="en-CA"/>
        </w:rPr>
        <w:t> </w:t>
      </w:r>
      <w:r>
        <w:rPr>
          <w:lang w:val="en-CA"/>
        </w:rPr>
        <w:t>1, 2022 hearing and taking into account that the respondents were no longer contesting the request, the Tribunal decided, in the public interest, to extend the freeze orders currently in force in this case until December</w:t>
      </w:r>
      <w:r w:rsidR="00D91AB0">
        <w:rPr>
          <w:lang w:val="en-CA"/>
        </w:rPr>
        <w:t> </w:t>
      </w:r>
      <w:r>
        <w:rPr>
          <w:lang w:val="en-CA"/>
        </w:rPr>
        <w:t>17, 2022.</w:t>
      </w:r>
    </w:p>
    <w:p w14:paraId="15B9FF5B" w14:textId="77777777" w:rsidR="00637805" w:rsidRPr="00637805" w:rsidRDefault="00637805" w:rsidP="00637805">
      <w:pPr>
        <w:pStyle w:val="Paragraphe"/>
        <w:numPr>
          <w:ilvl w:val="0"/>
          <w:numId w:val="0"/>
        </w:numPr>
        <w:rPr>
          <w:b/>
        </w:rPr>
      </w:pPr>
      <w:r>
        <w:rPr>
          <w:b/>
          <w:bCs/>
          <w:lang w:val="en-CA"/>
        </w:rPr>
        <w:t>ANALYSIS</w:t>
      </w:r>
    </w:p>
    <w:p w14:paraId="1B860DB1" w14:textId="4802BE49" w:rsidR="00637805" w:rsidRPr="00D91AB0" w:rsidRDefault="00637805" w:rsidP="00637805">
      <w:pPr>
        <w:pStyle w:val="Paragraphe"/>
        <w:rPr>
          <w:lang w:val="en-US"/>
        </w:rPr>
      </w:pPr>
      <w:r>
        <w:rPr>
          <w:lang w:val="en-CA"/>
        </w:rPr>
        <w:t>For the Tribunal to extend a freeze order, it must determine whether:</w:t>
      </w:r>
    </w:p>
    <w:p w14:paraId="00C80BA8" w14:textId="6CF7C694" w:rsidR="00637805" w:rsidRPr="00D91AB0" w:rsidRDefault="00637805" w:rsidP="00637805">
      <w:pPr>
        <w:pStyle w:val="Paragraphe"/>
        <w:numPr>
          <w:ilvl w:val="0"/>
          <w:numId w:val="0"/>
        </w:numPr>
        <w:ind w:firstLine="734"/>
        <w:rPr>
          <w:lang w:val="en-US"/>
        </w:rPr>
      </w:pPr>
      <w:r>
        <w:rPr>
          <w:lang w:val="en-CA"/>
        </w:rPr>
        <w:t xml:space="preserve">(1) the investigation by the </w:t>
      </w:r>
      <w:proofErr w:type="spellStart"/>
      <w:r>
        <w:rPr>
          <w:lang w:val="en-CA"/>
        </w:rPr>
        <w:t>Autorité</w:t>
      </w:r>
      <w:proofErr w:type="spellEnd"/>
      <w:r>
        <w:rPr>
          <w:lang w:val="en-CA"/>
        </w:rPr>
        <w:t xml:space="preserve"> into the respondent is still ongoing;</w:t>
      </w:r>
      <w:bookmarkStart w:id="4" w:name="_ftnref6"/>
      <w:bookmarkEnd w:id="4"/>
      <w:r>
        <w:rPr>
          <w:rStyle w:val="Appelnotedebasdep"/>
          <w:rFonts w:ascii="Tahoma" w:hAnsi="Tahoma" w:cs="Tahoma"/>
          <w:lang w:val="en-CA"/>
        </w:rPr>
        <w:footnoteReference w:id="7"/>
      </w:r>
    </w:p>
    <w:p w14:paraId="1573E308" w14:textId="0644FF00" w:rsidR="00637805" w:rsidRPr="00D91AB0" w:rsidRDefault="00637805" w:rsidP="00637805">
      <w:pPr>
        <w:pStyle w:val="Paragraphe"/>
        <w:numPr>
          <w:ilvl w:val="0"/>
          <w:numId w:val="0"/>
        </w:numPr>
        <w:ind w:firstLine="734"/>
        <w:rPr>
          <w:lang w:val="en-US"/>
        </w:rPr>
      </w:pPr>
      <w:r>
        <w:rPr>
          <w:lang w:val="en-CA"/>
        </w:rPr>
        <w:t>(2) the reasons for the initial freeze orders still exist.</w:t>
      </w:r>
      <w:bookmarkStart w:id="5" w:name="_ftnref7"/>
      <w:bookmarkEnd w:id="5"/>
      <w:r>
        <w:rPr>
          <w:rStyle w:val="Appelnotedebasdep"/>
          <w:rFonts w:ascii="Tahoma" w:hAnsi="Tahoma" w:cs="Tahoma"/>
          <w:lang w:val="en-CA"/>
        </w:rPr>
        <w:footnoteReference w:id="8"/>
      </w:r>
    </w:p>
    <w:p w14:paraId="19D969D3" w14:textId="301A94EB" w:rsidR="00637805" w:rsidRPr="00D91AB0" w:rsidRDefault="00637805" w:rsidP="00637805">
      <w:pPr>
        <w:pStyle w:val="Paragraphe"/>
        <w:rPr>
          <w:lang w:val="en-US"/>
        </w:rPr>
      </w:pPr>
      <w:r>
        <w:rPr>
          <w:lang w:val="en-CA"/>
        </w:rPr>
        <w:t>As for the length of the freeze order, the legislation provides for a 12-month period, unless the Tribunal decides otherwise.</w:t>
      </w:r>
      <w:r>
        <w:rPr>
          <w:rStyle w:val="Appelnotedebasdep"/>
          <w:rFonts w:cs="Arial"/>
          <w:lang w:val="en-CA"/>
        </w:rPr>
        <w:footnoteReference w:id="9"/>
      </w:r>
    </w:p>
    <w:p w14:paraId="44BD804F" w14:textId="4ABDE1B7" w:rsidR="00637805" w:rsidRPr="00D91AB0" w:rsidRDefault="00604090" w:rsidP="00D91AB0">
      <w:pPr>
        <w:pStyle w:val="Paragraphe"/>
        <w:rPr>
          <w:lang w:val="en-US"/>
        </w:rPr>
      </w:pPr>
      <w:r>
        <w:rPr>
          <w:lang w:val="en-CA"/>
        </w:rPr>
        <w:t>At the hearing on March</w:t>
      </w:r>
      <w:r w:rsidR="00D91AB0" w:rsidRPr="00D91AB0">
        <w:rPr>
          <w:lang w:val="en-US"/>
        </w:rPr>
        <w:t> </w:t>
      </w:r>
      <w:r>
        <w:rPr>
          <w:lang w:val="en-CA"/>
        </w:rPr>
        <w:t xml:space="preserve">1, 2022, during which the Tribunal heard, on its merits, the </w:t>
      </w:r>
      <w:proofErr w:type="spellStart"/>
      <w:r>
        <w:rPr>
          <w:lang w:val="en-CA"/>
        </w:rPr>
        <w:t>Autorité’s</w:t>
      </w:r>
      <w:proofErr w:type="spellEnd"/>
      <w:r>
        <w:rPr>
          <w:lang w:val="en-CA"/>
        </w:rPr>
        <w:t xml:space="preserve"> request to extend the freeze orders currently in force in this case, the respondents and the impleaded parties were absent and not represented. However, the respondents had indicated, through an email from their counsel to counsel for the </w:t>
      </w:r>
      <w:proofErr w:type="spellStart"/>
      <w:r>
        <w:rPr>
          <w:lang w:val="en-CA"/>
        </w:rPr>
        <w:t>Autorité</w:t>
      </w:r>
      <w:proofErr w:type="spellEnd"/>
      <w:r>
        <w:rPr>
          <w:lang w:val="en-CA"/>
        </w:rPr>
        <w:t>, their decision not to contest the above-mentioned request for an extension. Consequently, the respondents and the impleaded parties did not establish that the reasons for the Tribunal issuing the initial freeze orders in this case have ceased to exist.</w:t>
      </w:r>
    </w:p>
    <w:p w14:paraId="34F01ED2" w14:textId="4BC8FD6C" w:rsidR="00637805" w:rsidRPr="00D91AB0" w:rsidRDefault="00D665A5" w:rsidP="00637805">
      <w:pPr>
        <w:pStyle w:val="Paragraphe"/>
        <w:rPr>
          <w:lang w:val="en-US"/>
        </w:rPr>
      </w:pPr>
      <w:r>
        <w:rPr>
          <w:lang w:val="en-CA"/>
        </w:rPr>
        <w:t xml:space="preserve">Furthermore, at the hearing, counsel for the </w:t>
      </w:r>
      <w:proofErr w:type="spellStart"/>
      <w:r>
        <w:rPr>
          <w:lang w:val="en-CA"/>
        </w:rPr>
        <w:t>Autorité</w:t>
      </w:r>
      <w:proofErr w:type="spellEnd"/>
      <w:r>
        <w:rPr>
          <w:lang w:val="en-CA"/>
        </w:rPr>
        <w:t xml:space="preserve"> argued that the reasons that led the Tribunal to issue, in the public interest, freeze orders against the respondents and with regard to the impleaded parties are still present.</w:t>
      </w:r>
    </w:p>
    <w:p w14:paraId="7ADB1E6D" w14:textId="5FF95E83" w:rsidR="00637805" w:rsidRPr="00D91AB0" w:rsidRDefault="00182795" w:rsidP="00637805">
      <w:pPr>
        <w:pStyle w:val="Paragraphe"/>
        <w:rPr>
          <w:lang w:val="en-US"/>
        </w:rPr>
      </w:pPr>
      <w:r>
        <w:rPr>
          <w:lang w:val="en-CA"/>
        </w:rPr>
        <w:lastRenderedPageBreak/>
        <w:t xml:space="preserve">He also informed the Tribunal that the </w:t>
      </w:r>
      <w:proofErr w:type="spellStart"/>
      <w:r>
        <w:rPr>
          <w:lang w:val="en-CA"/>
        </w:rPr>
        <w:t>Autorité’s</w:t>
      </w:r>
      <w:proofErr w:type="spellEnd"/>
      <w:r>
        <w:rPr>
          <w:lang w:val="en-CA"/>
        </w:rPr>
        <w:t xml:space="preserve"> investigation, in its broad sense, of the respondents is ongoing. In this regard, the </w:t>
      </w:r>
      <w:proofErr w:type="spellStart"/>
      <w:r>
        <w:rPr>
          <w:lang w:val="en-CA"/>
        </w:rPr>
        <w:t>Autorité’s</w:t>
      </w:r>
      <w:proofErr w:type="spellEnd"/>
      <w:r>
        <w:rPr>
          <w:lang w:val="en-CA"/>
        </w:rPr>
        <w:t xml:space="preserve"> lead investigator in this case has indicated to the Tribunal that he should be able to </w:t>
      </w:r>
      <w:r>
        <w:rPr>
          <w:color w:val="000000"/>
          <w:lang w:val="en-CA"/>
        </w:rPr>
        <w:t xml:space="preserve">submit an investigation report to the </w:t>
      </w:r>
      <w:proofErr w:type="spellStart"/>
      <w:r>
        <w:rPr>
          <w:color w:val="000000"/>
          <w:lang w:val="en-CA"/>
        </w:rPr>
        <w:t>Autorité’s</w:t>
      </w:r>
      <w:proofErr w:type="spellEnd"/>
      <w:r>
        <w:rPr>
          <w:color w:val="000000"/>
          <w:lang w:val="en-CA"/>
        </w:rPr>
        <w:t xml:space="preserve"> Litigation Branch in approximately one month. He mentioned that the latter will then analyse this document and make recommendations to the </w:t>
      </w:r>
      <w:proofErr w:type="spellStart"/>
      <w:r>
        <w:rPr>
          <w:color w:val="000000"/>
          <w:lang w:val="en-CA"/>
        </w:rPr>
        <w:t>Autorité’s</w:t>
      </w:r>
      <w:proofErr w:type="spellEnd"/>
      <w:r>
        <w:rPr>
          <w:color w:val="000000"/>
          <w:lang w:val="en-CA"/>
        </w:rPr>
        <w:t xml:space="preserve"> management regarding any further legal action in this case.</w:t>
      </w:r>
    </w:p>
    <w:p w14:paraId="10AF9C3A" w14:textId="4F1598F9" w:rsidR="00B144FD" w:rsidRPr="00D91AB0" w:rsidRDefault="00B144FD" w:rsidP="00637805">
      <w:pPr>
        <w:pStyle w:val="Paragraphe"/>
        <w:rPr>
          <w:lang w:val="en-US"/>
        </w:rPr>
      </w:pPr>
      <w:r>
        <w:rPr>
          <w:lang w:val="en-CA"/>
        </w:rPr>
        <w:t>In view of (</w:t>
      </w:r>
      <w:proofErr w:type="spellStart"/>
      <w:r>
        <w:rPr>
          <w:lang w:val="en-CA"/>
        </w:rPr>
        <w:t>i</w:t>
      </w:r>
      <w:proofErr w:type="spellEnd"/>
      <w:r>
        <w:rPr>
          <w:lang w:val="en-CA"/>
        </w:rPr>
        <w:t xml:space="preserve">) the time elapsed since the filing of the </w:t>
      </w:r>
      <w:proofErr w:type="spellStart"/>
      <w:r>
        <w:rPr>
          <w:lang w:val="en-CA"/>
        </w:rPr>
        <w:t>Autorité’s</w:t>
      </w:r>
      <w:proofErr w:type="spellEnd"/>
      <w:r>
        <w:rPr>
          <w:lang w:val="en-CA"/>
        </w:rPr>
        <w:t xml:space="preserve"> request for an extension, (ii) the interim extension decision issued by the Tribunal on December</w:t>
      </w:r>
      <w:r w:rsidR="00D91AB0">
        <w:rPr>
          <w:lang w:val="en-CA"/>
        </w:rPr>
        <w:t> </w:t>
      </w:r>
      <w:r>
        <w:rPr>
          <w:lang w:val="en-CA"/>
        </w:rPr>
        <w:t xml:space="preserve">2, 2021, and (iii) the time that will likely be needed for subsequent legal action in this case, counsel for the </w:t>
      </w:r>
      <w:proofErr w:type="spellStart"/>
      <w:r>
        <w:rPr>
          <w:lang w:val="en-CA"/>
        </w:rPr>
        <w:t>Autorité</w:t>
      </w:r>
      <w:proofErr w:type="spellEnd"/>
      <w:r>
        <w:rPr>
          <w:lang w:val="en-CA"/>
        </w:rPr>
        <w:t xml:space="preserve"> has requested the Tribunal to extend until December</w:t>
      </w:r>
      <w:r w:rsidR="00D91AB0">
        <w:rPr>
          <w:lang w:val="en-CA"/>
        </w:rPr>
        <w:t> </w:t>
      </w:r>
      <w:r>
        <w:rPr>
          <w:lang w:val="en-CA"/>
        </w:rPr>
        <w:t>17, 2022, the freeze orders currently in force in this case.</w:t>
      </w:r>
    </w:p>
    <w:p w14:paraId="69AB1B5C" w14:textId="678EEBEE" w:rsidR="00637805" w:rsidRPr="00D91AB0" w:rsidRDefault="00B144FD" w:rsidP="00637805">
      <w:pPr>
        <w:pStyle w:val="Paragraphe"/>
        <w:rPr>
          <w:lang w:val="en-US"/>
        </w:rPr>
      </w:pPr>
      <w:r>
        <w:rPr>
          <w:lang w:val="en-CA"/>
        </w:rPr>
        <w:t xml:space="preserve">In light of this information and these arguments, the Tribunal is of the opinion that the </w:t>
      </w:r>
      <w:proofErr w:type="spellStart"/>
      <w:r>
        <w:rPr>
          <w:lang w:val="en-CA"/>
        </w:rPr>
        <w:t>Autorité’s</w:t>
      </w:r>
      <w:proofErr w:type="spellEnd"/>
      <w:r>
        <w:rPr>
          <w:lang w:val="en-CA"/>
        </w:rPr>
        <w:t xml:space="preserve"> investigation of the respondents is still ongoing and that the reasons that justified the Tribunal issuing the initial freeze orders in this case still exist.</w:t>
      </w:r>
    </w:p>
    <w:p w14:paraId="64458691" w14:textId="61B69864" w:rsidR="00637805" w:rsidRPr="00D91AB0" w:rsidRDefault="00032975" w:rsidP="00637805">
      <w:pPr>
        <w:pStyle w:val="Paragraphe"/>
        <w:rPr>
          <w:lang w:val="en-US"/>
        </w:rPr>
      </w:pPr>
      <w:r>
        <w:rPr>
          <w:lang w:val="en-CA"/>
        </w:rPr>
        <w:t>Furthermore, in the circumstances, the Tribunal considers it reasonable to extend, in the public interest, the above-mentioned freeze orders until December</w:t>
      </w:r>
      <w:r w:rsidR="00D91AB0">
        <w:rPr>
          <w:lang w:val="en-CA"/>
        </w:rPr>
        <w:t> </w:t>
      </w:r>
      <w:r>
        <w:rPr>
          <w:lang w:val="en-CA"/>
        </w:rPr>
        <w:t>17, 2022.</w:t>
      </w:r>
    </w:p>
    <w:p w14:paraId="0AED4CC6" w14:textId="0463FAFA" w:rsidR="00637805" w:rsidRPr="00D91AB0" w:rsidRDefault="00032975" w:rsidP="00637805">
      <w:pPr>
        <w:pStyle w:val="Paragraphe"/>
        <w:rPr>
          <w:lang w:val="en-US"/>
        </w:rPr>
      </w:pPr>
      <w:r>
        <w:rPr>
          <w:lang w:val="en-CA"/>
        </w:rPr>
        <w:t xml:space="preserve">Consequently, given that the investigation by the </w:t>
      </w:r>
      <w:proofErr w:type="spellStart"/>
      <w:r>
        <w:rPr>
          <w:lang w:val="en-CA"/>
        </w:rPr>
        <w:t>Autorité</w:t>
      </w:r>
      <w:proofErr w:type="spellEnd"/>
      <w:r>
        <w:rPr>
          <w:lang w:val="en-CA"/>
        </w:rPr>
        <w:t xml:space="preserve"> is ongoing and that the reasons that justified issuing the initial freeze orders still exist, the Tribunal is prepared to extend, in the public interest, the freeze orders currently in force in this case until December</w:t>
      </w:r>
      <w:r w:rsidR="00D91AB0">
        <w:rPr>
          <w:lang w:val="en-CA"/>
        </w:rPr>
        <w:t> </w:t>
      </w:r>
      <w:r>
        <w:rPr>
          <w:lang w:val="en-CA"/>
        </w:rPr>
        <w:t>17, 2022.</w:t>
      </w:r>
    </w:p>
    <w:p w14:paraId="134C1340" w14:textId="2CFB657E" w:rsidR="00FC6471" w:rsidRPr="00D91AB0" w:rsidRDefault="00665626" w:rsidP="00FC6471">
      <w:pPr>
        <w:pStyle w:val="Paragraphe"/>
        <w:numPr>
          <w:ilvl w:val="0"/>
          <w:numId w:val="0"/>
        </w:numPr>
        <w:rPr>
          <w:lang w:val="en-US"/>
        </w:rPr>
      </w:pPr>
      <w:r>
        <w:rPr>
          <w:b/>
          <w:bCs/>
          <w:lang w:val="en-CA"/>
        </w:rPr>
        <w:t xml:space="preserve">FOR THESE REASONS, </w:t>
      </w:r>
      <w:r>
        <w:rPr>
          <w:lang w:val="en-CA"/>
        </w:rPr>
        <w:t>the Financial Markets Administrative Tribunal, in the public interest and pursuant to sections</w:t>
      </w:r>
      <w:r w:rsidR="00D91AB0">
        <w:rPr>
          <w:lang w:val="en-CA"/>
        </w:rPr>
        <w:t> </w:t>
      </w:r>
      <w:r>
        <w:rPr>
          <w:lang w:val="en-CA"/>
        </w:rPr>
        <w:t>93 and 97, ss.</w:t>
      </w:r>
      <w:r w:rsidR="00D91AB0">
        <w:rPr>
          <w:lang w:val="en-CA"/>
        </w:rPr>
        <w:t> </w:t>
      </w:r>
      <w:r>
        <w:rPr>
          <w:lang w:val="en-CA"/>
        </w:rPr>
        <w:t xml:space="preserve">2 (7) of the </w:t>
      </w:r>
      <w:r>
        <w:rPr>
          <w:i/>
          <w:iCs/>
          <w:lang w:val="en-CA"/>
        </w:rPr>
        <w:t>Act respecting the regulation of the financial sector,</w:t>
      </w:r>
      <w:r>
        <w:rPr>
          <w:rStyle w:val="Appelnotedebasdep"/>
          <w:lang w:val="en-CA"/>
        </w:rPr>
        <w:footnoteReference w:id="10"/>
      </w:r>
      <w:r>
        <w:rPr>
          <w:lang w:val="en-CA"/>
        </w:rPr>
        <w:t xml:space="preserve"> </w:t>
      </w:r>
      <w:r>
        <w:rPr>
          <w:color w:val="000000" w:themeColor="text1"/>
          <w:lang w:val="en-CA"/>
        </w:rPr>
        <w:t>section</w:t>
      </w:r>
      <w:r w:rsidR="00D91AB0">
        <w:rPr>
          <w:color w:val="000000" w:themeColor="text1"/>
          <w:lang w:val="en-CA"/>
        </w:rPr>
        <w:t> </w:t>
      </w:r>
      <w:r>
        <w:rPr>
          <w:lang w:val="en-CA"/>
        </w:rPr>
        <w:t xml:space="preserve">115.3 of the </w:t>
      </w:r>
      <w:r>
        <w:rPr>
          <w:i/>
          <w:iCs/>
          <w:lang w:val="en-CA"/>
        </w:rPr>
        <w:t>Act respecting the distribution of financial products and services</w:t>
      </w:r>
      <w:r>
        <w:rPr>
          <w:lang w:val="en-CA"/>
        </w:rPr>
        <w:t>,</w:t>
      </w:r>
      <w:r>
        <w:rPr>
          <w:color w:val="000000" w:themeColor="text1"/>
          <w:lang w:val="en-CA"/>
        </w:rPr>
        <w:t xml:space="preserve"> and sections</w:t>
      </w:r>
      <w:r w:rsidR="00D91AB0">
        <w:rPr>
          <w:color w:val="000000" w:themeColor="text1"/>
          <w:lang w:val="en-CA"/>
        </w:rPr>
        <w:t> </w:t>
      </w:r>
      <w:r>
        <w:rPr>
          <w:lang w:val="en-CA"/>
        </w:rPr>
        <w:t xml:space="preserve">249 and 250 of the </w:t>
      </w:r>
      <w:r>
        <w:rPr>
          <w:i/>
          <w:iCs/>
          <w:lang w:val="en-CA"/>
        </w:rPr>
        <w:t>Securities Act</w:t>
      </w:r>
      <w:r>
        <w:rPr>
          <w:lang w:val="en-CA"/>
        </w:rPr>
        <w:t xml:space="preserve">: </w:t>
      </w:r>
    </w:p>
    <w:p w14:paraId="77950FE7" w14:textId="2FB1B202" w:rsidR="00637805" w:rsidRPr="00D91AB0" w:rsidRDefault="00637805" w:rsidP="00E50BA3">
      <w:pPr>
        <w:spacing w:before="240" w:after="240"/>
        <w:jc w:val="both"/>
        <w:rPr>
          <w:rFonts w:cs="Arial"/>
          <w:color w:val="000000" w:themeColor="text1"/>
          <w:lang w:val="en-US"/>
        </w:rPr>
      </w:pPr>
      <w:r>
        <w:rPr>
          <w:rFonts w:cs="Arial"/>
          <w:b/>
          <w:bCs/>
          <w:color w:val="000000" w:themeColor="text1"/>
          <w:lang w:val="en-CA"/>
        </w:rPr>
        <w:t xml:space="preserve">GRANTS </w:t>
      </w:r>
      <w:r>
        <w:rPr>
          <w:rFonts w:cs="Arial"/>
          <w:color w:val="000000" w:themeColor="text1"/>
          <w:lang w:val="en-CA"/>
        </w:rPr>
        <w:t xml:space="preserve">the request for an extension of the freeze orders submitted by the </w:t>
      </w:r>
      <w:proofErr w:type="spellStart"/>
      <w:r>
        <w:rPr>
          <w:rFonts w:cs="Arial"/>
          <w:color w:val="000000" w:themeColor="text1"/>
          <w:lang w:val="en-CA"/>
        </w:rPr>
        <w:t>Autorité</w:t>
      </w:r>
      <w:proofErr w:type="spellEnd"/>
      <w:r>
        <w:rPr>
          <w:rFonts w:cs="Arial"/>
          <w:color w:val="000000" w:themeColor="text1"/>
          <w:lang w:val="en-CA"/>
        </w:rPr>
        <w:t xml:space="preserve"> des </w:t>
      </w:r>
      <w:proofErr w:type="spellStart"/>
      <w:r>
        <w:rPr>
          <w:rFonts w:cs="Arial"/>
          <w:color w:val="000000" w:themeColor="text1"/>
          <w:lang w:val="en-CA"/>
        </w:rPr>
        <w:t>marchés</w:t>
      </w:r>
      <w:proofErr w:type="spellEnd"/>
      <w:r>
        <w:rPr>
          <w:rFonts w:cs="Arial"/>
          <w:color w:val="000000" w:themeColor="text1"/>
          <w:lang w:val="en-CA"/>
        </w:rPr>
        <w:t xml:space="preserve"> financiers;</w:t>
      </w:r>
    </w:p>
    <w:p w14:paraId="40DB6789" w14:textId="13E801FD" w:rsidR="006744F1" w:rsidRPr="00D91AB0" w:rsidRDefault="006744F1" w:rsidP="00E50BA3">
      <w:pPr>
        <w:spacing w:before="240" w:after="240"/>
        <w:jc w:val="both"/>
        <w:rPr>
          <w:rFonts w:cs="Arial"/>
          <w:b/>
          <w:color w:val="000000" w:themeColor="text1"/>
          <w:lang w:val="en-US"/>
        </w:rPr>
      </w:pPr>
      <w:r>
        <w:rPr>
          <w:rFonts w:cs="Arial"/>
          <w:b/>
          <w:bCs/>
          <w:color w:val="000000" w:themeColor="text1"/>
          <w:lang w:val="en-CA"/>
        </w:rPr>
        <w:t xml:space="preserve">EXTENDS </w:t>
      </w:r>
      <w:r>
        <w:rPr>
          <w:rFonts w:cs="Arial"/>
          <w:color w:val="000000" w:themeColor="text1"/>
          <w:lang w:val="en-CA"/>
        </w:rPr>
        <w:t>the freeze orders issued by the Tribunal on December</w:t>
      </w:r>
      <w:r w:rsidR="00D91AB0">
        <w:rPr>
          <w:rFonts w:cs="Arial"/>
          <w:color w:val="000000" w:themeColor="text1"/>
          <w:lang w:val="en-CA"/>
        </w:rPr>
        <w:t> </w:t>
      </w:r>
      <w:r>
        <w:rPr>
          <w:rFonts w:cs="Arial"/>
          <w:color w:val="000000" w:themeColor="text1"/>
          <w:lang w:val="en-CA"/>
        </w:rPr>
        <w:t>18, 2020,</w:t>
      </w:r>
      <w:r>
        <w:rPr>
          <w:rStyle w:val="Appelnotedebasdep"/>
          <w:rFonts w:cs="Arial"/>
          <w:color w:val="000000" w:themeColor="text1"/>
          <w:lang w:val="en-CA"/>
        </w:rPr>
        <w:footnoteReference w:id="11"/>
      </w:r>
      <w:r>
        <w:rPr>
          <w:rFonts w:cs="Arial"/>
          <w:color w:val="000000" w:themeColor="text1"/>
          <w:lang w:val="en-CA"/>
        </w:rPr>
        <w:t xml:space="preserve"> as renewed since then, until </w:t>
      </w:r>
      <w:r>
        <w:rPr>
          <w:rFonts w:cs="Arial"/>
          <w:b/>
          <w:bCs/>
          <w:color w:val="000000" w:themeColor="text1"/>
          <w:lang w:val="en-CA"/>
        </w:rPr>
        <w:t>December</w:t>
      </w:r>
      <w:r w:rsidR="00D91AB0">
        <w:rPr>
          <w:rFonts w:cs="Arial"/>
          <w:b/>
          <w:bCs/>
          <w:color w:val="000000" w:themeColor="text1"/>
          <w:lang w:val="en-CA"/>
        </w:rPr>
        <w:t> </w:t>
      </w:r>
      <w:r>
        <w:rPr>
          <w:rFonts w:cs="Arial"/>
          <w:b/>
          <w:bCs/>
          <w:color w:val="000000" w:themeColor="text1"/>
          <w:lang w:val="en-CA"/>
        </w:rPr>
        <w:t>17, 2022,</w:t>
      </w:r>
      <w:r>
        <w:rPr>
          <w:rFonts w:cs="Arial"/>
          <w:color w:val="000000" w:themeColor="text1"/>
          <w:lang w:val="en-CA"/>
        </w:rPr>
        <w:t xml:space="preserve"> as follows, except as they are amended or revoked prior to the expiry of this period:</w:t>
      </w:r>
    </w:p>
    <w:p w14:paraId="1D3E2FC6" w14:textId="77777777" w:rsidR="00730C5E" w:rsidRPr="00D91AB0" w:rsidRDefault="00730C5E" w:rsidP="00730C5E">
      <w:pPr>
        <w:ind w:left="567"/>
        <w:jc w:val="both"/>
        <w:rPr>
          <w:rFonts w:cs="Arial"/>
          <w:color w:val="000000"/>
          <w:szCs w:val="24"/>
          <w:lang w:val="en-US"/>
        </w:rPr>
      </w:pPr>
      <w:r>
        <w:rPr>
          <w:rFonts w:cs="Arial"/>
          <w:b/>
          <w:bCs/>
          <w:color w:val="000000"/>
          <w:szCs w:val="24"/>
          <w:lang w:val="en-CA"/>
        </w:rPr>
        <w:t>ORDERS</w:t>
      </w:r>
      <w:r>
        <w:rPr>
          <w:rFonts w:cs="Arial"/>
          <w:color w:val="000000"/>
          <w:szCs w:val="24"/>
          <w:lang w:val="en-CA"/>
        </w:rPr>
        <w:t xml:space="preserve"> respondents, </w:t>
      </w:r>
      <w:proofErr w:type="spellStart"/>
      <w:r>
        <w:rPr>
          <w:rFonts w:cs="Arial"/>
          <w:color w:val="000000"/>
          <w:szCs w:val="24"/>
          <w:lang w:val="en-CA"/>
        </w:rPr>
        <w:t>Sandly</w:t>
      </w:r>
      <w:proofErr w:type="spellEnd"/>
      <w:r>
        <w:rPr>
          <w:rFonts w:cs="Arial"/>
          <w:color w:val="000000"/>
          <w:szCs w:val="24"/>
          <w:lang w:val="en-CA"/>
        </w:rPr>
        <w:t xml:space="preserve"> </w:t>
      </w:r>
      <w:proofErr w:type="spellStart"/>
      <w:r>
        <w:rPr>
          <w:rFonts w:cs="Arial"/>
          <w:color w:val="000000"/>
          <w:szCs w:val="24"/>
          <w:lang w:val="en-CA"/>
        </w:rPr>
        <w:t>Alteon</w:t>
      </w:r>
      <w:proofErr w:type="spellEnd"/>
      <w:r>
        <w:rPr>
          <w:rFonts w:cs="Arial"/>
          <w:color w:val="000000"/>
          <w:szCs w:val="24"/>
          <w:lang w:val="en-CA"/>
        </w:rPr>
        <w:t xml:space="preserve"> </w:t>
      </w:r>
      <w:proofErr w:type="spellStart"/>
      <w:r>
        <w:rPr>
          <w:rFonts w:cs="Arial"/>
          <w:color w:val="000000"/>
          <w:szCs w:val="24"/>
          <w:lang w:val="en-CA"/>
        </w:rPr>
        <w:t>Senat</w:t>
      </w:r>
      <w:proofErr w:type="spellEnd"/>
      <w:r>
        <w:rPr>
          <w:rFonts w:cs="Arial"/>
          <w:color w:val="000000"/>
          <w:szCs w:val="24"/>
          <w:lang w:val="en-CA"/>
        </w:rPr>
        <w:t xml:space="preserve">, </w:t>
      </w:r>
      <w:proofErr w:type="spellStart"/>
      <w:r>
        <w:rPr>
          <w:rFonts w:cs="Arial"/>
          <w:color w:val="000000"/>
          <w:szCs w:val="24"/>
          <w:lang w:val="en-CA"/>
        </w:rPr>
        <w:t>Alteon</w:t>
      </w:r>
      <w:proofErr w:type="spellEnd"/>
      <w:r>
        <w:rPr>
          <w:rFonts w:cs="Arial"/>
          <w:color w:val="000000"/>
          <w:szCs w:val="24"/>
          <w:lang w:val="en-CA"/>
        </w:rPr>
        <w:t xml:space="preserve"> Financial Services Inc. / Services financiers </w:t>
      </w:r>
      <w:proofErr w:type="spellStart"/>
      <w:r>
        <w:rPr>
          <w:rFonts w:cs="Arial"/>
          <w:color w:val="000000"/>
          <w:szCs w:val="24"/>
          <w:lang w:val="en-CA"/>
        </w:rPr>
        <w:t>Alteon</w:t>
      </w:r>
      <w:proofErr w:type="spellEnd"/>
      <w:r>
        <w:rPr>
          <w:rFonts w:cs="Arial"/>
          <w:color w:val="000000"/>
          <w:szCs w:val="24"/>
          <w:lang w:val="en-CA"/>
        </w:rPr>
        <w:t xml:space="preserve"> </w:t>
      </w:r>
      <w:proofErr w:type="spellStart"/>
      <w:r>
        <w:rPr>
          <w:rFonts w:cs="Arial"/>
          <w:color w:val="000000"/>
          <w:szCs w:val="24"/>
          <w:lang w:val="en-CA"/>
        </w:rPr>
        <w:t>inc.</w:t>
      </w:r>
      <w:proofErr w:type="spellEnd"/>
      <w:r>
        <w:rPr>
          <w:rFonts w:cs="Arial"/>
          <w:color w:val="000000"/>
          <w:szCs w:val="24"/>
          <w:lang w:val="en-CA"/>
        </w:rPr>
        <w:t xml:space="preserve"> and </w:t>
      </w:r>
      <w:proofErr w:type="spellStart"/>
      <w:r>
        <w:rPr>
          <w:rFonts w:cs="Arial"/>
          <w:color w:val="000000"/>
          <w:szCs w:val="24"/>
          <w:lang w:val="en-CA"/>
        </w:rPr>
        <w:t>Vasan</w:t>
      </w:r>
      <w:proofErr w:type="spellEnd"/>
      <w:r>
        <w:rPr>
          <w:rFonts w:cs="Arial"/>
          <w:color w:val="000000"/>
          <w:szCs w:val="24"/>
          <w:lang w:val="en-CA"/>
        </w:rPr>
        <w:t xml:space="preserve"> &amp; </w:t>
      </w:r>
      <w:proofErr w:type="spellStart"/>
      <w:r>
        <w:rPr>
          <w:rFonts w:cs="Arial"/>
          <w:color w:val="000000"/>
          <w:szCs w:val="24"/>
          <w:lang w:val="en-CA"/>
        </w:rPr>
        <w:t>Savyan</w:t>
      </w:r>
      <w:proofErr w:type="spellEnd"/>
      <w:r>
        <w:rPr>
          <w:rFonts w:cs="Arial"/>
          <w:color w:val="000000"/>
          <w:szCs w:val="24"/>
          <w:lang w:val="en-CA"/>
        </w:rPr>
        <w:t xml:space="preserve"> Asset Management Inc. / </w:t>
      </w:r>
      <w:proofErr w:type="spellStart"/>
      <w:r>
        <w:rPr>
          <w:rFonts w:cs="Arial"/>
          <w:color w:val="000000"/>
          <w:szCs w:val="24"/>
          <w:lang w:val="en-CA"/>
        </w:rPr>
        <w:t>Vasan</w:t>
      </w:r>
      <w:proofErr w:type="spellEnd"/>
      <w:r>
        <w:rPr>
          <w:rFonts w:cs="Arial"/>
          <w:color w:val="000000"/>
          <w:szCs w:val="24"/>
          <w:lang w:val="en-CA"/>
        </w:rPr>
        <w:t xml:space="preserve"> &amp; </w:t>
      </w:r>
      <w:proofErr w:type="spellStart"/>
      <w:r>
        <w:rPr>
          <w:rFonts w:cs="Arial"/>
          <w:color w:val="000000"/>
          <w:szCs w:val="24"/>
          <w:lang w:val="en-CA"/>
        </w:rPr>
        <w:t>Savyan</w:t>
      </w:r>
      <w:proofErr w:type="spellEnd"/>
      <w:r>
        <w:rPr>
          <w:rFonts w:cs="Arial"/>
          <w:color w:val="000000"/>
          <w:szCs w:val="24"/>
          <w:lang w:val="en-CA"/>
        </w:rPr>
        <w:t xml:space="preserve"> </w:t>
      </w:r>
      <w:proofErr w:type="spellStart"/>
      <w:r>
        <w:rPr>
          <w:rFonts w:cs="Arial"/>
          <w:color w:val="000000"/>
          <w:szCs w:val="24"/>
          <w:lang w:val="en-CA"/>
        </w:rPr>
        <w:t>Gestion</w:t>
      </w:r>
      <w:proofErr w:type="spellEnd"/>
      <w:r>
        <w:rPr>
          <w:rFonts w:cs="Arial"/>
          <w:color w:val="000000"/>
          <w:szCs w:val="24"/>
          <w:lang w:val="en-CA"/>
        </w:rPr>
        <w:t xml:space="preserve"> </w:t>
      </w:r>
      <w:proofErr w:type="spellStart"/>
      <w:r>
        <w:rPr>
          <w:rFonts w:cs="Arial"/>
          <w:color w:val="000000"/>
          <w:szCs w:val="24"/>
          <w:lang w:val="en-CA"/>
        </w:rPr>
        <w:t>d’actifs</w:t>
      </w:r>
      <w:proofErr w:type="spellEnd"/>
      <w:r>
        <w:rPr>
          <w:rFonts w:cs="Arial"/>
          <w:color w:val="000000"/>
          <w:szCs w:val="24"/>
          <w:lang w:val="en-CA"/>
        </w:rPr>
        <w:t xml:space="preserve"> </w:t>
      </w:r>
      <w:proofErr w:type="spellStart"/>
      <w:r>
        <w:rPr>
          <w:rFonts w:cs="Arial"/>
          <w:color w:val="000000"/>
          <w:szCs w:val="24"/>
          <w:lang w:val="en-CA"/>
        </w:rPr>
        <w:t>inc.</w:t>
      </w:r>
      <w:proofErr w:type="spellEnd"/>
      <w:r>
        <w:rPr>
          <w:rFonts w:cs="Arial"/>
          <w:color w:val="000000"/>
          <w:szCs w:val="24"/>
          <w:lang w:val="en-CA"/>
        </w:rPr>
        <w:t xml:space="preserve"> not to dispose of any funds, securities or other assets in their possession or entrusted to them, and not to withdraw or appropriate any funds, securities or other assets from any other person holding them on deposit, or having custody and control of them on their behalf, including the contents of safety deposit boxes;</w:t>
      </w:r>
    </w:p>
    <w:p w14:paraId="75BB818A" w14:textId="77777777" w:rsidR="00730C5E" w:rsidRPr="00D91AB0" w:rsidRDefault="00730C5E" w:rsidP="00730C5E">
      <w:pPr>
        <w:ind w:left="567"/>
        <w:jc w:val="both"/>
        <w:rPr>
          <w:rFonts w:cs="Arial"/>
          <w:color w:val="000000"/>
          <w:szCs w:val="24"/>
          <w:lang w:val="en-US"/>
        </w:rPr>
      </w:pPr>
      <w:r>
        <w:rPr>
          <w:rFonts w:cs="Arial"/>
          <w:b/>
          <w:bCs/>
          <w:color w:val="000000"/>
          <w:sz w:val="27"/>
          <w:szCs w:val="27"/>
          <w:lang w:val="en-CA"/>
        </w:rPr>
        <w:lastRenderedPageBreak/>
        <w:t> </w:t>
      </w:r>
    </w:p>
    <w:p w14:paraId="35657755" w14:textId="7371C170" w:rsidR="00730C5E" w:rsidRPr="00D91AB0" w:rsidRDefault="00730C5E" w:rsidP="00730C5E">
      <w:pPr>
        <w:ind w:left="567"/>
        <w:jc w:val="both"/>
        <w:rPr>
          <w:rFonts w:cs="Arial"/>
          <w:color w:val="000000"/>
          <w:szCs w:val="24"/>
          <w:lang w:val="en-US"/>
        </w:rPr>
      </w:pPr>
      <w:r>
        <w:rPr>
          <w:rFonts w:cs="Arial"/>
          <w:b/>
          <w:bCs/>
          <w:color w:val="000000"/>
          <w:szCs w:val="24"/>
          <w:lang w:val="en-CA"/>
        </w:rPr>
        <w:t>ORDERS</w:t>
      </w:r>
      <w:r>
        <w:rPr>
          <w:rFonts w:cs="Arial"/>
          <w:color w:val="000000"/>
          <w:szCs w:val="24"/>
          <w:lang w:val="en-CA"/>
        </w:rPr>
        <w:t xml:space="preserve"> Scotiabank, at the branch located at 3070 Boulevard de la </w:t>
      </w:r>
      <w:proofErr w:type="spellStart"/>
      <w:r>
        <w:rPr>
          <w:rFonts w:cs="Arial"/>
          <w:color w:val="000000"/>
          <w:szCs w:val="24"/>
          <w:lang w:val="en-CA"/>
        </w:rPr>
        <w:t>Gare</w:t>
      </w:r>
      <w:proofErr w:type="spellEnd"/>
      <w:r>
        <w:rPr>
          <w:rFonts w:cs="Arial"/>
          <w:color w:val="000000"/>
          <w:szCs w:val="24"/>
          <w:lang w:val="en-CA"/>
        </w:rPr>
        <w:t xml:space="preserve">, </w:t>
      </w:r>
      <w:proofErr w:type="spellStart"/>
      <w:r>
        <w:rPr>
          <w:rFonts w:cs="Arial"/>
          <w:color w:val="000000"/>
          <w:szCs w:val="24"/>
          <w:lang w:val="en-CA"/>
        </w:rPr>
        <w:t>Vaudreuil-Dorion</w:t>
      </w:r>
      <w:proofErr w:type="spellEnd"/>
      <w:r>
        <w:rPr>
          <w:rFonts w:cs="Arial"/>
          <w:color w:val="000000"/>
          <w:szCs w:val="24"/>
          <w:lang w:val="en-CA"/>
        </w:rPr>
        <w:t xml:space="preserve">, Québec, J7V 0H1, not to dispose of the funds, securities or other assets it has on deposit, under control or in safekeeping in any account opened in the name of </w:t>
      </w:r>
      <w:proofErr w:type="spellStart"/>
      <w:r>
        <w:rPr>
          <w:rFonts w:cs="Arial"/>
          <w:color w:val="000000"/>
          <w:szCs w:val="24"/>
          <w:lang w:val="en-CA"/>
        </w:rPr>
        <w:t>Sandly</w:t>
      </w:r>
      <w:proofErr w:type="spellEnd"/>
      <w:r>
        <w:rPr>
          <w:rFonts w:cs="Arial"/>
          <w:color w:val="000000"/>
          <w:szCs w:val="24"/>
          <w:lang w:val="en-CA"/>
        </w:rPr>
        <w:t xml:space="preserve"> </w:t>
      </w:r>
      <w:proofErr w:type="spellStart"/>
      <w:r>
        <w:rPr>
          <w:rFonts w:cs="Arial"/>
          <w:color w:val="000000"/>
          <w:szCs w:val="24"/>
          <w:lang w:val="en-CA"/>
        </w:rPr>
        <w:t>Alteon</w:t>
      </w:r>
      <w:proofErr w:type="spellEnd"/>
      <w:r>
        <w:rPr>
          <w:rFonts w:cs="Arial"/>
          <w:color w:val="000000"/>
          <w:szCs w:val="24"/>
          <w:lang w:val="en-CA"/>
        </w:rPr>
        <w:t xml:space="preserve"> </w:t>
      </w:r>
      <w:proofErr w:type="spellStart"/>
      <w:r>
        <w:rPr>
          <w:rFonts w:cs="Arial"/>
          <w:color w:val="000000"/>
          <w:szCs w:val="24"/>
          <w:lang w:val="en-CA"/>
        </w:rPr>
        <w:t>Senat</w:t>
      </w:r>
      <w:proofErr w:type="spellEnd"/>
      <w:r>
        <w:rPr>
          <w:rFonts w:cs="Arial"/>
          <w:color w:val="000000"/>
          <w:szCs w:val="24"/>
          <w:lang w:val="en-CA"/>
        </w:rPr>
        <w:t xml:space="preserve">, </w:t>
      </w:r>
      <w:proofErr w:type="spellStart"/>
      <w:r>
        <w:rPr>
          <w:rFonts w:cs="Arial"/>
          <w:color w:val="000000"/>
          <w:szCs w:val="24"/>
          <w:lang w:val="en-CA"/>
        </w:rPr>
        <w:t>Alteon</w:t>
      </w:r>
      <w:proofErr w:type="spellEnd"/>
      <w:r>
        <w:rPr>
          <w:rFonts w:cs="Arial"/>
          <w:color w:val="000000"/>
          <w:szCs w:val="24"/>
          <w:lang w:val="en-CA"/>
        </w:rPr>
        <w:t xml:space="preserve"> Financial Services Inc. / Services financiers </w:t>
      </w:r>
      <w:proofErr w:type="spellStart"/>
      <w:r>
        <w:rPr>
          <w:rFonts w:cs="Arial"/>
          <w:color w:val="000000"/>
          <w:szCs w:val="24"/>
          <w:lang w:val="en-CA"/>
        </w:rPr>
        <w:t>Alteon</w:t>
      </w:r>
      <w:proofErr w:type="spellEnd"/>
      <w:r>
        <w:rPr>
          <w:rFonts w:cs="Arial"/>
          <w:color w:val="000000"/>
          <w:szCs w:val="24"/>
          <w:lang w:val="en-CA"/>
        </w:rPr>
        <w:t xml:space="preserve"> </w:t>
      </w:r>
      <w:proofErr w:type="spellStart"/>
      <w:r>
        <w:rPr>
          <w:rFonts w:cs="Arial"/>
          <w:color w:val="000000"/>
          <w:szCs w:val="24"/>
          <w:lang w:val="en-CA"/>
        </w:rPr>
        <w:t>inc.</w:t>
      </w:r>
      <w:proofErr w:type="spellEnd"/>
      <w:r>
        <w:rPr>
          <w:rFonts w:cs="Arial"/>
          <w:color w:val="000000"/>
          <w:szCs w:val="24"/>
          <w:lang w:val="en-CA"/>
        </w:rPr>
        <w:t xml:space="preserve"> and </w:t>
      </w:r>
      <w:proofErr w:type="spellStart"/>
      <w:r>
        <w:rPr>
          <w:rFonts w:cs="Arial"/>
          <w:color w:val="000000"/>
          <w:szCs w:val="24"/>
          <w:lang w:val="en-CA"/>
        </w:rPr>
        <w:t>Vasan</w:t>
      </w:r>
      <w:proofErr w:type="spellEnd"/>
      <w:r>
        <w:rPr>
          <w:rFonts w:cs="Arial"/>
          <w:color w:val="000000"/>
          <w:szCs w:val="24"/>
          <w:lang w:val="en-CA"/>
        </w:rPr>
        <w:t xml:space="preserve"> &amp; </w:t>
      </w:r>
      <w:proofErr w:type="spellStart"/>
      <w:r>
        <w:rPr>
          <w:rFonts w:cs="Arial"/>
          <w:color w:val="000000"/>
          <w:szCs w:val="24"/>
          <w:lang w:val="en-CA"/>
        </w:rPr>
        <w:t>Savyan</w:t>
      </w:r>
      <w:proofErr w:type="spellEnd"/>
      <w:r>
        <w:rPr>
          <w:rFonts w:cs="Arial"/>
          <w:color w:val="000000"/>
          <w:szCs w:val="24"/>
          <w:lang w:val="en-CA"/>
        </w:rPr>
        <w:t xml:space="preserve"> Asset Management Inc. / </w:t>
      </w:r>
      <w:proofErr w:type="spellStart"/>
      <w:r>
        <w:rPr>
          <w:rFonts w:cs="Arial"/>
          <w:color w:val="000000"/>
          <w:szCs w:val="24"/>
          <w:lang w:val="en-CA"/>
        </w:rPr>
        <w:t>Vasan</w:t>
      </w:r>
      <w:proofErr w:type="spellEnd"/>
      <w:r>
        <w:rPr>
          <w:rFonts w:cs="Arial"/>
          <w:color w:val="000000"/>
          <w:szCs w:val="24"/>
          <w:lang w:val="en-CA"/>
        </w:rPr>
        <w:t xml:space="preserve"> &amp; </w:t>
      </w:r>
      <w:proofErr w:type="spellStart"/>
      <w:r>
        <w:rPr>
          <w:rFonts w:cs="Arial"/>
          <w:color w:val="000000"/>
          <w:szCs w:val="24"/>
          <w:lang w:val="en-CA"/>
        </w:rPr>
        <w:t>Savyan</w:t>
      </w:r>
      <w:proofErr w:type="spellEnd"/>
      <w:r>
        <w:rPr>
          <w:rFonts w:cs="Arial"/>
          <w:color w:val="000000"/>
          <w:szCs w:val="24"/>
          <w:lang w:val="en-CA"/>
        </w:rPr>
        <w:t xml:space="preserve"> </w:t>
      </w:r>
      <w:proofErr w:type="spellStart"/>
      <w:r>
        <w:rPr>
          <w:rFonts w:cs="Arial"/>
          <w:color w:val="000000"/>
          <w:szCs w:val="24"/>
          <w:lang w:val="en-CA"/>
        </w:rPr>
        <w:t>Gestion</w:t>
      </w:r>
      <w:proofErr w:type="spellEnd"/>
      <w:r>
        <w:rPr>
          <w:rFonts w:cs="Arial"/>
          <w:color w:val="000000"/>
          <w:szCs w:val="24"/>
          <w:lang w:val="en-CA"/>
        </w:rPr>
        <w:t xml:space="preserve"> </w:t>
      </w:r>
      <w:proofErr w:type="spellStart"/>
      <w:r>
        <w:rPr>
          <w:rFonts w:cs="Arial"/>
          <w:color w:val="000000"/>
          <w:szCs w:val="24"/>
          <w:lang w:val="en-CA"/>
        </w:rPr>
        <w:t>d’actifs</w:t>
      </w:r>
      <w:proofErr w:type="spellEnd"/>
      <w:r>
        <w:rPr>
          <w:rFonts w:cs="Arial"/>
          <w:color w:val="000000"/>
          <w:szCs w:val="24"/>
          <w:lang w:val="en-CA"/>
        </w:rPr>
        <w:t xml:space="preserve"> </w:t>
      </w:r>
      <w:proofErr w:type="spellStart"/>
      <w:r>
        <w:rPr>
          <w:rFonts w:cs="Arial"/>
          <w:color w:val="000000"/>
          <w:szCs w:val="24"/>
          <w:lang w:val="en-CA"/>
        </w:rPr>
        <w:t>inc.</w:t>
      </w:r>
      <w:proofErr w:type="spellEnd"/>
      <w:r>
        <w:rPr>
          <w:rFonts w:cs="Arial"/>
          <w:color w:val="000000"/>
          <w:szCs w:val="24"/>
          <w:lang w:val="en-CA"/>
        </w:rPr>
        <w:t xml:space="preserve">, including, but not limited to, account numbers </w:t>
      </w:r>
      <w:r w:rsidR="008B6D04">
        <w:rPr>
          <w:rFonts w:cs="Arial"/>
          <w:color w:val="000000"/>
          <w:lang w:val="en-CA"/>
        </w:rPr>
        <w:t>[...]</w:t>
      </w:r>
      <w:r>
        <w:rPr>
          <w:rFonts w:cs="Arial"/>
          <w:color w:val="000000"/>
          <w:lang w:val="en-CA"/>
        </w:rPr>
        <w:t xml:space="preserve"> (to which savings account </w:t>
      </w:r>
      <w:r w:rsidR="008B6D04">
        <w:rPr>
          <w:rFonts w:cs="Arial"/>
          <w:color w:val="000000"/>
          <w:lang w:val="en-CA"/>
        </w:rPr>
        <w:t>[...]</w:t>
      </w:r>
      <w:r>
        <w:rPr>
          <w:rFonts w:cs="Arial"/>
          <w:color w:val="000000"/>
          <w:lang w:val="en-CA"/>
        </w:rPr>
        <w:t xml:space="preserve"> is linked), </w:t>
      </w:r>
      <w:r w:rsidR="008B6D04">
        <w:rPr>
          <w:rFonts w:cs="Arial"/>
          <w:color w:val="000000"/>
          <w:lang w:val="en-CA"/>
        </w:rPr>
        <w:t>[...]</w:t>
      </w:r>
      <w:r>
        <w:rPr>
          <w:rFonts w:cs="Arial"/>
          <w:color w:val="000000"/>
          <w:lang w:val="en-CA"/>
        </w:rPr>
        <w:t xml:space="preserve">, </w:t>
      </w:r>
      <w:r w:rsidR="008B6D04">
        <w:rPr>
          <w:rFonts w:cs="Arial"/>
          <w:color w:val="000000"/>
          <w:lang w:val="en-CA"/>
        </w:rPr>
        <w:t>[...]</w:t>
      </w:r>
      <w:r>
        <w:rPr>
          <w:rFonts w:cs="Arial"/>
          <w:color w:val="000000"/>
          <w:lang w:val="en-CA"/>
        </w:rPr>
        <w:t xml:space="preserve"> and </w:t>
      </w:r>
      <w:r w:rsidR="008B6D04">
        <w:rPr>
          <w:rFonts w:cs="Arial"/>
          <w:color w:val="000000"/>
          <w:lang w:val="en-CA"/>
        </w:rPr>
        <w:t>[...]</w:t>
      </w:r>
      <w:r>
        <w:rPr>
          <w:rFonts w:cs="Arial"/>
          <w:color w:val="000000"/>
          <w:lang w:val="en-CA"/>
        </w:rPr>
        <w:t>,</w:t>
      </w:r>
      <w:r>
        <w:rPr>
          <w:rFonts w:cs="Arial"/>
          <w:color w:val="000000"/>
          <w:szCs w:val="24"/>
          <w:lang w:val="en-CA"/>
        </w:rPr>
        <w:t xml:space="preserve"> or in any safety deposit box in the name of </w:t>
      </w:r>
      <w:proofErr w:type="spellStart"/>
      <w:r>
        <w:rPr>
          <w:rFonts w:cs="Arial"/>
          <w:color w:val="000000"/>
          <w:szCs w:val="24"/>
          <w:lang w:val="en-CA"/>
        </w:rPr>
        <w:t>Sandly</w:t>
      </w:r>
      <w:proofErr w:type="spellEnd"/>
      <w:r>
        <w:rPr>
          <w:rFonts w:cs="Arial"/>
          <w:color w:val="000000"/>
          <w:szCs w:val="24"/>
          <w:lang w:val="en-CA"/>
        </w:rPr>
        <w:t xml:space="preserve"> </w:t>
      </w:r>
      <w:proofErr w:type="spellStart"/>
      <w:r>
        <w:rPr>
          <w:rFonts w:cs="Arial"/>
          <w:color w:val="000000"/>
          <w:szCs w:val="24"/>
          <w:lang w:val="en-CA"/>
        </w:rPr>
        <w:t>Alteon</w:t>
      </w:r>
      <w:proofErr w:type="spellEnd"/>
      <w:r>
        <w:rPr>
          <w:rFonts w:cs="Arial"/>
          <w:color w:val="000000"/>
          <w:szCs w:val="24"/>
          <w:lang w:val="en-CA"/>
        </w:rPr>
        <w:t xml:space="preserve"> </w:t>
      </w:r>
      <w:proofErr w:type="spellStart"/>
      <w:r>
        <w:rPr>
          <w:rFonts w:cs="Arial"/>
          <w:color w:val="000000"/>
          <w:szCs w:val="24"/>
          <w:lang w:val="en-CA"/>
        </w:rPr>
        <w:t>Senat</w:t>
      </w:r>
      <w:proofErr w:type="spellEnd"/>
      <w:r>
        <w:rPr>
          <w:rFonts w:cs="Arial"/>
          <w:color w:val="000000"/>
          <w:szCs w:val="24"/>
          <w:lang w:val="en-CA"/>
        </w:rPr>
        <w:t xml:space="preserve">, </w:t>
      </w:r>
      <w:proofErr w:type="spellStart"/>
      <w:r>
        <w:rPr>
          <w:rFonts w:cs="Arial"/>
          <w:color w:val="000000"/>
          <w:szCs w:val="24"/>
          <w:lang w:val="en-CA"/>
        </w:rPr>
        <w:t>Alteon</w:t>
      </w:r>
      <w:proofErr w:type="spellEnd"/>
      <w:r>
        <w:rPr>
          <w:rFonts w:cs="Arial"/>
          <w:color w:val="000000"/>
          <w:szCs w:val="24"/>
          <w:lang w:val="en-CA"/>
        </w:rPr>
        <w:t xml:space="preserve"> Financial Services Inc. / Services financiers </w:t>
      </w:r>
      <w:proofErr w:type="spellStart"/>
      <w:r>
        <w:rPr>
          <w:rFonts w:cs="Arial"/>
          <w:color w:val="000000"/>
          <w:szCs w:val="24"/>
          <w:lang w:val="en-CA"/>
        </w:rPr>
        <w:t>Alteon</w:t>
      </w:r>
      <w:proofErr w:type="spellEnd"/>
      <w:r>
        <w:rPr>
          <w:rFonts w:cs="Arial"/>
          <w:color w:val="000000"/>
          <w:szCs w:val="24"/>
          <w:lang w:val="en-CA"/>
        </w:rPr>
        <w:t xml:space="preserve"> </w:t>
      </w:r>
      <w:proofErr w:type="spellStart"/>
      <w:r>
        <w:rPr>
          <w:rFonts w:cs="Arial"/>
          <w:color w:val="000000"/>
          <w:szCs w:val="24"/>
          <w:lang w:val="en-CA"/>
        </w:rPr>
        <w:t>inc.</w:t>
      </w:r>
      <w:proofErr w:type="spellEnd"/>
      <w:r>
        <w:rPr>
          <w:rFonts w:cs="Arial"/>
          <w:color w:val="000000"/>
          <w:szCs w:val="24"/>
          <w:lang w:val="en-CA"/>
        </w:rPr>
        <w:t xml:space="preserve"> and </w:t>
      </w:r>
      <w:proofErr w:type="spellStart"/>
      <w:r>
        <w:rPr>
          <w:rFonts w:cs="Arial"/>
          <w:color w:val="000000"/>
          <w:szCs w:val="24"/>
          <w:lang w:val="en-CA"/>
        </w:rPr>
        <w:t>Vasan</w:t>
      </w:r>
      <w:proofErr w:type="spellEnd"/>
      <w:r>
        <w:rPr>
          <w:rFonts w:cs="Arial"/>
          <w:color w:val="000000"/>
          <w:szCs w:val="24"/>
          <w:lang w:val="en-CA"/>
        </w:rPr>
        <w:t xml:space="preserve"> &amp; </w:t>
      </w:r>
      <w:proofErr w:type="spellStart"/>
      <w:r>
        <w:rPr>
          <w:rFonts w:cs="Arial"/>
          <w:color w:val="000000"/>
          <w:szCs w:val="24"/>
          <w:lang w:val="en-CA"/>
        </w:rPr>
        <w:t>Savyan</w:t>
      </w:r>
      <w:proofErr w:type="spellEnd"/>
      <w:r>
        <w:rPr>
          <w:rFonts w:cs="Arial"/>
          <w:color w:val="000000"/>
          <w:szCs w:val="24"/>
          <w:lang w:val="en-CA"/>
        </w:rPr>
        <w:t xml:space="preserve"> Asset Management Inc. / </w:t>
      </w:r>
      <w:proofErr w:type="spellStart"/>
      <w:r>
        <w:rPr>
          <w:rFonts w:cs="Arial"/>
          <w:color w:val="000000"/>
          <w:szCs w:val="24"/>
          <w:lang w:val="en-CA"/>
        </w:rPr>
        <w:t>Vasan</w:t>
      </w:r>
      <w:proofErr w:type="spellEnd"/>
      <w:r>
        <w:rPr>
          <w:rFonts w:cs="Arial"/>
          <w:color w:val="000000"/>
          <w:szCs w:val="24"/>
          <w:lang w:val="en-CA"/>
        </w:rPr>
        <w:t xml:space="preserve"> &amp; </w:t>
      </w:r>
      <w:proofErr w:type="spellStart"/>
      <w:r>
        <w:rPr>
          <w:rFonts w:cs="Arial"/>
          <w:color w:val="000000"/>
          <w:szCs w:val="24"/>
          <w:lang w:val="en-CA"/>
        </w:rPr>
        <w:t>Savyan</w:t>
      </w:r>
      <w:proofErr w:type="spellEnd"/>
      <w:r>
        <w:rPr>
          <w:rFonts w:cs="Arial"/>
          <w:color w:val="000000"/>
          <w:szCs w:val="24"/>
          <w:lang w:val="en-CA"/>
        </w:rPr>
        <w:t xml:space="preserve"> </w:t>
      </w:r>
      <w:proofErr w:type="spellStart"/>
      <w:r>
        <w:rPr>
          <w:rFonts w:cs="Arial"/>
          <w:color w:val="000000"/>
          <w:szCs w:val="24"/>
          <w:lang w:val="en-CA"/>
        </w:rPr>
        <w:t>Gestion</w:t>
      </w:r>
      <w:proofErr w:type="spellEnd"/>
      <w:r>
        <w:rPr>
          <w:rFonts w:cs="Arial"/>
          <w:color w:val="000000"/>
          <w:szCs w:val="24"/>
          <w:lang w:val="en-CA"/>
        </w:rPr>
        <w:t xml:space="preserve"> </w:t>
      </w:r>
      <w:proofErr w:type="spellStart"/>
      <w:r>
        <w:rPr>
          <w:rFonts w:cs="Arial"/>
          <w:color w:val="000000"/>
          <w:szCs w:val="24"/>
          <w:lang w:val="en-CA"/>
        </w:rPr>
        <w:t>d’actifs</w:t>
      </w:r>
      <w:proofErr w:type="spellEnd"/>
      <w:r>
        <w:rPr>
          <w:rFonts w:cs="Arial"/>
          <w:color w:val="000000"/>
          <w:szCs w:val="24"/>
          <w:lang w:val="en-CA"/>
        </w:rPr>
        <w:t xml:space="preserve"> </w:t>
      </w:r>
      <w:proofErr w:type="spellStart"/>
      <w:r>
        <w:rPr>
          <w:rFonts w:cs="Arial"/>
          <w:color w:val="000000"/>
          <w:szCs w:val="24"/>
          <w:lang w:val="en-CA"/>
        </w:rPr>
        <w:t>inc.</w:t>
      </w:r>
      <w:proofErr w:type="spellEnd"/>
      <w:r>
        <w:rPr>
          <w:rFonts w:cs="Arial"/>
          <w:color w:val="000000"/>
          <w:szCs w:val="24"/>
          <w:lang w:val="en-CA"/>
        </w:rPr>
        <w:t>;</w:t>
      </w:r>
    </w:p>
    <w:p w14:paraId="109FB672" w14:textId="77777777" w:rsidR="00730C5E" w:rsidRPr="00D91AB0" w:rsidRDefault="00730C5E" w:rsidP="00730C5E">
      <w:pPr>
        <w:ind w:left="567"/>
        <w:jc w:val="both"/>
        <w:rPr>
          <w:rFonts w:cs="Arial"/>
          <w:color w:val="000000"/>
          <w:szCs w:val="24"/>
          <w:lang w:val="en-US"/>
        </w:rPr>
      </w:pPr>
      <w:r>
        <w:rPr>
          <w:rFonts w:cs="Arial"/>
          <w:color w:val="000000"/>
          <w:szCs w:val="24"/>
          <w:lang w:val="en-CA"/>
        </w:rPr>
        <w:t> </w:t>
      </w:r>
    </w:p>
    <w:p w14:paraId="5A270097" w14:textId="2EF1E914" w:rsidR="00730C5E" w:rsidRPr="00D91AB0" w:rsidRDefault="00730C5E" w:rsidP="00730C5E">
      <w:pPr>
        <w:ind w:left="567"/>
        <w:jc w:val="both"/>
        <w:rPr>
          <w:rFonts w:cs="Arial"/>
          <w:color w:val="000000"/>
          <w:szCs w:val="24"/>
          <w:lang w:val="en-US"/>
        </w:rPr>
      </w:pPr>
      <w:r>
        <w:rPr>
          <w:rFonts w:cs="Arial"/>
          <w:b/>
          <w:bCs/>
          <w:color w:val="000000"/>
          <w:szCs w:val="24"/>
          <w:lang w:val="en-CA"/>
        </w:rPr>
        <w:t>ORDERS</w:t>
      </w:r>
      <w:r>
        <w:rPr>
          <w:rFonts w:cs="Arial"/>
          <w:color w:val="000000"/>
          <w:szCs w:val="24"/>
          <w:lang w:val="en-CA"/>
        </w:rPr>
        <w:t xml:space="preserve"> Scotiabank, at the branch located at 1002 </w:t>
      </w:r>
      <w:proofErr w:type="spellStart"/>
      <w:r>
        <w:rPr>
          <w:rFonts w:cs="Arial"/>
          <w:color w:val="000000"/>
          <w:szCs w:val="24"/>
          <w:lang w:val="en-CA"/>
        </w:rPr>
        <w:t>Sherbrooke</w:t>
      </w:r>
      <w:proofErr w:type="spellEnd"/>
      <w:r>
        <w:rPr>
          <w:rFonts w:cs="Arial"/>
          <w:color w:val="000000"/>
          <w:szCs w:val="24"/>
          <w:lang w:val="en-CA"/>
        </w:rPr>
        <w:t xml:space="preserve"> Street West, 4</w:t>
      </w:r>
      <w:r>
        <w:rPr>
          <w:rFonts w:cs="Arial"/>
          <w:color w:val="000000"/>
          <w:szCs w:val="24"/>
          <w:vertAlign w:val="superscript"/>
          <w:lang w:val="en-CA"/>
        </w:rPr>
        <w:t>th</w:t>
      </w:r>
      <w:r>
        <w:rPr>
          <w:rFonts w:cs="Arial"/>
          <w:color w:val="000000"/>
          <w:szCs w:val="24"/>
          <w:lang w:val="en-CA"/>
        </w:rPr>
        <w:t xml:space="preserve"> floor, Montréal, Québec, H3A 3M3, not to dispose of the funds, securities or other assets it has on deposit, under control or in safekeeping in any account opened in the name of </w:t>
      </w:r>
      <w:proofErr w:type="spellStart"/>
      <w:r>
        <w:rPr>
          <w:rFonts w:cs="Arial"/>
          <w:color w:val="000000"/>
          <w:szCs w:val="24"/>
          <w:lang w:val="en-CA"/>
        </w:rPr>
        <w:t>Sandly</w:t>
      </w:r>
      <w:proofErr w:type="spellEnd"/>
      <w:r>
        <w:rPr>
          <w:rFonts w:cs="Arial"/>
          <w:color w:val="000000"/>
          <w:szCs w:val="24"/>
          <w:lang w:val="en-CA"/>
        </w:rPr>
        <w:t xml:space="preserve"> </w:t>
      </w:r>
      <w:proofErr w:type="spellStart"/>
      <w:r>
        <w:rPr>
          <w:rFonts w:cs="Arial"/>
          <w:color w:val="000000"/>
          <w:szCs w:val="24"/>
          <w:lang w:val="en-CA"/>
        </w:rPr>
        <w:t>Alteon</w:t>
      </w:r>
      <w:proofErr w:type="spellEnd"/>
      <w:r>
        <w:rPr>
          <w:rFonts w:cs="Arial"/>
          <w:color w:val="000000"/>
          <w:szCs w:val="24"/>
          <w:lang w:val="en-CA"/>
        </w:rPr>
        <w:t xml:space="preserve"> </w:t>
      </w:r>
      <w:proofErr w:type="spellStart"/>
      <w:r>
        <w:rPr>
          <w:rFonts w:cs="Arial"/>
          <w:color w:val="000000"/>
          <w:szCs w:val="24"/>
          <w:lang w:val="en-CA"/>
        </w:rPr>
        <w:t>Senat</w:t>
      </w:r>
      <w:proofErr w:type="spellEnd"/>
      <w:r>
        <w:rPr>
          <w:rFonts w:cs="Arial"/>
          <w:color w:val="000000"/>
          <w:szCs w:val="24"/>
          <w:lang w:val="en-CA"/>
        </w:rPr>
        <w:t xml:space="preserve">, </w:t>
      </w:r>
      <w:proofErr w:type="spellStart"/>
      <w:r>
        <w:rPr>
          <w:rFonts w:cs="Arial"/>
          <w:color w:val="000000"/>
          <w:szCs w:val="24"/>
          <w:lang w:val="en-CA"/>
        </w:rPr>
        <w:t>Alteon</w:t>
      </w:r>
      <w:proofErr w:type="spellEnd"/>
      <w:r>
        <w:rPr>
          <w:rFonts w:cs="Arial"/>
          <w:color w:val="000000"/>
          <w:szCs w:val="24"/>
          <w:lang w:val="en-CA"/>
        </w:rPr>
        <w:t xml:space="preserve"> Financial Services Inc. / Services financiers </w:t>
      </w:r>
      <w:proofErr w:type="spellStart"/>
      <w:r>
        <w:rPr>
          <w:rFonts w:cs="Arial"/>
          <w:color w:val="000000"/>
          <w:szCs w:val="24"/>
          <w:lang w:val="en-CA"/>
        </w:rPr>
        <w:t>Alteon</w:t>
      </w:r>
      <w:proofErr w:type="spellEnd"/>
      <w:r>
        <w:rPr>
          <w:rFonts w:cs="Arial"/>
          <w:color w:val="000000"/>
          <w:szCs w:val="24"/>
          <w:lang w:val="en-CA"/>
        </w:rPr>
        <w:t xml:space="preserve"> </w:t>
      </w:r>
      <w:proofErr w:type="spellStart"/>
      <w:r>
        <w:rPr>
          <w:rFonts w:cs="Arial"/>
          <w:color w:val="000000"/>
          <w:szCs w:val="24"/>
          <w:lang w:val="en-CA"/>
        </w:rPr>
        <w:t>inc.</w:t>
      </w:r>
      <w:proofErr w:type="spellEnd"/>
      <w:r>
        <w:rPr>
          <w:rFonts w:cs="Arial"/>
          <w:color w:val="000000"/>
          <w:szCs w:val="24"/>
          <w:lang w:val="en-CA"/>
        </w:rPr>
        <w:t xml:space="preserve"> and </w:t>
      </w:r>
      <w:proofErr w:type="spellStart"/>
      <w:r>
        <w:rPr>
          <w:rFonts w:cs="Arial"/>
          <w:color w:val="000000"/>
          <w:szCs w:val="24"/>
          <w:lang w:val="en-CA"/>
        </w:rPr>
        <w:t>Vasan</w:t>
      </w:r>
      <w:proofErr w:type="spellEnd"/>
      <w:r>
        <w:rPr>
          <w:rFonts w:cs="Arial"/>
          <w:color w:val="000000"/>
          <w:szCs w:val="24"/>
          <w:lang w:val="en-CA"/>
        </w:rPr>
        <w:t xml:space="preserve"> &amp; </w:t>
      </w:r>
      <w:proofErr w:type="spellStart"/>
      <w:r>
        <w:rPr>
          <w:rFonts w:cs="Arial"/>
          <w:color w:val="000000"/>
          <w:szCs w:val="24"/>
          <w:lang w:val="en-CA"/>
        </w:rPr>
        <w:t>Savyan</w:t>
      </w:r>
      <w:proofErr w:type="spellEnd"/>
      <w:r>
        <w:rPr>
          <w:rFonts w:cs="Arial"/>
          <w:color w:val="000000"/>
          <w:szCs w:val="24"/>
          <w:lang w:val="en-CA"/>
        </w:rPr>
        <w:t xml:space="preserve"> Asset Management Inc. / </w:t>
      </w:r>
      <w:proofErr w:type="spellStart"/>
      <w:r>
        <w:rPr>
          <w:rFonts w:cs="Arial"/>
          <w:color w:val="000000"/>
          <w:szCs w:val="24"/>
          <w:lang w:val="en-CA"/>
        </w:rPr>
        <w:t>Vasan</w:t>
      </w:r>
      <w:proofErr w:type="spellEnd"/>
      <w:r>
        <w:rPr>
          <w:rFonts w:cs="Arial"/>
          <w:color w:val="000000"/>
          <w:szCs w:val="24"/>
          <w:lang w:val="en-CA"/>
        </w:rPr>
        <w:t xml:space="preserve"> &amp; </w:t>
      </w:r>
      <w:proofErr w:type="spellStart"/>
      <w:r>
        <w:rPr>
          <w:rFonts w:cs="Arial"/>
          <w:color w:val="000000"/>
          <w:szCs w:val="24"/>
          <w:lang w:val="en-CA"/>
        </w:rPr>
        <w:t>Savyan</w:t>
      </w:r>
      <w:proofErr w:type="spellEnd"/>
      <w:r>
        <w:rPr>
          <w:rFonts w:cs="Arial"/>
          <w:color w:val="000000"/>
          <w:szCs w:val="24"/>
          <w:lang w:val="en-CA"/>
        </w:rPr>
        <w:t xml:space="preserve"> </w:t>
      </w:r>
      <w:proofErr w:type="spellStart"/>
      <w:r>
        <w:rPr>
          <w:rFonts w:cs="Arial"/>
          <w:color w:val="000000"/>
          <w:szCs w:val="24"/>
          <w:lang w:val="en-CA"/>
        </w:rPr>
        <w:t>Gestion</w:t>
      </w:r>
      <w:proofErr w:type="spellEnd"/>
      <w:r>
        <w:rPr>
          <w:rFonts w:cs="Arial"/>
          <w:color w:val="000000"/>
          <w:szCs w:val="24"/>
          <w:lang w:val="en-CA"/>
        </w:rPr>
        <w:t xml:space="preserve"> </w:t>
      </w:r>
      <w:proofErr w:type="spellStart"/>
      <w:r>
        <w:rPr>
          <w:rFonts w:cs="Arial"/>
          <w:color w:val="000000"/>
          <w:szCs w:val="24"/>
          <w:lang w:val="en-CA"/>
        </w:rPr>
        <w:t>d’actifs</w:t>
      </w:r>
      <w:proofErr w:type="spellEnd"/>
      <w:r>
        <w:rPr>
          <w:rFonts w:cs="Arial"/>
          <w:color w:val="000000"/>
          <w:szCs w:val="24"/>
          <w:lang w:val="en-CA"/>
        </w:rPr>
        <w:t xml:space="preserve"> </w:t>
      </w:r>
      <w:proofErr w:type="spellStart"/>
      <w:r>
        <w:rPr>
          <w:rFonts w:cs="Arial"/>
          <w:color w:val="000000"/>
          <w:szCs w:val="24"/>
          <w:lang w:val="en-CA"/>
        </w:rPr>
        <w:t>inc.</w:t>
      </w:r>
      <w:proofErr w:type="spellEnd"/>
      <w:r>
        <w:rPr>
          <w:rFonts w:cs="Arial"/>
          <w:color w:val="000000"/>
          <w:szCs w:val="24"/>
          <w:lang w:val="en-CA"/>
        </w:rPr>
        <w:t xml:space="preserve">, including, but not limited to, account numbers </w:t>
      </w:r>
      <w:r w:rsidR="008B6D04">
        <w:rPr>
          <w:rFonts w:cs="Arial"/>
          <w:color w:val="000000"/>
          <w:lang w:val="en-CA"/>
        </w:rPr>
        <w:t>[...]</w:t>
      </w:r>
      <w:r>
        <w:rPr>
          <w:rFonts w:cs="Arial"/>
          <w:color w:val="000000"/>
          <w:lang w:val="en-CA"/>
        </w:rPr>
        <w:t xml:space="preserve"> (to which savings account </w:t>
      </w:r>
      <w:r w:rsidR="008B6D04">
        <w:rPr>
          <w:rFonts w:cs="Arial"/>
          <w:color w:val="000000"/>
          <w:lang w:val="en-CA"/>
        </w:rPr>
        <w:t>[...]</w:t>
      </w:r>
      <w:r>
        <w:rPr>
          <w:rFonts w:cs="Arial"/>
          <w:color w:val="000000"/>
          <w:lang w:val="en-CA"/>
        </w:rPr>
        <w:t xml:space="preserve"> is linked), </w:t>
      </w:r>
      <w:r w:rsidR="008B6D04">
        <w:rPr>
          <w:rFonts w:cs="Arial"/>
          <w:color w:val="000000"/>
          <w:lang w:val="en-CA"/>
        </w:rPr>
        <w:t>[...]</w:t>
      </w:r>
      <w:r>
        <w:rPr>
          <w:rFonts w:cs="Arial"/>
          <w:color w:val="000000"/>
          <w:lang w:val="en-CA"/>
        </w:rPr>
        <w:t xml:space="preserve"> and </w:t>
      </w:r>
      <w:r w:rsidR="008B6D04">
        <w:rPr>
          <w:rFonts w:cs="Arial"/>
          <w:color w:val="000000"/>
          <w:lang w:val="en-CA"/>
        </w:rPr>
        <w:t>[...]</w:t>
      </w:r>
      <w:r>
        <w:rPr>
          <w:rFonts w:cs="Arial"/>
          <w:color w:val="000000"/>
          <w:lang w:val="en-CA"/>
        </w:rPr>
        <w:t>,</w:t>
      </w:r>
      <w:r>
        <w:rPr>
          <w:rFonts w:cs="Arial"/>
          <w:color w:val="000000"/>
          <w:szCs w:val="24"/>
          <w:lang w:val="en-CA"/>
        </w:rPr>
        <w:t xml:space="preserve"> or in any safety deposit box in the name of </w:t>
      </w:r>
      <w:proofErr w:type="spellStart"/>
      <w:r>
        <w:rPr>
          <w:rFonts w:cs="Arial"/>
          <w:color w:val="000000"/>
          <w:szCs w:val="24"/>
          <w:lang w:val="en-CA"/>
        </w:rPr>
        <w:t>Sandly</w:t>
      </w:r>
      <w:proofErr w:type="spellEnd"/>
      <w:r>
        <w:rPr>
          <w:rFonts w:cs="Arial"/>
          <w:color w:val="000000"/>
          <w:szCs w:val="24"/>
          <w:lang w:val="en-CA"/>
        </w:rPr>
        <w:t xml:space="preserve"> </w:t>
      </w:r>
      <w:proofErr w:type="spellStart"/>
      <w:r>
        <w:rPr>
          <w:rFonts w:cs="Arial"/>
          <w:color w:val="000000"/>
          <w:szCs w:val="24"/>
          <w:lang w:val="en-CA"/>
        </w:rPr>
        <w:t>Alteon</w:t>
      </w:r>
      <w:proofErr w:type="spellEnd"/>
      <w:r>
        <w:rPr>
          <w:rFonts w:cs="Arial"/>
          <w:color w:val="000000"/>
          <w:szCs w:val="24"/>
          <w:lang w:val="en-CA"/>
        </w:rPr>
        <w:t xml:space="preserve"> </w:t>
      </w:r>
      <w:proofErr w:type="spellStart"/>
      <w:r>
        <w:rPr>
          <w:rFonts w:cs="Arial"/>
          <w:color w:val="000000"/>
          <w:szCs w:val="24"/>
          <w:lang w:val="en-CA"/>
        </w:rPr>
        <w:t>Senat</w:t>
      </w:r>
      <w:proofErr w:type="spellEnd"/>
      <w:r>
        <w:rPr>
          <w:rFonts w:cs="Arial"/>
          <w:color w:val="000000"/>
          <w:szCs w:val="24"/>
          <w:lang w:val="en-CA"/>
        </w:rPr>
        <w:t xml:space="preserve">, </w:t>
      </w:r>
      <w:proofErr w:type="spellStart"/>
      <w:r>
        <w:rPr>
          <w:rFonts w:cs="Arial"/>
          <w:color w:val="000000"/>
          <w:szCs w:val="24"/>
          <w:lang w:val="en-CA"/>
        </w:rPr>
        <w:t>Alteon</w:t>
      </w:r>
      <w:proofErr w:type="spellEnd"/>
      <w:r>
        <w:rPr>
          <w:rFonts w:cs="Arial"/>
          <w:color w:val="000000"/>
          <w:szCs w:val="24"/>
          <w:lang w:val="en-CA"/>
        </w:rPr>
        <w:t xml:space="preserve"> Financial Services Inc. / Services financiers </w:t>
      </w:r>
      <w:proofErr w:type="spellStart"/>
      <w:r>
        <w:rPr>
          <w:rFonts w:cs="Arial"/>
          <w:color w:val="000000"/>
          <w:szCs w:val="24"/>
          <w:lang w:val="en-CA"/>
        </w:rPr>
        <w:t>Alteon</w:t>
      </w:r>
      <w:proofErr w:type="spellEnd"/>
      <w:r>
        <w:rPr>
          <w:rFonts w:cs="Arial"/>
          <w:color w:val="000000"/>
          <w:szCs w:val="24"/>
          <w:lang w:val="en-CA"/>
        </w:rPr>
        <w:t xml:space="preserve"> </w:t>
      </w:r>
      <w:proofErr w:type="spellStart"/>
      <w:r>
        <w:rPr>
          <w:rFonts w:cs="Arial"/>
          <w:color w:val="000000"/>
          <w:szCs w:val="24"/>
          <w:lang w:val="en-CA"/>
        </w:rPr>
        <w:t>inc.</w:t>
      </w:r>
      <w:proofErr w:type="spellEnd"/>
      <w:r>
        <w:rPr>
          <w:rFonts w:cs="Arial"/>
          <w:color w:val="000000"/>
          <w:szCs w:val="24"/>
          <w:lang w:val="en-CA"/>
        </w:rPr>
        <w:t xml:space="preserve"> and </w:t>
      </w:r>
      <w:proofErr w:type="spellStart"/>
      <w:r>
        <w:rPr>
          <w:rFonts w:cs="Arial"/>
          <w:color w:val="000000"/>
          <w:szCs w:val="24"/>
          <w:lang w:val="en-CA"/>
        </w:rPr>
        <w:t>Vasan</w:t>
      </w:r>
      <w:proofErr w:type="spellEnd"/>
      <w:r>
        <w:rPr>
          <w:rFonts w:cs="Arial"/>
          <w:color w:val="000000"/>
          <w:szCs w:val="24"/>
          <w:lang w:val="en-CA"/>
        </w:rPr>
        <w:t xml:space="preserve"> &amp; </w:t>
      </w:r>
      <w:proofErr w:type="spellStart"/>
      <w:r>
        <w:rPr>
          <w:rFonts w:cs="Arial"/>
          <w:color w:val="000000"/>
          <w:szCs w:val="24"/>
          <w:lang w:val="en-CA"/>
        </w:rPr>
        <w:t>Savyan</w:t>
      </w:r>
      <w:proofErr w:type="spellEnd"/>
      <w:r>
        <w:rPr>
          <w:rFonts w:cs="Arial"/>
          <w:color w:val="000000"/>
          <w:szCs w:val="24"/>
          <w:lang w:val="en-CA"/>
        </w:rPr>
        <w:t xml:space="preserve"> Asset Management Inc. / </w:t>
      </w:r>
      <w:proofErr w:type="spellStart"/>
      <w:r>
        <w:rPr>
          <w:rFonts w:cs="Arial"/>
          <w:color w:val="000000"/>
          <w:szCs w:val="24"/>
          <w:lang w:val="en-CA"/>
        </w:rPr>
        <w:t>Vasan</w:t>
      </w:r>
      <w:proofErr w:type="spellEnd"/>
      <w:r>
        <w:rPr>
          <w:rFonts w:cs="Arial"/>
          <w:color w:val="000000"/>
          <w:szCs w:val="24"/>
          <w:lang w:val="en-CA"/>
        </w:rPr>
        <w:t xml:space="preserve"> &amp; </w:t>
      </w:r>
      <w:proofErr w:type="spellStart"/>
      <w:r>
        <w:rPr>
          <w:rFonts w:cs="Arial"/>
          <w:color w:val="000000"/>
          <w:szCs w:val="24"/>
          <w:lang w:val="en-CA"/>
        </w:rPr>
        <w:t>Savyan</w:t>
      </w:r>
      <w:proofErr w:type="spellEnd"/>
      <w:r>
        <w:rPr>
          <w:rFonts w:cs="Arial"/>
          <w:color w:val="000000"/>
          <w:szCs w:val="24"/>
          <w:lang w:val="en-CA"/>
        </w:rPr>
        <w:t xml:space="preserve"> </w:t>
      </w:r>
      <w:proofErr w:type="spellStart"/>
      <w:r>
        <w:rPr>
          <w:rFonts w:cs="Arial"/>
          <w:color w:val="000000"/>
          <w:szCs w:val="24"/>
          <w:lang w:val="en-CA"/>
        </w:rPr>
        <w:t>Gestion</w:t>
      </w:r>
      <w:proofErr w:type="spellEnd"/>
      <w:r>
        <w:rPr>
          <w:rFonts w:cs="Arial"/>
          <w:color w:val="000000"/>
          <w:szCs w:val="24"/>
          <w:lang w:val="en-CA"/>
        </w:rPr>
        <w:t xml:space="preserve"> </w:t>
      </w:r>
      <w:proofErr w:type="spellStart"/>
      <w:r>
        <w:rPr>
          <w:rFonts w:cs="Arial"/>
          <w:color w:val="000000"/>
          <w:szCs w:val="24"/>
          <w:lang w:val="en-CA"/>
        </w:rPr>
        <w:t>d’actifs</w:t>
      </w:r>
      <w:proofErr w:type="spellEnd"/>
      <w:r>
        <w:rPr>
          <w:rFonts w:cs="Arial"/>
          <w:color w:val="000000"/>
          <w:szCs w:val="24"/>
          <w:lang w:val="en-CA"/>
        </w:rPr>
        <w:t xml:space="preserve"> </w:t>
      </w:r>
      <w:proofErr w:type="spellStart"/>
      <w:r>
        <w:rPr>
          <w:rFonts w:cs="Arial"/>
          <w:color w:val="000000"/>
          <w:szCs w:val="24"/>
          <w:lang w:val="en-CA"/>
        </w:rPr>
        <w:t>inc.</w:t>
      </w:r>
      <w:proofErr w:type="spellEnd"/>
      <w:r>
        <w:rPr>
          <w:rFonts w:cs="Arial"/>
          <w:color w:val="000000"/>
          <w:szCs w:val="24"/>
          <w:lang w:val="en-CA"/>
        </w:rPr>
        <w:t>;</w:t>
      </w:r>
    </w:p>
    <w:p w14:paraId="254E7E25" w14:textId="77777777" w:rsidR="00730C5E" w:rsidRPr="00D91AB0" w:rsidRDefault="00730C5E" w:rsidP="00730C5E">
      <w:pPr>
        <w:ind w:left="567"/>
        <w:jc w:val="both"/>
        <w:rPr>
          <w:rFonts w:cs="Arial"/>
          <w:color w:val="000000"/>
          <w:szCs w:val="24"/>
          <w:lang w:val="en-US"/>
        </w:rPr>
      </w:pPr>
      <w:r>
        <w:rPr>
          <w:rFonts w:cs="Arial"/>
          <w:color w:val="000000"/>
          <w:szCs w:val="24"/>
          <w:lang w:val="en-CA"/>
        </w:rPr>
        <w:t> </w:t>
      </w:r>
    </w:p>
    <w:p w14:paraId="4F4A0A63" w14:textId="24B38104" w:rsidR="00730C5E" w:rsidRPr="00D91AB0" w:rsidRDefault="00730C5E" w:rsidP="00730C5E">
      <w:pPr>
        <w:ind w:left="567"/>
        <w:jc w:val="both"/>
        <w:rPr>
          <w:rFonts w:cs="Arial"/>
          <w:color w:val="000000"/>
          <w:szCs w:val="24"/>
          <w:lang w:val="en-US"/>
        </w:rPr>
      </w:pPr>
      <w:r>
        <w:rPr>
          <w:rFonts w:cs="Arial"/>
          <w:b/>
          <w:bCs/>
          <w:color w:val="000000"/>
          <w:szCs w:val="24"/>
          <w:lang w:val="en-CA"/>
        </w:rPr>
        <w:t>ORDERS</w:t>
      </w:r>
      <w:r>
        <w:rPr>
          <w:rFonts w:cs="Arial"/>
          <w:color w:val="000000"/>
          <w:szCs w:val="24"/>
          <w:lang w:val="en-CA"/>
        </w:rPr>
        <w:t xml:space="preserve"> the Royal Bank of Canada, at the branch located at 585 Saint-Charles Avenue, Local 30, </w:t>
      </w:r>
      <w:proofErr w:type="spellStart"/>
      <w:r>
        <w:rPr>
          <w:rFonts w:cs="Arial"/>
          <w:color w:val="000000"/>
          <w:szCs w:val="24"/>
          <w:lang w:val="en-CA"/>
        </w:rPr>
        <w:t>Vaudreuil-Dorion</w:t>
      </w:r>
      <w:proofErr w:type="spellEnd"/>
      <w:r>
        <w:rPr>
          <w:rFonts w:cs="Arial"/>
          <w:color w:val="000000"/>
          <w:szCs w:val="24"/>
          <w:lang w:val="en-CA"/>
        </w:rPr>
        <w:t xml:space="preserve">, Québec, J7V 8P9, not to dispose of the funds, securities or other assets it has on deposit, under control or in safekeeping in any account opened in the name of </w:t>
      </w:r>
      <w:proofErr w:type="spellStart"/>
      <w:r>
        <w:rPr>
          <w:rFonts w:cs="Arial"/>
          <w:color w:val="000000"/>
          <w:szCs w:val="24"/>
          <w:lang w:val="en-CA"/>
        </w:rPr>
        <w:t>Sandly</w:t>
      </w:r>
      <w:proofErr w:type="spellEnd"/>
      <w:r>
        <w:rPr>
          <w:rFonts w:cs="Arial"/>
          <w:color w:val="000000"/>
          <w:szCs w:val="24"/>
          <w:lang w:val="en-CA"/>
        </w:rPr>
        <w:t xml:space="preserve"> </w:t>
      </w:r>
      <w:proofErr w:type="spellStart"/>
      <w:r>
        <w:rPr>
          <w:rFonts w:cs="Arial"/>
          <w:color w:val="000000"/>
          <w:szCs w:val="24"/>
          <w:lang w:val="en-CA"/>
        </w:rPr>
        <w:t>Alteon</w:t>
      </w:r>
      <w:proofErr w:type="spellEnd"/>
      <w:r>
        <w:rPr>
          <w:rFonts w:cs="Arial"/>
          <w:color w:val="000000"/>
          <w:szCs w:val="24"/>
          <w:lang w:val="en-CA"/>
        </w:rPr>
        <w:t xml:space="preserve"> </w:t>
      </w:r>
      <w:proofErr w:type="spellStart"/>
      <w:r>
        <w:rPr>
          <w:rFonts w:cs="Arial"/>
          <w:color w:val="000000"/>
          <w:szCs w:val="24"/>
          <w:lang w:val="en-CA"/>
        </w:rPr>
        <w:t>Senat</w:t>
      </w:r>
      <w:proofErr w:type="spellEnd"/>
      <w:r>
        <w:rPr>
          <w:rFonts w:cs="Arial"/>
          <w:color w:val="000000"/>
          <w:szCs w:val="24"/>
          <w:lang w:val="en-CA"/>
        </w:rPr>
        <w:t xml:space="preserve">, </w:t>
      </w:r>
      <w:proofErr w:type="spellStart"/>
      <w:r>
        <w:rPr>
          <w:rFonts w:cs="Arial"/>
          <w:color w:val="000000"/>
          <w:szCs w:val="24"/>
          <w:lang w:val="en-CA"/>
        </w:rPr>
        <w:t>Alteon</w:t>
      </w:r>
      <w:proofErr w:type="spellEnd"/>
      <w:r>
        <w:rPr>
          <w:rFonts w:cs="Arial"/>
          <w:color w:val="000000"/>
          <w:szCs w:val="24"/>
          <w:lang w:val="en-CA"/>
        </w:rPr>
        <w:t xml:space="preserve"> Financial Services Inc. / Services financiers </w:t>
      </w:r>
      <w:proofErr w:type="spellStart"/>
      <w:r>
        <w:rPr>
          <w:rFonts w:cs="Arial"/>
          <w:color w:val="000000"/>
          <w:szCs w:val="24"/>
          <w:lang w:val="en-CA"/>
        </w:rPr>
        <w:t>Alteon</w:t>
      </w:r>
      <w:proofErr w:type="spellEnd"/>
      <w:r>
        <w:rPr>
          <w:rFonts w:cs="Arial"/>
          <w:color w:val="000000"/>
          <w:szCs w:val="24"/>
          <w:lang w:val="en-CA"/>
        </w:rPr>
        <w:t xml:space="preserve"> </w:t>
      </w:r>
      <w:proofErr w:type="spellStart"/>
      <w:r>
        <w:rPr>
          <w:rFonts w:cs="Arial"/>
          <w:color w:val="000000"/>
          <w:szCs w:val="24"/>
          <w:lang w:val="en-CA"/>
        </w:rPr>
        <w:t>inc.</w:t>
      </w:r>
      <w:proofErr w:type="spellEnd"/>
      <w:r>
        <w:rPr>
          <w:rFonts w:cs="Arial"/>
          <w:color w:val="000000"/>
          <w:szCs w:val="24"/>
          <w:lang w:val="en-CA"/>
        </w:rPr>
        <w:t xml:space="preserve"> and </w:t>
      </w:r>
      <w:proofErr w:type="spellStart"/>
      <w:r>
        <w:rPr>
          <w:rFonts w:cs="Arial"/>
          <w:color w:val="000000"/>
          <w:szCs w:val="24"/>
          <w:lang w:val="en-CA"/>
        </w:rPr>
        <w:t>Vasan</w:t>
      </w:r>
      <w:proofErr w:type="spellEnd"/>
      <w:r>
        <w:rPr>
          <w:rFonts w:cs="Arial"/>
          <w:color w:val="000000"/>
          <w:szCs w:val="24"/>
          <w:lang w:val="en-CA"/>
        </w:rPr>
        <w:t xml:space="preserve"> &amp; </w:t>
      </w:r>
      <w:proofErr w:type="spellStart"/>
      <w:r>
        <w:rPr>
          <w:rFonts w:cs="Arial"/>
          <w:color w:val="000000"/>
          <w:szCs w:val="24"/>
          <w:lang w:val="en-CA"/>
        </w:rPr>
        <w:t>Savyan</w:t>
      </w:r>
      <w:proofErr w:type="spellEnd"/>
      <w:r>
        <w:rPr>
          <w:rFonts w:cs="Arial"/>
          <w:color w:val="000000"/>
          <w:szCs w:val="24"/>
          <w:lang w:val="en-CA"/>
        </w:rPr>
        <w:t xml:space="preserve"> Asset Management Inc. / </w:t>
      </w:r>
      <w:proofErr w:type="spellStart"/>
      <w:r>
        <w:rPr>
          <w:rFonts w:cs="Arial"/>
          <w:color w:val="000000"/>
          <w:szCs w:val="24"/>
          <w:lang w:val="en-CA"/>
        </w:rPr>
        <w:t>Vasan</w:t>
      </w:r>
      <w:proofErr w:type="spellEnd"/>
      <w:r>
        <w:rPr>
          <w:rFonts w:cs="Arial"/>
          <w:color w:val="000000"/>
          <w:szCs w:val="24"/>
          <w:lang w:val="en-CA"/>
        </w:rPr>
        <w:t xml:space="preserve"> &amp; </w:t>
      </w:r>
      <w:proofErr w:type="spellStart"/>
      <w:r>
        <w:rPr>
          <w:rFonts w:cs="Arial"/>
          <w:color w:val="000000"/>
          <w:szCs w:val="24"/>
          <w:lang w:val="en-CA"/>
        </w:rPr>
        <w:t>Savyan</w:t>
      </w:r>
      <w:proofErr w:type="spellEnd"/>
      <w:r>
        <w:rPr>
          <w:rFonts w:cs="Arial"/>
          <w:color w:val="000000"/>
          <w:szCs w:val="24"/>
          <w:lang w:val="en-CA"/>
        </w:rPr>
        <w:t xml:space="preserve"> </w:t>
      </w:r>
      <w:proofErr w:type="spellStart"/>
      <w:r>
        <w:rPr>
          <w:rFonts w:cs="Arial"/>
          <w:color w:val="000000"/>
          <w:szCs w:val="24"/>
          <w:lang w:val="en-CA"/>
        </w:rPr>
        <w:t>Gestion</w:t>
      </w:r>
      <w:proofErr w:type="spellEnd"/>
      <w:r>
        <w:rPr>
          <w:rFonts w:cs="Arial"/>
          <w:color w:val="000000"/>
          <w:szCs w:val="24"/>
          <w:lang w:val="en-CA"/>
        </w:rPr>
        <w:t xml:space="preserve"> </w:t>
      </w:r>
      <w:proofErr w:type="spellStart"/>
      <w:r>
        <w:rPr>
          <w:rFonts w:cs="Arial"/>
          <w:color w:val="000000"/>
          <w:szCs w:val="24"/>
          <w:lang w:val="en-CA"/>
        </w:rPr>
        <w:t>d’actifs</w:t>
      </w:r>
      <w:proofErr w:type="spellEnd"/>
      <w:r>
        <w:rPr>
          <w:rFonts w:cs="Arial"/>
          <w:color w:val="000000"/>
          <w:szCs w:val="24"/>
          <w:lang w:val="en-CA"/>
        </w:rPr>
        <w:t xml:space="preserve"> </w:t>
      </w:r>
      <w:proofErr w:type="spellStart"/>
      <w:r>
        <w:rPr>
          <w:rFonts w:cs="Arial"/>
          <w:color w:val="000000"/>
          <w:szCs w:val="24"/>
          <w:lang w:val="en-CA"/>
        </w:rPr>
        <w:t>inc.</w:t>
      </w:r>
      <w:proofErr w:type="spellEnd"/>
      <w:r>
        <w:rPr>
          <w:rFonts w:cs="Arial"/>
          <w:color w:val="000000"/>
          <w:szCs w:val="24"/>
          <w:lang w:val="en-CA"/>
        </w:rPr>
        <w:t xml:space="preserve">, and specifically, account numbers </w:t>
      </w:r>
      <w:r w:rsidR="008B6D04">
        <w:rPr>
          <w:rFonts w:cs="Arial"/>
          <w:color w:val="000000"/>
          <w:lang w:val="en-CA"/>
        </w:rPr>
        <w:t>[...]</w:t>
      </w:r>
      <w:r>
        <w:rPr>
          <w:rFonts w:cs="Arial"/>
          <w:color w:val="000000"/>
          <w:lang w:val="en-CA"/>
        </w:rPr>
        <w:t xml:space="preserve"> and </w:t>
      </w:r>
      <w:r w:rsidR="008B6D04">
        <w:rPr>
          <w:rFonts w:cs="Arial"/>
          <w:color w:val="000000"/>
          <w:lang w:val="en-CA"/>
        </w:rPr>
        <w:t>[...]</w:t>
      </w:r>
      <w:r>
        <w:rPr>
          <w:rFonts w:cs="Arial"/>
          <w:color w:val="000000"/>
          <w:lang w:val="en-CA"/>
        </w:rPr>
        <w:t>,</w:t>
      </w:r>
      <w:r>
        <w:rPr>
          <w:rFonts w:cs="Arial"/>
          <w:color w:val="000000"/>
          <w:szCs w:val="24"/>
          <w:lang w:val="en-CA"/>
        </w:rPr>
        <w:t xml:space="preserve"> or in any safety deposit box in the name of </w:t>
      </w:r>
      <w:proofErr w:type="spellStart"/>
      <w:r>
        <w:rPr>
          <w:rFonts w:cs="Arial"/>
          <w:color w:val="000000"/>
          <w:szCs w:val="24"/>
          <w:lang w:val="en-CA"/>
        </w:rPr>
        <w:t>Sandly</w:t>
      </w:r>
      <w:proofErr w:type="spellEnd"/>
      <w:r>
        <w:rPr>
          <w:rFonts w:cs="Arial"/>
          <w:color w:val="000000"/>
          <w:szCs w:val="24"/>
          <w:lang w:val="en-CA"/>
        </w:rPr>
        <w:t xml:space="preserve"> </w:t>
      </w:r>
      <w:proofErr w:type="spellStart"/>
      <w:r>
        <w:rPr>
          <w:rFonts w:cs="Arial"/>
          <w:color w:val="000000"/>
          <w:szCs w:val="24"/>
          <w:lang w:val="en-CA"/>
        </w:rPr>
        <w:t>Alteon</w:t>
      </w:r>
      <w:proofErr w:type="spellEnd"/>
      <w:r>
        <w:rPr>
          <w:rFonts w:cs="Arial"/>
          <w:color w:val="000000"/>
          <w:szCs w:val="24"/>
          <w:lang w:val="en-CA"/>
        </w:rPr>
        <w:t xml:space="preserve"> </w:t>
      </w:r>
      <w:proofErr w:type="spellStart"/>
      <w:r>
        <w:rPr>
          <w:rFonts w:cs="Arial"/>
          <w:color w:val="000000"/>
          <w:szCs w:val="24"/>
          <w:lang w:val="en-CA"/>
        </w:rPr>
        <w:t>Senat</w:t>
      </w:r>
      <w:proofErr w:type="spellEnd"/>
      <w:r>
        <w:rPr>
          <w:rFonts w:cs="Arial"/>
          <w:color w:val="000000"/>
          <w:szCs w:val="24"/>
          <w:lang w:val="en-CA"/>
        </w:rPr>
        <w:t xml:space="preserve">, </w:t>
      </w:r>
      <w:proofErr w:type="spellStart"/>
      <w:r>
        <w:rPr>
          <w:rFonts w:cs="Arial"/>
          <w:color w:val="000000"/>
          <w:szCs w:val="24"/>
          <w:lang w:val="en-CA"/>
        </w:rPr>
        <w:t>Alteon</w:t>
      </w:r>
      <w:proofErr w:type="spellEnd"/>
      <w:r>
        <w:rPr>
          <w:rFonts w:cs="Arial"/>
          <w:color w:val="000000"/>
          <w:szCs w:val="24"/>
          <w:lang w:val="en-CA"/>
        </w:rPr>
        <w:t xml:space="preserve"> Financial Services Inc. / Services financiers </w:t>
      </w:r>
      <w:proofErr w:type="spellStart"/>
      <w:r>
        <w:rPr>
          <w:rFonts w:cs="Arial"/>
          <w:color w:val="000000"/>
          <w:szCs w:val="24"/>
          <w:lang w:val="en-CA"/>
        </w:rPr>
        <w:t>Alteon</w:t>
      </w:r>
      <w:proofErr w:type="spellEnd"/>
      <w:r>
        <w:rPr>
          <w:rFonts w:cs="Arial"/>
          <w:color w:val="000000"/>
          <w:szCs w:val="24"/>
          <w:lang w:val="en-CA"/>
        </w:rPr>
        <w:t xml:space="preserve"> </w:t>
      </w:r>
      <w:proofErr w:type="spellStart"/>
      <w:r>
        <w:rPr>
          <w:rFonts w:cs="Arial"/>
          <w:color w:val="000000"/>
          <w:szCs w:val="24"/>
          <w:lang w:val="en-CA"/>
        </w:rPr>
        <w:t>inc.</w:t>
      </w:r>
      <w:proofErr w:type="spellEnd"/>
      <w:r>
        <w:rPr>
          <w:rFonts w:cs="Arial"/>
          <w:color w:val="000000"/>
          <w:szCs w:val="24"/>
          <w:lang w:val="en-CA"/>
        </w:rPr>
        <w:t xml:space="preserve"> and </w:t>
      </w:r>
      <w:proofErr w:type="spellStart"/>
      <w:r>
        <w:rPr>
          <w:rFonts w:cs="Arial"/>
          <w:color w:val="000000"/>
          <w:szCs w:val="24"/>
          <w:lang w:val="en-CA"/>
        </w:rPr>
        <w:t>Vasan</w:t>
      </w:r>
      <w:proofErr w:type="spellEnd"/>
      <w:r>
        <w:rPr>
          <w:rFonts w:cs="Arial"/>
          <w:color w:val="000000"/>
          <w:szCs w:val="24"/>
          <w:lang w:val="en-CA"/>
        </w:rPr>
        <w:t xml:space="preserve"> &amp; </w:t>
      </w:r>
      <w:proofErr w:type="spellStart"/>
      <w:r>
        <w:rPr>
          <w:rFonts w:cs="Arial"/>
          <w:color w:val="000000"/>
          <w:szCs w:val="24"/>
          <w:lang w:val="en-CA"/>
        </w:rPr>
        <w:t>Savyan</w:t>
      </w:r>
      <w:proofErr w:type="spellEnd"/>
      <w:r>
        <w:rPr>
          <w:rFonts w:cs="Arial"/>
          <w:color w:val="000000"/>
          <w:szCs w:val="24"/>
          <w:lang w:val="en-CA"/>
        </w:rPr>
        <w:t xml:space="preserve"> Asset Management Inc. / </w:t>
      </w:r>
      <w:proofErr w:type="spellStart"/>
      <w:r>
        <w:rPr>
          <w:rFonts w:cs="Arial"/>
          <w:color w:val="000000"/>
          <w:szCs w:val="24"/>
          <w:lang w:val="en-CA"/>
        </w:rPr>
        <w:t>Vasan</w:t>
      </w:r>
      <w:proofErr w:type="spellEnd"/>
      <w:r>
        <w:rPr>
          <w:rFonts w:cs="Arial"/>
          <w:color w:val="000000"/>
          <w:szCs w:val="24"/>
          <w:lang w:val="en-CA"/>
        </w:rPr>
        <w:t xml:space="preserve"> &amp; </w:t>
      </w:r>
      <w:proofErr w:type="spellStart"/>
      <w:r>
        <w:rPr>
          <w:rFonts w:cs="Arial"/>
          <w:color w:val="000000"/>
          <w:szCs w:val="24"/>
          <w:lang w:val="en-CA"/>
        </w:rPr>
        <w:t>Savyan</w:t>
      </w:r>
      <w:proofErr w:type="spellEnd"/>
      <w:r>
        <w:rPr>
          <w:rFonts w:cs="Arial"/>
          <w:color w:val="000000"/>
          <w:szCs w:val="24"/>
          <w:lang w:val="en-CA"/>
        </w:rPr>
        <w:t xml:space="preserve"> </w:t>
      </w:r>
      <w:proofErr w:type="spellStart"/>
      <w:r>
        <w:rPr>
          <w:rFonts w:cs="Arial"/>
          <w:color w:val="000000"/>
          <w:szCs w:val="24"/>
          <w:lang w:val="en-CA"/>
        </w:rPr>
        <w:t>Gestion</w:t>
      </w:r>
      <w:proofErr w:type="spellEnd"/>
      <w:r>
        <w:rPr>
          <w:rFonts w:cs="Arial"/>
          <w:color w:val="000000"/>
          <w:szCs w:val="24"/>
          <w:lang w:val="en-CA"/>
        </w:rPr>
        <w:t xml:space="preserve"> </w:t>
      </w:r>
      <w:proofErr w:type="spellStart"/>
      <w:r>
        <w:rPr>
          <w:rFonts w:cs="Arial"/>
          <w:color w:val="000000"/>
          <w:szCs w:val="24"/>
          <w:lang w:val="en-CA"/>
        </w:rPr>
        <w:t>d’actifs</w:t>
      </w:r>
      <w:proofErr w:type="spellEnd"/>
      <w:r>
        <w:rPr>
          <w:rFonts w:cs="Arial"/>
          <w:color w:val="000000"/>
          <w:szCs w:val="24"/>
          <w:lang w:val="en-CA"/>
        </w:rPr>
        <w:t xml:space="preserve"> </w:t>
      </w:r>
      <w:proofErr w:type="spellStart"/>
      <w:r>
        <w:rPr>
          <w:rFonts w:cs="Arial"/>
          <w:color w:val="000000"/>
          <w:szCs w:val="24"/>
          <w:lang w:val="en-CA"/>
        </w:rPr>
        <w:t>inc.</w:t>
      </w:r>
      <w:proofErr w:type="spellEnd"/>
      <w:r>
        <w:rPr>
          <w:rFonts w:cs="Arial"/>
          <w:color w:val="000000"/>
          <w:szCs w:val="24"/>
          <w:lang w:val="en-CA"/>
        </w:rPr>
        <w:t>;</w:t>
      </w:r>
    </w:p>
    <w:p w14:paraId="667D539A" w14:textId="77777777" w:rsidR="00730C5E" w:rsidRPr="00D91AB0" w:rsidRDefault="00730C5E" w:rsidP="00730C5E">
      <w:pPr>
        <w:ind w:left="567"/>
        <w:jc w:val="both"/>
        <w:rPr>
          <w:rFonts w:cs="Arial"/>
          <w:color w:val="000000"/>
          <w:szCs w:val="24"/>
          <w:lang w:val="en-US"/>
        </w:rPr>
      </w:pPr>
      <w:r>
        <w:rPr>
          <w:rFonts w:cs="Arial"/>
          <w:color w:val="000000"/>
          <w:szCs w:val="24"/>
          <w:lang w:val="en-CA"/>
        </w:rPr>
        <w:t> </w:t>
      </w:r>
    </w:p>
    <w:p w14:paraId="70FD1A67" w14:textId="0FC30356" w:rsidR="00730C5E" w:rsidRPr="00D91AB0" w:rsidRDefault="00730C5E" w:rsidP="00730C5E">
      <w:pPr>
        <w:ind w:left="567"/>
        <w:jc w:val="both"/>
        <w:rPr>
          <w:rFonts w:cs="Arial"/>
          <w:color w:val="000000"/>
          <w:szCs w:val="24"/>
          <w:lang w:val="en-US"/>
        </w:rPr>
      </w:pPr>
      <w:r>
        <w:rPr>
          <w:rFonts w:cs="Arial"/>
          <w:b/>
          <w:bCs/>
          <w:color w:val="000000"/>
          <w:szCs w:val="24"/>
          <w:lang w:val="en-CA"/>
        </w:rPr>
        <w:t>ORDERS</w:t>
      </w:r>
      <w:r>
        <w:rPr>
          <w:rFonts w:cs="Arial"/>
          <w:color w:val="000000"/>
          <w:szCs w:val="24"/>
          <w:lang w:val="en-CA"/>
        </w:rPr>
        <w:t xml:space="preserve"> the Bank of Montreal, at the branch located at 6500 Trans-Canada Highway, Pointe-Claire, Québec, H9R 0A5, not to dispose of the funds, securities or other assets it has on deposit, under control or in safekeeping in any account opened in the name of </w:t>
      </w:r>
      <w:proofErr w:type="spellStart"/>
      <w:r>
        <w:rPr>
          <w:rFonts w:cs="Arial"/>
          <w:color w:val="000000"/>
          <w:szCs w:val="24"/>
          <w:lang w:val="en-CA"/>
        </w:rPr>
        <w:t>Sandly</w:t>
      </w:r>
      <w:proofErr w:type="spellEnd"/>
      <w:r>
        <w:rPr>
          <w:rFonts w:cs="Arial"/>
          <w:color w:val="000000"/>
          <w:szCs w:val="24"/>
          <w:lang w:val="en-CA"/>
        </w:rPr>
        <w:t xml:space="preserve"> </w:t>
      </w:r>
      <w:proofErr w:type="spellStart"/>
      <w:r>
        <w:rPr>
          <w:rFonts w:cs="Arial"/>
          <w:color w:val="000000"/>
          <w:szCs w:val="24"/>
          <w:lang w:val="en-CA"/>
        </w:rPr>
        <w:t>Alteon</w:t>
      </w:r>
      <w:proofErr w:type="spellEnd"/>
      <w:r>
        <w:rPr>
          <w:rFonts w:cs="Arial"/>
          <w:color w:val="000000"/>
          <w:szCs w:val="24"/>
          <w:lang w:val="en-CA"/>
        </w:rPr>
        <w:t xml:space="preserve"> </w:t>
      </w:r>
      <w:proofErr w:type="spellStart"/>
      <w:r>
        <w:rPr>
          <w:rFonts w:cs="Arial"/>
          <w:color w:val="000000"/>
          <w:szCs w:val="24"/>
          <w:lang w:val="en-CA"/>
        </w:rPr>
        <w:t>Senat</w:t>
      </w:r>
      <w:proofErr w:type="spellEnd"/>
      <w:r>
        <w:rPr>
          <w:rFonts w:cs="Arial"/>
          <w:color w:val="000000"/>
          <w:szCs w:val="24"/>
          <w:lang w:val="en-CA"/>
        </w:rPr>
        <w:t xml:space="preserve">, </w:t>
      </w:r>
      <w:proofErr w:type="spellStart"/>
      <w:r>
        <w:rPr>
          <w:rFonts w:cs="Arial"/>
          <w:color w:val="000000"/>
          <w:szCs w:val="24"/>
          <w:lang w:val="en-CA"/>
        </w:rPr>
        <w:t>Alteon</w:t>
      </w:r>
      <w:proofErr w:type="spellEnd"/>
      <w:r>
        <w:rPr>
          <w:rFonts w:cs="Arial"/>
          <w:color w:val="000000"/>
          <w:szCs w:val="24"/>
          <w:lang w:val="en-CA"/>
        </w:rPr>
        <w:t xml:space="preserve"> Financial Services Inc. / Services financiers </w:t>
      </w:r>
      <w:proofErr w:type="spellStart"/>
      <w:r>
        <w:rPr>
          <w:rFonts w:cs="Arial"/>
          <w:color w:val="000000"/>
          <w:szCs w:val="24"/>
          <w:lang w:val="en-CA"/>
        </w:rPr>
        <w:t>Alteon</w:t>
      </w:r>
      <w:proofErr w:type="spellEnd"/>
      <w:r>
        <w:rPr>
          <w:rFonts w:cs="Arial"/>
          <w:color w:val="000000"/>
          <w:szCs w:val="24"/>
          <w:lang w:val="en-CA"/>
        </w:rPr>
        <w:t xml:space="preserve"> </w:t>
      </w:r>
      <w:proofErr w:type="spellStart"/>
      <w:r>
        <w:rPr>
          <w:rFonts w:cs="Arial"/>
          <w:color w:val="000000"/>
          <w:szCs w:val="24"/>
          <w:lang w:val="en-CA"/>
        </w:rPr>
        <w:t>inc.</w:t>
      </w:r>
      <w:proofErr w:type="spellEnd"/>
      <w:r>
        <w:rPr>
          <w:rFonts w:cs="Arial"/>
          <w:color w:val="000000"/>
          <w:szCs w:val="24"/>
          <w:lang w:val="en-CA"/>
        </w:rPr>
        <w:t xml:space="preserve"> and </w:t>
      </w:r>
      <w:proofErr w:type="spellStart"/>
      <w:r>
        <w:rPr>
          <w:rFonts w:cs="Arial"/>
          <w:color w:val="000000"/>
          <w:szCs w:val="24"/>
          <w:lang w:val="en-CA"/>
        </w:rPr>
        <w:t>Vasan</w:t>
      </w:r>
      <w:proofErr w:type="spellEnd"/>
      <w:r>
        <w:rPr>
          <w:rFonts w:cs="Arial"/>
          <w:color w:val="000000"/>
          <w:szCs w:val="24"/>
          <w:lang w:val="en-CA"/>
        </w:rPr>
        <w:t xml:space="preserve"> &amp; </w:t>
      </w:r>
      <w:proofErr w:type="spellStart"/>
      <w:r>
        <w:rPr>
          <w:rFonts w:cs="Arial"/>
          <w:color w:val="000000"/>
          <w:szCs w:val="24"/>
          <w:lang w:val="en-CA"/>
        </w:rPr>
        <w:t>Savyan</w:t>
      </w:r>
      <w:proofErr w:type="spellEnd"/>
      <w:r>
        <w:rPr>
          <w:rFonts w:cs="Arial"/>
          <w:color w:val="000000"/>
          <w:szCs w:val="24"/>
          <w:lang w:val="en-CA"/>
        </w:rPr>
        <w:t xml:space="preserve"> Asset Management Inc. / </w:t>
      </w:r>
      <w:proofErr w:type="spellStart"/>
      <w:r>
        <w:rPr>
          <w:rFonts w:cs="Arial"/>
          <w:color w:val="000000"/>
          <w:szCs w:val="24"/>
          <w:lang w:val="en-CA"/>
        </w:rPr>
        <w:t>Vasan</w:t>
      </w:r>
      <w:proofErr w:type="spellEnd"/>
      <w:r>
        <w:rPr>
          <w:rFonts w:cs="Arial"/>
          <w:color w:val="000000"/>
          <w:szCs w:val="24"/>
          <w:lang w:val="en-CA"/>
        </w:rPr>
        <w:t xml:space="preserve"> &amp; </w:t>
      </w:r>
      <w:proofErr w:type="spellStart"/>
      <w:r>
        <w:rPr>
          <w:rFonts w:cs="Arial"/>
          <w:color w:val="000000"/>
          <w:szCs w:val="24"/>
          <w:lang w:val="en-CA"/>
        </w:rPr>
        <w:t>Savyan</w:t>
      </w:r>
      <w:proofErr w:type="spellEnd"/>
      <w:r>
        <w:rPr>
          <w:rFonts w:cs="Arial"/>
          <w:color w:val="000000"/>
          <w:szCs w:val="24"/>
          <w:lang w:val="en-CA"/>
        </w:rPr>
        <w:t xml:space="preserve"> </w:t>
      </w:r>
      <w:proofErr w:type="spellStart"/>
      <w:r>
        <w:rPr>
          <w:rFonts w:cs="Arial"/>
          <w:color w:val="000000"/>
          <w:szCs w:val="24"/>
          <w:lang w:val="en-CA"/>
        </w:rPr>
        <w:t>Gestion</w:t>
      </w:r>
      <w:proofErr w:type="spellEnd"/>
      <w:r>
        <w:rPr>
          <w:rFonts w:cs="Arial"/>
          <w:color w:val="000000"/>
          <w:szCs w:val="24"/>
          <w:lang w:val="en-CA"/>
        </w:rPr>
        <w:t xml:space="preserve"> </w:t>
      </w:r>
      <w:proofErr w:type="spellStart"/>
      <w:r>
        <w:rPr>
          <w:rFonts w:cs="Arial"/>
          <w:color w:val="000000"/>
          <w:szCs w:val="24"/>
          <w:lang w:val="en-CA"/>
        </w:rPr>
        <w:t>d’actifs</w:t>
      </w:r>
      <w:proofErr w:type="spellEnd"/>
      <w:r>
        <w:rPr>
          <w:rFonts w:cs="Arial"/>
          <w:color w:val="000000"/>
          <w:szCs w:val="24"/>
          <w:lang w:val="en-CA"/>
        </w:rPr>
        <w:t xml:space="preserve"> </w:t>
      </w:r>
      <w:proofErr w:type="spellStart"/>
      <w:r>
        <w:rPr>
          <w:rFonts w:cs="Arial"/>
          <w:color w:val="000000"/>
          <w:szCs w:val="24"/>
          <w:lang w:val="en-CA"/>
        </w:rPr>
        <w:t>inc.</w:t>
      </w:r>
      <w:proofErr w:type="spellEnd"/>
      <w:r>
        <w:rPr>
          <w:rFonts w:cs="Arial"/>
          <w:color w:val="000000"/>
          <w:szCs w:val="24"/>
          <w:lang w:val="en-CA"/>
        </w:rPr>
        <w:t xml:space="preserve">, and specifically, account numbers </w:t>
      </w:r>
      <w:r w:rsidR="008B6D04">
        <w:rPr>
          <w:rFonts w:cs="Arial"/>
          <w:color w:val="000000"/>
          <w:lang w:val="en-CA"/>
        </w:rPr>
        <w:t>[...]</w:t>
      </w:r>
      <w:r>
        <w:rPr>
          <w:rFonts w:cs="Arial"/>
          <w:color w:val="000000"/>
          <w:lang w:val="en-CA"/>
        </w:rPr>
        <w:t xml:space="preserve"> and </w:t>
      </w:r>
      <w:r w:rsidR="00A942D0">
        <w:rPr>
          <w:rFonts w:cs="Arial"/>
          <w:color w:val="000000"/>
          <w:lang w:val="en-CA"/>
        </w:rPr>
        <w:t>[...]</w:t>
      </w:r>
      <w:r>
        <w:rPr>
          <w:rFonts w:cs="Arial"/>
          <w:color w:val="000000"/>
          <w:lang w:val="en-CA"/>
        </w:rPr>
        <w:t>,</w:t>
      </w:r>
      <w:r>
        <w:rPr>
          <w:rFonts w:cs="Arial"/>
          <w:color w:val="000000"/>
          <w:szCs w:val="24"/>
          <w:lang w:val="en-CA"/>
        </w:rPr>
        <w:t xml:space="preserve"> or in any safety deposit box in the name of </w:t>
      </w:r>
      <w:proofErr w:type="spellStart"/>
      <w:r>
        <w:rPr>
          <w:rFonts w:cs="Arial"/>
          <w:color w:val="000000"/>
          <w:szCs w:val="24"/>
          <w:lang w:val="en-CA"/>
        </w:rPr>
        <w:t>Sandly</w:t>
      </w:r>
      <w:proofErr w:type="spellEnd"/>
      <w:r>
        <w:rPr>
          <w:rFonts w:cs="Arial"/>
          <w:color w:val="000000"/>
          <w:szCs w:val="24"/>
          <w:lang w:val="en-CA"/>
        </w:rPr>
        <w:t xml:space="preserve"> </w:t>
      </w:r>
      <w:proofErr w:type="spellStart"/>
      <w:r>
        <w:rPr>
          <w:rFonts w:cs="Arial"/>
          <w:color w:val="000000"/>
          <w:szCs w:val="24"/>
          <w:lang w:val="en-CA"/>
        </w:rPr>
        <w:t>Alteon</w:t>
      </w:r>
      <w:proofErr w:type="spellEnd"/>
      <w:r>
        <w:rPr>
          <w:rFonts w:cs="Arial"/>
          <w:color w:val="000000"/>
          <w:szCs w:val="24"/>
          <w:lang w:val="en-CA"/>
        </w:rPr>
        <w:t xml:space="preserve"> </w:t>
      </w:r>
      <w:proofErr w:type="spellStart"/>
      <w:r>
        <w:rPr>
          <w:rFonts w:cs="Arial"/>
          <w:color w:val="000000"/>
          <w:szCs w:val="24"/>
          <w:lang w:val="en-CA"/>
        </w:rPr>
        <w:t>Senat</w:t>
      </w:r>
      <w:proofErr w:type="spellEnd"/>
      <w:r>
        <w:rPr>
          <w:rFonts w:cs="Arial"/>
          <w:color w:val="000000"/>
          <w:szCs w:val="24"/>
          <w:lang w:val="en-CA"/>
        </w:rPr>
        <w:t xml:space="preserve">, </w:t>
      </w:r>
      <w:proofErr w:type="spellStart"/>
      <w:r>
        <w:rPr>
          <w:rFonts w:cs="Arial"/>
          <w:color w:val="000000"/>
          <w:szCs w:val="24"/>
          <w:lang w:val="en-CA"/>
        </w:rPr>
        <w:t>Alteon</w:t>
      </w:r>
      <w:proofErr w:type="spellEnd"/>
      <w:r>
        <w:rPr>
          <w:rFonts w:cs="Arial"/>
          <w:color w:val="000000"/>
          <w:szCs w:val="24"/>
          <w:lang w:val="en-CA"/>
        </w:rPr>
        <w:t xml:space="preserve"> Financial Services Inc. / Services financiers </w:t>
      </w:r>
      <w:proofErr w:type="spellStart"/>
      <w:r>
        <w:rPr>
          <w:rFonts w:cs="Arial"/>
          <w:color w:val="000000"/>
          <w:szCs w:val="24"/>
          <w:lang w:val="en-CA"/>
        </w:rPr>
        <w:t>Alteon</w:t>
      </w:r>
      <w:proofErr w:type="spellEnd"/>
      <w:r>
        <w:rPr>
          <w:rFonts w:cs="Arial"/>
          <w:color w:val="000000"/>
          <w:szCs w:val="24"/>
          <w:lang w:val="en-CA"/>
        </w:rPr>
        <w:t xml:space="preserve"> </w:t>
      </w:r>
      <w:proofErr w:type="spellStart"/>
      <w:r>
        <w:rPr>
          <w:rFonts w:cs="Arial"/>
          <w:color w:val="000000"/>
          <w:szCs w:val="24"/>
          <w:lang w:val="en-CA"/>
        </w:rPr>
        <w:t>inc.</w:t>
      </w:r>
      <w:proofErr w:type="spellEnd"/>
      <w:r>
        <w:rPr>
          <w:rFonts w:cs="Arial"/>
          <w:color w:val="000000"/>
          <w:szCs w:val="24"/>
          <w:lang w:val="en-CA"/>
        </w:rPr>
        <w:t xml:space="preserve"> and </w:t>
      </w:r>
      <w:proofErr w:type="spellStart"/>
      <w:r>
        <w:rPr>
          <w:rFonts w:cs="Arial"/>
          <w:color w:val="000000"/>
          <w:szCs w:val="24"/>
          <w:lang w:val="en-CA"/>
        </w:rPr>
        <w:t>Vasan</w:t>
      </w:r>
      <w:proofErr w:type="spellEnd"/>
      <w:r>
        <w:rPr>
          <w:rFonts w:cs="Arial"/>
          <w:color w:val="000000"/>
          <w:szCs w:val="24"/>
          <w:lang w:val="en-CA"/>
        </w:rPr>
        <w:t xml:space="preserve"> &amp; </w:t>
      </w:r>
      <w:proofErr w:type="spellStart"/>
      <w:r>
        <w:rPr>
          <w:rFonts w:cs="Arial"/>
          <w:color w:val="000000"/>
          <w:szCs w:val="24"/>
          <w:lang w:val="en-CA"/>
        </w:rPr>
        <w:t>Savyan</w:t>
      </w:r>
      <w:proofErr w:type="spellEnd"/>
      <w:r>
        <w:rPr>
          <w:rFonts w:cs="Arial"/>
          <w:color w:val="000000"/>
          <w:szCs w:val="24"/>
          <w:lang w:val="en-CA"/>
        </w:rPr>
        <w:t xml:space="preserve"> Asset Management Inc. / </w:t>
      </w:r>
      <w:proofErr w:type="spellStart"/>
      <w:r>
        <w:rPr>
          <w:rFonts w:cs="Arial"/>
          <w:color w:val="000000"/>
          <w:szCs w:val="24"/>
          <w:lang w:val="en-CA"/>
        </w:rPr>
        <w:t>Vasan</w:t>
      </w:r>
      <w:proofErr w:type="spellEnd"/>
      <w:r>
        <w:rPr>
          <w:rFonts w:cs="Arial"/>
          <w:color w:val="000000"/>
          <w:szCs w:val="24"/>
          <w:lang w:val="en-CA"/>
        </w:rPr>
        <w:t xml:space="preserve"> &amp; </w:t>
      </w:r>
      <w:proofErr w:type="spellStart"/>
      <w:r>
        <w:rPr>
          <w:rFonts w:cs="Arial"/>
          <w:color w:val="000000"/>
          <w:szCs w:val="24"/>
          <w:lang w:val="en-CA"/>
        </w:rPr>
        <w:t>Savyan</w:t>
      </w:r>
      <w:proofErr w:type="spellEnd"/>
      <w:r>
        <w:rPr>
          <w:rFonts w:cs="Arial"/>
          <w:color w:val="000000"/>
          <w:szCs w:val="24"/>
          <w:lang w:val="en-CA"/>
        </w:rPr>
        <w:t xml:space="preserve"> </w:t>
      </w:r>
      <w:proofErr w:type="spellStart"/>
      <w:r>
        <w:rPr>
          <w:rFonts w:cs="Arial"/>
          <w:color w:val="000000"/>
          <w:szCs w:val="24"/>
          <w:lang w:val="en-CA"/>
        </w:rPr>
        <w:t>Gestion</w:t>
      </w:r>
      <w:proofErr w:type="spellEnd"/>
      <w:r>
        <w:rPr>
          <w:rFonts w:cs="Arial"/>
          <w:color w:val="000000"/>
          <w:szCs w:val="24"/>
          <w:lang w:val="en-CA"/>
        </w:rPr>
        <w:t xml:space="preserve"> </w:t>
      </w:r>
      <w:proofErr w:type="spellStart"/>
      <w:r>
        <w:rPr>
          <w:rFonts w:cs="Arial"/>
          <w:color w:val="000000"/>
          <w:szCs w:val="24"/>
          <w:lang w:val="en-CA"/>
        </w:rPr>
        <w:t>d’actifs</w:t>
      </w:r>
      <w:proofErr w:type="spellEnd"/>
      <w:r>
        <w:rPr>
          <w:rFonts w:cs="Arial"/>
          <w:color w:val="000000"/>
          <w:szCs w:val="24"/>
          <w:lang w:val="en-CA"/>
        </w:rPr>
        <w:t xml:space="preserve"> </w:t>
      </w:r>
      <w:proofErr w:type="spellStart"/>
      <w:r>
        <w:rPr>
          <w:rFonts w:cs="Arial"/>
          <w:color w:val="000000"/>
          <w:szCs w:val="24"/>
          <w:lang w:val="en-CA"/>
        </w:rPr>
        <w:t>inc.</w:t>
      </w:r>
      <w:proofErr w:type="spellEnd"/>
      <w:r>
        <w:rPr>
          <w:rFonts w:cs="Arial"/>
          <w:color w:val="000000"/>
          <w:szCs w:val="24"/>
          <w:lang w:val="en-CA"/>
        </w:rPr>
        <w:t>;</w:t>
      </w:r>
    </w:p>
    <w:p w14:paraId="38EACAFE" w14:textId="2CC26F2A" w:rsidR="00730C5E" w:rsidRPr="00D91AB0" w:rsidRDefault="00730C5E" w:rsidP="00730C5E">
      <w:pPr>
        <w:ind w:left="567"/>
        <w:jc w:val="both"/>
        <w:rPr>
          <w:rFonts w:cs="Arial"/>
          <w:color w:val="000000"/>
          <w:szCs w:val="24"/>
          <w:lang w:val="en-US"/>
        </w:rPr>
      </w:pPr>
    </w:p>
    <w:p w14:paraId="227A4991" w14:textId="234EA195" w:rsidR="00730C5E" w:rsidRPr="00D91AB0" w:rsidRDefault="00730C5E" w:rsidP="00730C5E">
      <w:pPr>
        <w:ind w:left="567"/>
        <w:jc w:val="both"/>
        <w:rPr>
          <w:rFonts w:cs="Arial"/>
          <w:color w:val="000000"/>
          <w:szCs w:val="24"/>
          <w:lang w:val="en-US"/>
        </w:rPr>
      </w:pPr>
      <w:r>
        <w:rPr>
          <w:rFonts w:cs="Arial"/>
          <w:b/>
          <w:bCs/>
          <w:color w:val="000000"/>
          <w:szCs w:val="24"/>
          <w:lang w:val="en-CA"/>
        </w:rPr>
        <w:lastRenderedPageBreak/>
        <w:t xml:space="preserve">ORDERS </w:t>
      </w:r>
      <w:r>
        <w:rPr>
          <w:rFonts w:cs="Arial"/>
          <w:color w:val="000000"/>
          <w:szCs w:val="24"/>
          <w:lang w:val="en-CA"/>
        </w:rPr>
        <w:t xml:space="preserve">Desjardins Financial Security Investments Inc. (SFL Investments) not to dispose of the funds, securities or other assets or products it has on deposit, under control or in safekeeping in the name of </w:t>
      </w:r>
      <w:proofErr w:type="spellStart"/>
      <w:r>
        <w:rPr>
          <w:rFonts w:cs="Arial"/>
          <w:color w:val="000000"/>
          <w:szCs w:val="24"/>
          <w:lang w:val="en-CA"/>
        </w:rPr>
        <w:t>Sandly</w:t>
      </w:r>
      <w:proofErr w:type="spellEnd"/>
      <w:r>
        <w:rPr>
          <w:rFonts w:cs="Arial"/>
          <w:color w:val="000000"/>
          <w:szCs w:val="24"/>
          <w:lang w:val="en-CA"/>
        </w:rPr>
        <w:t xml:space="preserve"> </w:t>
      </w:r>
      <w:proofErr w:type="spellStart"/>
      <w:r>
        <w:rPr>
          <w:rFonts w:cs="Arial"/>
          <w:color w:val="000000"/>
          <w:szCs w:val="24"/>
          <w:lang w:val="en-CA"/>
        </w:rPr>
        <w:t>Alteon</w:t>
      </w:r>
      <w:proofErr w:type="spellEnd"/>
      <w:r>
        <w:rPr>
          <w:rFonts w:cs="Arial"/>
          <w:color w:val="000000"/>
          <w:szCs w:val="24"/>
          <w:lang w:val="en-CA"/>
        </w:rPr>
        <w:t xml:space="preserve"> </w:t>
      </w:r>
      <w:proofErr w:type="spellStart"/>
      <w:r>
        <w:rPr>
          <w:rFonts w:cs="Arial"/>
          <w:color w:val="000000"/>
          <w:szCs w:val="24"/>
          <w:lang w:val="en-CA"/>
        </w:rPr>
        <w:t>Senat</w:t>
      </w:r>
      <w:proofErr w:type="spellEnd"/>
      <w:r>
        <w:rPr>
          <w:rFonts w:cs="Arial"/>
          <w:color w:val="000000"/>
          <w:szCs w:val="24"/>
          <w:lang w:val="en-CA"/>
        </w:rPr>
        <w:t xml:space="preserve">, </w:t>
      </w:r>
      <w:proofErr w:type="spellStart"/>
      <w:r>
        <w:rPr>
          <w:rFonts w:cs="Arial"/>
          <w:color w:val="000000"/>
          <w:szCs w:val="24"/>
          <w:lang w:val="en-CA"/>
        </w:rPr>
        <w:t>Alteon</w:t>
      </w:r>
      <w:proofErr w:type="spellEnd"/>
      <w:r>
        <w:rPr>
          <w:rFonts w:cs="Arial"/>
          <w:color w:val="000000"/>
          <w:szCs w:val="24"/>
          <w:lang w:val="en-CA"/>
        </w:rPr>
        <w:t xml:space="preserve"> Financial Services Inc. / Services financiers </w:t>
      </w:r>
      <w:proofErr w:type="spellStart"/>
      <w:r>
        <w:rPr>
          <w:rFonts w:cs="Arial"/>
          <w:color w:val="000000"/>
          <w:szCs w:val="24"/>
          <w:lang w:val="en-CA"/>
        </w:rPr>
        <w:t>Alteon</w:t>
      </w:r>
      <w:proofErr w:type="spellEnd"/>
      <w:r>
        <w:rPr>
          <w:rFonts w:cs="Arial"/>
          <w:color w:val="000000"/>
          <w:szCs w:val="24"/>
          <w:lang w:val="en-CA"/>
        </w:rPr>
        <w:t xml:space="preserve"> </w:t>
      </w:r>
      <w:proofErr w:type="spellStart"/>
      <w:r>
        <w:rPr>
          <w:rFonts w:cs="Arial"/>
          <w:color w:val="000000"/>
          <w:szCs w:val="24"/>
          <w:lang w:val="en-CA"/>
        </w:rPr>
        <w:t>inc.</w:t>
      </w:r>
      <w:proofErr w:type="spellEnd"/>
      <w:r>
        <w:rPr>
          <w:rFonts w:cs="Arial"/>
          <w:color w:val="000000"/>
          <w:szCs w:val="24"/>
          <w:lang w:val="en-CA"/>
        </w:rPr>
        <w:t xml:space="preserve"> and </w:t>
      </w:r>
      <w:proofErr w:type="spellStart"/>
      <w:r>
        <w:rPr>
          <w:rFonts w:cs="Arial"/>
          <w:color w:val="000000"/>
          <w:szCs w:val="24"/>
          <w:lang w:val="en-CA"/>
        </w:rPr>
        <w:t>Vasan</w:t>
      </w:r>
      <w:proofErr w:type="spellEnd"/>
      <w:r>
        <w:rPr>
          <w:rFonts w:cs="Arial"/>
          <w:color w:val="000000"/>
          <w:szCs w:val="24"/>
          <w:lang w:val="en-CA"/>
        </w:rPr>
        <w:t xml:space="preserve"> &amp; </w:t>
      </w:r>
      <w:proofErr w:type="spellStart"/>
      <w:r>
        <w:rPr>
          <w:rFonts w:cs="Arial"/>
          <w:color w:val="000000"/>
          <w:szCs w:val="24"/>
          <w:lang w:val="en-CA"/>
        </w:rPr>
        <w:t>Savyan</w:t>
      </w:r>
      <w:proofErr w:type="spellEnd"/>
      <w:r>
        <w:rPr>
          <w:rFonts w:cs="Arial"/>
          <w:color w:val="000000"/>
          <w:szCs w:val="24"/>
          <w:lang w:val="en-CA"/>
        </w:rPr>
        <w:t xml:space="preserve"> Asset Management Inc. / </w:t>
      </w:r>
      <w:proofErr w:type="spellStart"/>
      <w:r>
        <w:rPr>
          <w:rFonts w:cs="Arial"/>
          <w:color w:val="000000"/>
          <w:szCs w:val="24"/>
          <w:lang w:val="en-CA"/>
        </w:rPr>
        <w:t>Vasan</w:t>
      </w:r>
      <w:proofErr w:type="spellEnd"/>
      <w:r>
        <w:rPr>
          <w:rFonts w:cs="Arial"/>
          <w:color w:val="000000"/>
          <w:szCs w:val="24"/>
          <w:lang w:val="en-CA"/>
        </w:rPr>
        <w:t xml:space="preserve"> &amp; </w:t>
      </w:r>
      <w:proofErr w:type="spellStart"/>
      <w:r>
        <w:rPr>
          <w:rFonts w:cs="Arial"/>
          <w:color w:val="000000"/>
          <w:szCs w:val="24"/>
          <w:lang w:val="en-CA"/>
        </w:rPr>
        <w:t>Savyan</w:t>
      </w:r>
      <w:proofErr w:type="spellEnd"/>
      <w:r>
        <w:rPr>
          <w:rFonts w:cs="Arial"/>
          <w:color w:val="000000"/>
          <w:szCs w:val="24"/>
          <w:lang w:val="en-CA"/>
        </w:rPr>
        <w:t xml:space="preserve"> </w:t>
      </w:r>
      <w:proofErr w:type="spellStart"/>
      <w:r>
        <w:rPr>
          <w:rFonts w:cs="Arial"/>
          <w:color w:val="000000"/>
          <w:szCs w:val="24"/>
          <w:lang w:val="en-CA"/>
        </w:rPr>
        <w:t>Gestion</w:t>
      </w:r>
      <w:proofErr w:type="spellEnd"/>
      <w:r>
        <w:rPr>
          <w:rFonts w:cs="Arial"/>
          <w:color w:val="000000"/>
          <w:szCs w:val="24"/>
          <w:lang w:val="en-CA"/>
        </w:rPr>
        <w:t xml:space="preserve"> </w:t>
      </w:r>
      <w:proofErr w:type="spellStart"/>
      <w:r>
        <w:rPr>
          <w:rFonts w:cs="Arial"/>
          <w:color w:val="000000"/>
          <w:szCs w:val="24"/>
          <w:lang w:val="en-CA"/>
        </w:rPr>
        <w:t>d’actifs</w:t>
      </w:r>
      <w:proofErr w:type="spellEnd"/>
      <w:r>
        <w:rPr>
          <w:rFonts w:cs="Arial"/>
          <w:color w:val="000000"/>
          <w:szCs w:val="24"/>
          <w:lang w:val="en-CA"/>
        </w:rPr>
        <w:t xml:space="preserve"> </w:t>
      </w:r>
      <w:proofErr w:type="spellStart"/>
      <w:r>
        <w:rPr>
          <w:rFonts w:cs="Arial"/>
          <w:color w:val="000000"/>
          <w:szCs w:val="24"/>
          <w:lang w:val="en-CA"/>
        </w:rPr>
        <w:t>inc.</w:t>
      </w:r>
      <w:proofErr w:type="spellEnd"/>
      <w:r>
        <w:rPr>
          <w:rFonts w:cs="Arial"/>
          <w:color w:val="000000"/>
          <w:szCs w:val="24"/>
          <w:lang w:val="en-CA"/>
        </w:rPr>
        <w:t xml:space="preserve">, and specifically, in account numbers </w:t>
      </w:r>
      <w:r w:rsidR="008B6D04">
        <w:rPr>
          <w:rFonts w:cs="Arial"/>
          <w:color w:val="000000"/>
          <w:lang w:val="en-CA"/>
        </w:rPr>
        <w:t>[...]</w:t>
      </w:r>
      <w:r>
        <w:rPr>
          <w:rFonts w:cs="Arial"/>
          <w:color w:val="000000"/>
          <w:lang w:val="en-CA"/>
        </w:rPr>
        <w:t xml:space="preserve"> and </w:t>
      </w:r>
      <w:r w:rsidR="008B6D04">
        <w:rPr>
          <w:rFonts w:cs="Arial"/>
          <w:color w:val="000000"/>
          <w:lang w:val="en-CA"/>
        </w:rPr>
        <w:t>[...]</w:t>
      </w:r>
      <w:r>
        <w:rPr>
          <w:rFonts w:cs="Arial"/>
          <w:color w:val="000000"/>
          <w:szCs w:val="24"/>
          <w:lang w:val="en-CA"/>
        </w:rPr>
        <w:t>;</w:t>
      </w:r>
    </w:p>
    <w:p w14:paraId="533B591A" w14:textId="5DABFB80" w:rsidR="00944C9F" w:rsidRPr="00D91AB0" w:rsidRDefault="00730C5E" w:rsidP="009506C2">
      <w:pPr>
        <w:ind w:left="567"/>
        <w:jc w:val="both"/>
        <w:rPr>
          <w:rFonts w:cs="Arial"/>
          <w:color w:val="000000"/>
          <w:szCs w:val="24"/>
          <w:lang w:val="en-US"/>
        </w:rPr>
      </w:pPr>
      <w:r>
        <w:rPr>
          <w:rFonts w:cs="Arial"/>
          <w:color w:val="000000"/>
          <w:szCs w:val="24"/>
          <w:lang w:val="en-CA"/>
        </w:rPr>
        <w:t> </w:t>
      </w:r>
    </w:p>
    <w:p w14:paraId="1C03291B" w14:textId="15773543" w:rsidR="00730C5E" w:rsidRPr="00D91AB0" w:rsidRDefault="00944C9F" w:rsidP="00944C9F">
      <w:pPr>
        <w:jc w:val="both"/>
        <w:rPr>
          <w:rFonts w:cs="Arial"/>
          <w:color w:val="000000"/>
          <w:szCs w:val="24"/>
          <w:lang w:val="en-US"/>
        </w:rPr>
      </w:pPr>
      <w:r>
        <w:rPr>
          <w:rFonts w:cs="Arial"/>
          <w:b/>
          <w:bCs/>
          <w:color w:val="000000"/>
          <w:szCs w:val="24"/>
          <w:lang w:val="en-CA"/>
        </w:rPr>
        <w:t xml:space="preserve">ORDERS </w:t>
      </w:r>
      <w:r>
        <w:rPr>
          <w:rFonts w:cs="Arial"/>
          <w:color w:val="000000"/>
          <w:szCs w:val="24"/>
          <w:lang w:val="en-CA"/>
        </w:rPr>
        <w:t xml:space="preserve">the </w:t>
      </w:r>
      <w:proofErr w:type="spellStart"/>
      <w:r>
        <w:rPr>
          <w:rFonts w:cs="Arial"/>
          <w:color w:val="000000"/>
          <w:szCs w:val="24"/>
          <w:lang w:val="en-CA"/>
        </w:rPr>
        <w:t>Autorité</w:t>
      </w:r>
      <w:proofErr w:type="spellEnd"/>
      <w:r>
        <w:rPr>
          <w:rFonts w:cs="Arial"/>
          <w:color w:val="000000"/>
          <w:szCs w:val="24"/>
          <w:lang w:val="en-CA"/>
        </w:rPr>
        <w:t xml:space="preserve"> des </w:t>
      </w:r>
      <w:proofErr w:type="spellStart"/>
      <w:r>
        <w:rPr>
          <w:rFonts w:cs="Arial"/>
          <w:color w:val="000000"/>
          <w:szCs w:val="24"/>
          <w:lang w:val="en-CA"/>
        </w:rPr>
        <w:t>marchés</w:t>
      </w:r>
      <w:proofErr w:type="spellEnd"/>
      <w:r>
        <w:rPr>
          <w:rFonts w:cs="Arial"/>
          <w:color w:val="000000"/>
          <w:szCs w:val="24"/>
          <w:lang w:val="en-CA"/>
        </w:rPr>
        <w:t xml:space="preserve"> financiers to notify the parties of this decision.</w:t>
      </w:r>
    </w:p>
    <w:p w14:paraId="41029C8A" w14:textId="77777777" w:rsidR="002B17FC" w:rsidRPr="00D91AB0" w:rsidRDefault="002B17FC" w:rsidP="00944C9F">
      <w:pPr>
        <w:jc w:val="both"/>
        <w:rPr>
          <w:rFonts w:cs="Arial"/>
          <w:color w:val="000000"/>
          <w:szCs w:val="24"/>
          <w:lang w:val="en-US"/>
        </w:rPr>
      </w:pPr>
    </w:p>
    <w:p w14:paraId="227A4367" w14:textId="77777777" w:rsidR="00ED17A4" w:rsidRPr="00D91AB0" w:rsidRDefault="00ED17A4" w:rsidP="00944C9F">
      <w:pPr>
        <w:jc w:val="both"/>
        <w:rPr>
          <w:rFonts w:cs="Arial"/>
          <w:color w:val="000000"/>
          <w:szCs w:val="24"/>
          <w:lang w:val="en-US"/>
        </w:rPr>
      </w:pPr>
    </w:p>
    <w:p w14:paraId="195E9B61" w14:textId="77777777" w:rsidR="002B17FC" w:rsidRPr="00D91AB0" w:rsidRDefault="002B17FC" w:rsidP="00944C9F">
      <w:pPr>
        <w:jc w:val="both"/>
        <w:rPr>
          <w:rFonts w:cs="Arial"/>
          <w:color w:val="000000"/>
          <w:szCs w:val="24"/>
          <w:lang w:val="en-US"/>
        </w:rPr>
      </w:pPr>
    </w:p>
    <w:tbl>
      <w:tblPr>
        <w:tblW w:w="9568" w:type="dxa"/>
        <w:tblInd w:w="-70" w:type="dxa"/>
        <w:tblLayout w:type="fixed"/>
        <w:tblCellMar>
          <w:left w:w="0" w:type="dxa"/>
          <w:right w:w="0" w:type="dxa"/>
        </w:tblCellMar>
        <w:tblLook w:val="0000" w:firstRow="0" w:lastRow="0" w:firstColumn="0" w:lastColumn="0" w:noHBand="0" w:noVBand="0"/>
      </w:tblPr>
      <w:tblGrid>
        <w:gridCol w:w="6"/>
        <w:gridCol w:w="2062"/>
        <w:gridCol w:w="2767"/>
        <w:gridCol w:w="4591"/>
        <w:gridCol w:w="79"/>
        <w:gridCol w:w="63"/>
      </w:tblGrid>
      <w:tr w:rsidR="0002722E" w:rsidRPr="008B6D04" w14:paraId="55974624" w14:textId="77777777" w:rsidTr="00C66E42">
        <w:trPr>
          <w:gridBefore w:val="1"/>
          <w:gridAfter w:val="1"/>
          <w:wBefore w:w="6" w:type="dxa"/>
          <w:wAfter w:w="63" w:type="dxa"/>
          <w:cantSplit/>
        </w:trPr>
        <w:tc>
          <w:tcPr>
            <w:tcW w:w="4829" w:type="dxa"/>
            <w:gridSpan w:val="2"/>
          </w:tcPr>
          <w:p w14:paraId="62CA2BB6" w14:textId="77777777" w:rsidR="0002722E" w:rsidRPr="00D91AB0" w:rsidRDefault="0002722E">
            <w:pPr>
              <w:rPr>
                <w:lang w:val="en-US"/>
              </w:rPr>
            </w:pPr>
          </w:p>
        </w:tc>
        <w:tc>
          <w:tcPr>
            <w:tcW w:w="4670" w:type="dxa"/>
            <w:gridSpan w:val="2"/>
            <w:tcBorders>
              <w:bottom w:val="single" w:sz="6" w:space="0" w:color="auto"/>
            </w:tcBorders>
          </w:tcPr>
          <w:p w14:paraId="00FBC3E8" w14:textId="77777777" w:rsidR="0002722E" w:rsidRPr="00D91AB0" w:rsidRDefault="0002722E" w:rsidP="0002722E">
            <w:pPr>
              <w:pStyle w:val="zSoquijdatSignature3Juge"/>
              <w:rPr>
                <w:b/>
                <w:lang w:val="en-US"/>
              </w:rPr>
            </w:pPr>
          </w:p>
        </w:tc>
      </w:tr>
      <w:tr w:rsidR="00B4030F" w14:paraId="38A032EB" w14:textId="77777777" w:rsidTr="00C66E42">
        <w:trPr>
          <w:gridBefore w:val="1"/>
          <w:gridAfter w:val="2"/>
          <w:wBefore w:w="6" w:type="dxa"/>
          <w:wAfter w:w="142" w:type="dxa"/>
          <w:cantSplit/>
        </w:trPr>
        <w:tc>
          <w:tcPr>
            <w:tcW w:w="4829" w:type="dxa"/>
            <w:gridSpan w:val="2"/>
          </w:tcPr>
          <w:p w14:paraId="276AA906" w14:textId="77777777" w:rsidR="00B4030F" w:rsidRPr="00D91AB0" w:rsidRDefault="00B4030F">
            <w:pPr>
              <w:rPr>
                <w:lang w:val="en-US"/>
              </w:rPr>
            </w:pPr>
          </w:p>
        </w:tc>
        <w:tc>
          <w:tcPr>
            <w:tcW w:w="4591" w:type="dxa"/>
          </w:tcPr>
          <w:p w14:paraId="41E3173B" w14:textId="494351FE" w:rsidR="004D669E" w:rsidRDefault="00BB42B4" w:rsidP="004D669E">
            <w:pPr>
              <w:pStyle w:val="zSoquijdatSignature3Juge"/>
              <w:rPr>
                <w:b/>
              </w:rPr>
            </w:pPr>
            <w:r>
              <w:rPr>
                <w:b/>
                <w:bCs/>
                <w:lang w:val="en-CA"/>
              </w:rPr>
              <w:t xml:space="preserve">        </w:t>
            </w:r>
            <w:proofErr w:type="spellStart"/>
            <w:r w:rsidRPr="00D91AB0">
              <w:rPr>
                <w:b/>
                <w:bCs/>
              </w:rPr>
              <w:t>Mtre</w:t>
            </w:r>
            <w:proofErr w:type="spellEnd"/>
            <w:r w:rsidRPr="00D91AB0">
              <w:rPr>
                <w:b/>
                <w:bCs/>
              </w:rPr>
              <w:t>. Jean-Pierre Cristel</w:t>
            </w:r>
          </w:p>
          <w:p w14:paraId="3FFF1A49" w14:textId="20D560CC" w:rsidR="00B4030F" w:rsidRDefault="00BB42B4" w:rsidP="004D669E">
            <w:pPr>
              <w:pStyle w:val="zSoquijdatSignature3Juge"/>
            </w:pPr>
            <w:r w:rsidRPr="00D91AB0">
              <w:rPr>
                <w:b/>
                <w:bCs/>
              </w:rPr>
              <w:t xml:space="preserve">        Administrative Judge</w:t>
            </w:r>
          </w:p>
        </w:tc>
      </w:tr>
      <w:tr w:rsidR="00B4030F" w14:paraId="10BACFED" w14:textId="77777777" w:rsidTr="00C66E42">
        <w:trPr>
          <w:gridBefore w:val="1"/>
          <w:gridAfter w:val="1"/>
          <w:wBefore w:w="6" w:type="dxa"/>
          <w:wAfter w:w="63" w:type="dxa"/>
          <w:cantSplit/>
        </w:trPr>
        <w:tc>
          <w:tcPr>
            <w:tcW w:w="4829" w:type="dxa"/>
            <w:gridSpan w:val="2"/>
          </w:tcPr>
          <w:p w14:paraId="74CE3763" w14:textId="77777777" w:rsidR="00B4030F" w:rsidRDefault="00B4030F"/>
        </w:tc>
        <w:tc>
          <w:tcPr>
            <w:tcW w:w="4670" w:type="dxa"/>
            <w:gridSpan w:val="2"/>
          </w:tcPr>
          <w:p w14:paraId="262FBEE3" w14:textId="77777777" w:rsidR="00B4030F" w:rsidRDefault="00B4030F">
            <w:pPr>
              <w:pStyle w:val="zSoquijdatSignature3Juge"/>
            </w:pPr>
          </w:p>
        </w:tc>
      </w:tr>
      <w:tr w:rsidR="0002722E" w14:paraId="292C0506" w14:textId="77777777" w:rsidTr="00C66E42">
        <w:tblPrEx>
          <w:tblCellMar>
            <w:left w:w="70" w:type="dxa"/>
            <w:right w:w="70" w:type="dxa"/>
          </w:tblCellMar>
        </w:tblPrEx>
        <w:tc>
          <w:tcPr>
            <w:tcW w:w="9568" w:type="dxa"/>
            <w:gridSpan w:val="6"/>
          </w:tcPr>
          <w:p w14:paraId="0432BA91" w14:textId="77777777" w:rsidR="00ED17A4" w:rsidRDefault="00ED17A4" w:rsidP="00F55ACC"/>
        </w:tc>
      </w:tr>
      <w:tr w:rsidR="00070D64" w14:paraId="6086CE85" w14:textId="77777777" w:rsidTr="00C66E42">
        <w:tblPrEx>
          <w:tblCellMar>
            <w:left w:w="70" w:type="dxa"/>
            <w:right w:w="70" w:type="dxa"/>
          </w:tblCellMar>
        </w:tblPrEx>
        <w:tc>
          <w:tcPr>
            <w:tcW w:w="9568" w:type="dxa"/>
            <w:gridSpan w:val="6"/>
          </w:tcPr>
          <w:p w14:paraId="4EAD118B" w14:textId="5E094193" w:rsidR="00070D64" w:rsidRDefault="00C27938" w:rsidP="00754667">
            <w:pPr>
              <w:pStyle w:val="zSoquijdatNomProcureurDem"/>
            </w:pPr>
            <w:proofErr w:type="spellStart"/>
            <w:r>
              <w:rPr>
                <w:lang w:val="en-CA"/>
              </w:rPr>
              <w:t>Mtre</w:t>
            </w:r>
            <w:proofErr w:type="spellEnd"/>
            <w:r>
              <w:rPr>
                <w:lang w:val="en-CA"/>
              </w:rPr>
              <w:t>. François St-Pierre</w:t>
            </w:r>
          </w:p>
        </w:tc>
      </w:tr>
      <w:tr w:rsidR="00070D64" w14:paraId="59C68618" w14:textId="77777777" w:rsidTr="00C66E42">
        <w:tblPrEx>
          <w:tblCellMar>
            <w:left w:w="70" w:type="dxa"/>
            <w:right w:w="70" w:type="dxa"/>
          </w:tblCellMar>
        </w:tblPrEx>
        <w:tc>
          <w:tcPr>
            <w:tcW w:w="9568" w:type="dxa"/>
            <w:gridSpan w:val="6"/>
          </w:tcPr>
          <w:p w14:paraId="2EADBA08" w14:textId="77777777" w:rsidR="00070D64" w:rsidRDefault="00070D64" w:rsidP="00C27938">
            <w:pPr>
              <w:pStyle w:val="zSoquijdatCabinetProcureurDem"/>
            </w:pPr>
            <w:r w:rsidRPr="00D91AB0">
              <w:t>(</w:t>
            </w:r>
            <w:proofErr w:type="spellStart"/>
            <w:r w:rsidRPr="00D91AB0">
              <w:t>Legal</w:t>
            </w:r>
            <w:proofErr w:type="spellEnd"/>
            <w:r w:rsidRPr="00D91AB0">
              <w:t> Services, Autorité des marchés financiers)</w:t>
            </w:r>
          </w:p>
        </w:tc>
      </w:tr>
      <w:tr w:rsidR="00070D64" w14:paraId="68FD1DCF" w14:textId="77777777" w:rsidTr="00C66E42">
        <w:tblPrEx>
          <w:tblCellMar>
            <w:left w:w="70" w:type="dxa"/>
            <w:right w:w="70" w:type="dxa"/>
          </w:tblCellMar>
        </w:tblPrEx>
        <w:tc>
          <w:tcPr>
            <w:tcW w:w="9568" w:type="dxa"/>
            <w:gridSpan w:val="6"/>
          </w:tcPr>
          <w:p w14:paraId="3013219C" w14:textId="56022387" w:rsidR="00004A64" w:rsidRDefault="0002722E" w:rsidP="002B17FC">
            <w:pPr>
              <w:pStyle w:val="zSoquijlblProcureurDem"/>
            </w:pPr>
            <w:proofErr w:type="spellStart"/>
            <w:r w:rsidRPr="00D91AB0">
              <w:t>Counsel</w:t>
            </w:r>
            <w:proofErr w:type="spellEnd"/>
            <w:r w:rsidRPr="00D91AB0">
              <w:t xml:space="preserve"> for the Autorité des marchés financiers</w:t>
            </w:r>
          </w:p>
        </w:tc>
      </w:tr>
      <w:tr w:rsidR="00070D64" w14:paraId="50C3C628" w14:textId="77777777" w:rsidTr="00C66E42">
        <w:tblPrEx>
          <w:tblCellMar>
            <w:left w:w="70" w:type="dxa"/>
            <w:right w:w="70" w:type="dxa"/>
          </w:tblCellMar>
        </w:tblPrEx>
        <w:tc>
          <w:tcPr>
            <w:tcW w:w="9568" w:type="dxa"/>
            <w:gridSpan w:val="6"/>
          </w:tcPr>
          <w:p w14:paraId="3037339C" w14:textId="77777777" w:rsidR="00070D64" w:rsidRDefault="00070D64" w:rsidP="00F55ACC">
            <w:pPr>
              <w:pStyle w:val="zSoquijlblProcureurDef"/>
            </w:pPr>
          </w:p>
        </w:tc>
      </w:tr>
      <w:tr w:rsidR="00070D64" w14:paraId="6A2FD8F3" w14:textId="77777777" w:rsidTr="00C66E42">
        <w:tblPrEx>
          <w:tblCellMar>
            <w:left w:w="70" w:type="dxa"/>
            <w:right w:w="70" w:type="dxa"/>
          </w:tblCellMar>
        </w:tblPrEx>
        <w:tc>
          <w:tcPr>
            <w:tcW w:w="9568" w:type="dxa"/>
            <w:gridSpan w:val="6"/>
          </w:tcPr>
          <w:p w14:paraId="0195C83F" w14:textId="77777777" w:rsidR="00070D64" w:rsidRDefault="00070D64" w:rsidP="00F55ACC">
            <w:pPr>
              <w:pStyle w:val="zSoquijlblProcureurDef"/>
            </w:pPr>
          </w:p>
        </w:tc>
      </w:tr>
      <w:tr w:rsidR="00070D64" w14:paraId="39384FB2" w14:textId="77777777" w:rsidTr="00C66E42">
        <w:tblPrEx>
          <w:tblCellMar>
            <w:left w:w="70" w:type="dxa"/>
            <w:right w:w="70" w:type="dxa"/>
          </w:tblCellMar>
        </w:tblPrEx>
        <w:tc>
          <w:tcPr>
            <w:tcW w:w="2068" w:type="dxa"/>
            <w:gridSpan w:val="2"/>
          </w:tcPr>
          <w:p w14:paraId="48A2C7BB" w14:textId="77777777" w:rsidR="00070D64" w:rsidRDefault="00070D64" w:rsidP="00F55ACC">
            <w:pPr>
              <w:pStyle w:val="zSoquijlblDateAudience"/>
            </w:pPr>
            <w:r>
              <w:rPr>
                <w:lang w:val="en-CA"/>
              </w:rPr>
              <w:t>Hearing date:</w:t>
            </w:r>
          </w:p>
        </w:tc>
        <w:tc>
          <w:tcPr>
            <w:tcW w:w="7500" w:type="dxa"/>
            <w:gridSpan w:val="4"/>
          </w:tcPr>
          <w:p w14:paraId="27D533FE" w14:textId="7B8CFBF6" w:rsidR="00070D64" w:rsidRDefault="0078099D" w:rsidP="0078099D">
            <w:pPr>
              <w:pStyle w:val="zSoquijdatDateAudience"/>
            </w:pPr>
            <w:r>
              <w:rPr>
                <w:lang w:val="en-CA"/>
              </w:rPr>
              <w:t>March</w:t>
            </w:r>
            <w:r w:rsidR="00346D5B">
              <w:rPr>
                <w:lang w:val="en-CA"/>
              </w:rPr>
              <w:t> </w:t>
            </w:r>
            <w:r>
              <w:rPr>
                <w:lang w:val="en-CA"/>
              </w:rPr>
              <w:t xml:space="preserve">1, 2022 </w:t>
            </w:r>
          </w:p>
        </w:tc>
      </w:tr>
    </w:tbl>
    <w:p w14:paraId="459E4A68" w14:textId="77777777" w:rsidR="00070D64" w:rsidRDefault="00070D64" w:rsidP="00ED17A4"/>
    <w:sectPr w:rsidR="00070D64">
      <w:headerReference w:type="default" r:id="rId8"/>
      <w:footerReference w:type="even" r:id="rId9"/>
      <w:footnotePr>
        <w:numRestart w:val="eachSect"/>
      </w:footnotePr>
      <w:pgSz w:w="12242" w:h="15842" w:code="1"/>
      <w:pgMar w:top="1440" w:right="1008" w:bottom="1440" w:left="1872" w:header="1440" w:footer="79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61ED4" w14:textId="77777777" w:rsidR="00271468" w:rsidRDefault="00271468">
      <w:r>
        <w:separator/>
      </w:r>
    </w:p>
  </w:endnote>
  <w:endnote w:type="continuationSeparator" w:id="0">
    <w:p w14:paraId="2226B434" w14:textId="77777777" w:rsidR="00271468" w:rsidRDefault="0027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119FD" w14:textId="77777777" w:rsidR="00E16A53" w:rsidRDefault="00E16A53">
    <w:pPr>
      <w:framePr w:wrap="around" w:vAnchor="text" w:hAnchor="margin" w:xAlign="right" w:y="1"/>
    </w:pPr>
    <w:r>
      <w:rPr>
        <w:lang w:val="en-CA"/>
      </w:rPr>
      <w:fldChar w:fldCharType="begin"/>
    </w:r>
    <w:r>
      <w:rPr>
        <w:lang w:val="en-CA"/>
      </w:rPr>
      <w:instrText xml:space="preserve">PAGE  </w:instrText>
    </w:r>
    <w:r>
      <w:rPr>
        <w:lang w:val="en-CA"/>
      </w:rPr>
      <w:fldChar w:fldCharType="separate"/>
    </w:r>
    <w:r w:rsidR="004948B0">
      <w:rPr>
        <w:noProof/>
        <w:lang w:val="en-CA"/>
      </w:rPr>
      <w:t>4</w:t>
    </w:r>
    <w:r>
      <w:rPr>
        <w:lang w:val="en-CA"/>
      </w:rPr>
      <w:fldChar w:fldCharType="end"/>
    </w:r>
  </w:p>
  <w:p w14:paraId="4B1ED095" w14:textId="77777777" w:rsidR="00E16A53" w:rsidRDefault="00E16A53">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9207B" w14:textId="77777777" w:rsidR="00271468" w:rsidRDefault="00271468">
      <w:r>
        <w:separator/>
      </w:r>
    </w:p>
  </w:footnote>
  <w:footnote w:type="continuationSeparator" w:id="0">
    <w:p w14:paraId="4771B811" w14:textId="77777777" w:rsidR="00271468" w:rsidRDefault="00271468">
      <w:r>
        <w:continuationSeparator/>
      </w:r>
    </w:p>
  </w:footnote>
  <w:footnote w:id="1">
    <w:p w14:paraId="47A9D9ED" w14:textId="4C6C94AB" w:rsidR="00E16A53" w:rsidRDefault="00E16A53" w:rsidP="005B2A1D">
      <w:pPr>
        <w:pStyle w:val="Notedebasdepage"/>
      </w:pPr>
      <w:r>
        <w:rPr>
          <w:rStyle w:val="Appelnotedebasdep"/>
          <w:lang w:val="en-CA"/>
        </w:rPr>
        <w:footnoteRef/>
      </w:r>
      <w:r w:rsidRPr="00D91AB0">
        <w:t xml:space="preserve"> </w:t>
      </w:r>
      <w:r w:rsidRPr="00D91AB0">
        <w:tab/>
      </w:r>
      <w:r w:rsidRPr="00D91AB0">
        <w:rPr>
          <w:i/>
          <w:iCs/>
        </w:rPr>
        <w:t xml:space="preserve">Autorité des marchés financiers </w:t>
      </w:r>
      <w:r w:rsidRPr="00D91AB0">
        <w:t>c.</w:t>
      </w:r>
      <w:r w:rsidRPr="00D91AB0">
        <w:rPr>
          <w:i/>
          <w:iCs/>
        </w:rPr>
        <w:t xml:space="preserve"> </w:t>
      </w:r>
      <w:proofErr w:type="spellStart"/>
      <w:r w:rsidRPr="00D91AB0">
        <w:rPr>
          <w:i/>
          <w:iCs/>
        </w:rPr>
        <w:t>Alteon</w:t>
      </w:r>
      <w:proofErr w:type="spellEnd"/>
      <w:r w:rsidRPr="00D91AB0">
        <w:rPr>
          <w:i/>
          <w:iCs/>
        </w:rPr>
        <w:t xml:space="preserve"> Senat, </w:t>
      </w:r>
      <w:r w:rsidRPr="00D91AB0">
        <w:t>2020 QCTMF 58</w:t>
      </w:r>
      <w:r w:rsidRPr="00D91AB0">
        <w:rPr>
          <w:color w:val="000000"/>
        </w:rPr>
        <w:t xml:space="preserve">. </w:t>
      </w:r>
    </w:p>
  </w:footnote>
  <w:footnote w:id="2">
    <w:p w14:paraId="7046CAB6" w14:textId="5AD2C6B8" w:rsidR="00BD57D0" w:rsidRDefault="00BD57D0">
      <w:pPr>
        <w:pStyle w:val="Notedebasdepage"/>
      </w:pPr>
      <w:r>
        <w:rPr>
          <w:rStyle w:val="Appelnotedebasdep"/>
          <w:lang w:val="en-CA"/>
        </w:rPr>
        <w:footnoteRef/>
      </w:r>
      <w:r w:rsidRPr="00D91AB0">
        <w:t xml:space="preserve"> </w:t>
      </w:r>
      <w:r w:rsidRPr="00D91AB0">
        <w:tab/>
        <w:t>CQLR, c. V-1.1.</w:t>
      </w:r>
    </w:p>
  </w:footnote>
  <w:footnote w:id="3">
    <w:p w14:paraId="08F67304" w14:textId="786B72B0" w:rsidR="00BD57D0" w:rsidRDefault="00BD57D0">
      <w:pPr>
        <w:pStyle w:val="Notedebasdepage"/>
      </w:pPr>
      <w:r>
        <w:rPr>
          <w:rStyle w:val="Appelnotedebasdep"/>
          <w:lang w:val="en-CA"/>
        </w:rPr>
        <w:footnoteRef/>
      </w:r>
      <w:r w:rsidRPr="00D91AB0">
        <w:t xml:space="preserve"> </w:t>
      </w:r>
      <w:r w:rsidRPr="00D91AB0">
        <w:tab/>
        <w:t>CQLR, c. D-9.2.</w:t>
      </w:r>
    </w:p>
  </w:footnote>
  <w:footnote w:id="4">
    <w:p w14:paraId="585CB2F9" w14:textId="643E0430" w:rsidR="00E16A53" w:rsidRPr="00FE6231" w:rsidRDefault="00E16A53" w:rsidP="00FD081A">
      <w:pPr>
        <w:pStyle w:val="Notedebasdepage"/>
      </w:pPr>
      <w:r>
        <w:rPr>
          <w:rStyle w:val="Appelnotedebasdep"/>
          <w:lang w:val="en-CA"/>
        </w:rPr>
        <w:footnoteRef/>
      </w:r>
      <w:r w:rsidRPr="00D91AB0">
        <w:t xml:space="preserve"> </w:t>
      </w:r>
      <w:r w:rsidRPr="00D91AB0">
        <w:tab/>
        <w:t>CQLR, c. D-9.2, r. 3.</w:t>
      </w:r>
    </w:p>
  </w:footnote>
  <w:footnote w:id="5">
    <w:p w14:paraId="602638D1" w14:textId="0062F30C" w:rsidR="00BD57D0" w:rsidRDefault="00BD57D0">
      <w:pPr>
        <w:pStyle w:val="Notedebasdepage"/>
      </w:pPr>
      <w:r>
        <w:rPr>
          <w:rStyle w:val="Appelnotedebasdep"/>
          <w:lang w:val="en-CA"/>
        </w:rPr>
        <w:footnoteRef/>
      </w:r>
      <w:r w:rsidRPr="00D91AB0">
        <w:t xml:space="preserve"> </w:t>
      </w:r>
      <w:r w:rsidRPr="00D91AB0">
        <w:tab/>
      </w:r>
      <w:r w:rsidRPr="00D91AB0">
        <w:rPr>
          <w:i/>
          <w:iCs/>
        </w:rPr>
        <w:t xml:space="preserve">Autorité des marchés financiers </w:t>
      </w:r>
      <w:r w:rsidRPr="00D91AB0">
        <w:t>c.</w:t>
      </w:r>
      <w:r w:rsidRPr="00D91AB0">
        <w:rPr>
          <w:i/>
          <w:iCs/>
        </w:rPr>
        <w:t xml:space="preserve"> </w:t>
      </w:r>
      <w:proofErr w:type="spellStart"/>
      <w:r w:rsidRPr="00D91AB0">
        <w:rPr>
          <w:i/>
          <w:iCs/>
        </w:rPr>
        <w:t>Alteon</w:t>
      </w:r>
      <w:proofErr w:type="spellEnd"/>
      <w:r w:rsidRPr="00D91AB0">
        <w:rPr>
          <w:i/>
          <w:iCs/>
        </w:rPr>
        <w:t xml:space="preserve"> Senat</w:t>
      </w:r>
      <w:r w:rsidRPr="00D91AB0">
        <w:t>, 2021 QCTMF 31.</w:t>
      </w:r>
    </w:p>
  </w:footnote>
  <w:footnote w:id="6">
    <w:p w14:paraId="216EF98C" w14:textId="77777777" w:rsidR="006212C6" w:rsidRPr="009506C2" w:rsidRDefault="006212C6" w:rsidP="006212C6">
      <w:pPr>
        <w:pStyle w:val="Notedebasdepage"/>
      </w:pPr>
      <w:r>
        <w:rPr>
          <w:rStyle w:val="Appelnotedebasdep"/>
          <w:lang w:val="en-CA"/>
        </w:rPr>
        <w:footnoteRef/>
      </w:r>
      <w:r w:rsidRPr="00D91AB0">
        <w:t xml:space="preserve"> </w:t>
      </w:r>
      <w:r w:rsidRPr="00D91AB0">
        <w:tab/>
      </w:r>
      <w:r w:rsidRPr="00D91AB0">
        <w:rPr>
          <w:i/>
          <w:iCs/>
        </w:rPr>
        <w:t xml:space="preserve">Autorité des marchés financiers </w:t>
      </w:r>
      <w:r w:rsidRPr="00D91AB0">
        <w:t>c.</w:t>
      </w:r>
      <w:r w:rsidRPr="00D91AB0">
        <w:rPr>
          <w:i/>
          <w:iCs/>
        </w:rPr>
        <w:t xml:space="preserve"> </w:t>
      </w:r>
      <w:proofErr w:type="spellStart"/>
      <w:r w:rsidRPr="00D91AB0">
        <w:rPr>
          <w:i/>
          <w:iCs/>
        </w:rPr>
        <w:t>Alteon</w:t>
      </w:r>
      <w:proofErr w:type="spellEnd"/>
      <w:r w:rsidRPr="00D91AB0">
        <w:rPr>
          <w:i/>
          <w:iCs/>
        </w:rPr>
        <w:t xml:space="preserve"> Senat, </w:t>
      </w:r>
      <w:r w:rsidRPr="00D91AB0">
        <w:t>2021 QCTMF 69.</w:t>
      </w:r>
    </w:p>
  </w:footnote>
  <w:footnote w:id="7">
    <w:p w14:paraId="788A14C6" w14:textId="428E7D93" w:rsidR="0078099D" w:rsidRPr="00D91AB0" w:rsidRDefault="0078099D">
      <w:pPr>
        <w:pStyle w:val="Notedebasdepage"/>
        <w:rPr>
          <w:lang w:val="en-US"/>
        </w:rPr>
      </w:pPr>
      <w:r>
        <w:rPr>
          <w:rStyle w:val="Appelnotedebasdep"/>
          <w:lang w:val="en-CA"/>
        </w:rPr>
        <w:footnoteRef/>
      </w:r>
      <w:r>
        <w:rPr>
          <w:lang w:val="en-CA"/>
        </w:rPr>
        <w:t xml:space="preserve"> </w:t>
      </w:r>
      <w:r>
        <w:rPr>
          <w:lang w:val="en-CA"/>
        </w:rPr>
        <w:tab/>
        <w:t xml:space="preserve">S. 249, </w:t>
      </w:r>
      <w:r>
        <w:rPr>
          <w:i/>
          <w:iCs/>
          <w:lang w:val="en-CA"/>
        </w:rPr>
        <w:t>Securities Act</w:t>
      </w:r>
      <w:r>
        <w:rPr>
          <w:lang w:val="en-CA"/>
        </w:rPr>
        <w:t xml:space="preserve"> and s. 115.3, ss. 1, </w:t>
      </w:r>
      <w:r>
        <w:rPr>
          <w:i/>
          <w:iCs/>
          <w:lang w:val="en-CA"/>
        </w:rPr>
        <w:t>Act respecting the distribution of financial products</w:t>
      </w:r>
      <w:r>
        <w:rPr>
          <w:lang w:val="en-CA"/>
        </w:rPr>
        <w:t>.</w:t>
      </w:r>
    </w:p>
  </w:footnote>
  <w:footnote w:id="8">
    <w:p w14:paraId="1FF74C23" w14:textId="50F8C7B3" w:rsidR="0078099D" w:rsidRPr="00D91AB0" w:rsidRDefault="0078099D">
      <w:pPr>
        <w:pStyle w:val="Notedebasdepage"/>
        <w:rPr>
          <w:lang w:val="en-US"/>
        </w:rPr>
      </w:pPr>
      <w:r>
        <w:rPr>
          <w:rStyle w:val="Appelnotedebasdep"/>
          <w:lang w:val="en-CA"/>
        </w:rPr>
        <w:footnoteRef/>
      </w:r>
      <w:r>
        <w:rPr>
          <w:lang w:val="en-CA"/>
        </w:rPr>
        <w:t xml:space="preserve"> </w:t>
      </w:r>
      <w:r>
        <w:rPr>
          <w:lang w:val="en-CA"/>
        </w:rPr>
        <w:tab/>
      </w:r>
      <w:r>
        <w:rPr>
          <w:color w:val="000000"/>
          <w:lang w:val="en-CA"/>
        </w:rPr>
        <w:t xml:space="preserve">S. 250, ss. 2, </w:t>
      </w:r>
      <w:r>
        <w:rPr>
          <w:i/>
          <w:iCs/>
          <w:color w:val="000000"/>
          <w:lang w:val="en-CA"/>
        </w:rPr>
        <w:t>Securities Act</w:t>
      </w:r>
      <w:r>
        <w:rPr>
          <w:color w:val="000000"/>
          <w:lang w:val="en-CA"/>
        </w:rPr>
        <w:t xml:space="preserve"> and s. 115.3, ss. 3, </w:t>
      </w:r>
      <w:r>
        <w:rPr>
          <w:i/>
          <w:iCs/>
          <w:color w:val="000000"/>
          <w:lang w:val="en-CA"/>
        </w:rPr>
        <w:t>Act respecting the distribution of financial products</w:t>
      </w:r>
      <w:r>
        <w:rPr>
          <w:color w:val="000000"/>
          <w:lang w:val="en-CA"/>
        </w:rPr>
        <w:t>.</w:t>
      </w:r>
    </w:p>
  </w:footnote>
  <w:footnote w:id="9">
    <w:p w14:paraId="69B82E4A" w14:textId="3EF5F661" w:rsidR="0078099D" w:rsidRPr="00D91AB0" w:rsidRDefault="0078099D">
      <w:pPr>
        <w:pStyle w:val="Notedebasdepage"/>
        <w:rPr>
          <w:lang w:val="en-US"/>
        </w:rPr>
      </w:pPr>
      <w:r>
        <w:rPr>
          <w:rStyle w:val="Appelnotedebasdep"/>
          <w:lang w:val="en-CA"/>
        </w:rPr>
        <w:footnoteRef/>
      </w:r>
      <w:r>
        <w:rPr>
          <w:lang w:val="en-CA"/>
        </w:rPr>
        <w:t xml:space="preserve"> </w:t>
      </w:r>
      <w:r>
        <w:rPr>
          <w:lang w:val="en-CA"/>
        </w:rPr>
        <w:tab/>
      </w:r>
      <w:r>
        <w:rPr>
          <w:color w:val="000000"/>
          <w:lang w:val="en-CA"/>
        </w:rPr>
        <w:t xml:space="preserve">S. 250, ss. 1, </w:t>
      </w:r>
      <w:r>
        <w:rPr>
          <w:i/>
          <w:iCs/>
          <w:color w:val="000000"/>
          <w:lang w:val="en-CA"/>
        </w:rPr>
        <w:t>Securities Act</w:t>
      </w:r>
      <w:r>
        <w:rPr>
          <w:color w:val="000000"/>
          <w:lang w:val="en-CA"/>
        </w:rPr>
        <w:t xml:space="preserve"> and s. 115.3, ss. 2, </w:t>
      </w:r>
      <w:r>
        <w:rPr>
          <w:i/>
          <w:iCs/>
          <w:color w:val="000000"/>
          <w:lang w:val="en-CA"/>
        </w:rPr>
        <w:t>Act respecting the distribution of financial products</w:t>
      </w:r>
      <w:r>
        <w:rPr>
          <w:color w:val="000000"/>
          <w:lang w:val="en-CA"/>
        </w:rPr>
        <w:t>.</w:t>
      </w:r>
    </w:p>
  </w:footnote>
  <w:footnote w:id="10">
    <w:p w14:paraId="4180B40A" w14:textId="7753FE9F" w:rsidR="00FC6471" w:rsidRDefault="00FC6471">
      <w:pPr>
        <w:pStyle w:val="Notedebasdepage"/>
      </w:pPr>
      <w:r>
        <w:rPr>
          <w:rStyle w:val="Appelnotedebasdep"/>
          <w:lang w:val="en-CA"/>
        </w:rPr>
        <w:footnoteRef/>
      </w:r>
      <w:r>
        <w:rPr>
          <w:lang w:val="en-CA"/>
        </w:rPr>
        <w:t xml:space="preserve"> </w:t>
      </w:r>
      <w:r>
        <w:rPr>
          <w:lang w:val="en-CA"/>
        </w:rPr>
        <w:tab/>
        <w:t>CQLR, c. E-6.1.</w:t>
      </w:r>
    </w:p>
  </w:footnote>
  <w:footnote w:id="11">
    <w:p w14:paraId="6EEC5418" w14:textId="2DD3762A" w:rsidR="00E16A53" w:rsidRDefault="00E16A53">
      <w:pPr>
        <w:pStyle w:val="Notedebasdepage"/>
      </w:pPr>
      <w:r>
        <w:rPr>
          <w:rStyle w:val="Appelnotedebasdep"/>
          <w:lang w:val="en-CA"/>
        </w:rPr>
        <w:footnoteRef/>
      </w:r>
      <w:r>
        <w:rPr>
          <w:lang w:val="en-CA"/>
        </w:rPr>
        <w:t xml:space="preserve"> </w:t>
      </w:r>
      <w:r>
        <w:rPr>
          <w:lang w:val="en-CA"/>
        </w:rPr>
        <w:tab/>
        <w:t xml:space="preserve">Supra, note </w:t>
      </w:r>
      <w:r>
        <w:rPr>
          <w:lang w:val="en-CA"/>
        </w:rPr>
        <w:fldChar w:fldCharType="begin"/>
      </w:r>
      <w:r>
        <w:rPr>
          <w:lang w:val="en-CA"/>
        </w:rPr>
        <w:instrText xml:space="preserve"> NOTEREF _Ref77753877 \h </w:instrText>
      </w:r>
      <w:r>
        <w:rPr>
          <w:lang w:val="en-CA"/>
        </w:rPr>
      </w:r>
      <w:r>
        <w:rPr>
          <w:lang w:val="en-CA"/>
        </w:rPr>
        <w:fldChar w:fldCharType="separate"/>
      </w:r>
      <w:r>
        <w:rPr>
          <w:lang w:val="en-CA"/>
        </w:rPr>
        <w:t>1</w:t>
      </w:r>
      <w:r>
        <w:rPr>
          <w:lang w:val="en-CA"/>
        </w:rPr>
        <w:fldChar w:fldCharType="end"/>
      </w:r>
      <w:r>
        <w:rPr>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9D138" w14:textId="581617DF" w:rsidR="00E16A53" w:rsidRDefault="00E16A53">
    <w:pPr>
      <w:tabs>
        <w:tab w:val="center" w:pos="4709"/>
        <w:tab w:val="right" w:pos="9360"/>
      </w:tabs>
      <w:ind w:right="524"/>
    </w:pPr>
    <w:r>
      <w:rPr>
        <w:lang w:val="en-CA"/>
      </w:rPr>
      <w:t>2020-033-005</w:t>
    </w:r>
    <w:r>
      <w:rPr>
        <w:lang w:val="en-CA"/>
      </w:rPr>
      <w:tab/>
    </w:r>
    <w:r>
      <w:rPr>
        <w:lang w:val="en-CA"/>
      </w:rPr>
      <w:tab/>
      <w:t xml:space="preserve">PAGE: </w:t>
    </w:r>
    <w:r>
      <w:rPr>
        <w:lang w:val="en-CA"/>
      </w:rPr>
      <w:fldChar w:fldCharType="begin"/>
    </w:r>
    <w:r>
      <w:rPr>
        <w:lang w:val="en-CA"/>
      </w:rPr>
      <w:instrText xml:space="preserve"> PAGE </w:instrText>
    </w:r>
    <w:r>
      <w:rPr>
        <w:lang w:val="en-CA"/>
      </w:rPr>
      <w:fldChar w:fldCharType="separate"/>
    </w:r>
    <w:r w:rsidR="005F75F9">
      <w:rPr>
        <w:noProof/>
        <w:lang w:val="en-CA"/>
      </w:rPr>
      <w:t>6</w:t>
    </w:r>
    <w:r>
      <w:rPr>
        <w:lang w:val="en-CA"/>
      </w:rPr>
      <w:fldChar w:fldCharType="end"/>
    </w:r>
  </w:p>
  <w:p w14:paraId="095C0725" w14:textId="77777777" w:rsidR="00E16A53" w:rsidRDefault="00E16A53">
    <w:pPr>
      <w:tabs>
        <w:tab w:val="center" w:pos="4709"/>
        <w:tab w:val="right" w:pos="9090"/>
      </w:tabs>
      <w:ind w:right="524"/>
    </w:pPr>
  </w:p>
  <w:p w14:paraId="2A8AD9F4" w14:textId="77777777" w:rsidR="00E16A53" w:rsidRDefault="00E16A53">
    <w:pPr>
      <w:tabs>
        <w:tab w:val="center" w:pos="4709"/>
        <w:tab w:val="right" w:pos="9090"/>
      </w:tabs>
      <w:ind w:right="52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F2C9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F652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C2CB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75477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A28E7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927B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0C5F9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51CC2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A8F9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CA23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53A3C"/>
    <w:multiLevelType w:val="hybridMultilevel"/>
    <w:tmpl w:val="B06A52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04A143A9"/>
    <w:multiLevelType w:val="hybridMultilevel"/>
    <w:tmpl w:val="499C6D2E"/>
    <w:lvl w:ilvl="0" w:tplc="B6EC0A8A">
      <w:start w:val="1"/>
      <w:numFmt w:val="decimal"/>
      <w:lvlText w:val="%1."/>
      <w:lvlJc w:val="center"/>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09BA5C72"/>
    <w:multiLevelType w:val="hybridMultilevel"/>
    <w:tmpl w:val="A678E766"/>
    <w:lvl w:ilvl="0" w:tplc="B6EC0A8A">
      <w:start w:val="1"/>
      <w:numFmt w:val="decimal"/>
      <w:lvlText w:val="%1."/>
      <w:lvlJc w:val="center"/>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0AFA5B8E"/>
    <w:multiLevelType w:val="hybridMultilevel"/>
    <w:tmpl w:val="3A2C081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4" w15:restartNumberingAfterBreak="0">
    <w:nsid w:val="11510189"/>
    <w:multiLevelType w:val="hybridMultilevel"/>
    <w:tmpl w:val="1D906624"/>
    <w:lvl w:ilvl="0" w:tplc="040C0001">
      <w:start w:val="1"/>
      <w:numFmt w:val="bullet"/>
      <w:pStyle w:val="noo"/>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062B15"/>
    <w:multiLevelType w:val="hybridMultilevel"/>
    <w:tmpl w:val="47E0B69C"/>
    <w:lvl w:ilvl="0" w:tplc="B6EC0A8A">
      <w:start w:val="1"/>
      <w:numFmt w:val="decimal"/>
      <w:lvlText w:val="%1."/>
      <w:lvlJc w:val="center"/>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19865F73"/>
    <w:multiLevelType w:val="hybridMultilevel"/>
    <w:tmpl w:val="112C0A86"/>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17" w15:restartNumberingAfterBreak="0">
    <w:nsid w:val="2B133F11"/>
    <w:multiLevelType w:val="hybridMultilevel"/>
    <w:tmpl w:val="81342A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3A168B1"/>
    <w:multiLevelType w:val="hybridMultilevel"/>
    <w:tmpl w:val="EDD45DCE"/>
    <w:lvl w:ilvl="0" w:tplc="B6EC0A8A">
      <w:start w:val="1"/>
      <w:numFmt w:val="decimal"/>
      <w:lvlText w:val="%1."/>
      <w:lvlJc w:val="center"/>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4A1306C"/>
    <w:multiLevelType w:val="hybridMultilevel"/>
    <w:tmpl w:val="D8BA0172"/>
    <w:lvl w:ilvl="0" w:tplc="B6EC0A8A">
      <w:start w:val="1"/>
      <w:numFmt w:val="decimal"/>
      <w:lvlText w:val="%1."/>
      <w:lvlJc w:val="center"/>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5D44099"/>
    <w:multiLevelType w:val="hybridMultilevel"/>
    <w:tmpl w:val="E110B89E"/>
    <w:lvl w:ilvl="0" w:tplc="B6EC0A8A">
      <w:start w:val="1"/>
      <w:numFmt w:val="decimal"/>
      <w:lvlText w:val="%1."/>
      <w:lvlJc w:val="center"/>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8AB2BB1"/>
    <w:multiLevelType w:val="hybridMultilevel"/>
    <w:tmpl w:val="825688B6"/>
    <w:lvl w:ilvl="0" w:tplc="B6EC0A8A">
      <w:start w:val="1"/>
      <w:numFmt w:val="decimal"/>
      <w:lvlText w:val="%1."/>
      <w:lvlJc w:val="center"/>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D720D72"/>
    <w:multiLevelType w:val="hybridMultilevel"/>
    <w:tmpl w:val="01CA07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702551B"/>
    <w:multiLevelType w:val="hybridMultilevel"/>
    <w:tmpl w:val="75E2000C"/>
    <w:lvl w:ilvl="0" w:tplc="B6EC0A8A">
      <w:start w:val="1"/>
      <w:numFmt w:val="decimal"/>
      <w:lvlText w:val="%1."/>
      <w:lvlJc w:val="center"/>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48202B9D"/>
    <w:multiLevelType w:val="hybridMultilevel"/>
    <w:tmpl w:val="A31E21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B083D80"/>
    <w:multiLevelType w:val="hybridMultilevel"/>
    <w:tmpl w:val="E5C68DF8"/>
    <w:lvl w:ilvl="0" w:tplc="B6EC0A8A">
      <w:start w:val="1"/>
      <w:numFmt w:val="decimal"/>
      <w:lvlText w:val="%1."/>
      <w:lvlJc w:val="center"/>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3650F2E"/>
    <w:multiLevelType w:val="hybridMultilevel"/>
    <w:tmpl w:val="298E756E"/>
    <w:lvl w:ilvl="0" w:tplc="B6EC0A8A">
      <w:start w:val="1"/>
      <w:numFmt w:val="decimal"/>
      <w:lvlText w:val="%1."/>
      <w:lvlJc w:val="center"/>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5BDF3859"/>
    <w:multiLevelType w:val="hybridMultilevel"/>
    <w:tmpl w:val="E2E04C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09C0DCC"/>
    <w:multiLevelType w:val="multilevel"/>
    <w:tmpl w:val="078E11EA"/>
    <w:lvl w:ilvl="0">
      <w:start w:val="1"/>
      <w:numFmt w:val="decimal"/>
      <w:pStyle w:val="Paragraphe"/>
      <w:lvlText w:val="[%1]"/>
      <w:lvlJc w:val="left"/>
      <w:pPr>
        <w:tabs>
          <w:tab w:val="num" w:pos="360"/>
        </w:tabs>
        <w:ind w:left="0" w:firstLine="0"/>
      </w:pPr>
      <w:rPr>
        <w:rFonts w:ascii="Arial" w:hAnsi="Arial" w:hint="default"/>
        <w:b w:val="0"/>
        <w:i w:val="0"/>
        <w:sz w:val="24"/>
      </w:rPr>
    </w:lvl>
    <w:lvl w:ilvl="1">
      <w:start w:val="1"/>
      <w:numFmt w:val="decimal"/>
      <w:pStyle w:val="Sous-paragraphe"/>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640F663C"/>
    <w:multiLevelType w:val="hybridMultilevel"/>
    <w:tmpl w:val="A9D260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20E51F7"/>
    <w:multiLevelType w:val="hybridMultilevel"/>
    <w:tmpl w:val="783C39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B872E5F"/>
    <w:multiLevelType w:val="hybridMultilevel"/>
    <w:tmpl w:val="7CD21F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C20239C"/>
    <w:multiLevelType w:val="hybridMultilevel"/>
    <w:tmpl w:val="BE4268B2"/>
    <w:lvl w:ilvl="0" w:tplc="0C0C0001">
      <w:start w:val="1"/>
      <w:numFmt w:val="bullet"/>
      <w:lvlText w:val=""/>
      <w:lvlJc w:val="left"/>
      <w:pPr>
        <w:ind w:left="936" w:hanging="360"/>
      </w:pPr>
      <w:rPr>
        <w:rFonts w:ascii="Symbol" w:hAnsi="Symbol" w:hint="default"/>
      </w:rPr>
    </w:lvl>
    <w:lvl w:ilvl="1" w:tplc="0C0C0003" w:tentative="1">
      <w:start w:val="1"/>
      <w:numFmt w:val="bullet"/>
      <w:lvlText w:val="o"/>
      <w:lvlJc w:val="left"/>
      <w:pPr>
        <w:ind w:left="1656" w:hanging="360"/>
      </w:pPr>
      <w:rPr>
        <w:rFonts w:ascii="Courier New" w:hAnsi="Courier New" w:cs="Courier New" w:hint="default"/>
      </w:rPr>
    </w:lvl>
    <w:lvl w:ilvl="2" w:tplc="0C0C0005" w:tentative="1">
      <w:start w:val="1"/>
      <w:numFmt w:val="bullet"/>
      <w:lvlText w:val=""/>
      <w:lvlJc w:val="left"/>
      <w:pPr>
        <w:ind w:left="2376" w:hanging="360"/>
      </w:pPr>
      <w:rPr>
        <w:rFonts w:ascii="Wingdings" w:hAnsi="Wingdings" w:hint="default"/>
      </w:rPr>
    </w:lvl>
    <w:lvl w:ilvl="3" w:tplc="0C0C0001" w:tentative="1">
      <w:start w:val="1"/>
      <w:numFmt w:val="bullet"/>
      <w:lvlText w:val=""/>
      <w:lvlJc w:val="left"/>
      <w:pPr>
        <w:ind w:left="3096" w:hanging="360"/>
      </w:pPr>
      <w:rPr>
        <w:rFonts w:ascii="Symbol" w:hAnsi="Symbol" w:hint="default"/>
      </w:rPr>
    </w:lvl>
    <w:lvl w:ilvl="4" w:tplc="0C0C0003" w:tentative="1">
      <w:start w:val="1"/>
      <w:numFmt w:val="bullet"/>
      <w:lvlText w:val="o"/>
      <w:lvlJc w:val="left"/>
      <w:pPr>
        <w:ind w:left="3816" w:hanging="360"/>
      </w:pPr>
      <w:rPr>
        <w:rFonts w:ascii="Courier New" w:hAnsi="Courier New" w:cs="Courier New" w:hint="default"/>
      </w:rPr>
    </w:lvl>
    <w:lvl w:ilvl="5" w:tplc="0C0C0005" w:tentative="1">
      <w:start w:val="1"/>
      <w:numFmt w:val="bullet"/>
      <w:lvlText w:val=""/>
      <w:lvlJc w:val="left"/>
      <w:pPr>
        <w:ind w:left="4536" w:hanging="360"/>
      </w:pPr>
      <w:rPr>
        <w:rFonts w:ascii="Wingdings" w:hAnsi="Wingdings" w:hint="default"/>
      </w:rPr>
    </w:lvl>
    <w:lvl w:ilvl="6" w:tplc="0C0C0001" w:tentative="1">
      <w:start w:val="1"/>
      <w:numFmt w:val="bullet"/>
      <w:lvlText w:val=""/>
      <w:lvlJc w:val="left"/>
      <w:pPr>
        <w:ind w:left="5256" w:hanging="360"/>
      </w:pPr>
      <w:rPr>
        <w:rFonts w:ascii="Symbol" w:hAnsi="Symbol" w:hint="default"/>
      </w:rPr>
    </w:lvl>
    <w:lvl w:ilvl="7" w:tplc="0C0C0003" w:tentative="1">
      <w:start w:val="1"/>
      <w:numFmt w:val="bullet"/>
      <w:lvlText w:val="o"/>
      <w:lvlJc w:val="left"/>
      <w:pPr>
        <w:ind w:left="5976" w:hanging="360"/>
      </w:pPr>
      <w:rPr>
        <w:rFonts w:ascii="Courier New" w:hAnsi="Courier New" w:cs="Courier New" w:hint="default"/>
      </w:rPr>
    </w:lvl>
    <w:lvl w:ilvl="8" w:tplc="0C0C0005" w:tentative="1">
      <w:start w:val="1"/>
      <w:numFmt w:val="bullet"/>
      <w:lvlText w:val=""/>
      <w:lvlJc w:val="left"/>
      <w:pPr>
        <w:ind w:left="6696" w:hanging="360"/>
      </w:pPr>
      <w:rPr>
        <w:rFonts w:ascii="Wingdings" w:hAnsi="Wingdings" w:hint="default"/>
      </w:rPr>
    </w:lvl>
  </w:abstractNum>
  <w:abstractNum w:abstractNumId="33" w15:restartNumberingAfterBreak="0">
    <w:nsid w:val="7D882349"/>
    <w:multiLevelType w:val="hybridMultilevel"/>
    <w:tmpl w:val="CD06FA4C"/>
    <w:lvl w:ilvl="0" w:tplc="B6EC0A8A">
      <w:start w:val="1"/>
      <w:numFmt w:val="decimal"/>
      <w:lvlText w:val="%1."/>
      <w:lvlJc w:val="center"/>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8"/>
  </w:num>
  <w:num w:numId="2">
    <w:abstractNumId w:val="28"/>
  </w:num>
  <w:num w:numId="3">
    <w:abstractNumId w:val="28"/>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7"/>
  </w:num>
  <w:num w:numId="16">
    <w:abstractNumId w:val="22"/>
  </w:num>
  <w:num w:numId="17">
    <w:abstractNumId w:val="27"/>
  </w:num>
  <w:num w:numId="18">
    <w:abstractNumId w:val="30"/>
  </w:num>
  <w:num w:numId="19">
    <w:abstractNumId w:val="25"/>
  </w:num>
  <w:num w:numId="20">
    <w:abstractNumId w:val="33"/>
  </w:num>
  <w:num w:numId="21">
    <w:abstractNumId w:val="26"/>
  </w:num>
  <w:num w:numId="22">
    <w:abstractNumId w:val="23"/>
  </w:num>
  <w:num w:numId="23">
    <w:abstractNumId w:val="18"/>
  </w:num>
  <w:num w:numId="24">
    <w:abstractNumId w:val="11"/>
  </w:num>
  <w:num w:numId="25">
    <w:abstractNumId w:val="19"/>
  </w:num>
  <w:num w:numId="26">
    <w:abstractNumId w:val="12"/>
  </w:num>
  <w:num w:numId="27">
    <w:abstractNumId w:val="15"/>
  </w:num>
  <w:num w:numId="28">
    <w:abstractNumId w:val="29"/>
  </w:num>
  <w:num w:numId="29">
    <w:abstractNumId w:val="13"/>
  </w:num>
  <w:num w:numId="30">
    <w:abstractNumId w:val="24"/>
  </w:num>
  <w:num w:numId="31">
    <w:abstractNumId w:val="21"/>
  </w:num>
  <w:num w:numId="32">
    <w:abstractNumId w:val="20"/>
  </w:num>
  <w:num w:numId="33">
    <w:abstractNumId w:val="32"/>
  </w:num>
  <w:num w:numId="34">
    <w:abstractNumId w:val="10"/>
  </w:num>
  <w:num w:numId="35">
    <w:abstractNumId w:val="31"/>
  </w:num>
  <w:num w:numId="36">
    <w:abstractNumId w:val="14"/>
  </w:num>
  <w:num w:numId="37">
    <w:abstractNumId w:val="28"/>
  </w:num>
  <w:num w:numId="38">
    <w:abstractNumId w:val="28"/>
  </w:num>
  <w:num w:numId="39">
    <w:abstractNumId w:val="28"/>
  </w:num>
  <w:num w:numId="40">
    <w:abstractNumId w:val="28"/>
  </w:num>
  <w:num w:numId="41">
    <w:abstractNumId w:val="28"/>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E45"/>
    <w:rsid w:val="0000141F"/>
    <w:rsid w:val="00004A64"/>
    <w:rsid w:val="00005840"/>
    <w:rsid w:val="00017E63"/>
    <w:rsid w:val="00021997"/>
    <w:rsid w:val="00024CC1"/>
    <w:rsid w:val="000262B6"/>
    <w:rsid w:val="0002693D"/>
    <w:rsid w:val="0002722E"/>
    <w:rsid w:val="00032975"/>
    <w:rsid w:val="00045130"/>
    <w:rsid w:val="000510FE"/>
    <w:rsid w:val="000542E2"/>
    <w:rsid w:val="00055164"/>
    <w:rsid w:val="00057414"/>
    <w:rsid w:val="000608B8"/>
    <w:rsid w:val="0006698E"/>
    <w:rsid w:val="00070D64"/>
    <w:rsid w:val="00072630"/>
    <w:rsid w:val="00085783"/>
    <w:rsid w:val="000919C0"/>
    <w:rsid w:val="00093449"/>
    <w:rsid w:val="00096225"/>
    <w:rsid w:val="000976EC"/>
    <w:rsid w:val="000A1282"/>
    <w:rsid w:val="000A55A5"/>
    <w:rsid w:val="000B4361"/>
    <w:rsid w:val="000C1181"/>
    <w:rsid w:val="000D2D44"/>
    <w:rsid w:val="000D3F3B"/>
    <w:rsid w:val="000E1B62"/>
    <w:rsid w:val="000E58A6"/>
    <w:rsid w:val="000F2F31"/>
    <w:rsid w:val="000F4189"/>
    <w:rsid w:val="0010326D"/>
    <w:rsid w:val="001032FE"/>
    <w:rsid w:val="00113248"/>
    <w:rsid w:val="001209E9"/>
    <w:rsid w:val="00124EA6"/>
    <w:rsid w:val="00127D53"/>
    <w:rsid w:val="001333EB"/>
    <w:rsid w:val="0014048A"/>
    <w:rsid w:val="00147587"/>
    <w:rsid w:val="00156E87"/>
    <w:rsid w:val="00160B02"/>
    <w:rsid w:val="0016105D"/>
    <w:rsid w:val="001644A2"/>
    <w:rsid w:val="00166452"/>
    <w:rsid w:val="00166A9C"/>
    <w:rsid w:val="00171EB0"/>
    <w:rsid w:val="00177391"/>
    <w:rsid w:val="0018007F"/>
    <w:rsid w:val="00180A9D"/>
    <w:rsid w:val="0018124F"/>
    <w:rsid w:val="00182795"/>
    <w:rsid w:val="00184E2C"/>
    <w:rsid w:val="00197C74"/>
    <w:rsid w:val="001B4AE3"/>
    <w:rsid w:val="001B6250"/>
    <w:rsid w:val="001C51D6"/>
    <w:rsid w:val="001C5775"/>
    <w:rsid w:val="001C60CC"/>
    <w:rsid w:val="001D07B3"/>
    <w:rsid w:val="001D27BB"/>
    <w:rsid w:val="001D374E"/>
    <w:rsid w:val="001D60DF"/>
    <w:rsid w:val="001E1777"/>
    <w:rsid w:val="001E5BE2"/>
    <w:rsid w:val="001E6216"/>
    <w:rsid w:val="001E6FA8"/>
    <w:rsid w:val="001F511F"/>
    <w:rsid w:val="00205D37"/>
    <w:rsid w:val="00213045"/>
    <w:rsid w:val="0021344A"/>
    <w:rsid w:val="0021780A"/>
    <w:rsid w:val="00223924"/>
    <w:rsid w:val="002260B7"/>
    <w:rsid w:val="002437DE"/>
    <w:rsid w:val="00243B83"/>
    <w:rsid w:val="00257949"/>
    <w:rsid w:val="0026296F"/>
    <w:rsid w:val="00271468"/>
    <w:rsid w:val="00276AFF"/>
    <w:rsid w:val="0027719E"/>
    <w:rsid w:val="00282DDB"/>
    <w:rsid w:val="002836BC"/>
    <w:rsid w:val="002959FC"/>
    <w:rsid w:val="00296A7B"/>
    <w:rsid w:val="002A24EB"/>
    <w:rsid w:val="002A3098"/>
    <w:rsid w:val="002A3E76"/>
    <w:rsid w:val="002A5479"/>
    <w:rsid w:val="002A73C5"/>
    <w:rsid w:val="002B10E3"/>
    <w:rsid w:val="002B1667"/>
    <w:rsid w:val="002B17FC"/>
    <w:rsid w:val="002B4503"/>
    <w:rsid w:val="002B614D"/>
    <w:rsid w:val="002B6284"/>
    <w:rsid w:val="002B7A9D"/>
    <w:rsid w:val="002C251A"/>
    <w:rsid w:val="002C6CD8"/>
    <w:rsid w:val="002D048E"/>
    <w:rsid w:val="002D4E69"/>
    <w:rsid w:val="002D7C78"/>
    <w:rsid w:val="002E1186"/>
    <w:rsid w:val="002E2472"/>
    <w:rsid w:val="002E62F8"/>
    <w:rsid w:val="002F27FA"/>
    <w:rsid w:val="002F51DA"/>
    <w:rsid w:val="0030129D"/>
    <w:rsid w:val="0031442F"/>
    <w:rsid w:val="00325CC6"/>
    <w:rsid w:val="00335567"/>
    <w:rsid w:val="0033638C"/>
    <w:rsid w:val="00340200"/>
    <w:rsid w:val="0034094A"/>
    <w:rsid w:val="00346D5B"/>
    <w:rsid w:val="00346FAF"/>
    <w:rsid w:val="003518EC"/>
    <w:rsid w:val="00351943"/>
    <w:rsid w:val="00351FA9"/>
    <w:rsid w:val="00360441"/>
    <w:rsid w:val="00360876"/>
    <w:rsid w:val="00362483"/>
    <w:rsid w:val="00373449"/>
    <w:rsid w:val="00374872"/>
    <w:rsid w:val="00374C70"/>
    <w:rsid w:val="00377E06"/>
    <w:rsid w:val="00381B6D"/>
    <w:rsid w:val="00386B69"/>
    <w:rsid w:val="0039151A"/>
    <w:rsid w:val="003921E5"/>
    <w:rsid w:val="0039454E"/>
    <w:rsid w:val="00394F30"/>
    <w:rsid w:val="003A10F5"/>
    <w:rsid w:val="003B0182"/>
    <w:rsid w:val="003B17A5"/>
    <w:rsid w:val="003B3F02"/>
    <w:rsid w:val="003B44CB"/>
    <w:rsid w:val="003B56CB"/>
    <w:rsid w:val="003B60EC"/>
    <w:rsid w:val="003B76A5"/>
    <w:rsid w:val="003D09FE"/>
    <w:rsid w:val="003D27C7"/>
    <w:rsid w:val="003D37C0"/>
    <w:rsid w:val="003E0F2F"/>
    <w:rsid w:val="003F05F5"/>
    <w:rsid w:val="003F2198"/>
    <w:rsid w:val="003F3850"/>
    <w:rsid w:val="003F4D6D"/>
    <w:rsid w:val="003F75EB"/>
    <w:rsid w:val="004216D2"/>
    <w:rsid w:val="004315FE"/>
    <w:rsid w:val="004418BE"/>
    <w:rsid w:val="0045356B"/>
    <w:rsid w:val="00454B9A"/>
    <w:rsid w:val="00455A82"/>
    <w:rsid w:val="004600C7"/>
    <w:rsid w:val="00460F83"/>
    <w:rsid w:val="00467EA0"/>
    <w:rsid w:val="00472A13"/>
    <w:rsid w:val="0047446B"/>
    <w:rsid w:val="0047657E"/>
    <w:rsid w:val="0048189B"/>
    <w:rsid w:val="00481D09"/>
    <w:rsid w:val="0049349C"/>
    <w:rsid w:val="004948B0"/>
    <w:rsid w:val="004A1444"/>
    <w:rsid w:val="004A1B32"/>
    <w:rsid w:val="004A1C56"/>
    <w:rsid w:val="004A339E"/>
    <w:rsid w:val="004B048C"/>
    <w:rsid w:val="004C0D4D"/>
    <w:rsid w:val="004C3ED3"/>
    <w:rsid w:val="004D129A"/>
    <w:rsid w:val="004D3FCF"/>
    <w:rsid w:val="004D669E"/>
    <w:rsid w:val="004E44D5"/>
    <w:rsid w:val="004E47AA"/>
    <w:rsid w:val="004F064F"/>
    <w:rsid w:val="004F1BBD"/>
    <w:rsid w:val="005047B7"/>
    <w:rsid w:val="005051D2"/>
    <w:rsid w:val="0051325B"/>
    <w:rsid w:val="005174B7"/>
    <w:rsid w:val="00517F3E"/>
    <w:rsid w:val="0052030E"/>
    <w:rsid w:val="005264F2"/>
    <w:rsid w:val="00527D61"/>
    <w:rsid w:val="005322DE"/>
    <w:rsid w:val="0053557A"/>
    <w:rsid w:val="005415B6"/>
    <w:rsid w:val="005527E4"/>
    <w:rsid w:val="005530F1"/>
    <w:rsid w:val="00562C23"/>
    <w:rsid w:val="0057145E"/>
    <w:rsid w:val="00573A38"/>
    <w:rsid w:val="00585FBC"/>
    <w:rsid w:val="005B2A1D"/>
    <w:rsid w:val="005B753B"/>
    <w:rsid w:val="005C53A9"/>
    <w:rsid w:val="005E20B8"/>
    <w:rsid w:val="005E48F1"/>
    <w:rsid w:val="005E54E4"/>
    <w:rsid w:val="005F05B7"/>
    <w:rsid w:val="005F0B5A"/>
    <w:rsid w:val="005F75F9"/>
    <w:rsid w:val="006033F6"/>
    <w:rsid w:val="00604090"/>
    <w:rsid w:val="006105EC"/>
    <w:rsid w:val="00611FBA"/>
    <w:rsid w:val="006127BE"/>
    <w:rsid w:val="00616678"/>
    <w:rsid w:val="006201CC"/>
    <w:rsid w:val="006212C6"/>
    <w:rsid w:val="006253AA"/>
    <w:rsid w:val="00626587"/>
    <w:rsid w:val="006308ED"/>
    <w:rsid w:val="0063560A"/>
    <w:rsid w:val="00637805"/>
    <w:rsid w:val="00643265"/>
    <w:rsid w:val="006458A8"/>
    <w:rsid w:val="00656C90"/>
    <w:rsid w:val="00665626"/>
    <w:rsid w:val="00667BBC"/>
    <w:rsid w:val="006705DE"/>
    <w:rsid w:val="006723F3"/>
    <w:rsid w:val="00672BA5"/>
    <w:rsid w:val="00673D55"/>
    <w:rsid w:val="006744F1"/>
    <w:rsid w:val="00682322"/>
    <w:rsid w:val="0068268E"/>
    <w:rsid w:val="00687EFC"/>
    <w:rsid w:val="00694FF6"/>
    <w:rsid w:val="006A33B6"/>
    <w:rsid w:val="006A5499"/>
    <w:rsid w:val="006B350D"/>
    <w:rsid w:val="006B3F48"/>
    <w:rsid w:val="006B46CA"/>
    <w:rsid w:val="006C7CA3"/>
    <w:rsid w:val="006D0738"/>
    <w:rsid w:val="006D1E62"/>
    <w:rsid w:val="006E081D"/>
    <w:rsid w:val="006E097D"/>
    <w:rsid w:val="006E146F"/>
    <w:rsid w:val="006E60FC"/>
    <w:rsid w:val="006E69B1"/>
    <w:rsid w:val="006E753B"/>
    <w:rsid w:val="006F35AB"/>
    <w:rsid w:val="006F36BF"/>
    <w:rsid w:val="006F3892"/>
    <w:rsid w:val="006F5EA8"/>
    <w:rsid w:val="0070470A"/>
    <w:rsid w:val="007075BB"/>
    <w:rsid w:val="00707AC6"/>
    <w:rsid w:val="007106FF"/>
    <w:rsid w:val="00716696"/>
    <w:rsid w:val="007178F7"/>
    <w:rsid w:val="00717A60"/>
    <w:rsid w:val="00730B81"/>
    <w:rsid w:val="00730C5E"/>
    <w:rsid w:val="00731059"/>
    <w:rsid w:val="007319A5"/>
    <w:rsid w:val="00741B97"/>
    <w:rsid w:val="00754667"/>
    <w:rsid w:val="00761561"/>
    <w:rsid w:val="00761717"/>
    <w:rsid w:val="007664E8"/>
    <w:rsid w:val="00766809"/>
    <w:rsid w:val="00767000"/>
    <w:rsid w:val="00777165"/>
    <w:rsid w:val="00777DCA"/>
    <w:rsid w:val="0078099D"/>
    <w:rsid w:val="007916AC"/>
    <w:rsid w:val="00797389"/>
    <w:rsid w:val="007A4038"/>
    <w:rsid w:val="007A615C"/>
    <w:rsid w:val="007B2F75"/>
    <w:rsid w:val="007B6CB6"/>
    <w:rsid w:val="007C1E85"/>
    <w:rsid w:val="007D303B"/>
    <w:rsid w:val="007D3233"/>
    <w:rsid w:val="007D3526"/>
    <w:rsid w:val="007D5862"/>
    <w:rsid w:val="007D76F3"/>
    <w:rsid w:val="007D7EBA"/>
    <w:rsid w:val="007E1513"/>
    <w:rsid w:val="007F6F57"/>
    <w:rsid w:val="007F798B"/>
    <w:rsid w:val="00801C0B"/>
    <w:rsid w:val="008030EC"/>
    <w:rsid w:val="00806A3F"/>
    <w:rsid w:val="00815E82"/>
    <w:rsid w:val="00817CE8"/>
    <w:rsid w:val="00827A86"/>
    <w:rsid w:val="00843386"/>
    <w:rsid w:val="00857FD6"/>
    <w:rsid w:val="00860A4E"/>
    <w:rsid w:val="00866BCC"/>
    <w:rsid w:val="00866E4A"/>
    <w:rsid w:val="008763DE"/>
    <w:rsid w:val="00881125"/>
    <w:rsid w:val="00881493"/>
    <w:rsid w:val="00885D85"/>
    <w:rsid w:val="008A0798"/>
    <w:rsid w:val="008A1CF9"/>
    <w:rsid w:val="008A4B5B"/>
    <w:rsid w:val="008A4E14"/>
    <w:rsid w:val="008A541C"/>
    <w:rsid w:val="008B0126"/>
    <w:rsid w:val="008B09E4"/>
    <w:rsid w:val="008B6D04"/>
    <w:rsid w:val="008C13FA"/>
    <w:rsid w:val="008C1C63"/>
    <w:rsid w:val="008C4CB4"/>
    <w:rsid w:val="008C6340"/>
    <w:rsid w:val="008D6886"/>
    <w:rsid w:val="008E066E"/>
    <w:rsid w:val="008E5864"/>
    <w:rsid w:val="008F091C"/>
    <w:rsid w:val="008F1B12"/>
    <w:rsid w:val="008F3345"/>
    <w:rsid w:val="009036C0"/>
    <w:rsid w:val="00910D80"/>
    <w:rsid w:val="009222DA"/>
    <w:rsid w:val="00923BF3"/>
    <w:rsid w:val="009375BF"/>
    <w:rsid w:val="009417D9"/>
    <w:rsid w:val="00944C9F"/>
    <w:rsid w:val="009506C2"/>
    <w:rsid w:val="00952968"/>
    <w:rsid w:val="0096322E"/>
    <w:rsid w:val="00963515"/>
    <w:rsid w:val="00970DB0"/>
    <w:rsid w:val="00972A71"/>
    <w:rsid w:val="00973488"/>
    <w:rsid w:val="009743FB"/>
    <w:rsid w:val="00982261"/>
    <w:rsid w:val="00982D03"/>
    <w:rsid w:val="009856AC"/>
    <w:rsid w:val="0099230E"/>
    <w:rsid w:val="009A4785"/>
    <w:rsid w:val="009B020C"/>
    <w:rsid w:val="009B1A85"/>
    <w:rsid w:val="009C3399"/>
    <w:rsid w:val="009C7797"/>
    <w:rsid w:val="009D139C"/>
    <w:rsid w:val="009D4372"/>
    <w:rsid w:val="009D544B"/>
    <w:rsid w:val="009E3E80"/>
    <w:rsid w:val="009F08B1"/>
    <w:rsid w:val="009F126E"/>
    <w:rsid w:val="009F1B90"/>
    <w:rsid w:val="009F61BA"/>
    <w:rsid w:val="00A00310"/>
    <w:rsid w:val="00A017EC"/>
    <w:rsid w:val="00A02142"/>
    <w:rsid w:val="00A13D53"/>
    <w:rsid w:val="00A14123"/>
    <w:rsid w:val="00A25B7A"/>
    <w:rsid w:val="00A3007A"/>
    <w:rsid w:val="00A33A47"/>
    <w:rsid w:val="00A34D8C"/>
    <w:rsid w:val="00A36968"/>
    <w:rsid w:val="00A5152D"/>
    <w:rsid w:val="00A521C9"/>
    <w:rsid w:val="00A55466"/>
    <w:rsid w:val="00A5665C"/>
    <w:rsid w:val="00A56979"/>
    <w:rsid w:val="00A6140C"/>
    <w:rsid w:val="00A62D98"/>
    <w:rsid w:val="00A66555"/>
    <w:rsid w:val="00A67244"/>
    <w:rsid w:val="00A72D12"/>
    <w:rsid w:val="00A73450"/>
    <w:rsid w:val="00A77134"/>
    <w:rsid w:val="00A7756A"/>
    <w:rsid w:val="00A777F8"/>
    <w:rsid w:val="00A827D3"/>
    <w:rsid w:val="00A87017"/>
    <w:rsid w:val="00A93230"/>
    <w:rsid w:val="00A93FBA"/>
    <w:rsid w:val="00A942D0"/>
    <w:rsid w:val="00AA0608"/>
    <w:rsid w:val="00AA1BCF"/>
    <w:rsid w:val="00AB0AE4"/>
    <w:rsid w:val="00AB30E4"/>
    <w:rsid w:val="00AB3C34"/>
    <w:rsid w:val="00AC1CD8"/>
    <w:rsid w:val="00AC2A95"/>
    <w:rsid w:val="00AC6D8C"/>
    <w:rsid w:val="00AD0DA0"/>
    <w:rsid w:val="00AD4632"/>
    <w:rsid w:val="00AD575D"/>
    <w:rsid w:val="00AD5C96"/>
    <w:rsid w:val="00AD6D79"/>
    <w:rsid w:val="00AF4DD6"/>
    <w:rsid w:val="00B07DC8"/>
    <w:rsid w:val="00B10A69"/>
    <w:rsid w:val="00B13EB3"/>
    <w:rsid w:val="00B144FD"/>
    <w:rsid w:val="00B17CD2"/>
    <w:rsid w:val="00B2038F"/>
    <w:rsid w:val="00B203AC"/>
    <w:rsid w:val="00B2060B"/>
    <w:rsid w:val="00B2277B"/>
    <w:rsid w:val="00B22AA9"/>
    <w:rsid w:val="00B2638A"/>
    <w:rsid w:val="00B26710"/>
    <w:rsid w:val="00B31361"/>
    <w:rsid w:val="00B32903"/>
    <w:rsid w:val="00B4030F"/>
    <w:rsid w:val="00B40ABE"/>
    <w:rsid w:val="00B44B71"/>
    <w:rsid w:val="00B501E3"/>
    <w:rsid w:val="00B72031"/>
    <w:rsid w:val="00B82845"/>
    <w:rsid w:val="00B92F9D"/>
    <w:rsid w:val="00BA1BE2"/>
    <w:rsid w:val="00BA3C47"/>
    <w:rsid w:val="00BB0D33"/>
    <w:rsid w:val="00BB42B4"/>
    <w:rsid w:val="00BB4FD1"/>
    <w:rsid w:val="00BC7538"/>
    <w:rsid w:val="00BD4598"/>
    <w:rsid w:val="00BD57D0"/>
    <w:rsid w:val="00BE1745"/>
    <w:rsid w:val="00BE774C"/>
    <w:rsid w:val="00BF06D9"/>
    <w:rsid w:val="00BF2576"/>
    <w:rsid w:val="00BF6490"/>
    <w:rsid w:val="00BF7BF2"/>
    <w:rsid w:val="00C0222E"/>
    <w:rsid w:val="00C024A9"/>
    <w:rsid w:val="00C0667A"/>
    <w:rsid w:val="00C17428"/>
    <w:rsid w:val="00C25A8B"/>
    <w:rsid w:val="00C27938"/>
    <w:rsid w:val="00C27E03"/>
    <w:rsid w:val="00C3169C"/>
    <w:rsid w:val="00C33016"/>
    <w:rsid w:val="00C35B7E"/>
    <w:rsid w:val="00C37D45"/>
    <w:rsid w:val="00C4341A"/>
    <w:rsid w:val="00C5345F"/>
    <w:rsid w:val="00C53E77"/>
    <w:rsid w:val="00C56567"/>
    <w:rsid w:val="00C62C8E"/>
    <w:rsid w:val="00C65260"/>
    <w:rsid w:val="00C66E42"/>
    <w:rsid w:val="00C70337"/>
    <w:rsid w:val="00C7097D"/>
    <w:rsid w:val="00C72EF5"/>
    <w:rsid w:val="00C75AB5"/>
    <w:rsid w:val="00C9407B"/>
    <w:rsid w:val="00C940F7"/>
    <w:rsid w:val="00CA169A"/>
    <w:rsid w:val="00CA2BD0"/>
    <w:rsid w:val="00CB18FB"/>
    <w:rsid w:val="00CB383E"/>
    <w:rsid w:val="00CB42E2"/>
    <w:rsid w:val="00CB6494"/>
    <w:rsid w:val="00CC1F79"/>
    <w:rsid w:val="00CC7A6A"/>
    <w:rsid w:val="00CE363F"/>
    <w:rsid w:val="00CE6D82"/>
    <w:rsid w:val="00CF6894"/>
    <w:rsid w:val="00CF798D"/>
    <w:rsid w:val="00D0081B"/>
    <w:rsid w:val="00D00F7A"/>
    <w:rsid w:val="00D03301"/>
    <w:rsid w:val="00D06837"/>
    <w:rsid w:val="00D06FEA"/>
    <w:rsid w:val="00D10E75"/>
    <w:rsid w:val="00D15968"/>
    <w:rsid w:val="00D201EF"/>
    <w:rsid w:val="00D27325"/>
    <w:rsid w:val="00D31E26"/>
    <w:rsid w:val="00D34D68"/>
    <w:rsid w:val="00D4007B"/>
    <w:rsid w:val="00D446D7"/>
    <w:rsid w:val="00D50837"/>
    <w:rsid w:val="00D509B2"/>
    <w:rsid w:val="00D55469"/>
    <w:rsid w:val="00D575C9"/>
    <w:rsid w:val="00D644D8"/>
    <w:rsid w:val="00D64BAD"/>
    <w:rsid w:val="00D665A5"/>
    <w:rsid w:val="00D66D43"/>
    <w:rsid w:val="00D71B51"/>
    <w:rsid w:val="00D75490"/>
    <w:rsid w:val="00D82261"/>
    <w:rsid w:val="00D91AB0"/>
    <w:rsid w:val="00D956FD"/>
    <w:rsid w:val="00D95DBC"/>
    <w:rsid w:val="00D95EA8"/>
    <w:rsid w:val="00D97634"/>
    <w:rsid w:val="00DA06D8"/>
    <w:rsid w:val="00DC43D8"/>
    <w:rsid w:val="00DC638A"/>
    <w:rsid w:val="00DC74A5"/>
    <w:rsid w:val="00DD3233"/>
    <w:rsid w:val="00DD4197"/>
    <w:rsid w:val="00DD4EB5"/>
    <w:rsid w:val="00DD7137"/>
    <w:rsid w:val="00DE39F2"/>
    <w:rsid w:val="00DE4E31"/>
    <w:rsid w:val="00DE56CA"/>
    <w:rsid w:val="00DE7085"/>
    <w:rsid w:val="00E16A53"/>
    <w:rsid w:val="00E17CDC"/>
    <w:rsid w:val="00E20900"/>
    <w:rsid w:val="00E23CF0"/>
    <w:rsid w:val="00E24A2B"/>
    <w:rsid w:val="00E266D3"/>
    <w:rsid w:val="00E27E40"/>
    <w:rsid w:val="00E32B15"/>
    <w:rsid w:val="00E43994"/>
    <w:rsid w:val="00E453A7"/>
    <w:rsid w:val="00E50BA3"/>
    <w:rsid w:val="00E53FF1"/>
    <w:rsid w:val="00E54E09"/>
    <w:rsid w:val="00E609E0"/>
    <w:rsid w:val="00E62403"/>
    <w:rsid w:val="00E67E81"/>
    <w:rsid w:val="00E7196B"/>
    <w:rsid w:val="00E732DA"/>
    <w:rsid w:val="00E756D3"/>
    <w:rsid w:val="00E82F54"/>
    <w:rsid w:val="00E86278"/>
    <w:rsid w:val="00E9594B"/>
    <w:rsid w:val="00E977C4"/>
    <w:rsid w:val="00EA1EAD"/>
    <w:rsid w:val="00EA5071"/>
    <w:rsid w:val="00EB1995"/>
    <w:rsid w:val="00EB39E3"/>
    <w:rsid w:val="00EC66B6"/>
    <w:rsid w:val="00ED17A4"/>
    <w:rsid w:val="00ED5759"/>
    <w:rsid w:val="00EF5ED7"/>
    <w:rsid w:val="00EF71DE"/>
    <w:rsid w:val="00F050D2"/>
    <w:rsid w:val="00F310B4"/>
    <w:rsid w:val="00F31FDE"/>
    <w:rsid w:val="00F339C1"/>
    <w:rsid w:val="00F33B8A"/>
    <w:rsid w:val="00F340F2"/>
    <w:rsid w:val="00F37BB8"/>
    <w:rsid w:val="00F37DD6"/>
    <w:rsid w:val="00F4091F"/>
    <w:rsid w:val="00F4225E"/>
    <w:rsid w:val="00F457EC"/>
    <w:rsid w:val="00F55ACC"/>
    <w:rsid w:val="00F57849"/>
    <w:rsid w:val="00F616F8"/>
    <w:rsid w:val="00F70BD5"/>
    <w:rsid w:val="00F74676"/>
    <w:rsid w:val="00F768C4"/>
    <w:rsid w:val="00F81944"/>
    <w:rsid w:val="00F83870"/>
    <w:rsid w:val="00F87E33"/>
    <w:rsid w:val="00F9089C"/>
    <w:rsid w:val="00FA13BC"/>
    <w:rsid w:val="00FA7DAB"/>
    <w:rsid w:val="00FB1962"/>
    <w:rsid w:val="00FB41E4"/>
    <w:rsid w:val="00FB7ACD"/>
    <w:rsid w:val="00FC1B3B"/>
    <w:rsid w:val="00FC6471"/>
    <w:rsid w:val="00FD081A"/>
    <w:rsid w:val="00FD443B"/>
    <w:rsid w:val="00FD4E45"/>
    <w:rsid w:val="00FD56C2"/>
    <w:rsid w:val="00FE6231"/>
    <w:rsid w:val="00FF5B00"/>
    <w:rsid w:val="00FF6AB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9E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fr-FR"/>
    </w:rPr>
  </w:style>
  <w:style w:type="paragraph" w:styleId="Titre1">
    <w:name w:val="heading 1"/>
    <w:basedOn w:val="Normal"/>
    <w:next w:val="Paragraphe"/>
    <w:qFormat/>
    <w:rsid w:val="0096322E"/>
    <w:pPr>
      <w:keepNext/>
      <w:spacing w:before="240" w:after="60"/>
      <w:outlineLvl w:val="0"/>
    </w:pPr>
    <w:rPr>
      <w:b/>
      <w:kern w:val="28"/>
    </w:rPr>
  </w:style>
  <w:style w:type="paragraph" w:styleId="Titre2">
    <w:name w:val="heading 2"/>
    <w:basedOn w:val="Normal"/>
    <w:next w:val="Paragraphe"/>
    <w:qFormat/>
    <w:pPr>
      <w:keepNext/>
      <w:spacing w:before="240" w:after="60"/>
      <w:outlineLvl w:val="1"/>
    </w:pPr>
    <w:rPr>
      <w:b/>
      <w:i/>
    </w:rPr>
  </w:style>
  <w:style w:type="paragraph" w:styleId="Titre3">
    <w:name w:val="heading 3"/>
    <w:basedOn w:val="Normal"/>
    <w:next w:val="Paragraphe"/>
    <w:qFormat/>
    <w:rsid w:val="0096322E"/>
    <w:pPr>
      <w:keepNext/>
      <w:spacing w:before="240" w:after="60"/>
      <w:outlineLvl w:val="2"/>
    </w:pPr>
    <w:rPr>
      <w:i/>
    </w:rPr>
  </w:style>
  <w:style w:type="paragraph" w:styleId="Titre4">
    <w:name w:val="heading 4"/>
    <w:basedOn w:val="Normal"/>
    <w:next w:val="Paragraphe"/>
    <w:qFormat/>
    <w:rsid w:val="0096322E"/>
    <w:pPr>
      <w:keepNext/>
      <w:spacing w:before="240" w:after="60"/>
      <w:outlineLvl w:val="3"/>
    </w:pPr>
  </w:style>
  <w:style w:type="paragraph" w:styleId="Titre5">
    <w:name w:val="heading 5"/>
    <w:basedOn w:val="Normal"/>
    <w:next w:val="Normal"/>
    <w:qFormat/>
    <w:pPr>
      <w:spacing w:before="240" w:after="60"/>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sz w:val="20"/>
    </w:rPr>
  </w:style>
  <w:style w:type="paragraph" w:styleId="Titre8">
    <w:name w:val="heading 8"/>
    <w:basedOn w:val="Normal"/>
    <w:next w:val="Normal"/>
    <w:qFormat/>
    <w:pPr>
      <w:spacing w:before="240" w:after="60"/>
      <w:outlineLvl w:val="7"/>
    </w:pPr>
    <w:rPr>
      <w:i/>
      <w:sz w:val="20"/>
    </w:rPr>
  </w:style>
  <w:style w:type="paragraph" w:styleId="Titre9">
    <w:name w:val="heading 9"/>
    <w:basedOn w:val="Normal"/>
    <w:next w:val="Normal"/>
    <w:qFormat/>
    <w:p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link w:val="ParagrapheCar"/>
    <w:qFormat/>
    <w:rsid w:val="0096322E"/>
    <w:pPr>
      <w:numPr>
        <w:numId w:val="1"/>
      </w:numPr>
      <w:spacing w:before="120" w:after="120"/>
      <w:jc w:val="both"/>
    </w:pPr>
    <w:rPr>
      <w:kern w:val="28"/>
    </w:rPr>
  </w:style>
  <w:style w:type="paragraph" w:customStyle="1" w:styleId="Citationenretrait">
    <w:name w:val="Citation en retrait"/>
    <w:basedOn w:val="Normal"/>
    <w:pPr>
      <w:spacing w:before="120" w:after="120"/>
      <w:ind w:left="720" w:right="720"/>
      <w:jc w:val="both"/>
    </w:pPr>
    <w:rPr>
      <w:kern w:val="24"/>
      <w:sz w:val="22"/>
    </w:rPr>
  </w:style>
  <w:style w:type="character" w:customStyle="1" w:styleId="Citationintgre">
    <w:name w:val="Citation intégrée"/>
    <w:rPr>
      <w:rFonts w:ascii="Arial" w:hAnsi="Arial"/>
      <w:i/>
      <w:noProof w:val="0"/>
      <w:sz w:val="22"/>
      <w:lang w:val="fr-CA"/>
    </w:rPr>
  </w:style>
  <w:style w:type="paragraph" w:styleId="Corpsdetexte">
    <w:name w:val="Body Text"/>
    <w:basedOn w:val="Normal"/>
    <w:pPr>
      <w:spacing w:after="120"/>
    </w:pPr>
  </w:style>
  <w:style w:type="paragraph" w:styleId="Notedebasdepage">
    <w:name w:val="footnote text"/>
    <w:basedOn w:val="Normal"/>
    <w:link w:val="NotedebasdepageCar"/>
    <w:pPr>
      <w:ind w:left="360" w:hanging="360"/>
      <w:jc w:val="both"/>
    </w:pPr>
    <w:rPr>
      <w:sz w:val="20"/>
    </w:rPr>
  </w:style>
  <w:style w:type="paragraph" w:styleId="Notedefin">
    <w:name w:val="endnote text"/>
    <w:basedOn w:val="Normal"/>
    <w:semiHidden/>
    <w:pPr>
      <w:ind w:left="-360"/>
      <w:jc w:val="both"/>
    </w:pPr>
    <w:rPr>
      <w:sz w:val="20"/>
    </w:rPr>
  </w:style>
  <w:style w:type="paragraph" w:customStyle="1" w:styleId="zSoquijlblCour">
    <w:name w:val="zSoquij_lblCour"/>
    <w:basedOn w:val="Normal"/>
    <w:rsid w:val="00B4030F"/>
    <w:pPr>
      <w:jc w:val="center"/>
    </w:pPr>
    <w:rPr>
      <w:b/>
      <w:sz w:val="32"/>
    </w:rPr>
  </w:style>
  <w:style w:type="paragraph" w:customStyle="1" w:styleId="zSoquijlblPays">
    <w:name w:val="zSoquij_lblPays"/>
    <w:basedOn w:val="Normal"/>
  </w:style>
  <w:style w:type="paragraph" w:customStyle="1" w:styleId="zSoquijlblProvince">
    <w:name w:val="zSoquij_lblProvince"/>
    <w:basedOn w:val="Normal"/>
  </w:style>
  <w:style w:type="paragraph" w:customStyle="1" w:styleId="zSoquijlblGreffe">
    <w:name w:val="zSoquij_lblGreffe"/>
    <w:basedOn w:val="Normal"/>
    <w:pPr>
      <w:ind w:left="70"/>
    </w:pPr>
  </w:style>
  <w:style w:type="paragraph" w:customStyle="1" w:styleId="zSoquijdatGreffe">
    <w:name w:val="zSoquij_datGreffe"/>
    <w:basedOn w:val="Normal"/>
    <w:pPr>
      <w:ind w:left="29"/>
    </w:pPr>
  </w:style>
  <w:style w:type="paragraph" w:customStyle="1" w:styleId="zSoquijdatDivision">
    <w:name w:val="zSoquij_datDivision"/>
    <w:basedOn w:val="Normal"/>
    <w:pPr>
      <w:jc w:val="center"/>
    </w:pPr>
    <w:rPr>
      <w:sz w:val="22"/>
    </w:rPr>
  </w:style>
  <w:style w:type="paragraph" w:customStyle="1" w:styleId="zSoquijlblNoDossier">
    <w:name w:val="zSoquij_lblNoDossier"/>
    <w:basedOn w:val="Normal"/>
  </w:style>
  <w:style w:type="paragraph" w:customStyle="1" w:styleId="zSoquijdatNoDossier">
    <w:name w:val="zSoquij_datNoDossier"/>
    <w:basedOn w:val="Normal"/>
  </w:style>
  <w:style w:type="paragraph" w:customStyle="1" w:styleId="zSoquijdatNoDossierAnt">
    <w:name w:val="zSoquij_datNoDossierAnt"/>
    <w:basedOn w:val="Normal"/>
  </w:style>
  <w:style w:type="paragraph" w:customStyle="1" w:styleId="zSoquijdatDateJugement">
    <w:name w:val="zSoquij_datDateJugement"/>
    <w:basedOn w:val="Normal"/>
  </w:style>
  <w:style w:type="paragraph" w:customStyle="1" w:styleId="zSoquijlblDateJugement">
    <w:name w:val="zSoquij_lblDateJugement"/>
    <w:basedOn w:val="Normal"/>
  </w:style>
  <w:style w:type="paragraph" w:customStyle="1" w:styleId="zSoquijlblJuge">
    <w:name w:val="zSoquij_lblJuge"/>
    <w:basedOn w:val="Normal"/>
    <w:pPr>
      <w:ind w:left="70"/>
    </w:pPr>
    <w:rPr>
      <w:b/>
    </w:rPr>
  </w:style>
  <w:style w:type="paragraph" w:customStyle="1" w:styleId="zSoquijdatQteJuge">
    <w:name w:val="zSoquij_datQteJuge"/>
    <w:basedOn w:val="Normal"/>
    <w:pPr>
      <w:ind w:left="29"/>
    </w:pPr>
    <w:rPr>
      <w:b/>
    </w:rPr>
  </w:style>
  <w:style w:type="paragraph" w:customStyle="1" w:styleId="zSoquijdatJuge">
    <w:name w:val="zSoquij_datJuge"/>
    <w:basedOn w:val="Normal"/>
    <w:pPr>
      <w:ind w:left="52"/>
    </w:pPr>
    <w:rPr>
      <w:b/>
    </w:rPr>
  </w:style>
  <w:style w:type="paragraph" w:customStyle="1" w:styleId="zSoquijdatNomPartieDem">
    <w:name w:val="zSoquij_datNomPartieDem"/>
    <w:basedOn w:val="Normal"/>
    <w:rPr>
      <w:b/>
      <w:bCs/>
    </w:rPr>
  </w:style>
  <w:style w:type="paragraph" w:customStyle="1" w:styleId="zSoquijdatQtePartieDem">
    <w:name w:val="zSoquij_datQtePartieDem"/>
    <w:basedOn w:val="Normal"/>
    <w:pPr>
      <w:ind w:left="708"/>
    </w:pPr>
  </w:style>
  <w:style w:type="paragraph" w:customStyle="1" w:styleId="zSoquijlblLienParties">
    <w:name w:val="zSoquij_lblLienParties"/>
    <w:basedOn w:val="Normal"/>
  </w:style>
  <w:style w:type="paragraph" w:customStyle="1" w:styleId="zSoquijdatNomPartieDef">
    <w:name w:val="zSoquij_datNomPartieDef"/>
    <w:basedOn w:val="Normal"/>
    <w:rPr>
      <w:b/>
      <w:bCs/>
    </w:rPr>
  </w:style>
  <w:style w:type="paragraph" w:customStyle="1" w:styleId="zSoquijdatQtePartieDef">
    <w:name w:val="zSoquij_datQtePartieDef"/>
    <w:basedOn w:val="Normal"/>
    <w:pPr>
      <w:ind w:left="708"/>
    </w:pPr>
  </w:style>
  <w:style w:type="paragraph" w:customStyle="1" w:styleId="zSoquijlblTypeDocument">
    <w:name w:val="zSoquij_lblTypeDocument"/>
    <w:basedOn w:val="Normal"/>
    <w:rsid w:val="00B203AC"/>
    <w:pPr>
      <w:jc w:val="center"/>
    </w:pPr>
    <w:rPr>
      <w:b/>
      <w:smallCaps/>
    </w:rPr>
  </w:style>
  <w:style w:type="paragraph" w:customStyle="1" w:styleId="zSoquijlblProcureurDem">
    <w:name w:val="zSoquij_lblProcureurDem"/>
    <w:basedOn w:val="Normal"/>
  </w:style>
  <w:style w:type="paragraph" w:customStyle="1" w:styleId="zSoquijlblProcureurDef">
    <w:name w:val="zSoquij_lblProcureurDef"/>
    <w:basedOn w:val="Normal"/>
  </w:style>
  <w:style w:type="paragraph" w:customStyle="1" w:styleId="zSoquijlblDateAudience">
    <w:name w:val="zSoquij_lblDateAudience"/>
    <w:basedOn w:val="Normal"/>
  </w:style>
  <w:style w:type="paragraph" w:customStyle="1" w:styleId="zSoquijdatDateAudience">
    <w:name w:val="zSoquij_datDateAudience"/>
    <w:basedOn w:val="Normal"/>
  </w:style>
  <w:style w:type="paragraph" w:customStyle="1" w:styleId="zSoquijlblNomChambre">
    <w:name w:val="zSoquij_lblNomChambre"/>
    <w:basedOn w:val="Normal"/>
  </w:style>
  <w:style w:type="paragraph" w:customStyle="1" w:styleId="zSoquijlblOpinionJuge">
    <w:name w:val="zSoquij_lblOpinionJuge"/>
    <w:basedOn w:val="Normal"/>
    <w:pPr>
      <w:tabs>
        <w:tab w:val="left" w:pos="720"/>
      </w:tabs>
      <w:jc w:val="center"/>
    </w:pPr>
  </w:style>
  <w:style w:type="character" w:customStyle="1" w:styleId="zSoquijlblEntNoDossier">
    <w:name w:val="zSoquij_lblEntNoDossier"/>
    <w:basedOn w:val="Policepardfaut"/>
    <w:rPr>
      <w:lang w:val="fr-CA"/>
    </w:rPr>
  </w:style>
  <w:style w:type="paragraph" w:customStyle="1" w:styleId="zSoquijlblTitrePartie">
    <w:name w:val="zSoquij_lblTitrePartie"/>
    <w:basedOn w:val="Normal"/>
  </w:style>
  <w:style w:type="paragraph" w:customStyle="1" w:styleId="zSoquijdatSignature3Juge">
    <w:name w:val="zSoquij_datSignature3Juge"/>
    <w:basedOn w:val="Normal"/>
  </w:style>
  <w:style w:type="paragraph" w:customStyle="1" w:styleId="ParagNonNum">
    <w:name w:val="ParagNonNum"/>
    <w:basedOn w:val="Paragraphe"/>
    <w:next w:val="Paragraphe"/>
    <w:pPr>
      <w:numPr>
        <w:numId w:val="0"/>
      </w:numPr>
      <w:ind w:firstLine="734"/>
    </w:pPr>
  </w:style>
  <w:style w:type="paragraph" w:customStyle="1" w:styleId="zSoquijdatIdJuge">
    <w:name w:val="zSoquij_datIdJuge"/>
    <w:basedOn w:val="Normal"/>
    <w:pPr>
      <w:jc w:val="center"/>
    </w:pPr>
    <w:rPr>
      <w:sz w:val="20"/>
    </w:rPr>
  </w:style>
  <w:style w:type="paragraph" w:customStyle="1" w:styleId="Sous-paragraphe">
    <w:name w:val="Sous-paragraphe"/>
    <w:basedOn w:val="Normal"/>
    <w:pPr>
      <w:widowControl w:val="0"/>
      <w:numPr>
        <w:ilvl w:val="1"/>
        <w:numId w:val="1"/>
      </w:numPr>
      <w:spacing w:after="120"/>
      <w:jc w:val="both"/>
    </w:pPr>
    <w:rPr>
      <w:kern w:val="28"/>
    </w:rPr>
  </w:style>
  <w:style w:type="paragraph" w:customStyle="1" w:styleId="zSoquijdatNomProcureurDem">
    <w:name w:val="zSoquij_datNomProcureurDem"/>
    <w:basedOn w:val="zSoquijlblProcureurDem"/>
  </w:style>
  <w:style w:type="paragraph" w:customStyle="1" w:styleId="zSoquijdatNomProcureurDef">
    <w:name w:val="zSoquij_datNomProcureurDef"/>
    <w:basedOn w:val="zSoquijlblProcureurDef"/>
  </w:style>
  <w:style w:type="paragraph" w:customStyle="1" w:styleId="zSoquijdatCabinetProcureurDem">
    <w:name w:val="zSoquij_datCabinetProcureurDem"/>
    <w:basedOn w:val="Normal"/>
  </w:style>
  <w:style w:type="paragraph" w:customStyle="1" w:styleId="zSoquijdatCabinetProcureurDef">
    <w:name w:val="zSoquij_datCabinetProcureurDef"/>
    <w:basedOn w:val="zSoquijlblProcureurDef"/>
  </w:style>
  <w:style w:type="paragraph" w:customStyle="1" w:styleId="zSoquijdatSignatureJuge1">
    <w:name w:val="zSoquij_datSignatureJuge1"/>
    <w:basedOn w:val="Normal"/>
  </w:style>
  <w:style w:type="paragraph" w:customStyle="1" w:styleId="zSoquijdatSignatureJuge2">
    <w:name w:val="zSoquij_datSignatureJuge2"/>
    <w:basedOn w:val="Normal"/>
  </w:style>
  <w:style w:type="paragraph" w:customStyle="1" w:styleId="zSoquijdatSignatureJuge3">
    <w:name w:val="zSoquij_datSignatureJuge3"/>
    <w:basedOn w:val="Normal"/>
  </w:style>
  <w:style w:type="paragraph" w:customStyle="1" w:styleId="zSoquijdatRepertorie">
    <w:name w:val="zSoquij_datRepertorie"/>
    <w:basedOn w:val="zSoquijlblCour"/>
    <w:pPr>
      <w:jc w:val="left"/>
    </w:pPr>
    <w:rPr>
      <w:noProof/>
      <w:sz w:val="22"/>
    </w:rPr>
  </w:style>
  <w:style w:type="paragraph" w:customStyle="1" w:styleId="zSoquijdatRefNeutre">
    <w:name w:val="zSoquij_datRefNeutre"/>
    <w:basedOn w:val="zSoquijlblCour"/>
    <w:pPr>
      <w:jc w:val="left"/>
    </w:pPr>
    <w:rPr>
      <w:noProof/>
      <w:sz w:val="22"/>
    </w:rPr>
  </w:style>
  <w:style w:type="paragraph" w:customStyle="1" w:styleId="zSoquijdatSignature2Juge">
    <w:name w:val="zSoquij_datSignature2Juge"/>
    <w:basedOn w:val="zSoquijdatSignatureJuge3"/>
  </w:style>
  <w:style w:type="paragraph" w:customStyle="1" w:styleId="ParagAlaMarge">
    <w:name w:val="ParagAlaMarge"/>
    <w:basedOn w:val="ParagNonNum"/>
    <w:next w:val="Paragraphe"/>
    <w:pPr>
      <w:ind w:firstLine="0"/>
    </w:pPr>
  </w:style>
  <w:style w:type="paragraph" w:customStyle="1" w:styleId="zSoquijlblAssesseurs">
    <w:name w:val="zSoquij_lblAssesseurs"/>
    <w:basedOn w:val="Normal"/>
    <w:pPr>
      <w:ind w:left="14" w:right="-67"/>
    </w:pPr>
  </w:style>
  <w:style w:type="paragraph" w:customStyle="1" w:styleId="zSoquijdatAssesseurs">
    <w:name w:val="zSoquij_datAssesseurs"/>
    <w:basedOn w:val="Normal"/>
    <w:pPr>
      <w:ind w:left="14" w:right="-67"/>
    </w:pPr>
  </w:style>
  <w:style w:type="paragraph" w:customStyle="1" w:styleId="zSoquijlblLocalite">
    <w:name w:val="zSoquij_lblLocalite"/>
    <w:basedOn w:val="zSoquijlblGreffe"/>
  </w:style>
  <w:style w:type="paragraph" w:customStyle="1" w:styleId="zSoquijdatLocalite">
    <w:name w:val="zSoquij_datLocalite"/>
    <w:basedOn w:val="zSoquijdatGreffe"/>
  </w:style>
  <w:style w:type="paragraph" w:customStyle="1" w:styleId="zSoquijlblNoDecision">
    <w:name w:val="zSoquij_lblNoDecision"/>
    <w:basedOn w:val="zSoquijlblNoDossier"/>
    <w:rsid w:val="00EB39E3"/>
  </w:style>
  <w:style w:type="paragraph" w:customStyle="1" w:styleId="zSoquijdatNoDecision">
    <w:name w:val="zSoquij_datNoDecision"/>
    <w:basedOn w:val="zSoquijdatNoDossier"/>
    <w:rsid w:val="00EB39E3"/>
  </w:style>
  <w:style w:type="paragraph" w:styleId="En-tte">
    <w:name w:val="header"/>
    <w:basedOn w:val="Normal"/>
    <w:rsid w:val="00B4030F"/>
    <w:pPr>
      <w:tabs>
        <w:tab w:val="center" w:pos="4320"/>
        <w:tab w:val="right" w:pos="8640"/>
      </w:tabs>
    </w:pPr>
  </w:style>
  <w:style w:type="paragraph" w:styleId="Pieddepage">
    <w:name w:val="footer"/>
    <w:basedOn w:val="Normal"/>
    <w:rsid w:val="00B4030F"/>
    <w:pPr>
      <w:tabs>
        <w:tab w:val="center" w:pos="4320"/>
        <w:tab w:val="right" w:pos="8640"/>
      </w:tabs>
    </w:pPr>
  </w:style>
  <w:style w:type="paragraph" w:customStyle="1" w:styleId="Citationendoubleretrait">
    <w:name w:val="Citation en double retrait"/>
    <w:basedOn w:val="Citationenretrait"/>
    <w:qFormat/>
    <w:rsid w:val="000976EC"/>
    <w:pPr>
      <w:ind w:left="992" w:right="992"/>
    </w:pPr>
  </w:style>
  <w:style w:type="paragraph" w:customStyle="1" w:styleId="zSoquijlblNosArticles">
    <w:name w:val="zSoquij_lblNosArticles"/>
    <w:basedOn w:val="zSoquijlblTypeDocument"/>
    <w:rsid w:val="00B203AC"/>
    <w:rPr>
      <w:b w:val="0"/>
      <w:smallCaps w:val="0"/>
    </w:rPr>
  </w:style>
  <w:style w:type="character" w:styleId="Appelnotedebasdep">
    <w:name w:val="footnote reference"/>
    <w:basedOn w:val="Policepardfaut"/>
    <w:uiPriority w:val="99"/>
    <w:rsid w:val="00BA3C47"/>
    <w:rPr>
      <w:vertAlign w:val="superscript"/>
    </w:rPr>
  </w:style>
  <w:style w:type="paragraph" w:styleId="Paragraphedeliste">
    <w:name w:val="List Paragraph"/>
    <w:basedOn w:val="Normal"/>
    <w:link w:val="ParagraphedelisteCar"/>
    <w:uiPriority w:val="34"/>
    <w:qFormat/>
    <w:rsid w:val="00C27938"/>
    <w:pPr>
      <w:spacing w:after="200"/>
      <w:ind w:left="720"/>
      <w:contextualSpacing/>
    </w:pPr>
    <w:rPr>
      <w:rFonts w:eastAsiaTheme="minorHAnsi" w:cstheme="minorBidi"/>
      <w:sz w:val="22"/>
      <w:szCs w:val="22"/>
      <w:lang w:eastAsia="en-US"/>
    </w:rPr>
  </w:style>
  <w:style w:type="character" w:styleId="Marquedecommentaire">
    <w:name w:val="annotation reference"/>
    <w:basedOn w:val="Policepardfaut"/>
    <w:rsid w:val="003B0182"/>
    <w:rPr>
      <w:sz w:val="16"/>
      <w:szCs w:val="16"/>
    </w:rPr>
  </w:style>
  <w:style w:type="paragraph" w:styleId="Commentaire">
    <w:name w:val="annotation text"/>
    <w:basedOn w:val="Normal"/>
    <w:link w:val="CommentaireCar"/>
    <w:rsid w:val="003B0182"/>
    <w:rPr>
      <w:sz w:val="20"/>
    </w:rPr>
  </w:style>
  <w:style w:type="character" w:customStyle="1" w:styleId="CommentaireCar">
    <w:name w:val="Commentaire Car"/>
    <w:basedOn w:val="Policepardfaut"/>
    <w:link w:val="Commentaire"/>
    <w:rsid w:val="003B0182"/>
    <w:rPr>
      <w:rFonts w:ascii="Arial" w:hAnsi="Arial"/>
      <w:lang w:eastAsia="fr-FR"/>
    </w:rPr>
  </w:style>
  <w:style w:type="paragraph" w:styleId="Objetducommentaire">
    <w:name w:val="annotation subject"/>
    <w:basedOn w:val="Commentaire"/>
    <w:next w:val="Commentaire"/>
    <w:link w:val="ObjetducommentaireCar"/>
    <w:rsid w:val="003B0182"/>
    <w:rPr>
      <w:b/>
      <w:bCs/>
    </w:rPr>
  </w:style>
  <w:style w:type="character" w:customStyle="1" w:styleId="ObjetducommentaireCar">
    <w:name w:val="Objet du commentaire Car"/>
    <w:basedOn w:val="CommentaireCar"/>
    <w:link w:val="Objetducommentaire"/>
    <w:rsid w:val="003B0182"/>
    <w:rPr>
      <w:rFonts w:ascii="Arial" w:hAnsi="Arial"/>
      <w:b/>
      <w:bCs/>
      <w:lang w:eastAsia="fr-FR"/>
    </w:rPr>
  </w:style>
  <w:style w:type="paragraph" w:styleId="Textedebulles">
    <w:name w:val="Balloon Text"/>
    <w:basedOn w:val="Normal"/>
    <w:link w:val="TextedebullesCar"/>
    <w:rsid w:val="003B0182"/>
    <w:rPr>
      <w:rFonts w:ascii="Tahoma" w:hAnsi="Tahoma" w:cs="Tahoma"/>
      <w:sz w:val="16"/>
      <w:szCs w:val="16"/>
    </w:rPr>
  </w:style>
  <w:style w:type="character" w:customStyle="1" w:styleId="TextedebullesCar">
    <w:name w:val="Texte de bulles Car"/>
    <w:basedOn w:val="Policepardfaut"/>
    <w:link w:val="Textedebulles"/>
    <w:rsid w:val="003B0182"/>
    <w:rPr>
      <w:rFonts w:ascii="Tahoma" w:hAnsi="Tahoma" w:cs="Tahoma"/>
      <w:sz w:val="16"/>
      <w:szCs w:val="16"/>
      <w:lang w:eastAsia="fr-FR"/>
    </w:rPr>
  </w:style>
  <w:style w:type="character" w:customStyle="1" w:styleId="fontstyle01">
    <w:name w:val="fontstyle01"/>
    <w:basedOn w:val="Policepardfaut"/>
    <w:rsid w:val="00C7097D"/>
    <w:rPr>
      <w:rFonts w:ascii="Helvetica" w:hAnsi="Helvetica" w:hint="default"/>
      <w:b w:val="0"/>
      <w:bCs w:val="0"/>
      <w:i w:val="0"/>
      <w:iCs w:val="0"/>
      <w:color w:val="000000"/>
      <w:sz w:val="24"/>
      <w:szCs w:val="24"/>
    </w:rPr>
  </w:style>
  <w:style w:type="paragraph" w:customStyle="1" w:styleId="paragraphe0">
    <w:name w:val="paragraphe"/>
    <w:basedOn w:val="Normal"/>
    <w:rsid w:val="009C3399"/>
    <w:pPr>
      <w:spacing w:before="100" w:beforeAutospacing="1" w:after="100" w:afterAutospacing="1"/>
    </w:pPr>
    <w:rPr>
      <w:rFonts w:ascii="Times New Roman" w:hAnsi="Times New Roman"/>
      <w:szCs w:val="24"/>
      <w:lang w:eastAsia="fr-CA"/>
    </w:rPr>
  </w:style>
  <w:style w:type="character" w:styleId="Lienhypertexte">
    <w:name w:val="Hyperlink"/>
    <w:basedOn w:val="Policepardfaut"/>
    <w:uiPriority w:val="99"/>
    <w:unhideWhenUsed/>
    <w:rsid w:val="009C3399"/>
    <w:rPr>
      <w:color w:val="0000FF"/>
      <w:u w:val="single"/>
    </w:rPr>
  </w:style>
  <w:style w:type="paragraph" w:customStyle="1" w:styleId="citationendoubleretrait0">
    <w:name w:val="citationendoubleretrait"/>
    <w:basedOn w:val="Normal"/>
    <w:rsid w:val="009C3399"/>
    <w:pPr>
      <w:spacing w:before="100" w:beforeAutospacing="1" w:after="100" w:afterAutospacing="1"/>
    </w:pPr>
    <w:rPr>
      <w:rFonts w:ascii="Times New Roman" w:hAnsi="Times New Roman"/>
      <w:szCs w:val="24"/>
      <w:lang w:eastAsia="fr-CA"/>
    </w:rPr>
  </w:style>
  <w:style w:type="character" w:customStyle="1" w:styleId="solexhl">
    <w:name w:val="solexhl"/>
    <w:basedOn w:val="Policepardfaut"/>
    <w:rsid w:val="00D10E75"/>
  </w:style>
  <w:style w:type="paragraph" w:customStyle="1" w:styleId="paragraphe00">
    <w:name w:val="paragraphe0"/>
    <w:basedOn w:val="Normal"/>
    <w:rsid w:val="00D10E75"/>
    <w:pPr>
      <w:spacing w:before="100" w:beforeAutospacing="1" w:after="100" w:afterAutospacing="1"/>
    </w:pPr>
    <w:rPr>
      <w:rFonts w:ascii="Times New Roman" w:hAnsi="Times New Roman"/>
      <w:szCs w:val="24"/>
      <w:lang w:eastAsia="fr-CA"/>
    </w:rPr>
  </w:style>
  <w:style w:type="character" w:customStyle="1" w:styleId="reflex3-block">
    <w:name w:val="reflex3-block"/>
    <w:basedOn w:val="Policepardfaut"/>
    <w:rsid w:val="00562C23"/>
  </w:style>
  <w:style w:type="character" w:customStyle="1" w:styleId="reflex3-alt">
    <w:name w:val="reflex3-alt"/>
    <w:basedOn w:val="Policepardfaut"/>
    <w:rsid w:val="00562C23"/>
  </w:style>
  <w:style w:type="character" w:customStyle="1" w:styleId="ParagrapheCar">
    <w:name w:val="Paragraphe Car"/>
    <w:link w:val="Paragraphe"/>
    <w:locked/>
    <w:rsid w:val="007916AC"/>
    <w:rPr>
      <w:rFonts w:ascii="Arial" w:hAnsi="Arial"/>
      <w:kern w:val="28"/>
      <w:sz w:val="24"/>
      <w:lang w:eastAsia="fr-FR"/>
    </w:rPr>
  </w:style>
  <w:style w:type="character" w:customStyle="1" w:styleId="NotedebasdepageCar">
    <w:name w:val="Note de bas de page Car"/>
    <w:link w:val="Notedebasdepage"/>
    <w:rsid w:val="007916AC"/>
    <w:rPr>
      <w:rFonts w:ascii="Arial" w:hAnsi="Arial"/>
      <w:lang w:eastAsia="fr-FR"/>
    </w:rPr>
  </w:style>
  <w:style w:type="character" w:customStyle="1" w:styleId="ParagraphedelisteCar">
    <w:name w:val="Paragraphe de liste Car"/>
    <w:basedOn w:val="Policepardfaut"/>
    <w:link w:val="Paragraphedeliste"/>
    <w:uiPriority w:val="34"/>
    <w:rsid w:val="00E50BA3"/>
    <w:rPr>
      <w:rFonts w:ascii="Arial" w:eastAsiaTheme="minorHAnsi" w:hAnsi="Arial" w:cstheme="minorBidi"/>
      <w:sz w:val="22"/>
      <w:szCs w:val="22"/>
      <w:lang w:eastAsia="en-US"/>
    </w:rPr>
  </w:style>
  <w:style w:type="paragraph" w:customStyle="1" w:styleId="noo">
    <w:name w:val="noo"/>
    <w:basedOn w:val="Normal"/>
    <w:rsid w:val="00E50BA3"/>
    <w:pPr>
      <w:numPr>
        <w:numId w:val="36"/>
      </w:numPr>
      <w:jc w:val="both"/>
    </w:pPr>
    <w:rPr>
      <w:rFonts w:cs="Arial"/>
      <w:sz w:val="22"/>
    </w:rPr>
  </w:style>
  <w:style w:type="character" w:customStyle="1" w:styleId="irofootnotereference">
    <w:name w:val="irofootnotereference"/>
    <w:basedOn w:val="Policepardfaut"/>
    <w:rsid w:val="00637805"/>
  </w:style>
  <w:style w:type="paragraph" w:customStyle="1" w:styleId="zsoquijlblprocureurdem0">
    <w:name w:val="zsoquijlblprocureurdem"/>
    <w:basedOn w:val="Normal"/>
    <w:rsid w:val="009506C2"/>
    <w:pPr>
      <w:spacing w:before="100" w:beforeAutospacing="1" w:after="100" w:afterAutospacing="1"/>
    </w:pPr>
    <w:rPr>
      <w:rFonts w:ascii="Times New Roman" w:hAnsi="Times New Roman"/>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04060">
      <w:bodyDiv w:val="1"/>
      <w:marLeft w:val="0"/>
      <w:marRight w:val="0"/>
      <w:marTop w:val="0"/>
      <w:marBottom w:val="0"/>
      <w:divBdr>
        <w:top w:val="none" w:sz="0" w:space="0" w:color="auto"/>
        <w:left w:val="none" w:sz="0" w:space="0" w:color="auto"/>
        <w:bottom w:val="none" w:sz="0" w:space="0" w:color="auto"/>
        <w:right w:val="none" w:sz="0" w:space="0" w:color="auto"/>
      </w:divBdr>
    </w:div>
    <w:div w:id="301741335">
      <w:bodyDiv w:val="1"/>
      <w:marLeft w:val="0"/>
      <w:marRight w:val="0"/>
      <w:marTop w:val="0"/>
      <w:marBottom w:val="0"/>
      <w:divBdr>
        <w:top w:val="none" w:sz="0" w:space="0" w:color="auto"/>
        <w:left w:val="none" w:sz="0" w:space="0" w:color="auto"/>
        <w:bottom w:val="none" w:sz="0" w:space="0" w:color="auto"/>
        <w:right w:val="none" w:sz="0" w:space="0" w:color="auto"/>
      </w:divBdr>
      <w:divsChild>
        <w:div w:id="363403704">
          <w:marLeft w:val="30"/>
          <w:marRight w:val="0"/>
          <w:marTop w:val="0"/>
          <w:marBottom w:val="0"/>
          <w:divBdr>
            <w:top w:val="none" w:sz="0" w:space="0" w:color="auto"/>
            <w:left w:val="none" w:sz="0" w:space="0" w:color="auto"/>
            <w:bottom w:val="none" w:sz="0" w:space="0" w:color="auto"/>
            <w:right w:val="none" w:sz="0" w:space="0" w:color="auto"/>
          </w:divBdr>
        </w:div>
        <w:div w:id="753359548">
          <w:marLeft w:val="30"/>
          <w:marRight w:val="0"/>
          <w:marTop w:val="0"/>
          <w:marBottom w:val="0"/>
          <w:divBdr>
            <w:top w:val="none" w:sz="0" w:space="0" w:color="auto"/>
            <w:left w:val="none" w:sz="0" w:space="0" w:color="auto"/>
            <w:bottom w:val="none" w:sz="0" w:space="0" w:color="auto"/>
            <w:right w:val="none" w:sz="0" w:space="0" w:color="auto"/>
          </w:divBdr>
        </w:div>
      </w:divsChild>
    </w:div>
    <w:div w:id="866334793">
      <w:bodyDiv w:val="1"/>
      <w:marLeft w:val="0"/>
      <w:marRight w:val="0"/>
      <w:marTop w:val="0"/>
      <w:marBottom w:val="0"/>
      <w:divBdr>
        <w:top w:val="none" w:sz="0" w:space="0" w:color="auto"/>
        <w:left w:val="none" w:sz="0" w:space="0" w:color="auto"/>
        <w:bottom w:val="none" w:sz="0" w:space="0" w:color="auto"/>
        <w:right w:val="none" w:sz="0" w:space="0" w:color="auto"/>
      </w:divBdr>
      <w:divsChild>
        <w:div w:id="844511388">
          <w:marLeft w:val="30"/>
          <w:marRight w:val="0"/>
          <w:marTop w:val="0"/>
          <w:marBottom w:val="0"/>
          <w:divBdr>
            <w:top w:val="none" w:sz="0" w:space="0" w:color="auto"/>
            <w:left w:val="none" w:sz="0" w:space="0" w:color="auto"/>
            <w:bottom w:val="none" w:sz="0" w:space="0" w:color="auto"/>
            <w:right w:val="none" w:sz="0" w:space="0" w:color="auto"/>
          </w:divBdr>
        </w:div>
        <w:div w:id="1294752028">
          <w:marLeft w:val="30"/>
          <w:marRight w:val="0"/>
          <w:marTop w:val="0"/>
          <w:marBottom w:val="0"/>
          <w:divBdr>
            <w:top w:val="none" w:sz="0" w:space="0" w:color="auto"/>
            <w:left w:val="none" w:sz="0" w:space="0" w:color="auto"/>
            <w:bottom w:val="none" w:sz="0" w:space="0" w:color="auto"/>
            <w:right w:val="none" w:sz="0" w:space="0" w:color="auto"/>
          </w:divBdr>
        </w:div>
      </w:divsChild>
    </w:div>
    <w:div w:id="965084508">
      <w:bodyDiv w:val="1"/>
      <w:marLeft w:val="0"/>
      <w:marRight w:val="0"/>
      <w:marTop w:val="0"/>
      <w:marBottom w:val="0"/>
      <w:divBdr>
        <w:top w:val="none" w:sz="0" w:space="0" w:color="auto"/>
        <w:left w:val="none" w:sz="0" w:space="0" w:color="auto"/>
        <w:bottom w:val="none" w:sz="0" w:space="0" w:color="auto"/>
        <w:right w:val="none" w:sz="0" w:space="0" w:color="auto"/>
      </w:divBdr>
      <w:divsChild>
        <w:div w:id="1337076202">
          <w:marLeft w:val="30"/>
          <w:marRight w:val="0"/>
          <w:marTop w:val="0"/>
          <w:marBottom w:val="0"/>
          <w:divBdr>
            <w:top w:val="none" w:sz="0" w:space="0" w:color="auto"/>
            <w:left w:val="none" w:sz="0" w:space="0" w:color="auto"/>
            <w:bottom w:val="none" w:sz="0" w:space="0" w:color="auto"/>
            <w:right w:val="none" w:sz="0" w:space="0" w:color="auto"/>
          </w:divBdr>
        </w:div>
        <w:div w:id="393889760">
          <w:marLeft w:val="30"/>
          <w:marRight w:val="0"/>
          <w:marTop w:val="0"/>
          <w:marBottom w:val="0"/>
          <w:divBdr>
            <w:top w:val="none" w:sz="0" w:space="0" w:color="auto"/>
            <w:left w:val="none" w:sz="0" w:space="0" w:color="auto"/>
            <w:bottom w:val="none" w:sz="0" w:space="0" w:color="auto"/>
            <w:right w:val="none" w:sz="0" w:space="0" w:color="auto"/>
          </w:divBdr>
        </w:div>
        <w:div w:id="1762221550">
          <w:marLeft w:val="30"/>
          <w:marRight w:val="0"/>
          <w:marTop w:val="0"/>
          <w:marBottom w:val="0"/>
          <w:divBdr>
            <w:top w:val="none" w:sz="0" w:space="0" w:color="auto"/>
            <w:left w:val="none" w:sz="0" w:space="0" w:color="auto"/>
            <w:bottom w:val="none" w:sz="0" w:space="0" w:color="auto"/>
            <w:right w:val="none" w:sz="0" w:space="0" w:color="auto"/>
          </w:divBdr>
        </w:div>
        <w:div w:id="303198793">
          <w:marLeft w:val="30"/>
          <w:marRight w:val="0"/>
          <w:marTop w:val="0"/>
          <w:marBottom w:val="0"/>
          <w:divBdr>
            <w:top w:val="none" w:sz="0" w:space="0" w:color="auto"/>
            <w:left w:val="none" w:sz="0" w:space="0" w:color="auto"/>
            <w:bottom w:val="none" w:sz="0" w:space="0" w:color="auto"/>
            <w:right w:val="none" w:sz="0" w:space="0" w:color="auto"/>
          </w:divBdr>
        </w:div>
        <w:div w:id="327052057">
          <w:marLeft w:val="30"/>
          <w:marRight w:val="0"/>
          <w:marTop w:val="0"/>
          <w:marBottom w:val="0"/>
          <w:divBdr>
            <w:top w:val="none" w:sz="0" w:space="0" w:color="auto"/>
            <w:left w:val="none" w:sz="0" w:space="0" w:color="auto"/>
            <w:bottom w:val="none" w:sz="0" w:space="0" w:color="auto"/>
            <w:right w:val="none" w:sz="0" w:space="0" w:color="auto"/>
          </w:divBdr>
        </w:div>
        <w:div w:id="1384400541">
          <w:marLeft w:val="30"/>
          <w:marRight w:val="0"/>
          <w:marTop w:val="0"/>
          <w:marBottom w:val="0"/>
          <w:divBdr>
            <w:top w:val="none" w:sz="0" w:space="0" w:color="auto"/>
            <w:left w:val="none" w:sz="0" w:space="0" w:color="auto"/>
            <w:bottom w:val="none" w:sz="0" w:space="0" w:color="auto"/>
            <w:right w:val="none" w:sz="0" w:space="0" w:color="auto"/>
          </w:divBdr>
        </w:div>
        <w:div w:id="2139757425">
          <w:marLeft w:val="30"/>
          <w:marRight w:val="0"/>
          <w:marTop w:val="0"/>
          <w:marBottom w:val="0"/>
          <w:divBdr>
            <w:top w:val="none" w:sz="0" w:space="0" w:color="auto"/>
            <w:left w:val="none" w:sz="0" w:space="0" w:color="auto"/>
            <w:bottom w:val="none" w:sz="0" w:space="0" w:color="auto"/>
            <w:right w:val="none" w:sz="0" w:space="0" w:color="auto"/>
          </w:divBdr>
        </w:div>
        <w:div w:id="1448425553">
          <w:marLeft w:val="30"/>
          <w:marRight w:val="0"/>
          <w:marTop w:val="0"/>
          <w:marBottom w:val="0"/>
          <w:divBdr>
            <w:top w:val="none" w:sz="0" w:space="0" w:color="auto"/>
            <w:left w:val="none" w:sz="0" w:space="0" w:color="auto"/>
            <w:bottom w:val="none" w:sz="0" w:space="0" w:color="auto"/>
            <w:right w:val="none" w:sz="0" w:space="0" w:color="auto"/>
          </w:divBdr>
        </w:div>
        <w:div w:id="85199694">
          <w:marLeft w:val="30"/>
          <w:marRight w:val="0"/>
          <w:marTop w:val="0"/>
          <w:marBottom w:val="0"/>
          <w:divBdr>
            <w:top w:val="none" w:sz="0" w:space="0" w:color="auto"/>
            <w:left w:val="none" w:sz="0" w:space="0" w:color="auto"/>
            <w:bottom w:val="none" w:sz="0" w:space="0" w:color="auto"/>
            <w:right w:val="none" w:sz="0" w:space="0" w:color="auto"/>
          </w:divBdr>
        </w:div>
        <w:div w:id="769739826">
          <w:marLeft w:val="30"/>
          <w:marRight w:val="0"/>
          <w:marTop w:val="0"/>
          <w:marBottom w:val="0"/>
          <w:divBdr>
            <w:top w:val="none" w:sz="0" w:space="0" w:color="auto"/>
            <w:left w:val="none" w:sz="0" w:space="0" w:color="auto"/>
            <w:bottom w:val="none" w:sz="0" w:space="0" w:color="auto"/>
            <w:right w:val="none" w:sz="0" w:space="0" w:color="auto"/>
          </w:divBdr>
        </w:div>
        <w:div w:id="711735067">
          <w:marLeft w:val="30"/>
          <w:marRight w:val="0"/>
          <w:marTop w:val="0"/>
          <w:marBottom w:val="0"/>
          <w:divBdr>
            <w:top w:val="none" w:sz="0" w:space="0" w:color="auto"/>
            <w:left w:val="none" w:sz="0" w:space="0" w:color="auto"/>
            <w:bottom w:val="none" w:sz="0" w:space="0" w:color="auto"/>
            <w:right w:val="none" w:sz="0" w:space="0" w:color="auto"/>
          </w:divBdr>
        </w:div>
        <w:div w:id="317999797">
          <w:marLeft w:val="30"/>
          <w:marRight w:val="0"/>
          <w:marTop w:val="0"/>
          <w:marBottom w:val="0"/>
          <w:divBdr>
            <w:top w:val="none" w:sz="0" w:space="0" w:color="auto"/>
            <w:left w:val="none" w:sz="0" w:space="0" w:color="auto"/>
            <w:bottom w:val="none" w:sz="0" w:space="0" w:color="auto"/>
            <w:right w:val="none" w:sz="0" w:space="0" w:color="auto"/>
          </w:divBdr>
        </w:div>
        <w:div w:id="364522737">
          <w:marLeft w:val="30"/>
          <w:marRight w:val="0"/>
          <w:marTop w:val="0"/>
          <w:marBottom w:val="0"/>
          <w:divBdr>
            <w:top w:val="none" w:sz="0" w:space="0" w:color="auto"/>
            <w:left w:val="none" w:sz="0" w:space="0" w:color="auto"/>
            <w:bottom w:val="none" w:sz="0" w:space="0" w:color="auto"/>
            <w:right w:val="none" w:sz="0" w:space="0" w:color="auto"/>
          </w:divBdr>
        </w:div>
        <w:div w:id="777679464">
          <w:marLeft w:val="30"/>
          <w:marRight w:val="0"/>
          <w:marTop w:val="0"/>
          <w:marBottom w:val="0"/>
          <w:divBdr>
            <w:top w:val="none" w:sz="0" w:space="0" w:color="auto"/>
            <w:left w:val="none" w:sz="0" w:space="0" w:color="auto"/>
            <w:bottom w:val="none" w:sz="0" w:space="0" w:color="auto"/>
            <w:right w:val="none" w:sz="0" w:space="0" w:color="auto"/>
          </w:divBdr>
        </w:div>
        <w:div w:id="968820644">
          <w:marLeft w:val="30"/>
          <w:marRight w:val="0"/>
          <w:marTop w:val="0"/>
          <w:marBottom w:val="0"/>
          <w:divBdr>
            <w:top w:val="none" w:sz="0" w:space="0" w:color="auto"/>
            <w:left w:val="none" w:sz="0" w:space="0" w:color="auto"/>
            <w:bottom w:val="none" w:sz="0" w:space="0" w:color="auto"/>
            <w:right w:val="none" w:sz="0" w:space="0" w:color="auto"/>
          </w:divBdr>
        </w:div>
      </w:divsChild>
    </w:div>
    <w:div w:id="1100220955">
      <w:bodyDiv w:val="1"/>
      <w:marLeft w:val="0"/>
      <w:marRight w:val="0"/>
      <w:marTop w:val="0"/>
      <w:marBottom w:val="0"/>
      <w:divBdr>
        <w:top w:val="none" w:sz="0" w:space="0" w:color="auto"/>
        <w:left w:val="none" w:sz="0" w:space="0" w:color="auto"/>
        <w:bottom w:val="none" w:sz="0" w:space="0" w:color="auto"/>
        <w:right w:val="none" w:sz="0" w:space="0" w:color="auto"/>
      </w:divBdr>
      <w:divsChild>
        <w:div w:id="1053846645">
          <w:marLeft w:val="30"/>
          <w:marRight w:val="0"/>
          <w:marTop w:val="0"/>
          <w:marBottom w:val="0"/>
          <w:divBdr>
            <w:top w:val="none" w:sz="0" w:space="0" w:color="auto"/>
            <w:left w:val="none" w:sz="0" w:space="0" w:color="auto"/>
            <w:bottom w:val="none" w:sz="0" w:space="0" w:color="auto"/>
            <w:right w:val="none" w:sz="0" w:space="0" w:color="auto"/>
          </w:divBdr>
        </w:div>
        <w:div w:id="1617904665">
          <w:marLeft w:val="30"/>
          <w:marRight w:val="0"/>
          <w:marTop w:val="0"/>
          <w:marBottom w:val="0"/>
          <w:divBdr>
            <w:top w:val="none" w:sz="0" w:space="0" w:color="auto"/>
            <w:left w:val="none" w:sz="0" w:space="0" w:color="auto"/>
            <w:bottom w:val="none" w:sz="0" w:space="0" w:color="auto"/>
            <w:right w:val="none" w:sz="0" w:space="0" w:color="auto"/>
          </w:divBdr>
        </w:div>
        <w:div w:id="170682418">
          <w:marLeft w:val="30"/>
          <w:marRight w:val="0"/>
          <w:marTop w:val="0"/>
          <w:marBottom w:val="0"/>
          <w:divBdr>
            <w:top w:val="none" w:sz="0" w:space="0" w:color="auto"/>
            <w:left w:val="none" w:sz="0" w:space="0" w:color="auto"/>
            <w:bottom w:val="none" w:sz="0" w:space="0" w:color="auto"/>
            <w:right w:val="none" w:sz="0" w:space="0" w:color="auto"/>
          </w:divBdr>
        </w:div>
        <w:div w:id="1653555586">
          <w:marLeft w:val="30"/>
          <w:marRight w:val="0"/>
          <w:marTop w:val="0"/>
          <w:marBottom w:val="0"/>
          <w:divBdr>
            <w:top w:val="none" w:sz="0" w:space="0" w:color="auto"/>
            <w:left w:val="none" w:sz="0" w:space="0" w:color="auto"/>
            <w:bottom w:val="none" w:sz="0" w:space="0" w:color="auto"/>
            <w:right w:val="none" w:sz="0" w:space="0" w:color="auto"/>
          </w:divBdr>
        </w:div>
      </w:divsChild>
    </w:div>
    <w:div w:id="1290013968">
      <w:bodyDiv w:val="1"/>
      <w:marLeft w:val="0"/>
      <w:marRight w:val="0"/>
      <w:marTop w:val="0"/>
      <w:marBottom w:val="0"/>
      <w:divBdr>
        <w:top w:val="none" w:sz="0" w:space="0" w:color="auto"/>
        <w:left w:val="none" w:sz="0" w:space="0" w:color="auto"/>
        <w:bottom w:val="none" w:sz="0" w:space="0" w:color="auto"/>
        <w:right w:val="none" w:sz="0" w:space="0" w:color="auto"/>
      </w:divBdr>
    </w:div>
    <w:div w:id="1324237588">
      <w:bodyDiv w:val="1"/>
      <w:marLeft w:val="0"/>
      <w:marRight w:val="0"/>
      <w:marTop w:val="0"/>
      <w:marBottom w:val="0"/>
      <w:divBdr>
        <w:top w:val="none" w:sz="0" w:space="0" w:color="auto"/>
        <w:left w:val="none" w:sz="0" w:space="0" w:color="auto"/>
        <w:bottom w:val="none" w:sz="0" w:space="0" w:color="auto"/>
        <w:right w:val="none" w:sz="0" w:space="0" w:color="auto"/>
      </w:divBdr>
      <w:divsChild>
        <w:div w:id="581987069">
          <w:marLeft w:val="30"/>
          <w:marRight w:val="0"/>
          <w:marTop w:val="0"/>
          <w:marBottom w:val="0"/>
          <w:divBdr>
            <w:top w:val="none" w:sz="0" w:space="0" w:color="auto"/>
            <w:left w:val="none" w:sz="0" w:space="0" w:color="auto"/>
            <w:bottom w:val="none" w:sz="0" w:space="0" w:color="auto"/>
            <w:right w:val="none" w:sz="0" w:space="0" w:color="auto"/>
          </w:divBdr>
        </w:div>
        <w:div w:id="406193111">
          <w:marLeft w:val="30"/>
          <w:marRight w:val="0"/>
          <w:marTop w:val="0"/>
          <w:marBottom w:val="0"/>
          <w:divBdr>
            <w:top w:val="none" w:sz="0" w:space="0" w:color="auto"/>
            <w:left w:val="none" w:sz="0" w:space="0" w:color="auto"/>
            <w:bottom w:val="none" w:sz="0" w:space="0" w:color="auto"/>
            <w:right w:val="none" w:sz="0" w:space="0" w:color="auto"/>
          </w:divBdr>
        </w:div>
        <w:div w:id="1288926982">
          <w:marLeft w:val="30"/>
          <w:marRight w:val="0"/>
          <w:marTop w:val="0"/>
          <w:marBottom w:val="0"/>
          <w:divBdr>
            <w:top w:val="none" w:sz="0" w:space="0" w:color="auto"/>
            <w:left w:val="none" w:sz="0" w:space="0" w:color="auto"/>
            <w:bottom w:val="none" w:sz="0" w:space="0" w:color="auto"/>
            <w:right w:val="none" w:sz="0" w:space="0" w:color="auto"/>
          </w:divBdr>
        </w:div>
      </w:divsChild>
    </w:div>
    <w:div w:id="1470902900">
      <w:bodyDiv w:val="1"/>
      <w:marLeft w:val="0"/>
      <w:marRight w:val="0"/>
      <w:marTop w:val="0"/>
      <w:marBottom w:val="0"/>
      <w:divBdr>
        <w:top w:val="none" w:sz="0" w:space="0" w:color="auto"/>
        <w:left w:val="none" w:sz="0" w:space="0" w:color="auto"/>
        <w:bottom w:val="none" w:sz="0" w:space="0" w:color="auto"/>
        <w:right w:val="none" w:sz="0" w:space="0" w:color="auto"/>
      </w:divBdr>
    </w:div>
    <w:div w:id="1530214150">
      <w:bodyDiv w:val="1"/>
      <w:marLeft w:val="0"/>
      <w:marRight w:val="0"/>
      <w:marTop w:val="0"/>
      <w:marBottom w:val="0"/>
      <w:divBdr>
        <w:top w:val="none" w:sz="0" w:space="0" w:color="auto"/>
        <w:left w:val="none" w:sz="0" w:space="0" w:color="auto"/>
        <w:bottom w:val="none" w:sz="0" w:space="0" w:color="auto"/>
        <w:right w:val="none" w:sz="0" w:space="0" w:color="auto"/>
      </w:divBdr>
    </w:div>
    <w:div w:id="1570385810">
      <w:bodyDiv w:val="1"/>
      <w:marLeft w:val="0"/>
      <w:marRight w:val="0"/>
      <w:marTop w:val="0"/>
      <w:marBottom w:val="0"/>
      <w:divBdr>
        <w:top w:val="none" w:sz="0" w:space="0" w:color="auto"/>
        <w:left w:val="none" w:sz="0" w:space="0" w:color="auto"/>
        <w:bottom w:val="none" w:sz="0" w:space="0" w:color="auto"/>
        <w:right w:val="none" w:sz="0" w:space="0" w:color="auto"/>
      </w:divBdr>
    </w:div>
    <w:div w:id="1602453392">
      <w:bodyDiv w:val="1"/>
      <w:marLeft w:val="0"/>
      <w:marRight w:val="0"/>
      <w:marTop w:val="0"/>
      <w:marBottom w:val="0"/>
      <w:divBdr>
        <w:top w:val="none" w:sz="0" w:space="0" w:color="auto"/>
        <w:left w:val="none" w:sz="0" w:space="0" w:color="auto"/>
        <w:bottom w:val="none" w:sz="0" w:space="0" w:color="auto"/>
        <w:right w:val="none" w:sz="0" w:space="0" w:color="auto"/>
      </w:divBdr>
    </w:div>
    <w:div w:id="1974209468">
      <w:bodyDiv w:val="1"/>
      <w:marLeft w:val="0"/>
      <w:marRight w:val="0"/>
      <w:marTop w:val="0"/>
      <w:marBottom w:val="0"/>
      <w:divBdr>
        <w:top w:val="none" w:sz="0" w:space="0" w:color="auto"/>
        <w:left w:val="none" w:sz="0" w:space="0" w:color="auto"/>
        <w:bottom w:val="none" w:sz="0" w:space="0" w:color="auto"/>
        <w:right w:val="none" w:sz="0" w:space="0" w:color="auto"/>
      </w:divBdr>
    </w:div>
    <w:div w:id="211373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9609D-95CC-4203-A464-58ED8DC37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1824</Words>
  <Characters>10036</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2022-04-12T14:13:00Z</dcterms:created>
  <dcterms:modified xsi:type="dcterms:W3CDTF">2022-04-12T16:37:00Z</dcterms:modified>
  <cp:category/>
</cp:coreProperties>
</file>