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FF6BB" w14:textId="6611B348" w:rsidR="00FB445A" w:rsidRDefault="00FB445A">
      <w:r w:rsidRPr="00C46B65">
        <w:rPr>
          <w:b/>
          <w:lang w:val="en-US"/>
        </w:rPr>
        <w:t>Unofficial English Translation of the Judgment of</w:t>
      </w:r>
      <w:bookmarkStart w:id="0" w:name="_GoBack"/>
      <w:bookmarkEnd w:id="0"/>
      <w:r w:rsidRPr="00C46B65">
        <w:rPr>
          <w:b/>
          <w:lang w:val="en-US"/>
        </w:rPr>
        <w:t xml:space="preserve"> the Court</w:t>
      </w:r>
    </w:p>
    <w:tbl>
      <w:tblPr>
        <w:tblW w:w="9621" w:type="dxa"/>
        <w:tblLayout w:type="fixed"/>
        <w:tblCellMar>
          <w:left w:w="0" w:type="dxa"/>
          <w:right w:w="0" w:type="dxa"/>
        </w:tblCellMar>
        <w:tblLook w:val="0000" w:firstRow="0" w:lastRow="0" w:firstColumn="0" w:lastColumn="0" w:noHBand="0" w:noVBand="0"/>
      </w:tblPr>
      <w:tblGrid>
        <w:gridCol w:w="1030"/>
        <w:gridCol w:w="671"/>
        <w:gridCol w:w="180"/>
        <w:gridCol w:w="2350"/>
        <w:gridCol w:w="3402"/>
        <w:gridCol w:w="1988"/>
      </w:tblGrid>
      <w:tr w:rsidR="00713DD5" w:rsidRPr="00825408" w14:paraId="35E1E172" w14:textId="77777777" w:rsidTr="00DD6E04">
        <w:trPr>
          <w:trHeight w:val="248"/>
        </w:trPr>
        <w:tc>
          <w:tcPr>
            <w:tcW w:w="7633" w:type="dxa"/>
            <w:gridSpan w:val="5"/>
          </w:tcPr>
          <w:p w14:paraId="55983C16" w14:textId="77777777" w:rsidR="008F364A" w:rsidRPr="0067183F" w:rsidRDefault="001D4908" w:rsidP="001D4908">
            <w:pPr>
              <w:pStyle w:val="zSoquijdatRepertorie"/>
              <w:rPr>
                <w:rFonts w:cs="Arial"/>
                <w:lang w:val="en-US"/>
              </w:rPr>
            </w:pPr>
            <w:proofErr w:type="spellStart"/>
            <w:r w:rsidRPr="0067183F">
              <w:rPr>
                <w:rFonts w:cs="Arial"/>
                <w:lang w:val="en-US"/>
              </w:rPr>
              <w:t>Freddi</w:t>
            </w:r>
            <w:proofErr w:type="spellEnd"/>
            <w:r w:rsidRPr="0067183F">
              <w:rPr>
                <w:rFonts w:cs="Arial"/>
                <w:lang w:val="en-US"/>
              </w:rPr>
              <w:t xml:space="preserve"> c. R.</w:t>
            </w:r>
          </w:p>
        </w:tc>
        <w:tc>
          <w:tcPr>
            <w:tcW w:w="1988" w:type="dxa"/>
          </w:tcPr>
          <w:p w14:paraId="4C46095C" w14:textId="77777777" w:rsidR="008F364A" w:rsidRPr="0067183F" w:rsidRDefault="00BE020D" w:rsidP="00BE020D">
            <w:pPr>
              <w:pStyle w:val="zSoquijdatRefNeutre"/>
              <w:jc w:val="right"/>
              <w:rPr>
                <w:rFonts w:cs="Arial"/>
                <w:lang w:val="en-US"/>
              </w:rPr>
            </w:pPr>
            <w:r w:rsidRPr="0067183F">
              <w:rPr>
                <w:rFonts w:cs="Arial"/>
                <w:lang w:val="en-US"/>
              </w:rPr>
              <w:t>2021 QCCA 249</w:t>
            </w:r>
          </w:p>
        </w:tc>
      </w:tr>
      <w:tr w:rsidR="00713DD5" w:rsidRPr="00825408" w14:paraId="52A2BC6E" w14:textId="77777777" w:rsidTr="00DD6E04">
        <w:trPr>
          <w:trHeight w:val="247"/>
        </w:trPr>
        <w:tc>
          <w:tcPr>
            <w:tcW w:w="9621" w:type="dxa"/>
            <w:gridSpan w:val="6"/>
          </w:tcPr>
          <w:p w14:paraId="35928FC8" w14:textId="77777777" w:rsidR="008F364A" w:rsidRPr="00825408" w:rsidRDefault="001D4908">
            <w:pPr>
              <w:pStyle w:val="zSoquijlblCour"/>
              <w:rPr>
                <w:lang w:val="en-US"/>
              </w:rPr>
            </w:pPr>
            <w:r w:rsidRPr="00825408">
              <w:rPr>
                <w:lang w:val="en-US"/>
              </w:rPr>
              <w:t>COUR</w:t>
            </w:r>
            <w:r w:rsidR="00DD6E04" w:rsidRPr="00825408">
              <w:rPr>
                <w:lang w:val="en-US"/>
              </w:rPr>
              <w:t xml:space="preserve">T OF </w:t>
            </w:r>
            <w:r w:rsidRPr="00825408">
              <w:rPr>
                <w:lang w:val="en-US"/>
              </w:rPr>
              <w:t>APPE</w:t>
            </w:r>
            <w:r w:rsidR="00DD6E04" w:rsidRPr="00825408">
              <w:rPr>
                <w:lang w:val="en-US"/>
              </w:rPr>
              <w:t>A</w:t>
            </w:r>
            <w:r w:rsidRPr="00825408">
              <w:rPr>
                <w:lang w:val="en-US"/>
              </w:rPr>
              <w:t>L</w:t>
            </w:r>
          </w:p>
        </w:tc>
      </w:tr>
      <w:tr w:rsidR="00713DD5" w:rsidRPr="00825408" w14:paraId="18E953D2" w14:textId="77777777" w:rsidTr="00DD6E04">
        <w:trPr>
          <w:trHeight w:val="540"/>
        </w:trPr>
        <w:tc>
          <w:tcPr>
            <w:tcW w:w="9621" w:type="dxa"/>
            <w:gridSpan w:val="6"/>
          </w:tcPr>
          <w:p w14:paraId="48239A75" w14:textId="77777777" w:rsidR="008F364A" w:rsidRPr="00825408" w:rsidRDefault="008F364A">
            <w:pPr>
              <w:pStyle w:val="zSoquijdatDivision"/>
              <w:rPr>
                <w:lang w:val="en-US"/>
              </w:rPr>
            </w:pPr>
          </w:p>
        </w:tc>
      </w:tr>
      <w:tr w:rsidR="00713DD5" w:rsidRPr="00825408" w14:paraId="4A07D8BC" w14:textId="77777777" w:rsidTr="00DD6E04">
        <w:tc>
          <w:tcPr>
            <w:tcW w:w="9621" w:type="dxa"/>
            <w:gridSpan w:val="6"/>
          </w:tcPr>
          <w:p w14:paraId="4A41668C" w14:textId="77777777" w:rsidR="008F364A" w:rsidRPr="00825408" w:rsidRDefault="001D4908">
            <w:pPr>
              <w:pStyle w:val="zSoquijlblPays"/>
              <w:rPr>
                <w:lang w:val="en-US"/>
              </w:rPr>
            </w:pPr>
            <w:r w:rsidRPr="00825408">
              <w:rPr>
                <w:lang w:val="en-US"/>
              </w:rPr>
              <w:t>CANADA</w:t>
            </w:r>
          </w:p>
        </w:tc>
      </w:tr>
      <w:tr w:rsidR="00713DD5" w:rsidRPr="00825408" w14:paraId="205BAEF6" w14:textId="77777777" w:rsidTr="00DD6E04">
        <w:tc>
          <w:tcPr>
            <w:tcW w:w="9621" w:type="dxa"/>
            <w:gridSpan w:val="6"/>
          </w:tcPr>
          <w:p w14:paraId="2A126FE7" w14:textId="77777777" w:rsidR="008F364A" w:rsidRPr="00825408" w:rsidRDefault="00DD6E04">
            <w:pPr>
              <w:pStyle w:val="zSoquijlblProvince"/>
              <w:rPr>
                <w:lang w:val="en-US"/>
              </w:rPr>
            </w:pPr>
            <w:r w:rsidRPr="00825408">
              <w:rPr>
                <w:lang w:val="en-US"/>
              </w:rPr>
              <w:t>PROVINCE OF QUE</w:t>
            </w:r>
            <w:r w:rsidR="001D4908" w:rsidRPr="00825408">
              <w:rPr>
                <w:lang w:val="en-US"/>
              </w:rPr>
              <w:t>BEC</w:t>
            </w:r>
          </w:p>
        </w:tc>
      </w:tr>
      <w:tr w:rsidR="00713DD5" w:rsidRPr="00825408" w14:paraId="480686ED" w14:textId="77777777" w:rsidTr="00DD6E04">
        <w:tc>
          <w:tcPr>
            <w:tcW w:w="1701" w:type="dxa"/>
            <w:gridSpan w:val="2"/>
          </w:tcPr>
          <w:p w14:paraId="7853D620" w14:textId="77777777" w:rsidR="008F364A" w:rsidRPr="00825408" w:rsidRDefault="00DD6E04">
            <w:pPr>
              <w:pStyle w:val="zSoquijlblGreffe"/>
              <w:rPr>
                <w:lang w:val="en-US"/>
              </w:rPr>
            </w:pPr>
            <w:r w:rsidRPr="00825408">
              <w:rPr>
                <w:lang w:val="en-US"/>
              </w:rPr>
              <w:t xml:space="preserve">REGISTRY OF </w:t>
            </w:r>
          </w:p>
          <w:p w14:paraId="434A83C2" w14:textId="77777777" w:rsidR="008F364A" w:rsidRPr="00825408" w:rsidRDefault="008F364A">
            <w:pPr>
              <w:pStyle w:val="zSoquijlblGreffe"/>
              <w:rPr>
                <w:lang w:val="en-US"/>
              </w:rPr>
            </w:pPr>
          </w:p>
        </w:tc>
        <w:tc>
          <w:tcPr>
            <w:tcW w:w="7920" w:type="dxa"/>
            <w:gridSpan w:val="4"/>
          </w:tcPr>
          <w:p w14:paraId="1CAD8651" w14:textId="77777777" w:rsidR="008F364A" w:rsidRPr="00825408" w:rsidRDefault="00DD6E04" w:rsidP="00DD6E04">
            <w:pPr>
              <w:pStyle w:val="zSoquijdatGreffe"/>
              <w:ind w:left="545" w:hanging="545"/>
              <w:rPr>
                <w:lang w:val="en-US"/>
              </w:rPr>
            </w:pPr>
            <w:bookmarkStart w:id="1" w:name="NomGreffe"/>
            <w:r w:rsidRPr="00825408">
              <w:rPr>
                <w:lang w:val="en-US"/>
              </w:rPr>
              <w:t>MONTRE</w:t>
            </w:r>
            <w:r w:rsidR="001D4908" w:rsidRPr="00825408">
              <w:rPr>
                <w:lang w:val="en-US"/>
              </w:rPr>
              <w:t>AL</w:t>
            </w:r>
            <w:bookmarkEnd w:id="1"/>
          </w:p>
        </w:tc>
      </w:tr>
      <w:tr w:rsidR="00713DD5" w:rsidRPr="00825408" w14:paraId="0D93C197" w14:textId="77777777" w:rsidTr="00DD6E04">
        <w:tc>
          <w:tcPr>
            <w:tcW w:w="1030" w:type="dxa"/>
          </w:tcPr>
          <w:p w14:paraId="3D730019" w14:textId="77777777" w:rsidR="008F364A" w:rsidRPr="00825408" w:rsidRDefault="00DD6E04">
            <w:pPr>
              <w:pStyle w:val="zSoquijlblNoDossier"/>
              <w:rPr>
                <w:lang w:val="en-US"/>
              </w:rPr>
            </w:pPr>
            <w:r w:rsidRPr="00825408">
              <w:rPr>
                <w:lang w:val="en-US"/>
              </w:rPr>
              <w:t>No.</w:t>
            </w:r>
            <w:r w:rsidR="001D4908" w:rsidRPr="00825408">
              <w:rPr>
                <w:lang w:val="en-US"/>
              </w:rPr>
              <w:t>:</w:t>
            </w:r>
          </w:p>
        </w:tc>
        <w:tc>
          <w:tcPr>
            <w:tcW w:w="8591" w:type="dxa"/>
            <w:gridSpan w:val="5"/>
          </w:tcPr>
          <w:p w14:paraId="7FD79C4A" w14:textId="77777777" w:rsidR="008F364A" w:rsidRPr="00825408" w:rsidRDefault="001D4908">
            <w:pPr>
              <w:pStyle w:val="zSoquijdatNoDossier"/>
              <w:rPr>
                <w:lang w:val="en-US"/>
              </w:rPr>
            </w:pPr>
            <w:bookmarkStart w:id="2" w:name="NoDossier"/>
            <w:r w:rsidRPr="00825408">
              <w:rPr>
                <w:lang w:val="en-US"/>
              </w:rPr>
              <w:t>500-10-006845-182</w:t>
            </w:r>
            <w:bookmarkEnd w:id="2"/>
          </w:p>
        </w:tc>
      </w:tr>
      <w:tr w:rsidR="00713DD5" w:rsidRPr="00825408" w14:paraId="09EB6105" w14:textId="77777777" w:rsidTr="00DD6E04">
        <w:tc>
          <w:tcPr>
            <w:tcW w:w="9621" w:type="dxa"/>
            <w:gridSpan w:val="6"/>
          </w:tcPr>
          <w:p w14:paraId="78767753" w14:textId="77777777" w:rsidR="00B13B50" w:rsidRPr="00825408" w:rsidRDefault="001D4908" w:rsidP="00B13B50">
            <w:pPr>
              <w:pStyle w:val="zSoquijdatNoDossierAnt"/>
              <w:rPr>
                <w:lang w:val="en-US"/>
              </w:rPr>
            </w:pPr>
            <w:r w:rsidRPr="00825408">
              <w:rPr>
                <w:lang w:val="en-US"/>
              </w:rPr>
              <w:t>(500-36-008577-176</w:t>
            </w:r>
            <w:r w:rsidR="002A1208" w:rsidRPr="00825408">
              <w:rPr>
                <w:lang w:val="en-US"/>
              </w:rPr>
              <w:t>, 500-01-127663-158</w:t>
            </w:r>
            <w:r w:rsidRPr="00825408">
              <w:rPr>
                <w:lang w:val="en-US"/>
              </w:rPr>
              <w:t>)</w:t>
            </w:r>
          </w:p>
          <w:p w14:paraId="73CC9134" w14:textId="77777777" w:rsidR="00B13B50" w:rsidRPr="00825408" w:rsidRDefault="00B13B50" w:rsidP="00B13B50">
            <w:pPr>
              <w:pStyle w:val="zSoquijdatNoDossierAnt"/>
              <w:rPr>
                <w:lang w:val="en-US"/>
              </w:rPr>
            </w:pPr>
          </w:p>
        </w:tc>
      </w:tr>
      <w:tr w:rsidR="00713DD5" w:rsidRPr="00825408" w14:paraId="5C930943" w14:textId="77777777" w:rsidTr="00DD6E04">
        <w:tc>
          <w:tcPr>
            <w:tcW w:w="9621" w:type="dxa"/>
            <w:gridSpan w:val="6"/>
          </w:tcPr>
          <w:p w14:paraId="25F5AA4D" w14:textId="77777777" w:rsidR="008F364A" w:rsidRPr="00825408" w:rsidRDefault="008F364A">
            <w:pPr>
              <w:rPr>
                <w:lang w:val="en-US"/>
              </w:rPr>
            </w:pPr>
          </w:p>
        </w:tc>
      </w:tr>
      <w:tr w:rsidR="00713DD5" w:rsidRPr="00825408" w14:paraId="1C741B69" w14:textId="77777777" w:rsidTr="00DD6E04">
        <w:tc>
          <w:tcPr>
            <w:tcW w:w="1030" w:type="dxa"/>
          </w:tcPr>
          <w:p w14:paraId="0FD73F83" w14:textId="77777777" w:rsidR="008F364A" w:rsidRPr="00825408" w:rsidRDefault="001D4908">
            <w:pPr>
              <w:pStyle w:val="zSoquijlblDateJugement"/>
              <w:rPr>
                <w:lang w:val="en-US"/>
              </w:rPr>
            </w:pPr>
            <w:r w:rsidRPr="00825408">
              <w:rPr>
                <w:lang w:val="en-US"/>
              </w:rPr>
              <w:t>DATE :</w:t>
            </w:r>
          </w:p>
        </w:tc>
        <w:tc>
          <w:tcPr>
            <w:tcW w:w="8591" w:type="dxa"/>
            <w:gridSpan w:val="5"/>
          </w:tcPr>
          <w:p w14:paraId="4FAC34D8" w14:textId="33591712" w:rsidR="008F364A" w:rsidRPr="00825408" w:rsidRDefault="001D4908" w:rsidP="00747362">
            <w:pPr>
              <w:pStyle w:val="zSoquijdatDateJugement"/>
              <w:rPr>
                <w:lang w:val="en-US"/>
              </w:rPr>
            </w:pPr>
            <w:r w:rsidRPr="00825408">
              <w:rPr>
                <w:lang w:val="en-US"/>
              </w:rPr>
              <w:t xml:space="preserve"> </w:t>
            </w:r>
            <w:r w:rsidR="00DD6E04" w:rsidRPr="00825408">
              <w:rPr>
                <w:lang w:val="en-US"/>
              </w:rPr>
              <w:t>February</w:t>
            </w:r>
            <w:r w:rsidR="003D44B3" w:rsidRPr="00825408">
              <w:rPr>
                <w:lang w:val="en-US"/>
              </w:rPr>
              <w:t xml:space="preserve"> </w:t>
            </w:r>
            <w:r w:rsidR="00747362" w:rsidRPr="00747362">
              <w:rPr>
                <w:lang w:val="en-US"/>
              </w:rPr>
              <w:t>15</w:t>
            </w:r>
            <w:r w:rsidR="00747362">
              <w:rPr>
                <w:lang w:val="en-US"/>
              </w:rPr>
              <w:t>,</w:t>
            </w:r>
            <w:r w:rsidR="00747362" w:rsidRPr="00747362">
              <w:rPr>
                <w:lang w:val="en-US"/>
              </w:rPr>
              <w:t xml:space="preserve"> </w:t>
            </w:r>
            <w:r w:rsidR="003D44B3" w:rsidRPr="00825408">
              <w:rPr>
                <w:lang w:val="en-US"/>
              </w:rPr>
              <w:t>2021</w:t>
            </w:r>
          </w:p>
        </w:tc>
      </w:tr>
      <w:tr w:rsidR="00713DD5" w:rsidRPr="00825408" w14:paraId="64892336" w14:textId="77777777" w:rsidTr="00DD6E04">
        <w:tc>
          <w:tcPr>
            <w:tcW w:w="9621" w:type="dxa"/>
            <w:gridSpan w:val="6"/>
            <w:tcBorders>
              <w:bottom w:val="single" w:sz="8" w:space="0" w:color="auto"/>
            </w:tcBorders>
          </w:tcPr>
          <w:p w14:paraId="2D4C55ED" w14:textId="77777777" w:rsidR="008F364A" w:rsidRPr="00825408" w:rsidRDefault="008F364A">
            <w:pPr>
              <w:rPr>
                <w:lang w:val="en-US"/>
              </w:rPr>
            </w:pPr>
          </w:p>
        </w:tc>
      </w:tr>
      <w:tr w:rsidR="00713DD5" w:rsidRPr="00825408" w14:paraId="5C591BC4" w14:textId="77777777" w:rsidTr="00DD6E04">
        <w:tc>
          <w:tcPr>
            <w:tcW w:w="9621" w:type="dxa"/>
            <w:gridSpan w:val="6"/>
            <w:tcBorders>
              <w:top w:val="single" w:sz="8" w:space="0" w:color="auto"/>
            </w:tcBorders>
          </w:tcPr>
          <w:p w14:paraId="7C18BEB5" w14:textId="77777777" w:rsidR="008F364A" w:rsidRPr="00825408" w:rsidRDefault="008F364A">
            <w:pPr>
              <w:rPr>
                <w:lang w:val="en-US"/>
              </w:rPr>
            </w:pPr>
          </w:p>
        </w:tc>
      </w:tr>
      <w:tr w:rsidR="00713DD5" w:rsidRPr="00825408" w14:paraId="7907FB12" w14:textId="77777777" w:rsidTr="00DD6E04">
        <w:tc>
          <w:tcPr>
            <w:tcW w:w="1881" w:type="dxa"/>
            <w:gridSpan w:val="3"/>
          </w:tcPr>
          <w:p w14:paraId="618B0B56" w14:textId="604F73FE" w:rsidR="008F364A" w:rsidRPr="00825408" w:rsidRDefault="00DD6E04" w:rsidP="00423DF1">
            <w:pPr>
              <w:pStyle w:val="zSoquijlblJuge"/>
              <w:ind w:right="-142"/>
              <w:rPr>
                <w:lang w:val="en-US"/>
              </w:rPr>
            </w:pPr>
            <w:bookmarkStart w:id="3" w:name="FORMATION"/>
            <w:r w:rsidRPr="00825408">
              <w:rPr>
                <w:lang w:val="en-US"/>
              </w:rPr>
              <w:t>CORAM</w:t>
            </w:r>
            <w:r w:rsidR="00740A17" w:rsidRPr="00825408">
              <w:rPr>
                <w:lang w:val="en-US"/>
              </w:rPr>
              <w:t>:</w:t>
            </w:r>
            <w:bookmarkEnd w:id="3"/>
          </w:p>
        </w:tc>
        <w:tc>
          <w:tcPr>
            <w:tcW w:w="2350" w:type="dxa"/>
          </w:tcPr>
          <w:p w14:paraId="2E3ED9FB" w14:textId="77777777" w:rsidR="008F364A" w:rsidRPr="00825408" w:rsidRDefault="00DD6E04">
            <w:pPr>
              <w:pStyle w:val="zSoquijdatQteJuge"/>
              <w:rPr>
                <w:lang w:val="en-US"/>
              </w:rPr>
            </w:pPr>
            <w:bookmarkStart w:id="4" w:name="Honorables"/>
            <w:r w:rsidRPr="00825408">
              <w:rPr>
                <w:lang w:val="en-US"/>
              </w:rPr>
              <w:t>THE</w:t>
            </w:r>
            <w:r w:rsidR="001D4908" w:rsidRPr="00825408">
              <w:rPr>
                <w:lang w:val="en-US"/>
              </w:rPr>
              <w:t xml:space="preserve"> HONO</w:t>
            </w:r>
            <w:r w:rsidRPr="00825408">
              <w:rPr>
                <w:lang w:val="en-US"/>
              </w:rPr>
              <w:t>U</w:t>
            </w:r>
            <w:r w:rsidR="001D4908" w:rsidRPr="00825408">
              <w:rPr>
                <w:lang w:val="en-US"/>
              </w:rPr>
              <w:t>RABLE</w:t>
            </w:r>
            <w:bookmarkEnd w:id="4"/>
          </w:p>
        </w:tc>
        <w:tc>
          <w:tcPr>
            <w:tcW w:w="5390" w:type="dxa"/>
            <w:gridSpan w:val="2"/>
          </w:tcPr>
          <w:p w14:paraId="3C3D2FB3" w14:textId="77777777" w:rsidR="008F364A" w:rsidRPr="0067183F" w:rsidRDefault="001D4908">
            <w:pPr>
              <w:pStyle w:val="zSoquijdatJuge"/>
            </w:pPr>
            <w:bookmarkStart w:id="5" w:name="NomJuge1"/>
            <w:r w:rsidRPr="0067183F">
              <w:t>FRAN</w:t>
            </w:r>
            <w:r w:rsidR="00DD6E04" w:rsidRPr="0067183F">
              <w:t>ÇOIS DOYON, J.</w:t>
            </w:r>
            <w:r w:rsidRPr="0067183F">
              <w:t>A.</w:t>
            </w:r>
            <w:bookmarkEnd w:id="5"/>
          </w:p>
          <w:p w14:paraId="125BC4BD" w14:textId="77777777" w:rsidR="008F364A" w:rsidRPr="0067183F" w:rsidRDefault="001D4908">
            <w:pPr>
              <w:pStyle w:val="zSoquijdatJuge"/>
            </w:pPr>
            <w:bookmarkStart w:id="6" w:name="NomJuge2"/>
            <w:r w:rsidRPr="0067183F">
              <w:t>MARTIN VAUCLAIR,</w:t>
            </w:r>
            <w:r w:rsidR="00DD6E04" w:rsidRPr="0067183F">
              <w:t xml:space="preserve"> J.</w:t>
            </w:r>
            <w:r w:rsidRPr="0067183F">
              <w:t>A.</w:t>
            </w:r>
            <w:bookmarkEnd w:id="6"/>
          </w:p>
          <w:p w14:paraId="659750EA" w14:textId="77777777" w:rsidR="005A78BF" w:rsidRPr="00825408" w:rsidRDefault="00DD6E04" w:rsidP="00B13B50">
            <w:pPr>
              <w:pStyle w:val="zSoquijdatJuge"/>
              <w:rPr>
                <w:lang w:val="en-US"/>
              </w:rPr>
            </w:pPr>
            <w:bookmarkStart w:id="7" w:name="_Hlt520513784"/>
            <w:bookmarkStart w:id="8" w:name="NomJuge3"/>
            <w:bookmarkEnd w:id="7"/>
            <w:r w:rsidRPr="00825408">
              <w:rPr>
                <w:lang w:val="en-US"/>
              </w:rPr>
              <w:t>JOCELYN F. RANCOURT, J.</w:t>
            </w:r>
            <w:r w:rsidR="001D4908" w:rsidRPr="00825408">
              <w:rPr>
                <w:lang w:val="en-US"/>
              </w:rPr>
              <w:t>A.</w:t>
            </w:r>
            <w:bookmarkEnd w:id="8"/>
          </w:p>
        </w:tc>
      </w:tr>
      <w:tr w:rsidR="00713DD5" w:rsidRPr="00825408" w14:paraId="7104F3FF" w14:textId="77777777" w:rsidTr="00DD6E04">
        <w:tc>
          <w:tcPr>
            <w:tcW w:w="9621" w:type="dxa"/>
            <w:gridSpan w:val="6"/>
            <w:tcBorders>
              <w:bottom w:val="single" w:sz="8" w:space="0" w:color="auto"/>
            </w:tcBorders>
          </w:tcPr>
          <w:p w14:paraId="4237C81E" w14:textId="77777777" w:rsidR="008F364A" w:rsidRPr="00825408" w:rsidRDefault="008F364A">
            <w:pPr>
              <w:rPr>
                <w:lang w:val="en-US"/>
              </w:rPr>
            </w:pPr>
          </w:p>
        </w:tc>
      </w:tr>
      <w:tr w:rsidR="00713DD5" w:rsidRPr="00825408" w14:paraId="478E58DB" w14:textId="77777777" w:rsidTr="00DD6E04">
        <w:tc>
          <w:tcPr>
            <w:tcW w:w="9621" w:type="dxa"/>
            <w:gridSpan w:val="6"/>
          </w:tcPr>
          <w:p w14:paraId="66117A51" w14:textId="77777777" w:rsidR="008F364A" w:rsidRPr="00825408" w:rsidRDefault="008F364A">
            <w:pPr>
              <w:pStyle w:val="zSoquijlblTitrePartie"/>
              <w:rPr>
                <w:lang w:val="en-US"/>
              </w:rPr>
            </w:pPr>
          </w:p>
        </w:tc>
      </w:tr>
      <w:tr w:rsidR="00713DD5" w:rsidRPr="00825408" w14:paraId="3006EF45" w14:textId="77777777" w:rsidTr="00DD6E04">
        <w:tc>
          <w:tcPr>
            <w:tcW w:w="9621" w:type="dxa"/>
            <w:gridSpan w:val="6"/>
          </w:tcPr>
          <w:p w14:paraId="3AF3A4D2" w14:textId="77777777" w:rsidR="008F364A" w:rsidRPr="00825408" w:rsidRDefault="001D4908">
            <w:pPr>
              <w:pStyle w:val="zSoquijdatNomPartieDem"/>
              <w:rPr>
                <w:lang w:val="en-US"/>
              </w:rPr>
            </w:pPr>
            <w:r w:rsidRPr="00825408">
              <w:rPr>
                <w:lang w:val="en-US"/>
              </w:rPr>
              <w:t>SHANA FREDDI</w:t>
            </w:r>
          </w:p>
        </w:tc>
      </w:tr>
      <w:tr w:rsidR="00713DD5" w:rsidRPr="00825408" w14:paraId="08531073" w14:textId="77777777" w:rsidTr="00DD6E04">
        <w:tc>
          <w:tcPr>
            <w:tcW w:w="9621" w:type="dxa"/>
            <w:gridSpan w:val="6"/>
          </w:tcPr>
          <w:p w14:paraId="151601E3" w14:textId="40A60750" w:rsidR="008F364A" w:rsidRPr="00825408" w:rsidRDefault="00DD6E04">
            <w:pPr>
              <w:pStyle w:val="zSoquijdatQtePartieDem"/>
              <w:rPr>
                <w:lang w:val="en-US"/>
              </w:rPr>
            </w:pPr>
            <w:r w:rsidRPr="00825408">
              <w:rPr>
                <w:lang w:val="en-US"/>
              </w:rPr>
              <w:t>APPEL</w:t>
            </w:r>
            <w:r w:rsidR="00FA00B5">
              <w:rPr>
                <w:lang w:val="en-US"/>
              </w:rPr>
              <w:t>L</w:t>
            </w:r>
            <w:r w:rsidRPr="00825408">
              <w:rPr>
                <w:lang w:val="en-US"/>
              </w:rPr>
              <w:t>ANT – Accused</w:t>
            </w:r>
            <w:r w:rsidR="001D4908" w:rsidRPr="00825408">
              <w:rPr>
                <w:lang w:val="en-US"/>
              </w:rPr>
              <w:t xml:space="preserve"> </w:t>
            </w:r>
          </w:p>
        </w:tc>
      </w:tr>
      <w:tr w:rsidR="00713DD5" w:rsidRPr="00825408" w14:paraId="31D419A8" w14:textId="77777777" w:rsidTr="00DD6E04">
        <w:tc>
          <w:tcPr>
            <w:tcW w:w="9621" w:type="dxa"/>
            <w:gridSpan w:val="6"/>
          </w:tcPr>
          <w:p w14:paraId="75AABAFB" w14:textId="77777777" w:rsidR="008F364A" w:rsidRPr="00825408" w:rsidRDefault="00DD6E04">
            <w:pPr>
              <w:pStyle w:val="zSoquijlblLienParties"/>
              <w:rPr>
                <w:lang w:val="en-US"/>
              </w:rPr>
            </w:pPr>
            <w:r w:rsidRPr="00825408">
              <w:rPr>
                <w:lang w:val="en-US"/>
              </w:rPr>
              <w:t>v</w:t>
            </w:r>
            <w:r w:rsidR="001D4908" w:rsidRPr="00825408">
              <w:rPr>
                <w:lang w:val="en-US"/>
              </w:rPr>
              <w:t>.</w:t>
            </w:r>
          </w:p>
        </w:tc>
      </w:tr>
      <w:tr w:rsidR="00713DD5" w:rsidRPr="00825408" w14:paraId="7A85C42E" w14:textId="77777777" w:rsidTr="00DD6E04">
        <w:tc>
          <w:tcPr>
            <w:tcW w:w="9621" w:type="dxa"/>
            <w:gridSpan w:val="6"/>
          </w:tcPr>
          <w:p w14:paraId="30E92038" w14:textId="77777777" w:rsidR="008F364A" w:rsidRPr="00825408" w:rsidRDefault="008F364A">
            <w:pPr>
              <w:rPr>
                <w:lang w:val="en-US"/>
              </w:rPr>
            </w:pPr>
          </w:p>
        </w:tc>
      </w:tr>
      <w:tr w:rsidR="00713DD5" w:rsidRPr="00825408" w14:paraId="14982ACB" w14:textId="77777777" w:rsidTr="00DD6E04">
        <w:tc>
          <w:tcPr>
            <w:tcW w:w="9621" w:type="dxa"/>
            <w:gridSpan w:val="6"/>
          </w:tcPr>
          <w:p w14:paraId="78C40F9E" w14:textId="77777777" w:rsidR="008F364A" w:rsidRPr="00825408" w:rsidRDefault="00F231FA">
            <w:pPr>
              <w:pStyle w:val="zSoquijdatNomPartieDef"/>
              <w:rPr>
                <w:lang w:val="en-US"/>
              </w:rPr>
            </w:pPr>
            <w:r w:rsidRPr="00825408">
              <w:rPr>
                <w:lang w:val="en-US"/>
              </w:rPr>
              <w:t>HER MAJESTY</w:t>
            </w:r>
            <w:r w:rsidR="001D4908" w:rsidRPr="00825408">
              <w:rPr>
                <w:lang w:val="en-US"/>
              </w:rPr>
              <w:t xml:space="preserve"> </w:t>
            </w:r>
            <w:r w:rsidRPr="00825408">
              <w:rPr>
                <w:lang w:val="en-US"/>
              </w:rPr>
              <w:t>THE QUEEN</w:t>
            </w:r>
          </w:p>
        </w:tc>
      </w:tr>
      <w:tr w:rsidR="00713DD5" w:rsidRPr="00825408" w14:paraId="3BA8F8CA" w14:textId="77777777" w:rsidTr="00DD6E04">
        <w:tc>
          <w:tcPr>
            <w:tcW w:w="9621" w:type="dxa"/>
            <w:gridSpan w:val="6"/>
          </w:tcPr>
          <w:p w14:paraId="2CAE741B" w14:textId="7BD6CFD9" w:rsidR="008F364A" w:rsidRPr="00825408" w:rsidRDefault="00F231FA" w:rsidP="00FA00B5">
            <w:pPr>
              <w:pStyle w:val="zSoquijdatQtePartieDef"/>
              <w:rPr>
                <w:lang w:val="en-US"/>
              </w:rPr>
            </w:pPr>
            <w:r w:rsidRPr="00825408">
              <w:rPr>
                <w:lang w:val="en-US"/>
              </w:rPr>
              <w:t xml:space="preserve">RESPONDENT – </w:t>
            </w:r>
            <w:r w:rsidR="0067183F" w:rsidRPr="00825408">
              <w:rPr>
                <w:lang w:val="en-US"/>
              </w:rPr>
              <w:t>Prosecut</w:t>
            </w:r>
            <w:r w:rsidR="00FA00B5">
              <w:rPr>
                <w:lang w:val="en-US"/>
              </w:rPr>
              <w:t>or</w:t>
            </w:r>
            <w:r w:rsidR="0067183F" w:rsidRPr="00825408">
              <w:rPr>
                <w:lang w:val="en-US"/>
              </w:rPr>
              <w:t xml:space="preserve"> </w:t>
            </w:r>
          </w:p>
        </w:tc>
      </w:tr>
      <w:tr w:rsidR="00713DD5" w:rsidRPr="00825408" w14:paraId="7EA39CCF" w14:textId="77777777" w:rsidTr="00DD6E04">
        <w:tc>
          <w:tcPr>
            <w:tcW w:w="9621" w:type="dxa"/>
            <w:gridSpan w:val="6"/>
          </w:tcPr>
          <w:p w14:paraId="5C5D3413" w14:textId="77777777" w:rsidR="008F364A" w:rsidRPr="00825408" w:rsidRDefault="008F364A">
            <w:pPr>
              <w:rPr>
                <w:lang w:val="en-US"/>
              </w:rPr>
            </w:pPr>
          </w:p>
        </w:tc>
      </w:tr>
      <w:tr w:rsidR="00713DD5" w:rsidRPr="00825408" w14:paraId="1C99AF46" w14:textId="77777777" w:rsidTr="00DD6E04">
        <w:tc>
          <w:tcPr>
            <w:tcW w:w="9621" w:type="dxa"/>
            <w:gridSpan w:val="6"/>
            <w:tcBorders>
              <w:top w:val="single" w:sz="8" w:space="0" w:color="auto"/>
            </w:tcBorders>
          </w:tcPr>
          <w:p w14:paraId="65C39E38" w14:textId="77777777" w:rsidR="008F364A" w:rsidRPr="00825408" w:rsidRDefault="008F364A">
            <w:pPr>
              <w:rPr>
                <w:lang w:val="en-US"/>
              </w:rPr>
            </w:pPr>
            <w:bookmarkStart w:id="9" w:name="Arret"/>
          </w:p>
        </w:tc>
      </w:tr>
      <w:tr w:rsidR="00713DD5" w:rsidRPr="00825408" w14:paraId="63736098" w14:textId="77777777" w:rsidTr="00DD6E04">
        <w:tc>
          <w:tcPr>
            <w:tcW w:w="9621" w:type="dxa"/>
            <w:gridSpan w:val="6"/>
          </w:tcPr>
          <w:p w14:paraId="4EE5DD9B" w14:textId="77777777" w:rsidR="008F364A" w:rsidRPr="00825408" w:rsidRDefault="00F231FA">
            <w:pPr>
              <w:pStyle w:val="zSoquijlblTypeDocument"/>
              <w:rPr>
                <w:lang w:val="en-US"/>
              </w:rPr>
            </w:pPr>
            <w:r w:rsidRPr="00825408">
              <w:rPr>
                <w:lang w:val="en-US"/>
              </w:rPr>
              <w:t>JUDGMENT</w:t>
            </w:r>
          </w:p>
        </w:tc>
      </w:tr>
      <w:tr w:rsidR="00713DD5" w:rsidRPr="00825408" w14:paraId="252EC4AF" w14:textId="77777777" w:rsidTr="00DD6E04">
        <w:tc>
          <w:tcPr>
            <w:tcW w:w="9621" w:type="dxa"/>
            <w:gridSpan w:val="6"/>
            <w:tcBorders>
              <w:bottom w:val="single" w:sz="8" w:space="0" w:color="auto"/>
            </w:tcBorders>
          </w:tcPr>
          <w:p w14:paraId="5C4D8687" w14:textId="77777777" w:rsidR="008F364A" w:rsidRPr="00825408" w:rsidRDefault="008F364A">
            <w:pPr>
              <w:rPr>
                <w:lang w:val="en-US"/>
              </w:rPr>
            </w:pPr>
          </w:p>
        </w:tc>
      </w:tr>
      <w:tr w:rsidR="00713DD5" w:rsidRPr="00825408" w14:paraId="34A457B2" w14:textId="77777777" w:rsidTr="00DD6E04">
        <w:tc>
          <w:tcPr>
            <w:tcW w:w="9621" w:type="dxa"/>
            <w:gridSpan w:val="6"/>
            <w:tcBorders>
              <w:top w:val="single" w:sz="8" w:space="0" w:color="auto"/>
            </w:tcBorders>
          </w:tcPr>
          <w:p w14:paraId="0E3C26AC" w14:textId="77777777" w:rsidR="008F364A" w:rsidRPr="00825408" w:rsidRDefault="008F364A">
            <w:pPr>
              <w:rPr>
                <w:lang w:val="en-US"/>
              </w:rPr>
            </w:pPr>
          </w:p>
        </w:tc>
      </w:tr>
    </w:tbl>
    <w:p w14:paraId="1FC51EE2" w14:textId="403A5E30" w:rsidR="008F364A" w:rsidRPr="00825408" w:rsidRDefault="00916CE1" w:rsidP="00D93A6C">
      <w:pPr>
        <w:pStyle w:val="Paragraphe"/>
        <w:spacing w:before="240" w:line="280" w:lineRule="exact"/>
        <w:rPr>
          <w:lang w:val="en-US"/>
        </w:rPr>
      </w:pPr>
      <w:r>
        <w:rPr>
          <w:lang w:val="en-US"/>
        </w:rPr>
        <w:t>The appellant appeals</w:t>
      </w:r>
      <w:r w:rsidR="00F231FA" w:rsidRPr="00825408">
        <w:rPr>
          <w:lang w:val="en-US"/>
        </w:rPr>
        <w:t xml:space="preserve"> </w:t>
      </w:r>
      <w:r w:rsidR="00831761">
        <w:rPr>
          <w:lang w:val="en-US"/>
        </w:rPr>
        <w:t xml:space="preserve">from </w:t>
      </w:r>
      <w:r w:rsidR="00F231FA" w:rsidRPr="00825408">
        <w:rPr>
          <w:lang w:val="en-US"/>
        </w:rPr>
        <w:t xml:space="preserve">a judgment of the Superior Court, </w:t>
      </w:r>
      <w:r w:rsidR="00831761">
        <w:rPr>
          <w:lang w:val="en-US"/>
        </w:rPr>
        <w:t>D</w:t>
      </w:r>
      <w:r w:rsidR="00F231FA" w:rsidRPr="00825408">
        <w:rPr>
          <w:lang w:val="en-US"/>
        </w:rPr>
        <w:t>istrict of Montre</w:t>
      </w:r>
      <w:r w:rsidR="005E4D42" w:rsidRPr="00825408">
        <w:rPr>
          <w:lang w:val="en-US"/>
        </w:rPr>
        <w:t>al</w:t>
      </w:r>
      <w:r w:rsidR="00F231FA" w:rsidRPr="00825408">
        <w:rPr>
          <w:lang w:val="en-US"/>
        </w:rPr>
        <w:t xml:space="preserve"> (</w:t>
      </w:r>
      <w:r w:rsidR="00831761">
        <w:rPr>
          <w:lang w:val="en-US"/>
        </w:rPr>
        <w:t xml:space="preserve">the </w:t>
      </w:r>
      <w:proofErr w:type="spellStart"/>
      <w:r w:rsidR="00F231FA" w:rsidRPr="00825408">
        <w:rPr>
          <w:lang w:val="en-US"/>
        </w:rPr>
        <w:t>H</w:t>
      </w:r>
      <w:r w:rsidR="001D4908" w:rsidRPr="00825408">
        <w:rPr>
          <w:lang w:val="en-US"/>
        </w:rPr>
        <w:t>ono</w:t>
      </w:r>
      <w:r w:rsidR="00F231FA" w:rsidRPr="00825408">
        <w:rPr>
          <w:lang w:val="en-US"/>
        </w:rPr>
        <w:t>u</w:t>
      </w:r>
      <w:r w:rsidR="001D4908" w:rsidRPr="00825408">
        <w:rPr>
          <w:lang w:val="en-US"/>
        </w:rPr>
        <w:t>rable</w:t>
      </w:r>
      <w:proofErr w:type="spellEnd"/>
      <w:r w:rsidR="001D4908" w:rsidRPr="00825408">
        <w:rPr>
          <w:lang w:val="en-US"/>
        </w:rPr>
        <w:t xml:space="preserve"> </w:t>
      </w:r>
      <w:r w:rsidR="008D39A0">
        <w:rPr>
          <w:lang w:val="en-US"/>
        </w:rPr>
        <w:t xml:space="preserve">Madam Justice </w:t>
      </w:r>
      <w:r w:rsidR="001D4908" w:rsidRPr="00825408">
        <w:rPr>
          <w:lang w:val="en-US"/>
        </w:rPr>
        <w:t xml:space="preserve">Hélène Di Salvo), </w:t>
      </w:r>
      <w:r w:rsidR="00831761">
        <w:rPr>
          <w:lang w:val="en-US"/>
        </w:rPr>
        <w:t xml:space="preserve">rendered </w:t>
      </w:r>
      <w:r w:rsidR="00F46C3A">
        <w:rPr>
          <w:lang w:val="en-US"/>
        </w:rPr>
        <w:t>or</w:t>
      </w:r>
      <w:r w:rsidR="00F231FA" w:rsidRPr="00825408">
        <w:rPr>
          <w:lang w:val="en-US"/>
        </w:rPr>
        <w:t>ally on August</w:t>
      </w:r>
      <w:r w:rsidR="00831761">
        <w:rPr>
          <w:lang w:val="en-US"/>
        </w:rPr>
        <w:t xml:space="preserve"> 2,</w:t>
      </w:r>
      <w:r w:rsidR="00F231FA" w:rsidRPr="00825408">
        <w:rPr>
          <w:lang w:val="en-US"/>
        </w:rPr>
        <w:t xml:space="preserve"> </w:t>
      </w:r>
      <w:r w:rsidR="002A1208" w:rsidRPr="00825408">
        <w:rPr>
          <w:lang w:val="en-US"/>
        </w:rPr>
        <w:t>2018 (</w:t>
      </w:r>
      <w:r w:rsidR="00F46C3A">
        <w:rPr>
          <w:lang w:val="en-US"/>
        </w:rPr>
        <w:t>reasons for judg</w:t>
      </w:r>
      <w:r w:rsidR="00F231FA" w:rsidRPr="00825408">
        <w:rPr>
          <w:lang w:val="en-US"/>
        </w:rPr>
        <w:t>ment transcribed on August</w:t>
      </w:r>
      <w:r w:rsidR="00831761">
        <w:rPr>
          <w:lang w:val="en-US"/>
        </w:rPr>
        <w:t xml:space="preserve"> 20,</w:t>
      </w:r>
      <w:r w:rsidR="00F231FA" w:rsidRPr="00825408">
        <w:rPr>
          <w:lang w:val="en-US"/>
        </w:rPr>
        <w:t xml:space="preserve"> </w:t>
      </w:r>
      <w:r w:rsidR="005E4D42" w:rsidRPr="00825408">
        <w:rPr>
          <w:lang w:val="en-US"/>
        </w:rPr>
        <w:t>2018</w:t>
      </w:r>
      <w:r w:rsidR="001146C8" w:rsidRPr="00825408">
        <w:rPr>
          <w:lang w:val="en-US"/>
        </w:rPr>
        <w:t>)</w:t>
      </w:r>
      <w:r w:rsidR="005E4D42" w:rsidRPr="00825408">
        <w:rPr>
          <w:lang w:val="en-US"/>
        </w:rPr>
        <w:t xml:space="preserve">, </w:t>
      </w:r>
      <w:r w:rsidR="00831761">
        <w:rPr>
          <w:lang w:val="en-US"/>
        </w:rPr>
        <w:t>allowing</w:t>
      </w:r>
      <w:r w:rsidR="00F46C3A">
        <w:rPr>
          <w:lang w:val="en-US"/>
        </w:rPr>
        <w:t xml:space="preserve"> </w:t>
      </w:r>
      <w:r w:rsidR="00F231FA" w:rsidRPr="00825408">
        <w:rPr>
          <w:lang w:val="en-US"/>
        </w:rPr>
        <w:t xml:space="preserve">the prosecution’s appeal and </w:t>
      </w:r>
      <w:r w:rsidR="0053443E">
        <w:rPr>
          <w:lang w:val="en-US"/>
        </w:rPr>
        <w:t xml:space="preserve">quashing </w:t>
      </w:r>
      <w:r w:rsidR="00F231FA" w:rsidRPr="00825408">
        <w:rPr>
          <w:lang w:val="en-US"/>
        </w:rPr>
        <w:t>the judgment of the Court of Qu</w:t>
      </w:r>
      <w:r w:rsidR="008D39A0">
        <w:rPr>
          <w:lang w:val="en-US"/>
        </w:rPr>
        <w:t>é</w:t>
      </w:r>
      <w:r w:rsidR="00F231FA" w:rsidRPr="00825408">
        <w:rPr>
          <w:lang w:val="en-US"/>
        </w:rPr>
        <w:t>bec dated May</w:t>
      </w:r>
      <w:r w:rsidR="00831761">
        <w:rPr>
          <w:lang w:val="en-US"/>
        </w:rPr>
        <w:t xml:space="preserve"> 24,</w:t>
      </w:r>
      <w:r w:rsidR="00F231FA" w:rsidRPr="00825408">
        <w:rPr>
          <w:lang w:val="en-US"/>
        </w:rPr>
        <w:t xml:space="preserve"> 2017</w:t>
      </w:r>
      <w:r w:rsidR="00831761">
        <w:rPr>
          <w:lang w:val="en-US"/>
        </w:rPr>
        <w:t>,</w:t>
      </w:r>
      <w:r w:rsidR="00F231FA" w:rsidRPr="00825408">
        <w:rPr>
          <w:lang w:val="en-US"/>
        </w:rPr>
        <w:t xml:space="preserve"> </w:t>
      </w:r>
      <w:r w:rsidR="008D39A0">
        <w:rPr>
          <w:lang w:val="en-US"/>
        </w:rPr>
        <w:t xml:space="preserve">which had </w:t>
      </w:r>
      <w:r w:rsidR="00F231FA" w:rsidRPr="00825408">
        <w:rPr>
          <w:lang w:val="en-US"/>
        </w:rPr>
        <w:t>acquitt</w:t>
      </w:r>
      <w:r w:rsidR="008D39A0">
        <w:rPr>
          <w:lang w:val="en-US"/>
        </w:rPr>
        <w:t>ed</w:t>
      </w:r>
      <w:r w:rsidR="00F231FA" w:rsidRPr="00825408">
        <w:rPr>
          <w:lang w:val="en-US"/>
        </w:rPr>
        <w:t xml:space="preserve"> her of the charge of </w:t>
      </w:r>
      <w:r w:rsidR="00825408">
        <w:rPr>
          <w:lang w:val="en-US"/>
        </w:rPr>
        <w:t xml:space="preserve">operating a motor vehicle </w:t>
      </w:r>
      <w:r w:rsidR="00F231FA" w:rsidRPr="00825408">
        <w:rPr>
          <w:lang w:val="en-US"/>
        </w:rPr>
        <w:t xml:space="preserve">with a blood alcohol </w:t>
      </w:r>
      <w:r w:rsidR="00F17121">
        <w:rPr>
          <w:lang w:val="en-US"/>
        </w:rPr>
        <w:t xml:space="preserve">level </w:t>
      </w:r>
      <w:r w:rsidR="00825408">
        <w:rPr>
          <w:lang w:val="en-US"/>
        </w:rPr>
        <w:t xml:space="preserve">exceeding </w:t>
      </w:r>
      <w:r w:rsidR="00F231FA" w:rsidRPr="00825408">
        <w:rPr>
          <w:lang w:val="en-US"/>
        </w:rPr>
        <w:t xml:space="preserve">the </w:t>
      </w:r>
      <w:r w:rsidR="00F17121">
        <w:rPr>
          <w:lang w:val="en-US"/>
        </w:rPr>
        <w:t xml:space="preserve">legal </w:t>
      </w:r>
      <w:r w:rsidR="00F231FA" w:rsidRPr="00825408">
        <w:rPr>
          <w:lang w:val="en-US"/>
        </w:rPr>
        <w:t>limit.</w:t>
      </w:r>
    </w:p>
    <w:p w14:paraId="683E880F" w14:textId="133D0AF4" w:rsidR="00146728" w:rsidRPr="00825408" w:rsidRDefault="002A1E30" w:rsidP="00D93A6C">
      <w:pPr>
        <w:pStyle w:val="Paragraphe"/>
        <w:spacing w:line="280" w:lineRule="exact"/>
        <w:rPr>
          <w:lang w:val="en-US"/>
        </w:rPr>
      </w:pPr>
      <w:r w:rsidRPr="00825408">
        <w:rPr>
          <w:lang w:val="en-US"/>
        </w:rPr>
        <w:t xml:space="preserve">For </w:t>
      </w:r>
      <w:r w:rsidR="00F46C3A">
        <w:rPr>
          <w:lang w:val="en-US"/>
        </w:rPr>
        <w:t xml:space="preserve">the reasons </w:t>
      </w:r>
      <w:r w:rsidR="00831761">
        <w:rPr>
          <w:lang w:val="en-US"/>
        </w:rPr>
        <w:t>of</w:t>
      </w:r>
      <w:r w:rsidR="00F231FA" w:rsidRPr="00825408">
        <w:rPr>
          <w:lang w:val="en-US"/>
        </w:rPr>
        <w:t xml:space="preserve"> Doyon</w:t>
      </w:r>
      <w:r w:rsidR="00F17121">
        <w:rPr>
          <w:lang w:val="en-US"/>
        </w:rPr>
        <w:t>,</w:t>
      </w:r>
      <w:r w:rsidR="00F231FA" w:rsidRPr="00825408">
        <w:rPr>
          <w:lang w:val="en-US"/>
        </w:rPr>
        <w:t xml:space="preserve"> J.A., </w:t>
      </w:r>
      <w:r w:rsidR="00831761">
        <w:rPr>
          <w:lang w:val="en-US"/>
        </w:rPr>
        <w:t>with</w:t>
      </w:r>
      <w:r w:rsidR="00F231FA" w:rsidRPr="00825408">
        <w:rPr>
          <w:lang w:val="en-US"/>
        </w:rPr>
        <w:t xml:space="preserve"> which </w:t>
      </w:r>
      <w:proofErr w:type="spellStart"/>
      <w:r w:rsidR="001D4908" w:rsidRPr="00825408">
        <w:rPr>
          <w:lang w:val="en-US"/>
        </w:rPr>
        <w:t>Vauclair</w:t>
      </w:r>
      <w:proofErr w:type="spellEnd"/>
      <w:r w:rsidR="00F231FA" w:rsidRPr="00825408">
        <w:rPr>
          <w:lang w:val="en-US"/>
        </w:rPr>
        <w:t xml:space="preserve"> and</w:t>
      </w:r>
      <w:r w:rsidR="001D4908" w:rsidRPr="00825408">
        <w:rPr>
          <w:lang w:val="en-US"/>
        </w:rPr>
        <w:t xml:space="preserve"> </w:t>
      </w:r>
      <w:proofErr w:type="spellStart"/>
      <w:r w:rsidR="001D4908" w:rsidRPr="00825408">
        <w:rPr>
          <w:lang w:val="en-US"/>
        </w:rPr>
        <w:t>Rancourt</w:t>
      </w:r>
      <w:proofErr w:type="spellEnd"/>
      <w:r w:rsidR="00F17121">
        <w:rPr>
          <w:lang w:val="en-US"/>
        </w:rPr>
        <w:t>,</w:t>
      </w:r>
      <w:r w:rsidR="00F231FA" w:rsidRPr="00825408">
        <w:rPr>
          <w:lang w:val="en-US"/>
        </w:rPr>
        <w:t xml:space="preserve"> </w:t>
      </w:r>
      <w:r w:rsidR="00831761">
        <w:rPr>
          <w:lang w:val="en-US"/>
        </w:rPr>
        <w:t>J</w:t>
      </w:r>
      <w:r w:rsidR="00F231FA" w:rsidRPr="00825408">
        <w:rPr>
          <w:lang w:val="en-US"/>
        </w:rPr>
        <w:t xml:space="preserve">J.A. </w:t>
      </w:r>
      <w:r w:rsidR="00F32B46">
        <w:rPr>
          <w:lang w:val="en-US"/>
        </w:rPr>
        <w:t>agree</w:t>
      </w:r>
      <w:r w:rsidR="001D4908" w:rsidRPr="00825408">
        <w:rPr>
          <w:lang w:val="en-US"/>
        </w:rPr>
        <w:t xml:space="preserve">, </w:t>
      </w:r>
      <w:r w:rsidR="00F231FA" w:rsidRPr="00825408">
        <w:rPr>
          <w:b/>
          <w:lang w:val="en-US"/>
        </w:rPr>
        <w:t>THE</w:t>
      </w:r>
      <w:r w:rsidR="001D4908" w:rsidRPr="00825408">
        <w:rPr>
          <w:b/>
          <w:lang w:val="en-US"/>
        </w:rPr>
        <w:t xml:space="preserve"> COUR</w:t>
      </w:r>
      <w:r w:rsidR="00F231FA" w:rsidRPr="00825408">
        <w:rPr>
          <w:b/>
          <w:lang w:val="en-US"/>
        </w:rPr>
        <w:t>T</w:t>
      </w:r>
      <w:r w:rsidR="001D4908" w:rsidRPr="00825408">
        <w:rPr>
          <w:lang w:val="en-US"/>
        </w:rPr>
        <w:t>:</w:t>
      </w:r>
    </w:p>
    <w:p w14:paraId="41F69DFC" w14:textId="77777777" w:rsidR="00146728" w:rsidRPr="00825408" w:rsidRDefault="002A1E30" w:rsidP="00D93A6C">
      <w:pPr>
        <w:pStyle w:val="Paragraphe"/>
        <w:spacing w:line="280" w:lineRule="exact"/>
        <w:rPr>
          <w:lang w:val="en-US"/>
        </w:rPr>
      </w:pPr>
      <w:r w:rsidRPr="00825408">
        <w:rPr>
          <w:b/>
          <w:lang w:val="en-US"/>
        </w:rPr>
        <w:t>ALLOW</w:t>
      </w:r>
      <w:r w:rsidR="00F231FA" w:rsidRPr="00825408">
        <w:rPr>
          <w:b/>
          <w:lang w:val="en-US"/>
        </w:rPr>
        <w:t>S</w:t>
      </w:r>
      <w:r w:rsidR="00F231FA" w:rsidRPr="00825408">
        <w:rPr>
          <w:lang w:val="en-US"/>
        </w:rPr>
        <w:t xml:space="preserve"> the </w:t>
      </w:r>
      <w:r w:rsidR="001D4908" w:rsidRPr="00825408">
        <w:rPr>
          <w:lang w:val="en-US"/>
        </w:rPr>
        <w:t>appe</w:t>
      </w:r>
      <w:r w:rsidR="00F231FA" w:rsidRPr="00825408">
        <w:rPr>
          <w:lang w:val="en-US"/>
        </w:rPr>
        <w:t>a</w:t>
      </w:r>
      <w:r w:rsidR="001D4908" w:rsidRPr="00825408">
        <w:rPr>
          <w:lang w:val="en-US"/>
        </w:rPr>
        <w:t>l;</w:t>
      </w:r>
    </w:p>
    <w:p w14:paraId="2D17B406" w14:textId="1A3C1CD3" w:rsidR="00D93A6C" w:rsidRPr="00825408" w:rsidRDefault="00F17121" w:rsidP="00D93A6C">
      <w:pPr>
        <w:pStyle w:val="Paragraphe"/>
        <w:spacing w:line="280" w:lineRule="exact"/>
        <w:rPr>
          <w:lang w:val="en-US"/>
        </w:rPr>
      </w:pPr>
      <w:r>
        <w:rPr>
          <w:b/>
          <w:lang w:val="en-US"/>
        </w:rPr>
        <w:lastRenderedPageBreak/>
        <w:t>QUASHES</w:t>
      </w:r>
      <w:r w:rsidR="002A1E30" w:rsidRPr="00825408">
        <w:rPr>
          <w:lang w:val="en-US"/>
        </w:rPr>
        <w:t xml:space="preserve"> th</w:t>
      </w:r>
      <w:r w:rsidR="001D4908" w:rsidRPr="00825408">
        <w:rPr>
          <w:lang w:val="en-US"/>
        </w:rPr>
        <w:t>e ju</w:t>
      </w:r>
      <w:r w:rsidR="002A1E30" w:rsidRPr="00825408">
        <w:rPr>
          <w:lang w:val="en-US"/>
        </w:rPr>
        <w:t>dgment of the Superior Court;</w:t>
      </w:r>
    </w:p>
    <w:p w14:paraId="01621E1B" w14:textId="6D5ABC77" w:rsidR="00146728" w:rsidRPr="00825408" w:rsidRDefault="00F32B46" w:rsidP="00D93A6C">
      <w:pPr>
        <w:pStyle w:val="Paragraphe"/>
        <w:spacing w:line="280" w:lineRule="exact"/>
        <w:rPr>
          <w:lang w:val="en-US"/>
        </w:rPr>
      </w:pPr>
      <w:r>
        <w:rPr>
          <w:b/>
          <w:lang w:val="en-US"/>
        </w:rPr>
        <w:t>RESTORES</w:t>
      </w:r>
      <w:r w:rsidRPr="00825408">
        <w:rPr>
          <w:b/>
          <w:lang w:val="en-US"/>
        </w:rPr>
        <w:t xml:space="preserve"> </w:t>
      </w:r>
      <w:r w:rsidR="002A1E30" w:rsidRPr="00825408">
        <w:rPr>
          <w:lang w:val="en-US"/>
        </w:rPr>
        <w:t xml:space="preserve">the acquittal </w:t>
      </w:r>
      <w:r w:rsidR="00780D54">
        <w:rPr>
          <w:lang w:val="en-US"/>
        </w:rPr>
        <w:t xml:space="preserve">entered </w:t>
      </w:r>
      <w:r w:rsidR="002A1E30" w:rsidRPr="00825408">
        <w:rPr>
          <w:lang w:val="en-US"/>
        </w:rPr>
        <w:t>by the Court of Qu</w:t>
      </w:r>
      <w:r w:rsidR="00780D54">
        <w:rPr>
          <w:lang w:val="en-US"/>
        </w:rPr>
        <w:t>é</w:t>
      </w:r>
      <w:r w:rsidR="001D4908" w:rsidRPr="00825408">
        <w:rPr>
          <w:lang w:val="en-US"/>
        </w:rPr>
        <w:t>bec.</w:t>
      </w:r>
    </w:p>
    <w:p w14:paraId="2C298FB5" w14:textId="77777777" w:rsidR="00C65766" w:rsidRPr="00825408" w:rsidRDefault="00C65766" w:rsidP="00C65766">
      <w:pPr>
        <w:pStyle w:val="Paragraphe"/>
        <w:numPr>
          <w:ilvl w:val="0"/>
          <w:numId w:val="0"/>
        </w:numPr>
        <w:spacing w:line="280" w:lineRule="exact"/>
        <w:rPr>
          <w:lang w:val="en-US"/>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070"/>
        <w:gridCol w:w="2612"/>
        <w:gridCol w:w="4680"/>
      </w:tblGrid>
      <w:tr w:rsidR="00713DD5" w:rsidRPr="0016054C" w14:paraId="70CE232E" w14:textId="77777777" w:rsidTr="003E3239">
        <w:trPr>
          <w:trHeight w:val="576"/>
        </w:trPr>
        <w:tc>
          <w:tcPr>
            <w:tcW w:w="9362" w:type="dxa"/>
            <w:gridSpan w:val="3"/>
            <w:tcBorders>
              <w:top w:val="nil"/>
              <w:bottom w:val="nil"/>
            </w:tcBorders>
          </w:tcPr>
          <w:p w14:paraId="517AD870" w14:textId="77777777" w:rsidR="008F364A" w:rsidRPr="00825408" w:rsidRDefault="008F364A">
            <w:pPr>
              <w:keepNext/>
              <w:rPr>
                <w:lang w:val="en-US"/>
              </w:rPr>
            </w:pPr>
          </w:p>
        </w:tc>
      </w:tr>
      <w:tr w:rsidR="00713DD5" w:rsidRPr="0016054C" w14:paraId="34439C9A" w14:textId="77777777" w:rsidTr="00117914">
        <w:trPr>
          <w:trHeight w:val="283"/>
        </w:trPr>
        <w:tc>
          <w:tcPr>
            <w:tcW w:w="4682" w:type="dxa"/>
            <w:gridSpan w:val="2"/>
            <w:tcBorders>
              <w:top w:val="nil"/>
              <w:bottom w:val="nil"/>
            </w:tcBorders>
          </w:tcPr>
          <w:p w14:paraId="2F287FD1" w14:textId="77777777" w:rsidR="008F364A" w:rsidRPr="00825408" w:rsidRDefault="008F364A">
            <w:pPr>
              <w:keepNext/>
              <w:rPr>
                <w:lang w:val="en-US"/>
              </w:rPr>
            </w:pPr>
          </w:p>
        </w:tc>
        <w:tc>
          <w:tcPr>
            <w:tcW w:w="4680" w:type="dxa"/>
            <w:tcBorders>
              <w:top w:val="nil"/>
              <w:bottom w:val="single" w:sz="8" w:space="0" w:color="auto"/>
            </w:tcBorders>
          </w:tcPr>
          <w:p w14:paraId="3FBC422D" w14:textId="77777777" w:rsidR="008F364A" w:rsidRPr="00825408" w:rsidRDefault="008F364A">
            <w:pPr>
              <w:keepNext/>
              <w:rPr>
                <w:lang w:val="en-US"/>
              </w:rPr>
            </w:pPr>
          </w:p>
        </w:tc>
      </w:tr>
      <w:tr w:rsidR="00713DD5" w:rsidRPr="00825408" w14:paraId="2DB422B9" w14:textId="77777777" w:rsidTr="00117914">
        <w:trPr>
          <w:trHeight w:val="283"/>
        </w:trPr>
        <w:tc>
          <w:tcPr>
            <w:tcW w:w="4682" w:type="dxa"/>
            <w:gridSpan w:val="2"/>
            <w:tcBorders>
              <w:top w:val="nil"/>
            </w:tcBorders>
          </w:tcPr>
          <w:p w14:paraId="20DB9B23" w14:textId="77777777" w:rsidR="008F364A" w:rsidRPr="00825408" w:rsidRDefault="008F364A">
            <w:pPr>
              <w:keepNext/>
              <w:rPr>
                <w:lang w:val="en-US"/>
              </w:rPr>
            </w:pPr>
          </w:p>
        </w:tc>
        <w:tc>
          <w:tcPr>
            <w:tcW w:w="4680" w:type="dxa"/>
            <w:tcBorders>
              <w:top w:val="single" w:sz="8" w:space="0" w:color="auto"/>
            </w:tcBorders>
          </w:tcPr>
          <w:p w14:paraId="23DB435E" w14:textId="77777777" w:rsidR="008F364A" w:rsidRPr="00825408" w:rsidRDefault="002A1E30">
            <w:pPr>
              <w:rPr>
                <w:lang w:val="en-US"/>
              </w:rPr>
            </w:pPr>
            <w:r w:rsidRPr="00825408">
              <w:rPr>
                <w:lang w:val="en-US"/>
              </w:rPr>
              <w:t>FRANÇOIS DOYON, J.</w:t>
            </w:r>
            <w:r w:rsidR="003A3F17" w:rsidRPr="00825408">
              <w:rPr>
                <w:lang w:val="en-US"/>
              </w:rPr>
              <w:t>A.</w:t>
            </w:r>
          </w:p>
        </w:tc>
      </w:tr>
      <w:tr w:rsidR="00713DD5" w:rsidRPr="00825408" w14:paraId="3467A47B" w14:textId="77777777" w:rsidTr="00117914">
        <w:trPr>
          <w:trHeight w:val="283"/>
        </w:trPr>
        <w:tc>
          <w:tcPr>
            <w:tcW w:w="4682" w:type="dxa"/>
            <w:gridSpan w:val="2"/>
            <w:tcBorders>
              <w:top w:val="nil"/>
            </w:tcBorders>
          </w:tcPr>
          <w:p w14:paraId="72A4E82C" w14:textId="77777777" w:rsidR="008F364A" w:rsidRPr="00825408" w:rsidRDefault="008F364A">
            <w:pPr>
              <w:keepNext/>
              <w:rPr>
                <w:lang w:val="en-US"/>
              </w:rPr>
            </w:pPr>
            <w:bookmarkStart w:id="10" w:name="Signature2"/>
          </w:p>
        </w:tc>
        <w:tc>
          <w:tcPr>
            <w:tcW w:w="4680" w:type="dxa"/>
            <w:tcBorders>
              <w:top w:val="nil"/>
            </w:tcBorders>
          </w:tcPr>
          <w:p w14:paraId="3B6BDF70" w14:textId="77777777" w:rsidR="008F364A" w:rsidRPr="00825408" w:rsidRDefault="008F364A">
            <w:pPr>
              <w:keepNext/>
              <w:rPr>
                <w:lang w:val="en-US"/>
              </w:rPr>
            </w:pPr>
          </w:p>
        </w:tc>
      </w:tr>
      <w:tr w:rsidR="00713DD5" w:rsidRPr="00825408" w14:paraId="699D8C65" w14:textId="77777777" w:rsidTr="00117914">
        <w:trPr>
          <w:trHeight w:val="283"/>
        </w:trPr>
        <w:tc>
          <w:tcPr>
            <w:tcW w:w="4682" w:type="dxa"/>
            <w:gridSpan w:val="2"/>
            <w:tcBorders>
              <w:top w:val="nil"/>
              <w:bottom w:val="nil"/>
            </w:tcBorders>
          </w:tcPr>
          <w:p w14:paraId="071DBF87" w14:textId="77777777" w:rsidR="008F364A" w:rsidRPr="00825408" w:rsidRDefault="008F364A">
            <w:pPr>
              <w:keepNext/>
              <w:rPr>
                <w:lang w:val="en-US"/>
              </w:rPr>
            </w:pPr>
          </w:p>
        </w:tc>
        <w:tc>
          <w:tcPr>
            <w:tcW w:w="4680" w:type="dxa"/>
            <w:tcBorders>
              <w:top w:val="nil"/>
              <w:bottom w:val="single" w:sz="8" w:space="0" w:color="auto"/>
            </w:tcBorders>
          </w:tcPr>
          <w:p w14:paraId="1B496467" w14:textId="77777777" w:rsidR="008F364A" w:rsidRPr="00825408" w:rsidRDefault="008F364A">
            <w:pPr>
              <w:keepNext/>
              <w:rPr>
                <w:lang w:val="en-US"/>
              </w:rPr>
            </w:pPr>
          </w:p>
        </w:tc>
      </w:tr>
      <w:tr w:rsidR="00713DD5" w:rsidRPr="00825408" w14:paraId="58706044" w14:textId="77777777" w:rsidTr="00117914">
        <w:trPr>
          <w:trHeight w:val="283"/>
        </w:trPr>
        <w:tc>
          <w:tcPr>
            <w:tcW w:w="4682" w:type="dxa"/>
            <w:gridSpan w:val="2"/>
            <w:tcBorders>
              <w:top w:val="nil"/>
            </w:tcBorders>
          </w:tcPr>
          <w:p w14:paraId="5C1FFBBF" w14:textId="77777777" w:rsidR="008F364A" w:rsidRPr="00825408" w:rsidRDefault="008F364A">
            <w:pPr>
              <w:keepNext/>
              <w:rPr>
                <w:lang w:val="en-US"/>
              </w:rPr>
            </w:pPr>
          </w:p>
        </w:tc>
        <w:tc>
          <w:tcPr>
            <w:tcW w:w="4680" w:type="dxa"/>
            <w:tcBorders>
              <w:top w:val="single" w:sz="8" w:space="0" w:color="auto"/>
            </w:tcBorders>
          </w:tcPr>
          <w:p w14:paraId="5209AE4B" w14:textId="77777777" w:rsidR="008F364A" w:rsidRPr="00825408" w:rsidRDefault="002A1E30">
            <w:pPr>
              <w:keepNext/>
              <w:rPr>
                <w:lang w:val="en-US"/>
              </w:rPr>
            </w:pPr>
            <w:r w:rsidRPr="00825408">
              <w:rPr>
                <w:lang w:val="en-US"/>
              </w:rPr>
              <w:t>MARTIN VAUCLAIR, J.</w:t>
            </w:r>
            <w:r w:rsidR="003A3F17" w:rsidRPr="00825408">
              <w:rPr>
                <w:lang w:val="en-US"/>
              </w:rPr>
              <w:t>A.</w:t>
            </w:r>
          </w:p>
        </w:tc>
      </w:tr>
      <w:tr w:rsidR="00713DD5" w:rsidRPr="00825408" w14:paraId="2A0A20F1" w14:textId="77777777" w:rsidTr="00117914">
        <w:trPr>
          <w:trHeight w:val="283"/>
        </w:trPr>
        <w:tc>
          <w:tcPr>
            <w:tcW w:w="4682" w:type="dxa"/>
            <w:gridSpan w:val="2"/>
            <w:tcBorders>
              <w:top w:val="nil"/>
            </w:tcBorders>
          </w:tcPr>
          <w:p w14:paraId="6A29F58E" w14:textId="77777777" w:rsidR="008F364A" w:rsidRPr="00825408" w:rsidRDefault="008F364A">
            <w:pPr>
              <w:keepNext/>
              <w:rPr>
                <w:lang w:val="en-US"/>
              </w:rPr>
            </w:pPr>
            <w:bookmarkStart w:id="11" w:name="Signature3"/>
            <w:bookmarkEnd w:id="10"/>
          </w:p>
        </w:tc>
        <w:tc>
          <w:tcPr>
            <w:tcW w:w="4680" w:type="dxa"/>
            <w:tcBorders>
              <w:top w:val="nil"/>
            </w:tcBorders>
          </w:tcPr>
          <w:p w14:paraId="66BE3528" w14:textId="77777777" w:rsidR="008F364A" w:rsidRPr="00825408" w:rsidRDefault="008F364A">
            <w:pPr>
              <w:keepNext/>
              <w:rPr>
                <w:lang w:val="en-US"/>
              </w:rPr>
            </w:pPr>
          </w:p>
        </w:tc>
      </w:tr>
      <w:tr w:rsidR="00713DD5" w:rsidRPr="00825408" w14:paraId="369A96F0" w14:textId="77777777" w:rsidTr="00117914">
        <w:trPr>
          <w:trHeight w:val="283"/>
        </w:trPr>
        <w:tc>
          <w:tcPr>
            <w:tcW w:w="4682" w:type="dxa"/>
            <w:gridSpan w:val="2"/>
            <w:tcBorders>
              <w:top w:val="nil"/>
              <w:bottom w:val="nil"/>
            </w:tcBorders>
          </w:tcPr>
          <w:p w14:paraId="619E761F" w14:textId="77777777" w:rsidR="008F364A" w:rsidRPr="00825408" w:rsidRDefault="008F364A">
            <w:pPr>
              <w:keepNext/>
              <w:rPr>
                <w:lang w:val="en-US"/>
              </w:rPr>
            </w:pPr>
          </w:p>
        </w:tc>
        <w:tc>
          <w:tcPr>
            <w:tcW w:w="4680" w:type="dxa"/>
            <w:tcBorders>
              <w:top w:val="nil"/>
              <w:bottom w:val="single" w:sz="8" w:space="0" w:color="auto"/>
            </w:tcBorders>
          </w:tcPr>
          <w:p w14:paraId="1726626C" w14:textId="77777777" w:rsidR="008F364A" w:rsidRPr="00825408" w:rsidRDefault="008F364A">
            <w:pPr>
              <w:keepNext/>
              <w:rPr>
                <w:lang w:val="en-US"/>
              </w:rPr>
            </w:pPr>
          </w:p>
        </w:tc>
      </w:tr>
      <w:tr w:rsidR="00713DD5" w:rsidRPr="00825408" w14:paraId="6CF7821F" w14:textId="77777777" w:rsidTr="00117914">
        <w:trPr>
          <w:trHeight w:val="283"/>
        </w:trPr>
        <w:tc>
          <w:tcPr>
            <w:tcW w:w="4682" w:type="dxa"/>
            <w:gridSpan w:val="2"/>
            <w:tcBorders>
              <w:top w:val="nil"/>
            </w:tcBorders>
          </w:tcPr>
          <w:p w14:paraId="639D3686" w14:textId="77777777" w:rsidR="008F364A" w:rsidRPr="00825408" w:rsidRDefault="008F364A">
            <w:pPr>
              <w:keepNext/>
              <w:rPr>
                <w:lang w:val="en-US"/>
              </w:rPr>
            </w:pPr>
          </w:p>
        </w:tc>
        <w:tc>
          <w:tcPr>
            <w:tcW w:w="4680" w:type="dxa"/>
            <w:tcBorders>
              <w:top w:val="single" w:sz="8" w:space="0" w:color="auto"/>
            </w:tcBorders>
          </w:tcPr>
          <w:p w14:paraId="21419B82" w14:textId="77777777" w:rsidR="008F364A" w:rsidRPr="00825408" w:rsidRDefault="002A1E30">
            <w:pPr>
              <w:keepNext/>
              <w:rPr>
                <w:lang w:val="en-US"/>
              </w:rPr>
            </w:pPr>
            <w:r w:rsidRPr="00825408">
              <w:rPr>
                <w:lang w:val="en-US"/>
              </w:rPr>
              <w:t>JOCELYN F. RANCOURT, J.</w:t>
            </w:r>
            <w:r w:rsidR="003A3F17" w:rsidRPr="00825408">
              <w:rPr>
                <w:lang w:val="en-US"/>
              </w:rPr>
              <w:t>A.</w:t>
            </w:r>
          </w:p>
        </w:tc>
      </w:tr>
      <w:bookmarkEnd w:id="11"/>
      <w:tr w:rsidR="00713DD5" w:rsidRPr="00825408" w14:paraId="537A8AD3" w14:textId="77777777" w:rsidTr="00423DF1">
        <w:tc>
          <w:tcPr>
            <w:tcW w:w="9362" w:type="dxa"/>
            <w:gridSpan w:val="3"/>
          </w:tcPr>
          <w:p w14:paraId="6E47CC6E" w14:textId="77777777" w:rsidR="005A78BF" w:rsidRPr="00825408" w:rsidRDefault="005A78BF" w:rsidP="005A78BF">
            <w:pPr>
              <w:rPr>
                <w:lang w:val="en-US"/>
              </w:rPr>
            </w:pPr>
          </w:p>
        </w:tc>
      </w:tr>
      <w:tr w:rsidR="00713DD5" w:rsidRPr="00825408" w14:paraId="0FD04730" w14:textId="77777777" w:rsidTr="00423DF1">
        <w:tc>
          <w:tcPr>
            <w:tcW w:w="9362" w:type="dxa"/>
            <w:gridSpan w:val="3"/>
          </w:tcPr>
          <w:p w14:paraId="1F2CAC07" w14:textId="26266F01" w:rsidR="005A78BF" w:rsidRPr="00825408" w:rsidRDefault="001D4908" w:rsidP="00C0427A">
            <w:pPr>
              <w:pStyle w:val="zSoquijdatNomProcureurDem"/>
              <w:rPr>
                <w:lang w:val="en-US"/>
              </w:rPr>
            </w:pPr>
            <w:proofErr w:type="spellStart"/>
            <w:r w:rsidRPr="00825408">
              <w:rPr>
                <w:lang w:val="en-US"/>
              </w:rPr>
              <w:t>M</w:t>
            </w:r>
            <w:r w:rsidR="00C0427A">
              <w:rPr>
                <w:lang w:val="en-US"/>
              </w:rPr>
              <w:t>tre</w:t>
            </w:r>
            <w:proofErr w:type="spellEnd"/>
            <w:r w:rsidRPr="00825408">
              <w:rPr>
                <w:lang w:val="en-US"/>
              </w:rPr>
              <w:t xml:space="preserve"> Ulrich Gautier</w:t>
            </w:r>
          </w:p>
        </w:tc>
      </w:tr>
      <w:tr w:rsidR="00713DD5" w:rsidRPr="00825408" w14:paraId="0C59FF83" w14:textId="77777777" w:rsidTr="00423DF1">
        <w:tc>
          <w:tcPr>
            <w:tcW w:w="9362" w:type="dxa"/>
            <w:gridSpan w:val="3"/>
          </w:tcPr>
          <w:p w14:paraId="4447AA38" w14:textId="77777777" w:rsidR="005A78BF" w:rsidRPr="00825408" w:rsidRDefault="002A1E30" w:rsidP="002A1E30">
            <w:pPr>
              <w:pStyle w:val="zSoquijlblProcureurDem"/>
              <w:rPr>
                <w:lang w:val="en-US"/>
              </w:rPr>
            </w:pPr>
            <w:r w:rsidRPr="00825408">
              <w:rPr>
                <w:lang w:val="en-US"/>
              </w:rPr>
              <w:t>For the Appellant</w:t>
            </w:r>
          </w:p>
        </w:tc>
      </w:tr>
      <w:tr w:rsidR="00713DD5" w:rsidRPr="00825408" w14:paraId="2838ABC3" w14:textId="77777777" w:rsidTr="00423DF1">
        <w:tc>
          <w:tcPr>
            <w:tcW w:w="9362" w:type="dxa"/>
            <w:gridSpan w:val="3"/>
          </w:tcPr>
          <w:p w14:paraId="73ABFDE8" w14:textId="77777777" w:rsidR="005A78BF" w:rsidRPr="00825408" w:rsidRDefault="005A78BF" w:rsidP="005A78BF">
            <w:pPr>
              <w:rPr>
                <w:lang w:val="en-US"/>
              </w:rPr>
            </w:pPr>
          </w:p>
        </w:tc>
      </w:tr>
      <w:tr w:rsidR="00713DD5" w:rsidRPr="00825408" w14:paraId="3599CBC0" w14:textId="77777777" w:rsidTr="00423DF1">
        <w:tc>
          <w:tcPr>
            <w:tcW w:w="9362" w:type="dxa"/>
            <w:gridSpan w:val="3"/>
          </w:tcPr>
          <w:p w14:paraId="212222B2" w14:textId="7EC607E6" w:rsidR="005A78BF" w:rsidRPr="0067183F" w:rsidRDefault="001D4908" w:rsidP="00C0427A">
            <w:pPr>
              <w:pStyle w:val="zSoquijdatNomProcureurDef"/>
            </w:pPr>
            <w:proofErr w:type="spellStart"/>
            <w:r w:rsidRPr="0067183F">
              <w:t>M</w:t>
            </w:r>
            <w:r w:rsidR="00C0427A">
              <w:t>tre</w:t>
            </w:r>
            <w:proofErr w:type="spellEnd"/>
            <w:r w:rsidRPr="0067183F">
              <w:t xml:space="preserve"> Laurent-Alexandre Duclos-Bélanger</w:t>
            </w:r>
          </w:p>
        </w:tc>
      </w:tr>
      <w:tr w:rsidR="00713DD5" w:rsidRPr="0016054C" w14:paraId="39737B72" w14:textId="77777777" w:rsidTr="00423DF1">
        <w:tc>
          <w:tcPr>
            <w:tcW w:w="9362" w:type="dxa"/>
            <w:gridSpan w:val="3"/>
          </w:tcPr>
          <w:p w14:paraId="682A4A5B" w14:textId="77777777" w:rsidR="005A78BF" w:rsidRPr="00825408" w:rsidRDefault="002A1E30" w:rsidP="005A78BF">
            <w:pPr>
              <w:pStyle w:val="zSoquijdatCabinetProcureurDef"/>
              <w:rPr>
                <w:lang w:val="en-US"/>
              </w:rPr>
            </w:pPr>
            <w:r w:rsidRPr="00825408">
              <w:rPr>
                <w:lang w:val="en-US"/>
              </w:rPr>
              <w:t>DIRECTOR OF CRIMINAL AND PENAL PROSECUTIONS</w:t>
            </w:r>
          </w:p>
        </w:tc>
      </w:tr>
      <w:tr w:rsidR="00713DD5" w:rsidRPr="00825408" w14:paraId="08DF75CE" w14:textId="77777777" w:rsidTr="00423DF1">
        <w:tc>
          <w:tcPr>
            <w:tcW w:w="9362" w:type="dxa"/>
            <w:gridSpan w:val="3"/>
          </w:tcPr>
          <w:p w14:paraId="1E539DF5" w14:textId="77777777" w:rsidR="005A78BF" w:rsidRPr="00825408" w:rsidRDefault="002A1E30" w:rsidP="002A1E30">
            <w:pPr>
              <w:pStyle w:val="zSoquijlblProcureurDef"/>
              <w:rPr>
                <w:lang w:val="en-US"/>
              </w:rPr>
            </w:pPr>
            <w:r w:rsidRPr="00825408">
              <w:rPr>
                <w:lang w:val="en-US"/>
              </w:rPr>
              <w:t xml:space="preserve">For the Respondent </w:t>
            </w:r>
          </w:p>
        </w:tc>
      </w:tr>
      <w:tr w:rsidR="00713DD5" w:rsidRPr="00825408" w14:paraId="2FD3DA0F" w14:textId="77777777" w:rsidTr="00423DF1">
        <w:tc>
          <w:tcPr>
            <w:tcW w:w="9362" w:type="dxa"/>
            <w:gridSpan w:val="3"/>
          </w:tcPr>
          <w:p w14:paraId="7FB72358" w14:textId="77777777" w:rsidR="005A78BF" w:rsidRPr="00825408" w:rsidRDefault="005A78BF" w:rsidP="005A78BF">
            <w:pPr>
              <w:rPr>
                <w:lang w:val="en-US"/>
              </w:rPr>
            </w:pPr>
          </w:p>
        </w:tc>
      </w:tr>
      <w:tr w:rsidR="00713DD5" w:rsidRPr="00825408" w14:paraId="6CDA5FE4" w14:textId="77777777" w:rsidTr="00824090">
        <w:tc>
          <w:tcPr>
            <w:tcW w:w="2070" w:type="dxa"/>
          </w:tcPr>
          <w:p w14:paraId="6D614B49" w14:textId="77777777" w:rsidR="005A78BF" w:rsidRPr="00825408" w:rsidRDefault="002A1E30" w:rsidP="005A78BF">
            <w:pPr>
              <w:pStyle w:val="zSoquijlblDateAudience"/>
              <w:rPr>
                <w:lang w:val="en-US"/>
              </w:rPr>
            </w:pPr>
            <w:r w:rsidRPr="00825408">
              <w:rPr>
                <w:lang w:val="en-US"/>
              </w:rPr>
              <w:t>Date of hearing</w:t>
            </w:r>
            <w:r w:rsidR="001D4908" w:rsidRPr="00825408">
              <w:rPr>
                <w:lang w:val="en-US"/>
              </w:rPr>
              <w:t>:</w:t>
            </w:r>
          </w:p>
          <w:p w14:paraId="4892278E" w14:textId="1D67F907" w:rsidR="006E112E" w:rsidRPr="00825408" w:rsidRDefault="00F32B46">
            <w:pPr>
              <w:pStyle w:val="zSoquijlblDateAudience"/>
              <w:rPr>
                <w:lang w:val="en-US"/>
              </w:rPr>
            </w:pPr>
            <w:r>
              <w:rPr>
                <w:lang w:val="en-US"/>
              </w:rPr>
              <w:t>Reserved</w:t>
            </w:r>
            <w:r w:rsidR="001D4908" w:rsidRPr="00825408">
              <w:rPr>
                <w:lang w:val="en-US"/>
              </w:rPr>
              <w:t>:</w:t>
            </w:r>
          </w:p>
        </w:tc>
        <w:tc>
          <w:tcPr>
            <w:tcW w:w="7292" w:type="dxa"/>
            <w:gridSpan w:val="2"/>
          </w:tcPr>
          <w:p w14:paraId="2A044C20" w14:textId="6B681849" w:rsidR="005A78BF" w:rsidRPr="00825408" w:rsidRDefault="002A1E30" w:rsidP="005A78BF">
            <w:pPr>
              <w:pStyle w:val="zSoquijdatDateAudience"/>
              <w:rPr>
                <w:lang w:val="en-US"/>
              </w:rPr>
            </w:pPr>
            <w:r w:rsidRPr="00825408">
              <w:rPr>
                <w:lang w:val="en-US"/>
              </w:rPr>
              <w:t>October</w:t>
            </w:r>
            <w:r w:rsidR="00F32B46">
              <w:rPr>
                <w:lang w:val="en-US"/>
              </w:rPr>
              <w:t xml:space="preserve"> 22,</w:t>
            </w:r>
            <w:r w:rsidR="001D4908" w:rsidRPr="00825408">
              <w:rPr>
                <w:lang w:val="en-US"/>
              </w:rPr>
              <w:t xml:space="preserve"> 2020</w:t>
            </w:r>
          </w:p>
          <w:p w14:paraId="01E943CA" w14:textId="11BD8EB5" w:rsidR="006E112E" w:rsidRPr="00825408" w:rsidRDefault="002A1E30" w:rsidP="00F32B46">
            <w:pPr>
              <w:pStyle w:val="zSoquijdatDateAudience"/>
              <w:rPr>
                <w:lang w:val="en-US"/>
              </w:rPr>
            </w:pPr>
            <w:r w:rsidRPr="00825408">
              <w:rPr>
                <w:lang w:val="en-US"/>
              </w:rPr>
              <w:t>December</w:t>
            </w:r>
            <w:r w:rsidR="00F32B46">
              <w:rPr>
                <w:lang w:val="en-US"/>
              </w:rPr>
              <w:t xml:space="preserve"> 1,</w:t>
            </w:r>
            <w:r w:rsidR="00476F28" w:rsidRPr="00825408">
              <w:rPr>
                <w:lang w:val="en-US"/>
              </w:rPr>
              <w:t xml:space="preserve"> 2020</w:t>
            </w:r>
          </w:p>
        </w:tc>
      </w:tr>
    </w:tbl>
    <w:p w14:paraId="109DA0EC" w14:textId="77777777" w:rsidR="00D93A6C" w:rsidRPr="00825408" w:rsidRDefault="00D93A6C" w:rsidP="00D93A6C">
      <w:pPr>
        <w:rPr>
          <w:lang w:val="en-US"/>
        </w:rPr>
        <w:sectPr w:rsidR="00D93A6C" w:rsidRPr="00825408" w:rsidSect="00F43559">
          <w:headerReference w:type="default" r:id="rId8"/>
          <w:pgSz w:w="12242" w:h="15842" w:code="1"/>
          <w:pgMar w:top="1440" w:right="1008" w:bottom="1440" w:left="1872" w:header="1440" w:footer="792" w:gutter="0"/>
          <w:cols w:space="720"/>
          <w:formProt w:val="0"/>
          <w:titlePg/>
        </w:sectPr>
      </w:pPr>
      <w:bookmarkStart w:id="12" w:name="Opinion"/>
      <w:bookmarkEnd w:id="9"/>
    </w:p>
    <w:tbl>
      <w:tblPr>
        <w:tblW w:w="0" w:type="auto"/>
        <w:tblLayout w:type="fixed"/>
        <w:tblCellMar>
          <w:left w:w="0" w:type="dxa"/>
          <w:right w:w="0" w:type="dxa"/>
        </w:tblCellMar>
        <w:tblLook w:val="0000" w:firstRow="0" w:lastRow="0" w:firstColumn="0" w:lastColumn="0" w:noHBand="0" w:noVBand="0"/>
      </w:tblPr>
      <w:tblGrid>
        <w:gridCol w:w="9360"/>
      </w:tblGrid>
      <w:tr w:rsidR="00713DD5" w:rsidRPr="00825408" w14:paraId="6C690E74" w14:textId="77777777" w:rsidTr="0011384E">
        <w:tc>
          <w:tcPr>
            <w:tcW w:w="9360" w:type="dxa"/>
            <w:tcBorders>
              <w:bottom w:val="single" w:sz="8" w:space="0" w:color="auto"/>
            </w:tcBorders>
          </w:tcPr>
          <w:p w14:paraId="0A33484B" w14:textId="77777777" w:rsidR="00D93A6C" w:rsidRPr="00825408" w:rsidRDefault="001D4908" w:rsidP="009A57C6">
            <w:pPr>
              <w:rPr>
                <w:lang w:val="en-US"/>
              </w:rPr>
            </w:pPr>
            <w:r w:rsidRPr="00825408">
              <w:rPr>
                <w:lang w:val="en-US"/>
              </w:rPr>
              <w:lastRenderedPageBreak/>
              <w:br w:type="page"/>
            </w:r>
          </w:p>
        </w:tc>
      </w:tr>
      <w:tr w:rsidR="00713DD5" w:rsidRPr="00825408" w14:paraId="16F1E02F" w14:textId="77777777" w:rsidTr="0011384E">
        <w:tc>
          <w:tcPr>
            <w:tcW w:w="9360" w:type="dxa"/>
            <w:tcBorders>
              <w:top w:val="single" w:sz="8" w:space="0" w:color="auto"/>
            </w:tcBorders>
          </w:tcPr>
          <w:p w14:paraId="155C7499" w14:textId="77777777" w:rsidR="00D93A6C" w:rsidRPr="00825408" w:rsidRDefault="00D93A6C" w:rsidP="0011384E">
            <w:pPr>
              <w:rPr>
                <w:lang w:val="en-US"/>
              </w:rPr>
            </w:pPr>
          </w:p>
        </w:tc>
      </w:tr>
      <w:tr w:rsidR="00713DD5" w:rsidRPr="0016054C" w14:paraId="18E71513" w14:textId="77777777" w:rsidTr="0011384E">
        <w:tc>
          <w:tcPr>
            <w:tcW w:w="9360" w:type="dxa"/>
          </w:tcPr>
          <w:p w14:paraId="5832334E" w14:textId="7EAA237E" w:rsidR="00D93A6C" w:rsidRPr="00825408" w:rsidRDefault="00147442" w:rsidP="0011384E">
            <w:pPr>
              <w:pStyle w:val="zSoquijlblOpinionJuge"/>
              <w:rPr>
                <w:lang w:val="en-US"/>
              </w:rPr>
            </w:pPr>
            <w:r w:rsidRPr="00825408">
              <w:rPr>
                <w:lang w:val="en-US"/>
              </w:rPr>
              <w:t>REASONS OF</w:t>
            </w:r>
            <w:r w:rsidR="001D4908" w:rsidRPr="00825408">
              <w:rPr>
                <w:lang w:val="en-US"/>
              </w:rPr>
              <w:t xml:space="preserve"> </w:t>
            </w:r>
            <w:r w:rsidR="00FC227F" w:rsidRPr="00825408">
              <w:rPr>
                <w:lang w:val="en-US"/>
              </w:rPr>
              <w:t>DOYON</w:t>
            </w:r>
            <w:r w:rsidR="00570F3E">
              <w:rPr>
                <w:lang w:val="en-US"/>
              </w:rPr>
              <w:t>,</w:t>
            </w:r>
            <w:r w:rsidRPr="00825408">
              <w:rPr>
                <w:lang w:val="en-US"/>
              </w:rPr>
              <w:t xml:space="preserve"> J.A.</w:t>
            </w:r>
          </w:p>
        </w:tc>
      </w:tr>
      <w:tr w:rsidR="00713DD5" w:rsidRPr="0016054C" w14:paraId="12CFC486" w14:textId="77777777" w:rsidTr="0011384E">
        <w:tc>
          <w:tcPr>
            <w:tcW w:w="9360" w:type="dxa"/>
            <w:tcBorders>
              <w:bottom w:val="single" w:sz="8" w:space="0" w:color="auto"/>
            </w:tcBorders>
          </w:tcPr>
          <w:p w14:paraId="7420364B" w14:textId="77777777" w:rsidR="00D93A6C" w:rsidRPr="00825408" w:rsidRDefault="00D93A6C" w:rsidP="0011384E">
            <w:pPr>
              <w:rPr>
                <w:lang w:val="en-US"/>
              </w:rPr>
            </w:pPr>
          </w:p>
        </w:tc>
      </w:tr>
      <w:tr w:rsidR="00713DD5" w:rsidRPr="0016054C" w14:paraId="39B10E7F" w14:textId="77777777" w:rsidTr="0011384E">
        <w:tc>
          <w:tcPr>
            <w:tcW w:w="9360" w:type="dxa"/>
            <w:tcBorders>
              <w:top w:val="single" w:sz="8" w:space="0" w:color="auto"/>
            </w:tcBorders>
          </w:tcPr>
          <w:p w14:paraId="47B30419" w14:textId="77777777" w:rsidR="00D93A6C" w:rsidRPr="00825408" w:rsidRDefault="00D93A6C" w:rsidP="0011384E">
            <w:pPr>
              <w:rPr>
                <w:lang w:val="en-US"/>
              </w:rPr>
            </w:pPr>
          </w:p>
        </w:tc>
      </w:tr>
    </w:tbl>
    <w:p w14:paraId="5885E8B0" w14:textId="4BF2FA66" w:rsidR="00D93A6C" w:rsidRPr="00916CE1" w:rsidRDefault="003C7A78" w:rsidP="00916CE1">
      <w:pPr>
        <w:pStyle w:val="Paragraphe"/>
        <w:spacing w:line="280" w:lineRule="exact"/>
        <w:rPr>
          <w:lang w:val="en-CA"/>
        </w:rPr>
      </w:pPr>
      <w:r w:rsidRPr="008B3216">
        <w:rPr>
          <w:lang w:val="en-CA"/>
        </w:rPr>
        <w:t>Is the possibility of using a portable telephone (“cell phone”) relevant for assessing reasonable delay before having access to counsel? This is the central issue in this appeal</w:t>
      </w:r>
      <w:r w:rsidR="00916CE1" w:rsidRPr="008B3216">
        <w:rPr>
          <w:lang w:val="en-CA"/>
        </w:rPr>
        <w:t>.</w:t>
      </w:r>
    </w:p>
    <w:p w14:paraId="243C9DE0" w14:textId="23B4613A" w:rsidR="00D93A6C" w:rsidRPr="00825408" w:rsidRDefault="00916CE1" w:rsidP="00C65766">
      <w:pPr>
        <w:pStyle w:val="Paragraphe"/>
        <w:spacing w:line="280" w:lineRule="exact"/>
        <w:rPr>
          <w:lang w:val="en-US"/>
        </w:rPr>
      </w:pPr>
      <w:r>
        <w:rPr>
          <w:lang w:val="en-US"/>
        </w:rPr>
        <w:t>The appellant appeals</w:t>
      </w:r>
      <w:r w:rsidR="00466E12">
        <w:rPr>
          <w:lang w:val="en-US"/>
        </w:rPr>
        <w:t xml:space="preserve"> from</w:t>
      </w:r>
      <w:r w:rsidR="003C0353" w:rsidRPr="00825408">
        <w:rPr>
          <w:lang w:val="en-US"/>
        </w:rPr>
        <w:t xml:space="preserve"> a judgment of the Superior Court, </w:t>
      </w:r>
      <w:r w:rsidR="00847EB2">
        <w:rPr>
          <w:lang w:val="en-US"/>
        </w:rPr>
        <w:t>D</w:t>
      </w:r>
      <w:r w:rsidR="003C0353" w:rsidRPr="00825408">
        <w:rPr>
          <w:lang w:val="en-US"/>
        </w:rPr>
        <w:t>istrict of Montreal (</w:t>
      </w:r>
      <w:r w:rsidR="00847EB2">
        <w:rPr>
          <w:lang w:val="en-US"/>
        </w:rPr>
        <w:t xml:space="preserve">the </w:t>
      </w:r>
      <w:proofErr w:type="spellStart"/>
      <w:r w:rsidR="0016054C" w:rsidRPr="00825408">
        <w:rPr>
          <w:lang w:val="en-US"/>
        </w:rPr>
        <w:t>Hono</w:t>
      </w:r>
      <w:r w:rsidR="0016054C">
        <w:rPr>
          <w:lang w:val="en-US"/>
        </w:rPr>
        <w:t>u</w:t>
      </w:r>
      <w:r w:rsidR="0016054C" w:rsidRPr="00825408">
        <w:rPr>
          <w:lang w:val="en-US"/>
        </w:rPr>
        <w:t>rable</w:t>
      </w:r>
      <w:proofErr w:type="spellEnd"/>
      <w:r w:rsidR="003610C8" w:rsidRPr="00825408">
        <w:rPr>
          <w:lang w:val="en-US"/>
        </w:rPr>
        <w:t xml:space="preserve"> </w:t>
      </w:r>
      <w:r w:rsidR="00606426">
        <w:rPr>
          <w:lang w:val="en-US"/>
        </w:rPr>
        <w:t xml:space="preserve">Madam Justice </w:t>
      </w:r>
      <w:r w:rsidR="003610C8" w:rsidRPr="00825408">
        <w:rPr>
          <w:lang w:val="en-US"/>
        </w:rPr>
        <w:t>Hélène Di Salvo),</w:t>
      </w:r>
      <w:r w:rsidR="001D4908" w:rsidRPr="00825408">
        <w:rPr>
          <w:lang w:val="en-US"/>
        </w:rPr>
        <w:t xml:space="preserve"> </w:t>
      </w:r>
      <w:r w:rsidR="00847EB2">
        <w:rPr>
          <w:lang w:val="en-US"/>
        </w:rPr>
        <w:t xml:space="preserve">rendered </w:t>
      </w:r>
      <w:r w:rsidR="00F46C3A">
        <w:rPr>
          <w:lang w:val="en-US"/>
        </w:rPr>
        <w:t>or</w:t>
      </w:r>
      <w:r w:rsidR="003C0353" w:rsidRPr="00825408">
        <w:rPr>
          <w:lang w:val="en-US"/>
        </w:rPr>
        <w:t xml:space="preserve">ally on </w:t>
      </w:r>
      <w:r w:rsidR="00F46C3A">
        <w:rPr>
          <w:lang w:val="en-US"/>
        </w:rPr>
        <w:t>August</w:t>
      </w:r>
      <w:r w:rsidR="00847EB2">
        <w:rPr>
          <w:lang w:val="en-US"/>
        </w:rPr>
        <w:t xml:space="preserve"> 2,</w:t>
      </w:r>
      <w:r w:rsidR="00F46C3A">
        <w:rPr>
          <w:lang w:val="en-US"/>
        </w:rPr>
        <w:t xml:space="preserve"> 2018 (reasons for judg</w:t>
      </w:r>
      <w:r w:rsidR="003C0353" w:rsidRPr="00825408">
        <w:rPr>
          <w:lang w:val="en-US"/>
        </w:rPr>
        <w:t>ment transcribed on August</w:t>
      </w:r>
      <w:r w:rsidR="00847EB2">
        <w:rPr>
          <w:lang w:val="en-US"/>
        </w:rPr>
        <w:t xml:space="preserve"> 20,</w:t>
      </w:r>
      <w:r w:rsidR="003C0353" w:rsidRPr="00825408">
        <w:rPr>
          <w:lang w:val="en-US"/>
        </w:rPr>
        <w:t xml:space="preserve"> 2018)</w:t>
      </w:r>
      <w:r w:rsidR="00F46C3A">
        <w:rPr>
          <w:lang w:val="en-US"/>
        </w:rPr>
        <w:t>,</w:t>
      </w:r>
      <w:r w:rsidR="003C0353" w:rsidRPr="00825408">
        <w:rPr>
          <w:lang w:val="en-US"/>
        </w:rPr>
        <w:t xml:space="preserve"> </w:t>
      </w:r>
      <w:r w:rsidR="003C0353" w:rsidRPr="00825408">
        <w:rPr>
          <w:i/>
          <w:lang w:val="en-US"/>
        </w:rPr>
        <w:t xml:space="preserve">R. c. </w:t>
      </w:r>
      <w:proofErr w:type="spellStart"/>
      <w:r w:rsidR="003C0353" w:rsidRPr="00825408">
        <w:rPr>
          <w:i/>
          <w:lang w:val="en-US"/>
        </w:rPr>
        <w:t>Freddi</w:t>
      </w:r>
      <w:proofErr w:type="spellEnd"/>
      <w:r w:rsidR="003C0353" w:rsidRPr="00825408">
        <w:rPr>
          <w:lang w:val="en-US"/>
        </w:rPr>
        <w:t xml:space="preserve">, 2018 QCCS 4395, </w:t>
      </w:r>
      <w:r w:rsidR="00B04F46">
        <w:rPr>
          <w:lang w:val="en-US"/>
        </w:rPr>
        <w:t xml:space="preserve">which allowed </w:t>
      </w:r>
      <w:r w:rsidR="003C0353" w:rsidRPr="00825408">
        <w:rPr>
          <w:lang w:val="en-US"/>
        </w:rPr>
        <w:t xml:space="preserve">the prosecution’s appeal and </w:t>
      </w:r>
      <w:r w:rsidR="0053443E">
        <w:rPr>
          <w:lang w:val="en-US"/>
        </w:rPr>
        <w:t xml:space="preserve">quashed </w:t>
      </w:r>
      <w:r w:rsidR="003C0353" w:rsidRPr="00825408">
        <w:rPr>
          <w:lang w:val="en-US"/>
        </w:rPr>
        <w:t>the judgment of the Court of Qu</w:t>
      </w:r>
      <w:r w:rsidR="00606426">
        <w:rPr>
          <w:lang w:val="en-US"/>
        </w:rPr>
        <w:t>é</w:t>
      </w:r>
      <w:r w:rsidR="003C0353" w:rsidRPr="00825408">
        <w:rPr>
          <w:lang w:val="en-US"/>
        </w:rPr>
        <w:t>bec dated May</w:t>
      </w:r>
      <w:r w:rsidR="00847EB2">
        <w:rPr>
          <w:lang w:val="en-US"/>
        </w:rPr>
        <w:t xml:space="preserve"> 24,</w:t>
      </w:r>
      <w:r w:rsidR="003C0353" w:rsidRPr="00825408">
        <w:rPr>
          <w:lang w:val="en-US"/>
        </w:rPr>
        <w:t xml:space="preserve"> 2017 (</w:t>
      </w:r>
      <w:r w:rsidR="00847EB2">
        <w:rPr>
          <w:lang w:val="en-US"/>
        </w:rPr>
        <w:t xml:space="preserve">the </w:t>
      </w:r>
      <w:proofErr w:type="spellStart"/>
      <w:r w:rsidR="003C0353" w:rsidRPr="00825408">
        <w:rPr>
          <w:lang w:val="en-US"/>
        </w:rPr>
        <w:t>Honourable</w:t>
      </w:r>
      <w:proofErr w:type="spellEnd"/>
      <w:r w:rsidR="003C0353" w:rsidRPr="00825408">
        <w:rPr>
          <w:lang w:val="en-US"/>
        </w:rPr>
        <w:t xml:space="preserve"> Julie </w:t>
      </w:r>
      <w:proofErr w:type="spellStart"/>
      <w:r w:rsidR="003C0353" w:rsidRPr="00825408">
        <w:rPr>
          <w:lang w:val="en-US"/>
        </w:rPr>
        <w:t>Riendeau</w:t>
      </w:r>
      <w:proofErr w:type="spellEnd"/>
      <w:r w:rsidR="003C0353" w:rsidRPr="00825408">
        <w:rPr>
          <w:lang w:val="en-US"/>
        </w:rPr>
        <w:t xml:space="preserve">). </w:t>
      </w:r>
      <w:proofErr w:type="spellStart"/>
      <w:r w:rsidR="003C0353" w:rsidRPr="00825408">
        <w:rPr>
          <w:lang w:val="en-US"/>
        </w:rPr>
        <w:t>Riendeau</w:t>
      </w:r>
      <w:proofErr w:type="spellEnd"/>
      <w:r w:rsidR="00D0201E">
        <w:rPr>
          <w:lang w:val="en-US"/>
        </w:rPr>
        <w:t>,</w:t>
      </w:r>
      <w:r w:rsidR="00847EB2">
        <w:rPr>
          <w:lang w:val="en-US"/>
        </w:rPr>
        <w:t xml:space="preserve"> J.</w:t>
      </w:r>
      <w:r w:rsidR="001812E7">
        <w:rPr>
          <w:lang w:val="en-US"/>
        </w:rPr>
        <w:t>C.Q.</w:t>
      </w:r>
      <w:r w:rsidR="003C0353" w:rsidRPr="00825408">
        <w:rPr>
          <w:lang w:val="en-US"/>
        </w:rPr>
        <w:t xml:space="preserve"> had allowed Ms.</w:t>
      </w:r>
      <w:r w:rsidR="004958F3">
        <w:rPr>
          <w:lang w:val="en-US"/>
        </w:rPr>
        <w:t> </w:t>
      </w:r>
      <w:proofErr w:type="spellStart"/>
      <w:r w:rsidR="003C0353" w:rsidRPr="00825408">
        <w:rPr>
          <w:lang w:val="en-US"/>
        </w:rPr>
        <w:t>Freddi’s</w:t>
      </w:r>
      <w:proofErr w:type="spellEnd"/>
      <w:r w:rsidR="003C0353" w:rsidRPr="00825408">
        <w:rPr>
          <w:lang w:val="en-US"/>
        </w:rPr>
        <w:t xml:space="preserve"> application, </w:t>
      </w:r>
      <w:r w:rsidR="00B04F46">
        <w:rPr>
          <w:lang w:val="en-US"/>
        </w:rPr>
        <w:t xml:space="preserve">had </w:t>
      </w:r>
      <w:r w:rsidR="003C0353" w:rsidRPr="00825408">
        <w:rPr>
          <w:lang w:val="en-US"/>
        </w:rPr>
        <w:t>or</w:t>
      </w:r>
      <w:r w:rsidR="002C5C1E">
        <w:rPr>
          <w:lang w:val="en-US"/>
        </w:rPr>
        <w:t>dered the exclusion of evidence</w:t>
      </w:r>
      <w:r w:rsidR="007D7F0F">
        <w:rPr>
          <w:lang w:val="en-US"/>
        </w:rPr>
        <w:t>—</w:t>
      </w:r>
      <w:r w:rsidR="003C0353" w:rsidRPr="00825408">
        <w:rPr>
          <w:lang w:val="en-US"/>
        </w:rPr>
        <w:t xml:space="preserve">namely </w:t>
      </w:r>
      <w:r w:rsidR="00825408">
        <w:rPr>
          <w:lang w:val="en-US"/>
        </w:rPr>
        <w:t>the re</w:t>
      </w:r>
      <w:r w:rsidR="003C0353" w:rsidRPr="00825408">
        <w:rPr>
          <w:lang w:val="en-US"/>
        </w:rPr>
        <w:t>s</w:t>
      </w:r>
      <w:r w:rsidR="00825408">
        <w:rPr>
          <w:lang w:val="en-US"/>
        </w:rPr>
        <w:t>u</w:t>
      </w:r>
      <w:r w:rsidR="003C0353" w:rsidRPr="00825408">
        <w:rPr>
          <w:lang w:val="en-US"/>
        </w:rPr>
        <w:t xml:space="preserve">lts of a </w:t>
      </w:r>
      <w:r w:rsidR="00825408">
        <w:rPr>
          <w:lang w:val="en-US"/>
        </w:rPr>
        <w:t xml:space="preserve">breathalyzer </w:t>
      </w:r>
      <w:r w:rsidR="002C5C1E">
        <w:rPr>
          <w:lang w:val="en-US"/>
        </w:rPr>
        <w:t>test</w:t>
      </w:r>
      <w:r w:rsidR="007D7F0F">
        <w:rPr>
          <w:lang w:val="en-US"/>
        </w:rPr>
        <w:t>—</w:t>
      </w:r>
      <w:r w:rsidR="003C0353" w:rsidRPr="00825408">
        <w:rPr>
          <w:lang w:val="en-US"/>
        </w:rPr>
        <w:t xml:space="preserve">on the ground that she had been deprived of her right to </w:t>
      </w:r>
      <w:r w:rsidR="0018552E" w:rsidRPr="00825408">
        <w:rPr>
          <w:lang w:val="en-US"/>
        </w:rPr>
        <w:t xml:space="preserve">counsel </w:t>
      </w:r>
      <w:r w:rsidR="003C0353" w:rsidRPr="00825408">
        <w:rPr>
          <w:lang w:val="en-US"/>
        </w:rPr>
        <w:t>under s</w:t>
      </w:r>
      <w:r w:rsidR="00B11750">
        <w:rPr>
          <w:lang w:val="en-US"/>
        </w:rPr>
        <w:t xml:space="preserve">. </w:t>
      </w:r>
      <w:r w:rsidR="009F7D98">
        <w:rPr>
          <w:lang w:val="en-US"/>
        </w:rPr>
        <w:t>10</w:t>
      </w:r>
      <w:r w:rsidR="009F7D98" w:rsidRPr="009F7D98">
        <w:rPr>
          <w:lang w:val="en-US"/>
        </w:rPr>
        <w:t>(</w:t>
      </w:r>
      <w:r w:rsidR="009F7D98" w:rsidRPr="0016054C">
        <w:rPr>
          <w:i/>
          <w:lang w:val="en-US"/>
        </w:rPr>
        <w:t>b</w:t>
      </w:r>
      <w:r w:rsidR="009F7D98" w:rsidRPr="009F7D98">
        <w:rPr>
          <w:lang w:val="en-US"/>
        </w:rPr>
        <w:t>)</w:t>
      </w:r>
      <w:r w:rsidR="0018552E" w:rsidRPr="00825408">
        <w:rPr>
          <w:lang w:val="en-US"/>
        </w:rPr>
        <w:t xml:space="preserve"> of the </w:t>
      </w:r>
      <w:r w:rsidR="0018552E" w:rsidRPr="00825408">
        <w:rPr>
          <w:i/>
          <w:lang w:val="en-US"/>
        </w:rPr>
        <w:t>Canadian Charter of Rights and Freedoms</w:t>
      </w:r>
      <w:r w:rsidR="0018552E" w:rsidRPr="00825408">
        <w:rPr>
          <w:lang w:val="en-US"/>
        </w:rPr>
        <w:t xml:space="preserve"> (</w:t>
      </w:r>
      <w:r w:rsidR="00847EB2" w:rsidRPr="00825408">
        <w:rPr>
          <w:lang w:val="en-US"/>
        </w:rPr>
        <w:t xml:space="preserve">the </w:t>
      </w:r>
      <w:r w:rsidR="00825408">
        <w:rPr>
          <w:lang w:val="en-US"/>
        </w:rPr>
        <w:t>“</w:t>
      </w:r>
      <w:r w:rsidR="0018552E" w:rsidRPr="00825408">
        <w:rPr>
          <w:i/>
          <w:lang w:val="en-US"/>
        </w:rPr>
        <w:t>Charter</w:t>
      </w:r>
      <w:r w:rsidR="00825408">
        <w:rPr>
          <w:lang w:val="en-US"/>
        </w:rPr>
        <w:t>”</w:t>
      </w:r>
      <w:r w:rsidR="0018552E" w:rsidRPr="00825408">
        <w:rPr>
          <w:lang w:val="en-US"/>
        </w:rPr>
        <w:t>)</w:t>
      </w:r>
      <w:r w:rsidR="00825408">
        <w:rPr>
          <w:lang w:val="en-US"/>
        </w:rPr>
        <w:t>,</w:t>
      </w:r>
      <w:r w:rsidR="0018552E" w:rsidRPr="00825408">
        <w:rPr>
          <w:lang w:val="en-US"/>
        </w:rPr>
        <w:t xml:space="preserve"> and</w:t>
      </w:r>
      <w:r w:rsidR="00B04F46">
        <w:rPr>
          <w:lang w:val="en-US"/>
        </w:rPr>
        <w:t>,</w:t>
      </w:r>
      <w:r w:rsidR="0018552E" w:rsidRPr="00825408">
        <w:rPr>
          <w:lang w:val="en-US"/>
        </w:rPr>
        <w:t xml:space="preserve"> accordingly</w:t>
      </w:r>
      <w:r w:rsidR="00B04F46">
        <w:rPr>
          <w:lang w:val="en-US"/>
        </w:rPr>
        <w:t>,</w:t>
      </w:r>
      <w:r w:rsidR="0018552E" w:rsidRPr="00825408">
        <w:rPr>
          <w:lang w:val="en-US"/>
        </w:rPr>
        <w:t xml:space="preserve"> </w:t>
      </w:r>
      <w:r w:rsidR="00B04F46">
        <w:rPr>
          <w:lang w:val="en-US"/>
        </w:rPr>
        <w:t xml:space="preserve">had </w:t>
      </w:r>
      <w:r w:rsidR="0018552E" w:rsidRPr="00825408">
        <w:rPr>
          <w:lang w:val="en-US"/>
        </w:rPr>
        <w:t xml:space="preserve">acquitted her of the charge of </w:t>
      </w:r>
      <w:r w:rsidR="00825408">
        <w:rPr>
          <w:lang w:val="en-US"/>
        </w:rPr>
        <w:t xml:space="preserve">operating a motor vehicle </w:t>
      </w:r>
      <w:r w:rsidR="0018552E" w:rsidRPr="00825408">
        <w:rPr>
          <w:lang w:val="en-US"/>
        </w:rPr>
        <w:t xml:space="preserve">with a blood alcohol </w:t>
      </w:r>
      <w:r w:rsidR="00184BC0">
        <w:rPr>
          <w:lang w:val="en-US"/>
        </w:rPr>
        <w:t xml:space="preserve">level </w:t>
      </w:r>
      <w:r w:rsidR="00825408">
        <w:rPr>
          <w:lang w:val="en-US"/>
        </w:rPr>
        <w:t xml:space="preserve">exceeding the </w:t>
      </w:r>
      <w:r w:rsidR="00184BC0">
        <w:rPr>
          <w:lang w:val="en-US"/>
        </w:rPr>
        <w:t xml:space="preserve">legal </w:t>
      </w:r>
      <w:r w:rsidR="0018552E" w:rsidRPr="00825408">
        <w:rPr>
          <w:lang w:val="en-US"/>
        </w:rPr>
        <w:t>limit.</w:t>
      </w:r>
    </w:p>
    <w:p w14:paraId="44817078" w14:textId="37C0E089" w:rsidR="00D93A6C" w:rsidRPr="00825408" w:rsidRDefault="00825408" w:rsidP="00C65766">
      <w:pPr>
        <w:pStyle w:val="Paragraphe"/>
        <w:spacing w:line="280" w:lineRule="exact"/>
        <w:rPr>
          <w:lang w:val="en-US"/>
        </w:rPr>
      </w:pPr>
      <w:r>
        <w:rPr>
          <w:lang w:val="en-US"/>
        </w:rPr>
        <w:t>A colleague o</w:t>
      </w:r>
      <w:r w:rsidR="00B11750">
        <w:rPr>
          <w:lang w:val="en-US"/>
        </w:rPr>
        <w:t>n</w:t>
      </w:r>
      <w:r>
        <w:rPr>
          <w:lang w:val="en-US"/>
        </w:rPr>
        <w:t xml:space="preserve"> this Court granted leave to appeal on question</w:t>
      </w:r>
      <w:r w:rsidR="00847EB2">
        <w:rPr>
          <w:lang w:val="en-US"/>
        </w:rPr>
        <w:t>s</w:t>
      </w:r>
      <w:r>
        <w:rPr>
          <w:lang w:val="en-US"/>
        </w:rPr>
        <w:t xml:space="preserve"> of law alone pursuant to </w:t>
      </w:r>
      <w:r w:rsidR="00847EB2">
        <w:rPr>
          <w:lang w:val="en-US"/>
        </w:rPr>
        <w:t>s.</w:t>
      </w:r>
      <w:r>
        <w:rPr>
          <w:lang w:val="en-US"/>
        </w:rPr>
        <w:t xml:space="preserve"> 839 </w:t>
      </w:r>
      <w:proofErr w:type="spellStart"/>
      <w:r w:rsidRPr="00825408">
        <w:rPr>
          <w:i/>
          <w:lang w:val="en-US"/>
        </w:rPr>
        <w:t>Cr</w:t>
      </w:r>
      <w:r w:rsidR="00313DC9">
        <w:rPr>
          <w:i/>
          <w:lang w:val="en-US"/>
        </w:rPr>
        <w:t>.</w:t>
      </w:r>
      <w:r w:rsidRPr="00825408">
        <w:rPr>
          <w:i/>
          <w:lang w:val="en-US"/>
        </w:rPr>
        <w:t>C</w:t>
      </w:r>
      <w:proofErr w:type="spellEnd"/>
      <w:r w:rsidR="00313DC9">
        <w:rPr>
          <w:i/>
          <w:lang w:val="en-US"/>
        </w:rPr>
        <w:t>.</w:t>
      </w:r>
      <w:r>
        <w:rPr>
          <w:lang w:val="en-US"/>
        </w:rPr>
        <w:t xml:space="preserve">: </w:t>
      </w:r>
      <w:proofErr w:type="spellStart"/>
      <w:r w:rsidR="001D4908" w:rsidRPr="00825408">
        <w:rPr>
          <w:i/>
          <w:lang w:val="en-US"/>
        </w:rPr>
        <w:t>Freddi</w:t>
      </w:r>
      <w:proofErr w:type="spellEnd"/>
      <w:r w:rsidR="001D4908" w:rsidRPr="00825408">
        <w:rPr>
          <w:i/>
          <w:lang w:val="en-US"/>
        </w:rPr>
        <w:t xml:space="preserve"> c. R</w:t>
      </w:r>
      <w:r>
        <w:rPr>
          <w:lang w:val="en-US"/>
        </w:rPr>
        <w:t>., 2018 QCCA 1682.</w:t>
      </w:r>
    </w:p>
    <w:p w14:paraId="34C47A1F" w14:textId="77777777" w:rsidR="00D93A6C" w:rsidRPr="003105BB" w:rsidRDefault="003105BB" w:rsidP="00C65766">
      <w:pPr>
        <w:pStyle w:val="Titre2"/>
        <w:rPr>
          <w:lang w:val="en-US"/>
        </w:rPr>
      </w:pPr>
      <w:r w:rsidRPr="003105BB">
        <w:rPr>
          <w:lang w:val="en-US"/>
        </w:rPr>
        <w:t>BACKGROUND</w:t>
      </w:r>
    </w:p>
    <w:p w14:paraId="708DB886" w14:textId="76D8A68E" w:rsidR="00D93A6C" w:rsidRPr="003105BB" w:rsidRDefault="003105BB" w:rsidP="00C65766">
      <w:pPr>
        <w:pStyle w:val="Paragraphe"/>
        <w:spacing w:line="280" w:lineRule="exact"/>
        <w:rPr>
          <w:lang w:val="en-US"/>
        </w:rPr>
      </w:pPr>
      <w:r w:rsidRPr="003105BB">
        <w:rPr>
          <w:lang w:val="en-US"/>
        </w:rPr>
        <w:t>On September</w:t>
      </w:r>
      <w:r w:rsidR="00AA4754">
        <w:rPr>
          <w:lang w:val="en-US"/>
        </w:rPr>
        <w:t xml:space="preserve"> 19,</w:t>
      </w:r>
      <w:r w:rsidR="00F46C3A">
        <w:rPr>
          <w:lang w:val="en-US"/>
        </w:rPr>
        <w:t xml:space="preserve"> 2015</w:t>
      </w:r>
      <w:r w:rsidR="00AA4754">
        <w:rPr>
          <w:lang w:val="en-US"/>
        </w:rPr>
        <w:t>,</w:t>
      </w:r>
      <w:r w:rsidR="00F46C3A">
        <w:rPr>
          <w:lang w:val="en-US"/>
        </w:rPr>
        <w:t xml:space="preserve"> at 3:19 a.m.</w:t>
      </w:r>
      <w:r w:rsidR="005B7B2E">
        <w:rPr>
          <w:lang w:val="en-US"/>
        </w:rPr>
        <w:t>,</w:t>
      </w:r>
      <w:r>
        <w:rPr>
          <w:lang w:val="en-US"/>
        </w:rPr>
        <w:t xml:space="preserve"> an officer of the </w:t>
      </w:r>
      <w:proofErr w:type="spellStart"/>
      <w:r w:rsidR="001D4908" w:rsidRPr="003105BB">
        <w:rPr>
          <w:lang w:val="en-US"/>
        </w:rPr>
        <w:t>Sûreté</w:t>
      </w:r>
      <w:proofErr w:type="spellEnd"/>
      <w:r w:rsidR="001D4908" w:rsidRPr="003105BB">
        <w:rPr>
          <w:lang w:val="en-US"/>
        </w:rPr>
        <w:t xml:space="preserve"> du Québec </w:t>
      </w:r>
      <w:r>
        <w:rPr>
          <w:lang w:val="en-US"/>
        </w:rPr>
        <w:t>equipped with a radar device</w:t>
      </w:r>
      <w:r w:rsidR="001D4908" w:rsidRPr="003105BB">
        <w:rPr>
          <w:lang w:val="en-US"/>
        </w:rPr>
        <w:t xml:space="preserve"> capt</w:t>
      </w:r>
      <w:r>
        <w:rPr>
          <w:lang w:val="en-US"/>
        </w:rPr>
        <w:t>ur</w:t>
      </w:r>
      <w:r w:rsidR="001D4908" w:rsidRPr="003105BB">
        <w:rPr>
          <w:lang w:val="en-US"/>
        </w:rPr>
        <w:t>e</w:t>
      </w:r>
      <w:r>
        <w:rPr>
          <w:lang w:val="en-US"/>
        </w:rPr>
        <w:t>d the speed of the appellant’</w:t>
      </w:r>
      <w:r>
        <w:rPr>
          <w:lang w:val="en-CA"/>
        </w:rPr>
        <w:t xml:space="preserve">s vehicle; it was doing </w:t>
      </w:r>
      <w:r w:rsidR="001D4908" w:rsidRPr="003105BB">
        <w:rPr>
          <w:lang w:val="en-US"/>
        </w:rPr>
        <w:t xml:space="preserve">122 km/h </w:t>
      </w:r>
      <w:r>
        <w:rPr>
          <w:lang w:val="en-US"/>
        </w:rPr>
        <w:t xml:space="preserve">in a </w:t>
      </w:r>
      <w:r w:rsidR="001D4908" w:rsidRPr="003105BB">
        <w:rPr>
          <w:lang w:val="en-US"/>
        </w:rPr>
        <w:t xml:space="preserve">50 km/h </w:t>
      </w:r>
      <w:r>
        <w:rPr>
          <w:lang w:val="en-US"/>
        </w:rPr>
        <w:t xml:space="preserve">zone on the </w:t>
      </w:r>
      <w:r w:rsidR="001D4908" w:rsidRPr="003105BB">
        <w:rPr>
          <w:lang w:val="en-US"/>
        </w:rPr>
        <w:t>Bonaventure</w:t>
      </w:r>
      <w:r>
        <w:rPr>
          <w:lang w:val="en-US"/>
        </w:rPr>
        <w:t xml:space="preserve"> </w:t>
      </w:r>
      <w:r w:rsidR="00AA4754">
        <w:rPr>
          <w:lang w:val="en-US"/>
        </w:rPr>
        <w:t>Expressway</w:t>
      </w:r>
      <w:r w:rsidR="001D4908" w:rsidRPr="003105BB">
        <w:rPr>
          <w:lang w:val="en-US"/>
        </w:rPr>
        <w:t xml:space="preserve">. </w:t>
      </w:r>
      <w:r>
        <w:rPr>
          <w:lang w:val="en-US"/>
        </w:rPr>
        <w:t xml:space="preserve">As a result, the appellant was </w:t>
      </w:r>
      <w:r w:rsidR="00ED2070">
        <w:rPr>
          <w:lang w:val="en-US"/>
        </w:rPr>
        <w:t>intercepted</w:t>
      </w:r>
      <w:r>
        <w:rPr>
          <w:lang w:val="en-US"/>
        </w:rPr>
        <w:t xml:space="preserve">. </w:t>
      </w:r>
      <w:r w:rsidR="00AA4754">
        <w:rPr>
          <w:lang w:val="en-US"/>
        </w:rPr>
        <w:t>Traffic was light and visibility was good</w:t>
      </w:r>
      <w:r>
        <w:rPr>
          <w:lang w:val="en-US"/>
        </w:rPr>
        <w:t>. It was not raining and the pavement was dry.</w:t>
      </w:r>
    </w:p>
    <w:p w14:paraId="07ECCE8A" w14:textId="2991FAFA" w:rsidR="00D93A6C" w:rsidRPr="003105BB" w:rsidRDefault="003105BB" w:rsidP="00C65766">
      <w:pPr>
        <w:pStyle w:val="Paragraphe"/>
        <w:spacing w:line="280" w:lineRule="exact"/>
        <w:rPr>
          <w:lang w:val="en-US"/>
        </w:rPr>
      </w:pPr>
      <w:r>
        <w:rPr>
          <w:lang w:val="en-US"/>
        </w:rPr>
        <w:t>The police officer smelled alcohol and noted that the appellant’s eyes were glassy and bloodshot. There were six people in the vehicle, which only had five seats. One passen</w:t>
      </w:r>
      <w:r w:rsidR="001D4908" w:rsidRPr="003105BB">
        <w:rPr>
          <w:lang w:val="en-US"/>
        </w:rPr>
        <w:t xml:space="preserve">ger </w:t>
      </w:r>
      <w:r>
        <w:rPr>
          <w:lang w:val="en-US"/>
        </w:rPr>
        <w:t xml:space="preserve">was on the floor in the back of the </w:t>
      </w:r>
      <w:r w:rsidR="00FD1AE6">
        <w:rPr>
          <w:lang w:val="en-US"/>
        </w:rPr>
        <w:t>vehicle</w:t>
      </w:r>
      <w:r w:rsidR="001D4908" w:rsidRPr="003105BB">
        <w:rPr>
          <w:lang w:val="en-US"/>
        </w:rPr>
        <w:t xml:space="preserve">. </w:t>
      </w:r>
      <w:r w:rsidR="00AA4754">
        <w:rPr>
          <w:lang w:val="en-US"/>
        </w:rPr>
        <w:t>T</w:t>
      </w:r>
      <w:r w:rsidR="00FD1AE6">
        <w:rPr>
          <w:lang w:val="en-US"/>
        </w:rPr>
        <w:t>he appellant was driving and, when questioned, she said she had consumed alcoh</w:t>
      </w:r>
      <w:r w:rsidR="00C82BCB">
        <w:rPr>
          <w:lang w:val="en-US"/>
        </w:rPr>
        <w:t xml:space="preserve">ol. Since she had a probationary </w:t>
      </w:r>
      <w:proofErr w:type="spellStart"/>
      <w:r w:rsidR="00C82BCB">
        <w:rPr>
          <w:lang w:val="en-US"/>
        </w:rPr>
        <w:t>licen</w:t>
      </w:r>
      <w:r w:rsidR="00C47201">
        <w:rPr>
          <w:lang w:val="en-US"/>
        </w:rPr>
        <w:t>c</w:t>
      </w:r>
      <w:r w:rsidR="00C82BCB">
        <w:rPr>
          <w:lang w:val="en-US"/>
        </w:rPr>
        <w:t>e</w:t>
      </w:r>
      <w:proofErr w:type="spellEnd"/>
      <w:r w:rsidR="00C82BCB">
        <w:rPr>
          <w:lang w:val="en-US"/>
        </w:rPr>
        <w:t xml:space="preserve">, </w:t>
      </w:r>
      <w:r w:rsidR="00FD1AE6">
        <w:rPr>
          <w:lang w:val="en-US"/>
        </w:rPr>
        <w:t>she wa</w:t>
      </w:r>
      <w:r w:rsidR="00F46C3A">
        <w:rPr>
          <w:lang w:val="en-US"/>
        </w:rPr>
        <w:t xml:space="preserve">s not allowed to have any </w:t>
      </w:r>
      <w:r w:rsidR="00FD1AE6">
        <w:rPr>
          <w:lang w:val="en-US"/>
        </w:rPr>
        <w:t>alcohol</w:t>
      </w:r>
      <w:r w:rsidR="00F46C3A">
        <w:rPr>
          <w:lang w:val="en-US"/>
        </w:rPr>
        <w:t xml:space="preserve"> in her blood</w:t>
      </w:r>
      <w:r w:rsidR="00FD1AE6">
        <w:rPr>
          <w:lang w:val="en-US"/>
        </w:rPr>
        <w:t>.</w:t>
      </w:r>
    </w:p>
    <w:p w14:paraId="22BC404D" w14:textId="61664EF8" w:rsidR="00916CE1" w:rsidRDefault="00FD1AE6" w:rsidP="00C023D7">
      <w:pPr>
        <w:pStyle w:val="Paragraphe"/>
        <w:spacing w:line="280" w:lineRule="exact"/>
        <w:rPr>
          <w:lang w:val="en-US"/>
        </w:rPr>
      </w:pPr>
      <w:r w:rsidRPr="002E7143">
        <w:rPr>
          <w:lang w:val="en-US"/>
        </w:rPr>
        <w:t>The officer therefore ordered h</w:t>
      </w:r>
      <w:r w:rsidR="00F46C3A" w:rsidRPr="002E7143">
        <w:rPr>
          <w:lang w:val="en-US"/>
        </w:rPr>
        <w:t>er to provide a breath sample using</w:t>
      </w:r>
      <w:r w:rsidRPr="002E7143">
        <w:rPr>
          <w:lang w:val="en-US"/>
        </w:rPr>
        <w:t xml:space="preserve"> an approved screening device (“ASD”). The appellant was polite, calm</w:t>
      </w:r>
      <w:r w:rsidR="00CF3742" w:rsidRPr="002547FC">
        <w:rPr>
          <w:lang w:val="en-US"/>
        </w:rPr>
        <w:t xml:space="preserve"> and</w:t>
      </w:r>
      <w:r w:rsidRPr="002547FC">
        <w:rPr>
          <w:lang w:val="en-US"/>
        </w:rPr>
        <w:t>, respectful</w:t>
      </w:r>
      <w:r w:rsidR="00742C3C" w:rsidRPr="002547FC">
        <w:rPr>
          <w:lang w:val="en-US"/>
        </w:rPr>
        <w:t>. She</w:t>
      </w:r>
      <w:r w:rsidRPr="002547FC">
        <w:rPr>
          <w:lang w:val="en-US"/>
        </w:rPr>
        <w:t xml:space="preserve"> followed instructions. A test was taken at 3:29 a.m. The result was a </w:t>
      </w:r>
      <w:r w:rsidR="003612F9" w:rsidRPr="002547FC">
        <w:rPr>
          <w:lang w:val="en-US"/>
        </w:rPr>
        <w:t>“</w:t>
      </w:r>
      <w:r w:rsidRPr="00382B13">
        <w:rPr>
          <w:lang w:val="en-US"/>
        </w:rPr>
        <w:t>fail</w:t>
      </w:r>
      <w:r w:rsidR="003612F9" w:rsidRPr="00382B13">
        <w:rPr>
          <w:lang w:val="en-US"/>
        </w:rPr>
        <w:t>”</w:t>
      </w:r>
      <w:r w:rsidRPr="00382B13">
        <w:rPr>
          <w:lang w:val="en-US"/>
        </w:rPr>
        <w:t>.</w:t>
      </w:r>
    </w:p>
    <w:p w14:paraId="11F65DAE" w14:textId="02EF776D" w:rsidR="00D93A6C" w:rsidRPr="003105BB" w:rsidRDefault="00432EA7" w:rsidP="00C65766">
      <w:pPr>
        <w:pStyle w:val="Paragraphe"/>
        <w:spacing w:line="280" w:lineRule="exact"/>
        <w:rPr>
          <w:lang w:val="en-US"/>
        </w:rPr>
      </w:pPr>
      <w:r>
        <w:rPr>
          <w:lang w:val="en-US"/>
        </w:rPr>
        <w:t xml:space="preserve">At 3:31 a.m. the appellant was arrested for operating a motor </w:t>
      </w:r>
      <w:r w:rsidR="00FD1AE6">
        <w:rPr>
          <w:lang w:val="en-US"/>
        </w:rPr>
        <w:t>vehicle</w:t>
      </w:r>
      <w:r w:rsidR="001D4908" w:rsidRPr="003105BB">
        <w:rPr>
          <w:lang w:val="en-US"/>
        </w:rPr>
        <w:t xml:space="preserve"> </w:t>
      </w:r>
      <w:r>
        <w:rPr>
          <w:lang w:val="en-US"/>
        </w:rPr>
        <w:t>while</w:t>
      </w:r>
      <w:r w:rsidR="00B4633F">
        <w:rPr>
          <w:lang w:val="en-US"/>
        </w:rPr>
        <w:t xml:space="preserve"> </w:t>
      </w:r>
      <w:r>
        <w:rPr>
          <w:lang w:val="en-US"/>
        </w:rPr>
        <w:t>impaired by</w:t>
      </w:r>
      <w:r w:rsidR="00E33988">
        <w:rPr>
          <w:lang w:val="en-US"/>
        </w:rPr>
        <w:t xml:space="preserve"> </w:t>
      </w:r>
      <w:r w:rsidR="00B4633F">
        <w:rPr>
          <w:lang w:val="en-US"/>
        </w:rPr>
        <w:t>alcohol</w:t>
      </w:r>
      <w:r w:rsidR="00E33988">
        <w:rPr>
          <w:lang w:val="en-US"/>
        </w:rPr>
        <w:t>.</w:t>
      </w:r>
      <w:r w:rsidR="0016054C">
        <w:rPr>
          <w:lang w:val="en-US"/>
        </w:rPr>
        <w:t xml:space="preserve"> </w:t>
      </w:r>
      <w:r w:rsidR="00E33988">
        <w:rPr>
          <w:lang w:val="en-US"/>
        </w:rPr>
        <w:t>T</w:t>
      </w:r>
      <w:r w:rsidR="00B4633F">
        <w:rPr>
          <w:lang w:val="en-US"/>
        </w:rPr>
        <w:t xml:space="preserve">he officer read her </w:t>
      </w:r>
      <w:proofErr w:type="spellStart"/>
      <w:r w:rsidR="00B4633F">
        <w:rPr>
          <w:lang w:val="en-US"/>
        </w:rPr>
        <w:t>her</w:t>
      </w:r>
      <w:proofErr w:type="spellEnd"/>
      <w:r w:rsidR="00B4633F">
        <w:rPr>
          <w:lang w:val="en-US"/>
        </w:rPr>
        <w:t xml:space="preserve"> rights. She told the officer that she wanted to contact a lawyer.</w:t>
      </w:r>
      <w:r w:rsidR="00D21CA7">
        <w:rPr>
          <w:lang w:val="en-US"/>
        </w:rPr>
        <w:t xml:space="preserve"> He answered that she could not do </w:t>
      </w:r>
      <w:r w:rsidR="009A62A8">
        <w:rPr>
          <w:lang w:val="en-US"/>
        </w:rPr>
        <w:t xml:space="preserve">so </w:t>
      </w:r>
      <w:r w:rsidR="00D21CA7">
        <w:rPr>
          <w:lang w:val="en-US"/>
        </w:rPr>
        <w:t xml:space="preserve">there, only at the </w:t>
      </w:r>
      <w:r w:rsidR="001D4908" w:rsidRPr="003105BB">
        <w:rPr>
          <w:lang w:val="en-US"/>
        </w:rPr>
        <w:t>police</w:t>
      </w:r>
      <w:r w:rsidR="00D21CA7">
        <w:rPr>
          <w:lang w:val="en-US"/>
        </w:rPr>
        <w:t xml:space="preserve"> station</w:t>
      </w:r>
      <w:r w:rsidR="001D4908" w:rsidRPr="003105BB">
        <w:rPr>
          <w:lang w:val="en-US"/>
        </w:rPr>
        <w:t>.</w:t>
      </w:r>
      <w:r w:rsidR="00D21CA7">
        <w:rPr>
          <w:lang w:val="en-US"/>
        </w:rPr>
        <w:t xml:space="preserve"> </w:t>
      </w:r>
      <w:r w:rsidR="00D21CA7">
        <w:rPr>
          <w:lang w:val="en-US"/>
        </w:rPr>
        <w:lastRenderedPageBreak/>
        <w:t xml:space="preserve">According to his testimony, he did not believe she had a cell phone and he did not remember asking her whether she had one. In any </w:t>
      </w:r>
      <w:r w:rsidR="00E33988">
        <w:rPr>
          <w:lang w:val="en-US"/>
        </w:rPr>
        <w:t>event</w:t>
      </w:r>
      <w:r w:rsidR="00D21CA7">
        <w:rPr>
          <w:lang w:val="en-US"/>
        </w:rPr>
        <w:t xml:space="preserve">, the call to the lawyer </w:t>
      </w:r>
      <w:r w:rsidR="00972D1E">
        <w:rPr>
          <w:lang w:val="en-US"/>
        </w:rPr>
        <w:t>c</w:t>
      </w:r>
      <w:r w:rsidR="00D21CA7">
        <w:rPr>
          <w:lang w:val="en-US"/>
        </w:rPr>
        <w:t>ould not be made before they arrived at the station. In cross-examination he said that making a phone call on the spot [</w:t>
      </w:r>
      <w:r w:rsidR="00D21CA7" w:rsidRPr="00D21CA7">
        <w:rPr>
          <w:smallCaps/>
          <w:lang w:val="en-US"/>
        </w:rPr>
        <w:t>translation</w:t>
      </w:r>
      <w:r w:rsidR="00D21CA7">
        <w:rPr>
          <w:lang w:val="en-US"/>
        </w:rPr>
        <w:t xml:space="preserve">] “is not </w:t>
      </w:r>
      <w:r w:rsidR="008A29D6">
        <w:rPr>
          <w:lang w:val="en-US"/>
        </w:rPr>
        <w:t xml:space="preserve">a </w:t>
      </w:r>
      <w:r w:rsidR="00D21CA7">
        <w:rPr>
          <w:lang w:val="en-US"/>
        </w:rPr>
        <w:t xml:space="preserve">procedure applied for calling a lawyer,” because that was </w:t>
      </w:r>
      <w:r w:rsidR="00E33988">
        <w:rPr>
          <w:lang w:val="en-US"/>
        </w:rPr>
        <w:t xml:space="preserve">the </w:t>
      </w:r>
      <w:proofErr w:type="spellStart"/>
      <w:r w:rsidR="00E33988" w:rsidRPr="003105BB">
        <w:rPr>
          <w:lang w:val="en-US"/>
        </w:rPr>
        <w:t>Sûreté</w:t>
      </w:r>
      <w:proofErr w:type="spellEnd"/>
      <w:r w:rsidR="00E33988" w:rsidRPr="003105BB">
        <w:rPr>
          <w:lang w:val="en-US"/>
        </w:rPr>
        <w:t xml:space="preserve"> du Québec</w:t>
      </w:r>
      <w:r w:rsidR="00E33988">
        <w:rPr>
          <w:lang w:val="en-US"/>
        </w:rPr>
        <w:t xml:space="preserve">’s </w:t>
      </w:r>
      <w:r w:rsidR="00D21CA7">
        <w:rPr>
          <w:lang w:val="en-US"/>
        </w:rPr>
        <w:t>directive</w:t>
      </w:r>
      <w:r w:rsidR="001D4908" w:rsidRPr="003105BB">
        <w:rPr>
          <w:lang w:val="en-US"/>
        </w:rPr>
        <w:t xml:space="preserve">. </w:t>
      </w:r>
    </w:p>
    <w:p w14:paraId="3374892B" w14:textId="77777777" w:rsidR="00D93A6C" w:rsidRPr="003105BB" w:rsidRDefault="00D21CA7" w:rsidP="00C65766">
      <w:pPr>
        <w:pStyle w:val="Paragraphe"/>
        <w:spacing w:line="280" w:lineRule="exact"/>
        <w:rPr>
          <w:lang w:val="en-US"/>
        </w:rPr>
      </w:pPr>
      <w:r>
        <w:rPr>
          <w:lang w:val="en-US"/>
        </w:rPr>
        <w:t xml:space="preserve">However, the prosecution later admitted that the officer did remember that the appellant had a cell phone, since she was sending text messages while he drove her home after the events. </w:t>
      </w:r>
    </w:p>
    <w:p w14:paraId="18BF0FDD" w14:textId="053CFC10" w:rsidR="00D93A6C" w:rsidRPr="003105BB" w:rsidRDefault="005E3545" w:rsidP="00C65766">
      <w:pPr>
        <w:pStyle w:val="Paragraphe"/>
        <w:spacing w:line="280" w:lineRule="exact"/>
        <w:rPr>
          <w:lang w:val="en-US"/>
        </w:rPr>
      </w:pPr>
      <w:r>
        <w:rPr>
          <w:lang w:val="en-US"/>
        </w:rPr>
        <w:t>In his testimony t</w:t>
      </w:r>
      <w:r w:rsidR="00D21CA7">
        <w:rPr>
          <w:lang w:val="en-US"/>
        </w:rPr>
        <w:t xml:space="preserve">he officer also </w:t>
      </w:r>
      <w:r>
        <w:rPr>
          <w:lang w:val="en-US"/>
        </w:rPr>
        <w:t xml:space="preserve">explained </w:t>
      </w:r>
      <w:r w:rsidR="00D21CA7">
        <w:rPr>
          <w:lang w:val="en-US"/>
        </w:rPr>
        <w:t>that he did not let the appellant contact a lawyer on the spot [</w:t>
      </w:r>
      <w:r w:rsidR="00D21CA7" w:rsidRPr="005E3545">
        <w:rPr>
          <w:smallCaps/>
          <w:lang w:val="en-US"/>
        </w:rPr>
        <w:t>translation</w:t>
      </w:r>
      <w:r w:rsidR="00D21CA7">
        <w:rPr>
          <w:lang w:val="en-US"/>
        </w:rPr>
        <w:t xml:space="preserve">] “for reasons of confidentiality” (the police </w:t>
      </w:r>
      <w:r w:rsidR="00FD1AE6">
        <w:rPr>
          <w:lang w:val="en-US"/>
        </w:rPr>
        <w:t>vehicle</w:t>
      </w:r>
      <w:r w:rsidR="001D4908" w:rsidRPr="003105BB">
        <w:rPr>
          <w:lang w:val="en-US"/>
        </w:rPr>
        <w:t xml:space="preserve"> </w:t>
      </w:r>
      <w:r>
        <w:rPr>
          <w:lang w:val="en-US"/>
        </w:rPr>
        <w:t xml:space="preserve">was not set up for that) and to prevent her </w:t>
      </w:r>
      <w:r w:rsidR="0015642F">
        <w:rPr>
          <w:lang w:val="en-US"/>
        </w:rPr>
        <w:t xml:space="preserve">from </w:t>
      </w:r>
      <w:r>
        <w:rPr>
          <w:lang w:val="en-US"/>
        </w:rPr>
        <w:t xml:space="preserve">fleeing with the police </w:t>
      </w:r>
      <w:r w:rsidR="00FD1AE6">
        <w:rPr>
          <w:lang w:val="en-US"/>
        </w:rPr>
        <w:t>vehicle</w:t>
      </w:r>
      <w:r w:rsidR="001D4908" w:rsidRPr="003105BB">
        <w:rPr>
          <w:lang w:val="en-US"/>
        </w:rPr>
        <w:t xml:space="preserve"> </w:t>
      </w:r>
      <w:r>
        <w:rPr>
          <w:lang w:val="en-US"/>
        </w:rPr>
        <w:t xml:space="preserve">or accessing confidential information on its onboard computer if he left her alone in the </w:t>
      </w:r>
      <w:r w:rsidR="00FD1AE6">
        <w:rPr>
          <w:lang w:val="en-US"/>
        </w:rPr>
        <w:t>vehicle</w:t>
      </w:r>
      <w:r w:rsidR="001D4908" w:rsidRPr="003105BB">
        <w:rPr>
          <w:lang w:val="en-US"/>
        </w:rPr>
        <w:t xml:space="preserve"> </w:t>
      </w:r>
      <w:r>
        <w:rPr>
          <w:lang w:val="en-US"/>
        </w:rPr>
        <w:t>to make the call</w:t>
      </w:r>
      <w:r w:rsidR="001D4908" w:rsidRPr="003105BB">
        <w:rPr>
          <w:lang w:val="en-US"/>
        </w:rPr>
        <w:t xml:space="preserve">. </w:t>
      </w:r>
    </w:p>
    <w:p w14:paraId="74D05192" w14:textId="24980CAD" w:rsidR="00D93A6C" w:rsidRPr="003105BB" w:rsidRDefault="003064F1" w:rsidP="00C65766">
      <w:pPr>
        <w:pStyle w:val="Paragraphe"/>
        <w:spacing w:line="280" w:lineRule="exact"/>
        <w:rPr>
          <w:lang w:val="en-US"/>
        </w:rPr>
      </w:pPr>
      <w:r>
        <w:rPr>
          <w:lang w:val="en-US"/>
        </w:rPr>
        <w:t xml:space="preserve">The officer contacted a towing </w:t>
      </w:r>
      <w:r w:rsidR="001D4908" w:rsidRPr="003105BB">
        <w:rPr>
          <w:lang w:val="en-US"/>
        </w:rPr>
        <w:t xml:space="preserve">service </w:t>
      </w:r>
      <w:r>
        <w:rPr>
          <w:lang w:val="en-US"/>
        </w:rPr>
        <w:t>that has exclusive rights in the territory. In his testimony he added</w:t>
      </w:r>
      <w:r w:rsidR="002E7143">
        <w:rPr>
          <w:lang w:val="en-US"/>
        </w:rPr>
        <w:t xml:space="preserve"> that</w:t>
      </w:r>
      <w:r>
        <w:rPr>
          <w:lang w:val="en-US"/>
        </w:rPr>
        <w:t xml:space="preserve"> [</w:t>
      </w:r>
      <w:r w:rsidRPr="00C82965">
        <w:rPr>
          <w:smallCaps/>
          <w:lang w:val="en-US"/>
        </w:rPr>
        <w:t>translation</w:t>
      </w:r>
      <w:r>
        <w:rPr>
          <w:lang w:val="en-US"/>
        </w:rPr>
        <w:t xml:space="preserve">] “most of the time, when you do business with </w:t>
      </w:r>
      <w:r w:rsidR="001D4908" w:rsidRPr="003105BB">
        <w:rPr>
          <w:lang w:val="en-US"/>
        </w:rPr>
        <w:t>[XXX</w:t>
      </w:r>
      <w:r>
        <w:rPr>
          <w:lang w:val="en-US"/>
        </w:rPr>
        <w:t>] towing company, you know you’re in for a long wait”</w:t>
      </w:r>
      <w:r w:rsidR="002E7143">
        <w:rPr>
          <w:lang w:val="en-US"/>
        </w:rPr>
        <w:t>.</w:t>
      </w:r>
      <w:r w:rsidR="001D4908" w:rsidRPr="003105BB">
        <w:rPr>
          <w:lang w:val="en-US"/>
        </w:rPr>
        <w:t xml:space="preserve"> </w:t>
      </w:r>
    </w:p>
    <w:p w14:paraId="76D64865" w14:textId="77777777" w:rsidR="00D93A6C" w:rsidRPr="003105BB" w:rsidRDefault="00C82965" w:rsidP="00C65766">
      <w:pPr>
        <w:pStyle w:val="Paragraphe"/>
        <w:spacing w:line="280" w:lineRule="exact"/>
        <w:rPr>
          <w:lang w:val="en-US"/>
        </w:rPr>
      </w:pPr>
      <w:r>
        <w:rPr>
          <w:lang w:val="en-US"/>
        </w:rPr>
        <w:t xml:space="preserve">An employee of the towing service finally showed up at 4:07 a.m. and the police </w:t>
      </w:r>
      <w:r w:rsidR="00FD1AE6">
        <w:rPr>
          <w:lang w:val="en-US"/>
        </w:rPr>
        <w:t>vehicle</w:t>
      </w:r>
      <w:r w:rsidR="001D4908" w:rsidRPr="003105BB">
        <w:rPr>
          <w:lang w:val="en-US"/>
        </w:rPr>
        <w:t xml:space="preserve"> </w:t>
      </w:r>
      <w:r>
        <w:rPr>
          <w:lang w:val="en-US"/>
        </w:rPr>
        <w:t xml:space="preserve">left at 4:12 a.m. with the appellant aboard. </w:t>
      </w:r>
    </w:p>
    <w:p w14:paraId="15A43C5C" w14:textId="782B07B6" w:rsidR="00D93A6C" w:rsidRPr="003105BB" w:rsidRDefault="00C82965" w:rsidP="00C65766">
      <w:pPr>
        <w:pStyle w:val="Paragraphe"/>
        <w:spacing w:line="280" w:lineRule="exact"/>
        <w:rPr>
          <w:lang w:val="en-US"/>
        </w:rPr>
      </w:pPr>
      <w:r>
        <w:rPr>
          <w:lang w:val="en-US"/>
        </w:rPr>
        <w:t xml:space="preserve">At 4:27 a.m. the police officers and the appellant arrived at the </w:t>
      </w:r>
      <w:proofErr w:type="spellStart"/>
      <w:r w:rsidR="001D4908" w:rsidRPr="003105BB">
        <w:rPr>
          <w:lang w:val="en-US"/>
        </w:rPr>
        <w:t>Candiac</w:t>
      </w:r>
      <w:proofErr w:type="spellEnd"/>
      <w:r>
        <w:rPr>
          <w:lang w:val="en-US"/>
        </w:rPr>
        <w:t xml:space="preserve"> police station</w:t>
      </w:r>
      <w:r w:rsidR="001D4908" w:rsidRPr="003105BB">
        <w:rPr>
          <w:lang w:val="en-US"/>
        </w:rPr>
        <w:t xml:space="preserve">. </w:t>
      </w:r>
      <w:r>
        <w:rPr>
          <w:lang w:val="en-US"/>
        </w:rPr>
        <w:t xml:space="preserve">She finally got to call her lawyer in the room </w:t>
      </w:r>
      <w:r w:rsidR="00DF3546">
        <w:rPr>
          <w:lang w:val="en-US"/>
        </w:rPr>
        <w:t xml:space="preserve">intended </w:t>
      </w:r>
      <w:r>
        <w:rPr>
          <w:lang w:val="en-US"/>
        </w:rPr>
        <w:t>for that purpose at 4:48</w:t>
      </w:r>
      <w:r w:rsidR="002B1A96">
        <w:rPr>
          <w:lang w:val="en-US"/>
        </w:rPr>
        <w:t> </w:t>
      </w:r>
      <w:r>
        <w:rPr>
          <w:lang w:val="en-US"/>
        </w:rPr>
        <w:t xml:space="preserve">a.m. The call lasted about five </w:t>
      </w:r>
      <w:r w:rsidR="001D4908" w:rsidRPr="003105BB">
        <w:rPr>
          <w:lang w:val="en-US"/>
        </w:rPr>
        <w:t>minutes.</w:t>
      </w:r>
    </w:p>
    <w:p w14:paraId="58AC5E07" w14:textId="31BBE291" w:rsidR="00D93A6C" w:rsidRPr="003105BB" w:rsidRDefault="00C82965" w:rsidP="00C65766">
      <w:pPr>
        <w:pStyle w:val="Paragraphe"/>
        <w:spacing w:line="280" w:lineRule="exact"/>
        <w:rPr>
          <w:lang w:val="en-US"/>
        </w:rPr>
      </w:pPr>
      <w:r>
        <w:rPr>
          <w:lang w:val="en-US"/>
        </w:rPr>
        <w:t>She provided two breath samples at 4:</w:t>
      </w:r>
      <w:r w:rsidR="001D4908" w:rsidRPr="003105BB">
        <w:rPr>
          <w:lang w:val="en-US"/>
        </w:rPr>
        <w:t>57</w:t>
      </w:r>
      <w:r>
        <w:rPr>
          <w:lang w:val="en-US"/>
        </w:rPr>
        <w:t xml:space="preserve"> a.m. and 5:17 a.m.</w:t>
      </w:r>
      <w:r w:rsidR="00661915">
        <w:rPr>
          <w:lang w:val="en-US"/>
        </w:rPr>
        <w:t>,</w:t>
      </w:r>
      <w:r>
        <w:rPr>
          <w:lang w:val="en-US"/>
        </w:rPr>
        <w:t xml:space="preserve"> and the breathalyzer test results showed 145 mg and 140 mg pe</w:t>
      </w:r>
      <w:r w:rsidR="001D4908" w:rsidRPr="003105BB">
        <w:rPr>
          <w:lang w:val="en-US"/>
        </w:rPr>
        <w:t xml:space="preserve">r 100 ml </w:t>
      </w:r>
      <w:r>
        <w:rPr>
          <w:lang w:val="en-US"/>
        </w:rPr>
        <w:t>of blood, which l</w:t>
      </w:r>
      <w:r w:rsidR="00F46C3A">
        <w:rPr>
          <w:lang w:val="en-US"/>
        </w:rPr>
        <w:t>ed to charges under s</w:t>
      </w:r>
      <w:r w:rsidR="002B1A96">
        <w:rPr>
          <w:lang w:val="en-US"/>
        </w:rPr>
        <w:t xml:space="preserve">s. </w:t>
      </w:r>
      <w:r w:rsidR="001D4908" w:rsidRPr="003105BB">
        <w:rPr>
          <w:lang w:val="en-US"/>
        </w:rPr>
        <w:t>253(1)</w:t>
      </w:r>
      <w:r w:rsidR="00DF3546">
        <w:rPr>
          <w:lang w:val="en-US"/>
        </w:rPr>
        <w:t>(</w:t>
      </w:r>
      <w:r w:rsidR="001D4908" w:rsidRPr="0016054C">
        <w:rPr>
          <w:i/>
          <w:lang w:val="en-US"/>
        </w:rPr>
        <w:t>b</w:t>
      </w:r>
      <w:r w:rsidR="00C75CE1">
        <w:rPr>
          <w:lang w:val="en-US"/>
        </w:rPr>
        <w:t>) and</w:t>
      </w:r>
      <w:r w:rsidR="001D4908" w:rsidRPr="003105BB">
        <w:rPr>
          <w:lang w:val="en-US"/>
        </w:rPr>
        <w:t xml:space="preserve"> 255(1) </w:t>
      </w:r>
      <w:proofErr w:type="spellStart"/>
      <w:r w:rsidR="00C75CE1" w:rsidRPr="00C75CE1">
        <w:rPr>
          <w:i/>
          <w:lang w:val="en-US"/>
        </w:rPr>
        <w:t>Cr</w:t>
      </w:r>
      <w:r w:rsidR="00E66FFD">
        <w:rPr>
          <w:i/>
          <w:lang w:val="en-US"/>
        </w:rPr>
        <w:t>.</w:t>
      </w:r>
      <w:r w:rsidR="00C75CE1" w:rsidRPr="00C75CE1">
        <w:rPr>
          <w:i/>
          <w:lang w:val="en-US"/>
        </w:rPr>
        <w:t>C</w:t>
      </w:r>
      <w:proofErr w:type="spellEnd"/>
      <w:r w:rsidR="00E66FFD">
        <w:rPr>
          <w:i/>
          <w:lang w:val="en-US"/>
        </w:rPr>
        <w:t>.</w:t>
      </w:r>
      <w:r w:rsidR="00C75CE1">
        <w:rPr>
          <w:lang w:val="en-US"/>
        </w:rPr>
        <w:t xml:space="preserve"> in </w:t>
      </w:r>
      <w:r w:rsidR="002B1A96">
        <w:rPr>
          <w:lang w:val="en-US"/>
        </w:rPr>
        <w:t xml:space="preserve">force </w:t>
      </w:r>
      <w:r w:rsidR="00C75CE1">
        <w:rPr>
          <w:lang w:val="en-US"/>
        </w:rPr>
        <w:t>at the time.</w:t>
      </w:r>
      <w:r w:rsidR="001D4908" w:rsidRPr="003105BB">
        <w:rPr>
          <w:lang w:val="en-US"/>
        </w:rPr>
        <w:t xml:space="preserve"> </w:t>
      </w:r>
    </w:p>
    <w:p w14:paraId="67A00CC1" w14:textId="79266E33" w:rsidR="00D93A6C" w:rsidRPr="003105BB" w:rsidRDefault="00F46C3A" w:rsidP="00C65766">
      <w:pPr>
        <w:pStyle w:val="Titre2"/>
        <w:rPr>
          <w:lang w:val="en-US"/>
        </w:rPr>
      </w:pPr>
      <w:r>
        <w:rPr>
          <w:lang w:val="en-US"/>
        </w:rPr>
        <w:t xml:space="preserve">THE </w:t>
      </w:r>
      <w:r w:rsidR="001D4908" w:rsidRPr="003105BB">
        <w:rPr>
          <w:lang w:val="en-US"/>
        </w:rPr>
        <w:t>JU</w:t>
      </w:r>
      <w:r w:rsidR="000A7CB8">
        <w:rPr>
          <w:lang w:val="en-US"/>
        </w:rPr>
        <w:t>DGMENTS</w:t>
      </w:r>
      <w:r w:rsidR="00BE03EB">
        <w:rPr>
          <w:lang w:val="en-US"/>
        </w:rPr>
        <w:t xml:space="preserve"> BELOW</w:t>
      </w:r>
    </w:p>
    <w:p w14:paraId="02163CA2" w14:textId="122DFE0C" w:rsidR="00D93A6C" w:rsidRPr="003105BB" w:rsidRDefault="009E30AF" w:rsidP="00C65766">
      <w:pPr>
        <w:pStyle w:val="Paragraphe"/>
        <w:spacing w:line="280" w:lineRule="exact"/>
        <w:rPr>
          <w:lang w:val="en-US"/>
        </w:rPr>
      </w:pPr>
      <w:r>
        <w:rPr>
          <w:lang w:val="en-US"/>
        </w:rPr>
        <w:t xml:space="preserve">As </w:t>
      </w:r>
      <w:r w:rsidR="00192F9A">
        <w:rPr>
          <w:lang w:val="en-US"/>
        </w:rPr>
        <w:t>mentioned above</w:t>
      </w:r>
      <w:r>
        <w:rPr>
          <w:lang w:val="en-US"/>
        </w:rPr>
        <w:t xml:space="preserve">, </w:t>
      </w:r>
      <w:r w:rsidR="00E84A73">
        <w:rPr>
          <w:lang w:val="en-US"/>
        </w:rPr>
        <w:t xml:space="preserve">because </w:t>
      </w:r>
      <w:r>
        <w:rPr>
          <w:lang w:val="en-US"/>
        </w:rPr>
        <w:t>the judge of the Court of Qu</w:t>
      </w:r>
      <w:r w:rsidR="00192F9A">
        <w:rPr>
          <w:lang w:val="en-US"/>
        </w:rPr>
        <w:t>é</w:t>
      </w:r>
      <w:r>
        <w:rPr>
          <w:lang w:val="en-US"/>
        </w:rPr>
        <w:t xml:space="preserve">bec was of the opinion that the appellant’s right to counsel had been </w:t>
      </w:r>
      <w:r w:rsidR="00E84A73">
        <w:rPr>
          <w:lang w:val="en-US"/>
        </w:rPr>
        <w:t>violated</w:t>
      </w:r>
      <w:r w:rsidR="00192F9A">
        <w:rPr>
          <w:lang w:val="en-US"/>
        </w:rPr>
        <w:t>,</w:t>
      </w:r>
      <w:r>
        <w:rPr>
          <w:lang w:val="en-US"/>
        </w:rPr>
        <w:t xml:space="preserve"> she ordered the </w:t>
      </w:r>
      <w:r w:rsidR="001D4908" w:rsidRPr="003105BB">
        <w:rPr>
          <w:lang w:val="en-US"/>
        </w:rPr>
        <w:t xml:space="preserve">exclusion </w:t>
      </w:r>
      <w:r>
        <w:rPr>
          <w:lang w:val="en-US"/>
        </w:rPr>
        <w:t>of</w:t>
      </w:r>
      <w:r w:rsidR="00F46C3A">
        <w:rPr>
          <w:lang w:val="en-US"/>
        </w:rPr>
        <w:t xml:space="preserve"> evidence obtained subsequently</w:t>
      </w:r>
      <w:r w:rsidR="007D7F0F">
        <w:rPr>
          <w:lang w:val="en-US"/>
        </w:rPr>
        <w:t>—</w:t>
      </w:r>
      <w:r>
        <w:rPr>
          <w:lang w:val="en-US"/>
        </w:rPr>
        <w:t>namely the breathalyzer test results</w:t>
      </w:r>
      <w:r w:rsidR="007D7F0F">
        <w:rPr>
          <w:lang w:val="en-US"/>
        </w:rPr>
        <w:t>—</w:t>
      </w:r>
      <w:r>
        <w:rPr>
          <w:lang w:val="en-US"/>
        </w:rPr>
        <w:t>and</w:t>
      </w:r>
      <w:r w:rsidR="00192F9A">
        <w:rPr>
          <w:lang w:val="en-US"/>
        </w:rPr>
        <w:t>,</w:t>
      </w:r>
      <w:r>
        <w:rPr>
          <w:lang w:val="en-US"/>
        </w:rPr>
        <w:t xml:space="preserve"> accordingly</w:t>
      </w:r>
      <w:r w:rsidR="00192F9A">
        <w:rPr>
          <w:lang w:val="en-US"/>
        </w:rPr>
        <w:t>,</w:t>
      </w:r>
      <w:r>
        <w:rPr>
          <w:lang w:val="en-US"/>
        </w:rPr>
        <w:t xml:space="preserve"> acquitted her</w:t>
      </w:r>
      <w:r w:rsidR="001F577F">
        <w:rPr>
          <w:lang w:val="en-US"/>
        </w:rPr>
        <w:t>.</w:t>
      </w:r>
    </w:p>
    <w:p w14:paraId="2A20B146" w14:textId="05000937" w:rsidR="00D93A6C" w:rsidRPr="003105BB" w:rsidRDefault="00C82BCB" w:rsidP="00C65766">
      <w:pPr>
        <w:pStyle w:val="Paragraphe"/>
        <w:spacing w:line="280" w:lineRule="exact"/>
        <w:rPr>
          <w:lang w:val="en-US"/>
        </w:rPr>
      </w:pPr>
      <w:r>
        <w:rPr>
          <w:lang w:val="en-US"/>
        </w:rPr>
        <w:t xml:space="preserve">The judge </w:t>
      </w:r>
      <w:r w:rsidR="006F0CA3">
        <w:rPr>
          <w:lang w:val="en-US"/>
        </w:rPr>
        <w:t xml:space="preserve">pointed out </w:t>
      </w:r>
      <w:r>
        <w:rPr>
          <w:lang w:val="en-US"/>
        </w:rPr>
        <w:t>that the police officer was obliged to facilitate access to a lawyer</w:t>
      </w:r>
      <w:r w:rsidR="006F0CA3">
        <w:rPr>
          <w:lang w:val="en-US"/>
        </w:rPr>
        <w:t>, as the appellant had expressly asked him,</w:t>
      </w:r>
      <w:r>
        <w:rPr>
          <w:lang w:val="en-US"/>
        </w:rPr>
        <w:t xml:space="preserve"> [</w:t>
      </w:r>
      <w:r w:rsidRPr="00C82BCB">
        <w:rPr>
          <w:smallCaps/>
          <w:lang w:val="en-US"/>
        </w:rPr>
        <w:t>translation</w:t>
      </w:r>
      <w:r>
        <w:rPr>
          <w:lang w:val="en-US"/>
        </w:rPr>
        <w:t>] “</w:t>
      </w:r>
      <w:r w:rsidRPr="0016054C">
        <w:rPr>
          <w:u w:val="single"/>
          <w:lang w:val="en-US"/>
        </w:rPr>
        <w:t>at the first reasonable opportunity</w:t>
      </w:r>
      <w:r>
        <w:rPr>
          <w:lang w:val="en-US"/>
        </w:rPr>
        <w:t xml:space="preserve">” (which she </w:t>
      </w:r>
      <w:r w:rsidR="00E84A73">
        <w:rPr>
          <w:lang w:val="en-US"/>
        </w:rPr>
        <w:t>made sure</w:t>
      </w:r>
      <w:r>
        <w:rPr>
          <w:lang w:val="en-US"/>
        </w:rPr>
        <w:t xml:space="preserve"> to underline in her </w:t>
      </w:r>
      <w:r w:rsidR="001D4908" w:rsidRPr="003105BB">
        <w:rPr>
          <w:lang w:val="en-US"/>
        </w:rPr>
        <w:t>ju</w:t>
      </w:r>
      <w:r>
        <w:rPr>
          <w:lang w:val="en-US"/>
        </w:rPr>
        <w:t xml:space="preserve">dgment). That is the </w:t>
      </w:r>
      <w:r w:rsidR="00E84A73">
        <w:rPr>
          <w:lang w:val="en-US"/>
        </w:rPr>
        <w:t>interpretation applied by the case law</w:t>
      </w:r>
      <w:r>
        <w:rPr>
          <w:lang w:val="en-US"/>
        </w:rPr>
        <w:t xml:space="preserve"> </w:t>
      </w:r>
      <w:r w:rsidR="00D867F9">
        <w:rPr>
          <w:lang w:val="en-US"/>
        </w:rPr>
        <w:t xml:space="preserve">to </w:t>
      </w:r>
      <w:r>
        <w:rPr>
          <w:lang w:val="en-US"/>
        </w:rPr>
        <w:t>the words “without delay” in s</w:t>
      </w:r>
      <w:r w:rsidR="00D867F9">
        <w:rPr>
          <w:lang w:val="en-US"/>
        </w:rPr>
        <w:t>.</w:t>
      </w:r>
      <w:r>
        <w:rPr>
          <w:lang w:val="en-US"/>
        </w:rPr>
        <w:t xml:space="preserve"> </w:t>
      </w:r>
      <w:r w:rsidR="009F7D98">
        <w:rPr>
          <w:lang w:val="en-US"/>
        </w:rPr>
        <w:t>10</w:t>
      </w:r>
      <w:r w:rsidR="009F7D98" w:rsidRPr="009F7D98">
        <w:rPr>
          <w:lang w:val="en-US"/>
        </w:rPr>
        <w:t>(</w:t>
      </w:r>
      <w:r w:rsidR="009F7D98" w:rsidRPr="0016054C">
        <w:rPr>
          <w:i/>
          <w:lang w:val="en-US"/>
        </w:rPr>
        <w:t>b</w:t>
      </w:r>
      <w:r w:rsidR="009F7D98" w:rsidRPr="009F7D98">
        <w:rPr>
          <w:lang w:val="en-US"/>
        </w:rPr>
        <w:t>)</w:t>
      </w:r>
      <w:r w:rsidR="001D4908" w:rsidRPr="003105BB">
        <w:rPr>
          <w:lang w:val="en-US"/>
        </w:rPr>
        <w:t xml:space="preserve"> </w:t>
      </w:r>
      <w:r>
        <w:rPr>
          <w:lang w:val="en-US"/>
        </w:rPr>
        <w:t xml:space="preserve">of the </w:t>
      </w:r>
      <w:r w:rsidR="001D4908" w:rsidRPr="003105BB">
        <w:rPr>
          <w:i/>
          <w:lang w:val="en-US"/>
        </w:rPr>
        <w:t>Charte</w:t>
      </w:r>
      <w:r w:rsidRPr="00C82BCB">
        <w:rPr>
          <w:i/>
          <w:lang w:val="en-US"/>
        </w:rPr>
        <w:t>r</w:t>
      </w:r>
      <w:r w:rsidR="001D4908" w:rsidRPr="003105BB">
        <w:rPr>
          <w:lang w:val="en-US"/>
        </w:rPr>
        <w:t xml:space="preserve">: </w:t>
      </w:r>
      <w:r>
        <w:rPr>
          <w:i/>
          <w:lang w:val="en-US"/>
        </w:rPr>
        <w:t>R. v</w:t>
      </w:r>
      <w:r w:rsidR="001D4908" w:rsidRPr="003105BB">
        <w:rPr>
          <w:i/>
          <w:lang w:val="en-US"/>
        </w:rPr>
        <w:t>. Taylor</w:t>
      </w:r>
      <w:r>
        <w:rPr>
          <w:lang w:val="en-US"/>
        </w:rPr>
        <w:t xml:space="preserve">, 2014 </w:t>
      </w:r>
      <w:r w:rsidR="001D4908" w:rsidRPr="003105BB">
        <w:rPr>
          <w:lang w:val="en-US"/>
        </w:rPr>
        <w:t>S</w:t>
      </w:r>
      <w:r>
        <w:rPr>
          <w:lang w:val="en-US"/>
        </w:rPr>
        <w:t>CC 50, [2014] 2 S.C.R</w:t>
      </w:r>
      <w:r w:rsidR="001D4908" w:rsidRPr="003105BB">
        <w:rPr>
          <w:lang w:val="en-US"/>
        </w:rPr>
        <w:t>. 495.</w:t>
      </w:r>
      <w:r>
        <w:rPr>
          <w:lang w:val="en-US"/>
        </w:rPr>
        <w:t xml:space="preserve"> </w:t>
      </w:r>
      <w:r w:rsidR="00E952B9">
        <w:rPr>
          <w:lang w:val="en-US"/>
        </w:rPr>
        <w:t xml:space="preserve">The judge, who </w:t>
      </w:r>
      <w:r w:rsidR="00F46C3A">
        <w:rPr>
          <w:lang w:val="en-US"/>
        </w:rPr>
        <w:t>not</w:t>
      </w:r>
      <w:r w:rsidR="00E952B9">
        <w:rPr>
          <w:lang w:val="en-US"/>
        </w:rPr>
        <w:t>ed</w:t>
      </w:r>
      <w:r w:rsidR="00F46C3A">
        <w:rPr>
          <w:lang w:val="en-US"/>
        </w:rPr>
        <w:t xml:space="preserve"> that </w:t>
      </w:r>
      <w:r w:rsidR="0084063D">
        <w:rPr>
          <w:lang w:val="en-US"/>
        </w:rPr>
        <w:t xml:space="preserve">it took </w:t>
      </w:r>
      <w:r w:rsidR="00F46C3A">
        <w:rPr>
          <w:lang w:val="en-US"/>
        </w:rPr>
        <w:t>one</w:t>
      </w:r>
      <w:r>
        <w:rPr>
          <w:lang w:val="en-US"/>
        </w:rPr>
        <w:t xml:space="preserve"> hour and 17 minutes from the time the appellant asked to speak to a lawyer (3</w:t>
      </w:r>
      <w:r w:rsidR="001B24F2">
        <w:rPr>
          <w:lang w:val="en-US"/>
        </w:rPr>
        <w:t>:</w:t>
      </w:r>
      <w:r w:rsidR="001D4908" w:rsidRPr="003105BB">
        <w:rPr>
          <w:lang w:val="en-US"/>
        </w:rPr>
        <w:t>31</w:t>
      </w:r>
      <w:r w:rsidR="001B24F2">
        <w:rPr>
          <w:lang w:val="en-US"/>
        </w:rPr>
        <w:t xml:space="preserve"> a.m.</w:t>
      </w:r>
      <w:r w:rsidR="001D4908" w:rsidRPr="003105BB">
        <w:rPr>
          <w:lang w:val="en-US"/>
        </w:rPr>
        <w:t xml:space="preserve">) </w:t>
      </w:r>
      <w:r w:rsidR="001B24F2">
        <w:rPr>
          <w:lang w:val="en-US"/>
        </w:rPr>
        <w:t xml:space="preserve">until she was </w:t>
      </w:r>
      <w:r w:rsidR="001B24F2">
        <w:rPr>
          <w:lang w:val="en-US"/>
        </w:rPr>
        <w:lastRenderedPageBreak/>
        <w:t>permitted to do so at the police station (4:</w:t>
      </w:r>
      <w:r w:rsidR="001D4908" w:rsidRPr="003105BB">
        <w:rPr>
          <w:lang w:val="en-US"/>
        </w:rPr>
        <w:t>48</w:t>
      </w:r>
      <w:r w:rsidR="001B24F2">
        <w:rPr>
          <w:lang w:val="en-US"/>
        </w:rPr>
        <w:t xml:space="preserve"> a.m.</w:t>
      </w:r>
      <w:r w:rsidR="001D4908" w:rsidRPr="003105BB">
        <w:rPr>
          <w:lang w:val="en-US"/>
        </w:rPr>
        <w:t>)</w:t>
      </w:r>
      <w:r w:rsidR="00E952B9">
        <w:rPr>
          <w:lang w:val="en-US"/>
        </w:rPr>
        <w:t>, pointed out that when a delay occurs, it is up to the prosecution [</w:t>
      </w:r>
      <w:r w:rsidR="00E952B9" w:rsidRPr="001B24F2">
        <w:rPr>
          <w:smallCaps/>
          <w:lang w:val="en-US"/>
        </w:rPr>
        <w:t>translation</w:t>
      </w:r>
      <w:r w:rsidR="00E952B9">
        <w:rPr>
          <w:lang w:val="en-US"/>
        </w:rPr>
        <w:t>] “to demonstrat</w:t>
      </w:r>
      <w:r w:rsidR="00E952B9" w:rsidRPr="003105BB">
        <w:rPr>
          <w:lang w:val="en-US"/>
        </w:rPr>
        <w:t xml:space="preserve">e </w:t>
      </w:r>
      <w:r w:rsidR="00E952B9">
        <w:rPr>
          <w:lang w:val="en-US"/>
        </w:rPr>
        <w:t>that such delay is reasonable”</w:t>
      </w:r>
      <w:r w:rsidR="001D4908" w:rsidRPr="003105BB">
        <w:rPr>
          <w:lang w:val="en-US"/>
        </w:rPr>
        <w:t xml:space="preserve">. </w:t>
      </w:r>
      <w:r w:rsidR="0084063D">
        <w:rPr>
          <w:lang w:val="en-US"/>
        </w:rPr>
        <w:t>She concluded, for a variety of reasons, that the prosecution had</w:t>
      </w:r>
      <w:r w:rsidR="00FC4020">
        <w:rPr>
          <w:lang w:val="en-US"/>
        </w:rPr>
        <w:t xml:space="preserve"> not discharge</w:t>
      </w:r>
      <w:r w:rsidR="0084063D">
        <w:rPr>
          <w:lang w:val="en-US"/>
        </w:rPr>
        <w:t>d</w:t>
      </w:r>
      <w:r w:rsidR="00FC4020">
        <w:rPr>
          <w:lang w:val="en-US"/>
        </w:rPr>
        <w:t xml:space="preserve"> its burden of demonstrating that the delay was reasonable in the circumstances.</w:t>
      </w:r>
    </w:p>
    <w:p w14:paraId="433D9A88" w14:textId="018EB4F5" w:rsidR="00D93A6C" w:rsidRPr="003105BB" w:rsidRDefault="001D4908" w:rsidP="00C65766">
      <w:pPr>
        <w:pStyle w:val="Paragraphe"/>
        <w:spacing w:line="280" w:lineRule="exact"/>
        <w:rPr>
          <w:lang w:val="en-US"/>
        </w:rPr>
      </w:pPr>
      <w:r w:rsidRPr="003105BB">
        <w:rPr>
          <w:lang w:val="en-US"/>
        </w:rPr>
        <w:t>A</w:t>
      </w:r>
      <w:r w:rsidR="0084063D">
        <w:rPr>
          <w:lang w:val="en-US"/>
        </w:rPr>
        <w:t>s far as</w:t>
      </w:r>
      <w:r w:rsidR="00FC4020">
        <w:rPr>
          <w:lang w:val="en-US"/>
        </w:rPr>
        <w:t xml:space="preserve"> the officer was concerned, it was a given that the right to counsel would only apply at the police station.</w:t>
      </w:r>
      <w:r w:rsidR="004C3FBF">
        <w:rPr>
          <w:lang w:val="en-US"/>
        </w:rPr>
        <w:t xml:space="preserve"> According to him, </w:t>
      </w:r>
      <w:r w:rsidR="009A6739">
        <w:rPr>
          <w:lang w:val="en-US"/>
        </w:rPr>
        <w:t xml:space="preserve">to ensure the call’s confidentiality </w:t>
      </w:r>
      <w:r w:rsidR="009B4064">
        <w:rPr>
          <w:lang w:val="en-US"/>
        </w:rPr>
        <w:t xml:space="preserve">at </w:t>
      </w:r>
      <w:r w:rsidR="009A6739">
        <w:rPr>
          <w:lang w:val="en-US"/>
        </w:rPr>
        <w:t xml:space="preserve">the </w:t>
      </w:r>
      <w:r w:rsidR="009B4064">
        <w:rPr>
          <w:lang w:val="en-US"/>
        </w:rPr>
        <w:t>scene</w:t>
      </w:r>
      <w:r w:rsidR="004C3FBF">
        <w:rPr>
          <w:lang w:val="en-US"/>
        </w:rPr>
        <w:t xml:space="preserve">, he would have had to leave the appellant alone in the police </w:t>
      </w:r>
      <w:r w:rsidR="002943B6">
        <w:rPr>
          <w:lang w:val="en-US"/>
        </w:rPr>
        <w:t>vehicle</w:t>
      </w:r>
      <w:r w:rsidRPr="003105BB">
        <w:rPr>
          <w:lang w:val="en-US"/>
        </w:rPr>
        <w:t xml:space="preserve"> (</w:t>
      </w:r>
      <w:r w:rsidR="002943B6">
        <w:rPr>
          <w:lang w:val="en-US"/>
        </w:rPr>
        <w:t xml:space="preserve">since it had no partition), which he could not do because she might have fled in it or accessed the confidential information in its onboard computer. According to the </w:t>
      </w:r>
      <w:r w:rsidR="0084063D">
        <w:rPr>
          <w:lang w:val="en-US"/>
        </w:rPr>
        <w:t>trial judge</w:t>
      </w:r>
      <w:r w:rsidR="009A6739">
        <w:rPr>
          <w:lang w:val="en-US"/>
        </w:rPr>
        <w:t>, however,</w:t>
      </w:r>
      <w:r w:rsidR="0084063D">
        <w:rPr>
          <w:lang w:val="en-US"/>
        </w:rPr>
        <w:t xml:space="preserve"> it wa</w:t>
      </w:r>
      <w:r w:rsidR="002943B6">
        <w:rPr>
          <w:lang w:val="en-US"/>
        </w:rPr>
        <w:t>s [</w:t>
      </w:r>
      <w:r w:rsidR="002943B6" w:rsidRPr="002943B6">
        <w:rPr>
          <w:smallCaps/>
          <w:lang w:val="en-US"/>
        </w:rPr>
        <w:t>translation</w:t>
      </w:r>
      <w:r w:rsidR="002943B6">
        <w:rPr>
          <w:lang w:val="en-US"/>
        </w:rPr>
        <w:t>] “</w:t>
      </w:r>
      <w:r w:rsidR="002943B6">
        <w:rPr>
          <w:lang w:val="en-CA"/>
        </w:rPr>
        <w:t xml:space="preserve">highly unlikely, even </w:t>
      </w:r>
      <w:r w:rsidR="009A6739">
        <w:rPr>
          <w:lang w:val="en-CA"/>
        </w:rPr>
        <w:t>implausible</w:t>
      </w:r>
      <w:r w:rsidR="002943B6">
        <w:rPr>
          <w:lang w:val="en-CA"/>
        </w:rPr>
        <w:t>” that the appellant [</w:t>
      </w:r>
      <w:r w:rsidR="002943B6" w:rsidRPr="002943B6">
        <w:rPr>
          <w:smallCaps/>
          <w:lang w:val="en-CA"/>
        </w:rPr>
        <w:t>translation</w:t>
      </w:r>
      <w:r w:rsidR="002943B6">
        <w:rPr>
          <w:lang w:val="en-CA"/>
        </w:rPr>
        <w:t>]</w:t>
      </w:r>
      <w:r w:rsidR="009B4064">
        <w:rPr>
          <w:lang w:val="en-CA"/>
        </w:rPr>
        <w:t> </w:t>
      </w:r>
      <w:r w:rsidR="002943B6">
        <w:rPr>
          <w:lang w:val="en-CA"/>
        </w:rPr>
        <w:t xml:space="preserve">“would behave the way the officer said he feared </w:t>
      </w:r>
      <w:r w:rsidR="0032012A">
        <w:rPr>
          <w:lang w:val="en-CA"/>
        </w:rPr>
        <w:t>[</w:t>
      </w:r>
      <w:r w:rsidR="002943B6">
        <w:rPr>
          <w:lang w:val="en-US"/>
        </w:rPr>
        <w:t>…</w:t>
      </w:r>
      <w:r w:rsidR="0032012A">
        <w:rPr>
          <w:lang w:val="en-US"/>
        </w:rPr>
        <w:t>]</w:t>
      </w:r>
      <w:r w:rsidR="002943B6">
        <w:rPr>
          <w:lang w:val="en-US"/>
        </w:rPr>
        <w:t>” given that she was calm</w:t>
      </w:r>
      <w:r w:rsidR="009A6739">
        <w:rPr>
          <w:lang w:val="en-US"/>
        </w:rPr>
        <w:t xml:space="preserve"> and</w:t>
      </w:r>
      <w:r w:rsidR="002943B6">
        <w:rPr>
          <w:lang w:val="en-US"/>
        </w:rPr>
        <w:t xml:space="preserve"> respectful</w:t>
      </w:r>
      <w:r w:rsidRPr="003105BB">
        <w:rPr>
          <w:lang w:val="en-US"/>
        </w:rPr>
        <w:t xml:space="preserve">, </w:t>
      </w:r>
      <w:r w:rsidR="009A6739">
        <w:rPr>
          <w:lang w:val="en-US"/>
        </w:rPr>
        <w:t>that she was following</w:t>
      </w:r>
      <w:r w:rsidR="002943B6">
        <w:rPr>
          <w:lang w:val="en-US"/>
        </w:rPr>
        <w:t xml:space="preserve"> instructions and </w:t>
      </w:r>
      <w:r w:rsidR="009A6739">
        <w:rPr>
          <w:lang w:val="en-US"/>
        </w:rPr>
        <w:t xml:space="preserve">that </w:t>
      </w:r>
      <w:r w:rsidR="002943B6">
        <w:rPr>
          <w:lang w:val="en-US"/>
        </w:rPr>
        <w:t xml:space="preserve">the </w:t>
      </w:r>
      <w:proofErr w:type="spellStart"/>
      <w:r w:rsidR="009A6739">
        <w:rPr>
          <w:lang w:val="en-US"/>
        </w:rPr>
        <w:t>behavio</w:t>
      </w:r>
      <w:r w:rsidR="001B484D">
        <w:rPr>
          <w:lang w:val="en-US"/>
        </w:rPr>
        <w:t>u</w:t>
      </w:r>
      <w:r w:rsidR="009A6739">
        <w:rPr>
          <w:lang w:val="en-US"/>
        </w:rPr>
        <w:t>r</w:t>
      </w:r>
      <w:proofErr w:type="spellEnd"/>
      <w:r w:rsidR="009A6739">
        <w:rPr>
          <w:lang w:val="en-US"/>
        </w:rPr>
        <w:t xml:space="preserve"> of the </w:t>
      </w:r>
      <w:r w:rsidR="002943B6">
        <w:rPr>
          <w:lang w:val="en-US"/>
        </w:rPr>
        <w:t xml:space="preserve">other passengers </w:t>
      </w:r>
      <w:r w:rsidR="009A6739">
        <w:rPr>
          <w:lang w:val="en-US"/>
        </w:rPr>
        <w:t xml:space="preserve">was </w:t>
      </w:r>
      <w:r w:rsidR="002943B6">
        <w:rPr>
          <w:lang w:val="en-US"/>
        </w:rPr>
        <w:t>[</w:t>
      </w:r>
      <w:r w:rsidR="002943B6" w:rsidRPr="002943B6">
        <w:rPr>
          <w:smallCaps/>
          <w:lang w:val="en-US"/>
        </w:rPr>
        <w:t>translation</w:t>
      </w:r>
      <w:r w:rsidR="002943B6">
        <w:rPr>
          <w:lang w:val="en-US"/>
        </w:rPr>
        <w:t>] “irreproachabl</w:t>
      </w:r>
      <w:r w:rsidR="009A6739">
        <w:rPr>
          <w:lang w:val="en-US"/>
        </w:rPr>
        <w:t>e</w:t>
      </w:r>
      <w:r w:rsidR="002943B6">
        <w:rPr>
          <w:lang w:val="en-US"/>
        </w:rPr>
        <w:t>.” She concluded that the officer’s explanations were [</w:t>
      </w:r>
      <w:r w:rsidR="002943B6" w:rsidRPr="002943B6">
        <w:rPr>
          <w:smallCaps/>
          <w:lang w:val="en-US"/>
        </w:rPr>
        <w:t>translation</w:t>
      </w:r>
      <w:r w:rsidR="002943B6">
        <w:rPr>
          <w:lang w:val="en-US"/>
        </w:rPr>
        <w:t>] “hardly convincing.”</w:t>
      </w:r>
    </w:p>
    <w:p w14:paraId="2D5E248E" w14:textId="2630C1E3" w:rsidR="00D93A6C" w:rsidRPr="003105BB" w:rsidRDefault="00E74360" w:rsidP="00C65766">
      <w:pPr>
        <w:pStyle w:val="Paragraphe"/>
        <w:spacing w:line="280" w:lineRule="exact"/>
        <w:rPr>
          <w:lang w:val="en-US"/>
        </w:rPr>
      </w:pPr>
      <w:r>
        <w:rPr>
          <w:lang w:val="en-US"/>
        </w:rPr>
        <w:t xml:space="preserve">The officer also </w:t>
      </w:r>
      <w:r w:rsidR="00013D1C">
        <w:rPr>
          <w:lang w:val="en-US"/>
        </w:rPr>
        <w:t xml:space="preserve">raised the fact that </w:t>
      </w:r>
      <w:r>
        <w:rPr>
          <w:lang w:val="en-US"/>
        </w:rPr>
        <w:t>[</w:t>
      </w:r>
      <w:r w:rsidRPr="0084063D">
        <w:rPr>
          <w:smallCaps/>
          <w:lang w:val="en-US"/>
        </w:rPr>
        <w:t>translation</w:t>
      </w:r>
      <w:r>
        <w:rPr>
          <w:lang w:val="en-US"/>
        </w:rPr>
        <w:t xml:space="preserve">] “no telephone was available” as another reason for delaying the call. But the judge pointed out that </w:t>
      </w:r>
      <w:r w:rsidR="00013D1C">
        <w:rPr>
          <w:lang w:val="en-US"/>
        </w:rPr>
        <w:t xml:space="preserve">this </w:t>
      </w:r>
      <w:r>
        <w:rPr>
          <w:lang w:val="en-US"/>
        </w:rPr>
        <w:t xml:space="preserve">would have </w:t>
      </w:r>
      <w:r w:rsidR="00013D1C">
        <w:rPr>
          <w:lang w:val="en-US"/>
        </w:rPr>
        <w:t>made no difference</w:t>
      </w:r>
      <w:r>
        <w:rPr>
          <w:lang w:val="en-US"/>
        </w:rPr>
        <w:t xml:space="preserve">, because, according to him, </w:t>
      </w:r>
      <w:r w:rsidR="003303C1">
        <w:rPr>
          <w:lang w:val="en-US"/>
        </w:rPr>
        <w:t xml:space="preserve">in any event </w:t>
      </w:r>
      <w:r>
        <w:rPr>
          <w:lang w:val="en-US"/>
        </w:rPr>
        <w:t>there was no way of guaranteeing the confidentiality of the call.</w:t>
      </w:r>
    </w:p>
    <w:p w14:paraId="0FAD2A90" w14:textId="76C65FF5" w:rsidR="00D93A6C" w:rsidRPr="003105BB" w:rsidRDefault="00E74360" w:rsidP="00C65766">
      <w:pPr>
        <w:pStyle w:val="Paragraphe"/>
        <w:spacing w:line="280" w:lineRule="exact"/>
        <w:rPr>
          <w:lang w:val="en-US"/>
        </w:rPr>
      </w:pPr>
      <w:r>
        <w:rPr>
          <w:lang w:val="en-US"/>
        </w:rPr>
        <w:t xml:space="preserve">At no time did the officer ask the appellant or the </w:t>
      </w:r>
      <w:r w:rsidR="00E86694">
        <w:rPr>
          <w:lang w:val="en-US"/>
        </w:rPr>
        <w:t xml:space="preserve">vehicle’s </w:t>
      </w:r>
      <w:r>
        <w:rPr>
          <w:lang w:val="en-US"/>
        </w:rPr>
        <w:t xml:space="preserve">other passengers if a cell phone was available, </w:t>
      </w:r>
      <w:r w:rsidR="00E86694">
        <w:rPr>
          <w:lang w:val="en-US"/>
        </w:rPr>
        <w:t xml:space="preserve">when, in </w:t>
      </w:r>
      <w:r>
        <w:rPr>
          <w:lang w:val="en-US"/>
        </w:rPr>
        <w:t>fact</w:t>
      </w:r>
      <w:r w:rsidR="00E86694">
        <w:rPr>
          <w:lang w:val="en-US"/>
        </w:rPr>
        <w:t>,</w:t>
      </w:r>
      <w:r w:rsidR="00013D1C">
        <w:rPr>
          <w:lang w:val="en-US"/>
        </w:rPr>
        <w:t xml:space="preserve"> </w:t>
      </w:r>
      <w:r>
        <w:rPr>
          <w:lang w:val="en-US"/>
        </w:rPr>
        <w:t xml:space="preserve">the appellant </w:t>
      </w:r>
      <w:r w:rsidR="00013D1C">
        <w:rPr>
          <w:lang w:val="en-US"/>
        </w:rPr>
        <w:t xml:space="preserve">did have </w:t>
      </w:r>
      <w:r>
        <w:rPr>
          <w:lang w:val="en-US"/>
        </w:rPr>
        <w:t xml:space="preserve">one. The officer </w:t>
      </w:r>
      <w:r w:rsidR="00E86694">
        <w:rPr>
          <w:lang w:val="en-US"/>
        </w:rPr>
        <w:t xml:space="preserve">was in a position </w:t>
      </w:r>
      <w:r>
        <w:rPr>
          <w:lang w:val="en-US"/>
        </w:rPr>
        <w:t xml:space="preserve">to immediately provide </w:t>
      </w:r>
      <w:r w:rsidR="00651037">
        <w:rPr>
          <w:lang w:val="en-US"/>
        </w:rPr>
        <w:t>the phone number for legal aid, which was written on the card used to inform the appellant of her right</w:t>
      </w:r>
      <w:r w:rsidR="0084063D">
        <w:rPr>
          <w:lang w:val="en-US"/>
        </w:rPr>
        <w:t>s</w:t>
      </w:r>
      <w:r w:rsidR="00E86694">
        <w:rPr>
          <w:lang w:val="en-US"/>
        </w:rPr>
        <w:t>, such that</w:t>
      </w:r>
      <w:r w:rsidR="00651037">
        <w:rPr>
          <w:lang w:val="en-US"/>
        </w:rPr>
        <w:t xml:space="preserve"> it would have been easy to make a call using a cell phone.  </w:t>
      </w:r>
    </w:p>
    <w:p w14:paraId="01469B07" w14:textId="1B88EEC6" w:rsidR="00D93A6C" w:rsidRPr="003105BB" w:rsidRDefault="00651037" w:rsidP="00C65766">
      <w:pPr>
        <w:pStyle w:val="Paragraphe"/>
        <w:spacing w:line="280" w:lineRule="exact"/>
        <w:rPr>
          <w:lang w:val="en-US"/>
        </w:rPr>
      </w:pPr>
      <w:r>
        <w:rPr>
          <w:lang w:val="en-US"/>
        </w:rPr>
        <w:t xml:space="preserve">According to the </w:t>
      </w:r>
      <w:r w:rsidR="0084063D">
        <w:rPr>
          <w:lang w:val="en-US"/>
        </w:rPr>
        <w:t xml:space="preserve">trial </w:t>
      </w:r>
      <w:r>
        <w:rPr>
          <w:lang w:val="en-US"/>
        </w:rPr>
        <w:t xml:space="preserve">judge, there was a </w:t>
      </w:r>
      <w:r w:rsidR="00E949C4">
        <w:rPr>
          <w:lang w:val="en-US"/>
        </w:rPr>
        <w:t xml:space="preserve">safe space </w:t>
      </w:r>
      <w:r>
        <w:rPr>
          <w:lang w:val="en-US"/>
        </w:rPr>
        <w:t>outside of the vehicles where the passengers and the officer could stand and watch what was going on. That is</w:t>
      </w:r>
      <w:r w:rsidR="00E949C4">
        <w:rPr>
          <w:lang w:val="en-US"/>
        </w:rPr>
        <w:t xml:space="preserve"> in fact</w:t>
      </w:r>
      <w:r>
        <w:rPr>
          <w:lang w:val="en-US"/>
        </w:rPr>
        <w:t xml:space="preserve"> what happened while the vehicle was being searched. </w:t>
      </w:r>
      <w:r w:rsidR="00E949C4">
        <w:rPr>
          <w:lang w:val="en-US"/>
        </w:rPr>
        <w:t>Thus, t</w:t>
      </w:r>
      <w:r>
        <w:rPr>
          <w:lang w:val="en-US"/>
        </w:rPr>
        <w:t>he weather conditions could not explain the officer’s decision.</w:t>
      </w:r>
    </w:p>
    <w:p w14:paraId="0CB5FE50" w14:textId="3194A0F1" w:rsidR="00D93A6C" w:rsidRPr="003105BB" w:rsidRDefault="00E949C4" w:rsidP="00C65766">
      <w:pPr>
        <w:pStyle w:val="Paragraphe"/>
        <w:spacing w:line="280" w:lineRule="exact"/>
        <w:rPr>
          <w:lang w:val="en-US"/>
        </w:rPr>
      </w:pPr>
      <w:r>
        <w:rPr>
          <w:lang w:val="en-US"/>
        </w:rPr>
        <w:t>I</w:t>
      </w:r>
      <w:r w:rsidR="00651037">
        <w:rPr>
          <w:lang w:val="en-US"/>
        </w:rPr>
        <w:t>t would</w:t>
      </w:r>
      <w:r>
        <w:rPr>
          <w:lang w:val="en-US"/>
        </w:rPr>
        <w:t xml:space="preserve"> therefore</w:t>
      </w:r>
      <w:r w:rsidR="00651037">
        <w:rPr>
          <w:lang w:val="en-US"/>
        </w:rPr>
        <w:t xml:space="preserve"> have been </w:t>
      </w:r>
      <w:r w:rsidR="001D4908" w:rsidRPr="003105BB">
        <w:rPr>
          <w:lang w:val="en-US"/>
        </w:rPr>
        <w:t xml:space="preserve">possible </w:t>
      </w:r>
      <w:r w:rsidR="00651037">
        <w:rPr>
          <w:lang w:val="en-US"/>
        </w:rPr>
        <w:t xml:space="preserve">to allow the appellant to call a lawyer </w:t>
      </w:r>
      <w:r w:rsidR="00ED1975">
        <w:rPr>
          <w:lang w:val="en-US"/>
        </w:rPr>
        <w:t>at the scene</w:t>
      </w:r>
      <w:r w:rsidR="006D5DD2">
        <w:rPr>
          <w:lang w:val="en-US"/>
        </w:rPr>
        <w:t xml:space="preserve"> of the </w:t>
      </w:r>
      <w:r w:rsidR="008B4043">
        <w:rPr>
          <w:lang w:val="en-US"/>
        </w:rPr>
        <w:t>interception</w:t>
      </w:r>
      <w:r w:rsidR="0084063D">
        <w:rPr>
          <w:lang w:val="en-US"/>
        </w:rPr>
        <w:t>; this</w:t>
      </w:r>
      <w:r w:rsidR="00651037">
        <w:rPr>
          <w:lang w:val="en-US"/>
        </w:rPr>
        <w:t xml:space="preserve"> shows that the prosecution </w:t>
      </w:r>
      <w:r w:rsidR="0006539E">
        <w:rPr>
          <w:lang w:val="en-US"/>
        </w:rPr>
        <w:t xml:space="preserve">did </w:t>
      </w:r>
      <w:r w:rsidR="00651037">
        <w:rPr>
          <w:lang w:val="en-US"/>
        </w:rPr>
        <w:t>not prove that the delay was reasonable.</w:t>
      </w:r>
    </w:p>
    <w:p w14:paraId="3CEA0154" w14:textId="0A3CB8F3" w:rsidR="00D93A6C" w:rsidRPr="003105BB" w:rsidRDefault="00E949C4" w:rsidP="00C65766">
      <w:pPr>
        <w:pStyle w:val="Paragraphe"/>
        <w:spacing w:line="280" w:lineRule="exact"/>
        <w:rPr>
          <w:lang w:val="en-US"/>
        </w:rPr>
      </w:pPr>
      <w:r>
        <w:rPr>
          <w:lang w:val="en-US"/>
        </w:rPr>
        <w:t>With respect</w:t>
      </w:r>
      <w:r w:rsidR="000573EE">
        <w:rPr>
          <w:lang w:val="en-US"/>
        </w:rPr>
        <w:t xml:space="preserve"> to </w:t>
      </w:r>
      <w:r>
        <w:rPr>
          <w:lang w:val="en-US"/>
        </w:rPr>
        <w:t>the remedy</w:t>
      </w:r>
      <w:r w:rsidR="000573EE">
        <w:rPr>
          <w:lang w:val="en-US"/>
        </w:rPr>
        <w:t xml:space="preserve">, the </w:t>
      </w:r>
      <w:r w:rsidR="0084063D">
        <w:rPr>
          <w:lang w:val="en-US"/>
        </w:rPr>
        <w:t xml:space="preserve">trial </w:t>
      </w:r>
      <w:r w:rsidR="000573EE">
        <w:rPr>
          <w:lang w:val="en-US"/>
        </w:rPr>
        <w:t xml:space="preserve">judge weighed the </w:t>
      </w:r>
      <w:r>
        <w:rPr>
          <w:lang w:val="en-US"/>
        </w:rPr>
        <w:t xml:space="preserve">various </w:t>
      </w:r>
      <w:r w:rsidR="000573EE">
        <w:rPr>
          <w:lang w:val="en-US"/>
        </w:rPr>
        <w:t>factors accepted in the case law</w:t>
      </w:r>
      <w:r w:rsidR="001D4908" w:rsidRPr="003105BB">
        <w:rPr>
          <w:lang w:val="en-US"/>
        </w:rPr>
        <w:t xml:space="preserve">: </w:t>
      </w:r>
      <w:r w:rsidR="000573EE">
        <w:rPr>
          <w:lang w:val="en-US"/>
        </w:rPr>
        <w:t xml:space="preserve">the effect </w:t>
      </w:r>
      <w:r w:rsidR="00A85535">
        <w:rPr>
          <w:lang w:val="en-US"/>
        </w:rPr>
        <w:t xml:space="preserve">of admitting the </w:t>
      </w:r>
      <w:r w:rsidR="000573EE">
        <w:rPr>
          <w:lang w:val="en-US"/>
        </w:rPr>
        <w:t>evidence</w:t>
      </w:r>
      <w:r w:rsidR="000B215A">
        <w:rPr>
          <w:lang w:val="en-US"/>
        </w:rPr>
        <w:t xml:space="preserve"> </w:t>
      </w:r>
      <w:r w:rsidR="000573EE">
        <w:rPr>
          <w:lang w:val="en-US"/>
        </w:rPr>
        <w:t xml:space="preserve">on </w:t>
      </w:r>
      <w:r>
        <w:rPr>
          <w:lang w:val="en-US"/>
        </w:rPr>
        <w:t xml:space="preserve">society’s </w:t>
      </w:r>
      <w:r w:rsidR="00A85535">
        <w:rPr>
          <w:lang w:val="en-US"/>
        </w:rPr>
        <w:t xml:space="preserve">confidence </w:t>
      </w:r>
      <w:r w:rsidR="000573EE">
        <w:rPr>
          <w:lang w:val="en-US"/>
        </w:rPr>
        <w:t>in the justice system, taking</w:t>
      </w:r>
      <w:r w:rsidR="000B215A">
        <w:rPr>
          <w:lang w:val="en-US"/>
        </w:rPr>
        <w:t xml:space="preserve"> into account</w:t>
      </w:r>
      <w:r w:rsidR="000573EE">
        <w:rPr>
          <w:lang w:val="en-US"/>
        </w:rPr>
        <w:t xml:space="preserve"> the seriousness of the </w:t>
      </w:r>
      <w:r w:rsidR="000B215A" w:rsidRPr="001D6B3F">
        <w:rPr>
          <w:i/>
          <w:lang w:val="en-US"/>
        </w:rPr>
        <w:t>Charter</w:t>
      </w:r>
      <w:r w:rsidR="000B215A">
        <w:rPr>
          <w:lang w:val="en-US"/>
        </w:rPr>
        <w:t xml:space="preserve">-infringing </w:t>
      </w:r>
      <w:r w:rsidR="00A85535">
        <w:rPr>
          <w:lang w:val="en-US"/>
        </w:rPr>
        <w:t xml:space="preserve">state </w:t>
      </w:r>
      <w:r w:rsidR="000B215A">
        <w:rPr>
          <w:lang w:val="en-US"/>
        </w:rPr>
        <w:t>conduct,</w:t>
      </w:r>
      <w:r w:rsidR="000573EE">
        <w:rPr>
          <w:lang w:val="en-US"/>
        </w:rPr>
        <w:t xml:space="preserve"> the impact of the </w:t>
      </w:r>
      <w:r w:rsidR="000B215A">
        <w:rPr>
          <w:lang w:val="en-US"/>
        </w:rPr>
        <w:t xml:space="preserve">violation </w:t>
      </w:r>
      <w:r w:rsidR="000573EE">
        <w:rPr>
          <w:lang w:val="en-US"/>
        </w:rPr>
        <w:t>on the accused’s rights</w:t>
      </w:r>
      <w:r w:rsidR="000B215A">
        <w:rPr>
          <w:lang w:val="en-US"/>
        </w:rPr>
        <w:t>,</w:t>
      </w:r>
      <w:r w:rsidR="000573EE">
        <w:rPr>
          <w:lang w:val="en-US"/>
        </w:rPr>
        <w:t xml:space="preserve"> </w:t>
      </w:r>
      <w:r w:rsidR="000B215A">
        <w:rPr>
          <w:lang w:val="en-US"/>
        </w:rPr>
        <w:t xml:space="preserve">and </w:t>
      </w:r>
      <w:r w:rsidR="000573EE">
        <w:rPr>
          <w:lang w:val="en-US"/>
        </w:rPr>
        <w:t xml:space="preserve">society’s interest in having the case </w:t>
      </w:r>
      <w:r w:rsidR="00A85535">
        <w:rPr>
          <w:lang w:val="en-US"/>
        </w:rPr>
        <w:t xml:space="preserve">adjudicated </w:t>
      </w:r>
      <w:r w:rsidR="000573EE">
        <w:rPr>
          <w:lang w:val="en-US"/>
        </w:rPr>
        <w:t>on the merits</w:t>
      </w:r>
      <w:r w:rsidR="001D4908" w:rsidRPr="003105BB">
        <w:rPr>
          <w:lang w:val="en-US"/>
        </w:rPr>
        <w:t xml:space="preserve">. </w:t>
      </w:r>
    </w:p>
    <w:p w14:paraId="7841D6AE" w14:textId="01A1D518" w:rsidR="00D93A6C" w:rsidRPr="003105BB" w:rsidRDefault="000573EE" w:rsidP="00C65766">
      <w:pPr>
        <w:pStyle w:val="Paragraphe"/>
        <w:spacing w:line="280" w:lineRule="exact"/>
        <w:rPr>
          <w:lang w:val="en-US"/>
        </w:rPr>
      </w:pPr>
      <w:r>
        <w:rPr>
          <w:lang w:val="en-US"/>
        </w:rPr>
        <w:t>She concluded that [</w:t>
      </w:r>
      <w:r w:rsidRPr="003D28C3">
        <w:rPr>
          <w:smallCaps/>
          <w:lang w:val="en-US"/>
        </w:rPr>
        <w:t>translation</w:t>
      </w:r>
      <w:r>
        <w:rPr>
          <w:lang w:val="en-US"/>
        </w:rPr>
        <w:t xml:space="preserve">] “the police </w:t>
      </w:r>
      <w:r w:rsidR="0016054C">
        <w:rPr>
          <w:lang w:val="en-US"/>
        </w:rPr>
        <w:t>conduct</w:t>
      </w:r>
      <w:r>
        <w:rPr>
          <w:lang w:val="en-US"/>
        </w:rPr>
        <w:t xml:space="preserve"> is worrisome”</w:t>
      </w:r>
      <w:r w:rsidR="00AC3CC8">
        <w:rPr>
          <w:lang w:val="en-US"/>
        </w:rPr>
        <w:t>.</w:t>
      </w:r>
      <w:r>
        <w:rPr>
          <w:lang w:val="en-US"/>
        </w:rPr>
        <w:t xml:space="preserve"> The officer’s explanations [</w:t>
      </w:r>
      <w:r w:rsidRPr="003D28C3">
        <w:rPr>
          <w:smallCaps/>
          <w:lang w:val="en-US"/>
        </w:rPr>
        <w:t>translation</w:t>
      </w:r>
      <w:r>
        <w:rPr>
          <w:lang w:val="en-US"/>
        </w:rPr>
        <w:t xml:space="preserve">] “show that he </w:t>
      </w:r>
      <w:r w:rsidR="00FB4A5C">
        <w:rPr>
          <w:lang w:val="en-US"/>
        </w:rPr>
        <w:t xml:space="preserve">did not stop to consider the possibility of </w:t>
      </w:r>
      <w:r w:rsidR="00FB4A5C">
        <w:rPr>
          <w:lang w:val="en-US"/>
        </w:rPr>
        <w:lastRenderedPageBreak/>
        <w:t>facilitating the</w:t>
      </w:r>
      <w:r w:rsidR="0084063D">
        <w:rPr>
          <w:lang w:val="en-US"/>
        </w:rPr>
        <w:t xml:space="preserve"> </w:t>
      </w:r>
      <w:r>
        <w:rPr>
          <w:lang w:val="en-US"/>
        </w:rPr>
        <w:t>exercise</w:t>
      </w:r>
      <w:r w:rsidR="00FB4A5C">
        <w:rPr>
          <w:lang w:val="en-US"/>
        </w:rPr>
        <w:t xml:space="preserve"> of</w:t>
      </w:r>
      <w:r>
        <w:rPr>
          <w:lang w:val="en-US"/>
        </w:rPr>
        <w:t xml:space="preserve"> </w:t>
      </w:r>
      <w:r w:rsidR="00FB4A5C">
        <w:rPr>
          <w:lang w:val="en-US"/>
        </w:rPr>
        <w:t>the</w:t>
      </w:r>
      <w:r>
        <w:rPr>
          <w:lang w:val="en-US"/>
        </w:rPr>
        <w:t xml:space="preserve"> right</w:t>
      </w:r>
      <w:r w:rsidR="00FB4A5C">
        <w:rPr>
          <w:lang w:val="en-US"/>
        </w:rPr>
        <w:t xml:space="preserve"> at issue</w:t>
      </w:r>
      <w:r>
        <w:rPr>
          <w:lang w:val="en-US"/>
        </w:rPr>
        <w:t>” since they were in no way [</w:t>
      </w:r>
      <w:r w:rsidRPr="003D28C3">
        <w:rPr>
          <w:smallCaps/>
          <w:lang w:val="en-US"/>
        </w:rPr>
        <w:t>translation</w:t>
      </w:r>
      <w:r>
        <w:rPr>
          <w:lang w:val="en-US"/>
        </w:rPr>
        <w:t>] “based on a factual assessment of the situation”</w:t>
      </w:r>
      <w:r w:rsidR="00C02A67">
        <w:rPr>
          <w:lang w:val="en-US"/>
        </w:rPr>
        <w:t>.</w:t>
      </w:r>
      <w:r>
        <w:rPr>
          <w:lang w:val="en-US"/>
        </w:rPr>
        <w:t xml:space="preserve">  His </w:t>
      </w:r>
      <w:r w:rsidR="0016054C">
        <w:rPr>
          <w:lang w:val="en-US"/>
        </w:rPr>
        <w:t>conduct</w:t>
      </w:r>
      <w:r>
        <w:rPr>
          <w:lang w:val="en-US"/>
        </w:rPr>
        <w:t xml:space="preserve"> </w:t>
      </w:r>
      <w:r w:rsidR="0084063D">
        <w:rPr>
          <w:lang w:val="en-US"/>
        </w:rPr>
        <w:t xml:space="preserve">was </w:t>
      </w:r>
      <w:r>
        <w:rPr>
          <w:lang w:val="en-US"/>
        </w:rPr>
        <w:t>dictated</w:t>
      </w:r>
      <w:r w:rsidR="00FB4A5C">
        <w:rPr>
          <w:lang w:val="en-US"/>
        </w:rPr>
        <w:t xml:space="preserve"> instead</w:t>
      </w:r>
      <w:r>
        <w:rPr>
          <w:lang w:val="en-US"/>
        </w:rPr>
        <w:t xml:space="preserve"> [</w:t>
      </w:r>
      <w:r w:rsidRPr="0084063D">
        <w:rPr>
          <w:smallCaps/>
          <w:lang w:val="en-US"/>
        </w:rPr>
        <w:t>translation</w:t>
      </w:r>
      <w:r>
        <w:rPr>
          <w:lang w:val="en-US"/>
        </w:rPr>
        <w:t>] “by habit” and his reason</w:t>
      </w:r>
      <w:r w:rsidR="003D28C3">
        <w:rPr>
          <w:lang w:val="en-US"/>
        </w:rPr>
        <w:t>s [</w:t>
      </w:r>
      <w:r w:rsidR="003D28C3" w:rsidRPr="003D28C3">
        <w:rPr>
          <w:smallCaps/>
          <w:lang w:val="en-US"/>
        </w:rPr>
        <w:t>translation</w:t>
      </w:r>
      <w:r w:rsidR="003D28C3">
        <w:rPr>
          <w:lang w:val="en-US"/>
        </w:rPr>
        <w:t xml:space="preserve">] “look like </w:t>
      </w:r>
      <w:r w:rsidR="00270F07">
        <w:rPr>
          <w:lang w:val="en-US"/>
        </w:rPr>
        <w:t xml:space="preserve">reasons </w:t>
      </w:r>
      <w:r w:rsidR="00091AA6">
        <w:rPr>
          <w:lang w:val="en-US"/>
        </w:rPr>
        <w:t xml:space="preserve">that were </w:t>
      </w:r>
      <w:r w:rsidR="008B03EB">
        <w:rPr>
          <w:lang w:val="en-US"/>
        </w:rPr>
        <w:t xml:space="preserve">made up </w:t>
      </w:r>
      <w:r>
        <w:rPr>
          <w:lang w:val="en-US"/>
        </w:rPr>
        <w:t xml:space="preserve">after the fact to justify his </w:t>
      </w:r>
      <w:r w:rsidR="00270F07">
        <w:rPr>
          <w:lang w:val="en-US"/>
        </w:rPr>
        <w:t xml:space="preserve">inappropriate </w:t>
      </w:r>
      <w:r w:rsidR="003D28C3">
        <w:rPr>
          <w:lang w:val="en-US"/>
        </w:rPr>
        <w:t>reaction”</w:t>
      </w:r>
      <w:r w:rsidR="00FD6C1D">
        <w:rPr>
          <w:lang w:val="en-US"/>
        </w:rPr>
        <w:t>.</w:t>
      </w:r>
      <w:r w:rsidR="003D28C3">
        <w:rPr>
          <w:lang w:val="en-US"/>
        </w:rPr>
        <w:t xml:space="preserve"> It amounted to [</w:t>
      </w:r>
      <w:r w:rsidR="003D28C3" w:rsidRPr="003D28C3">
        <w:rPr>
          <w:smallCaps/>
          <w:lang w:val="en-US"/>
        </w:rPr>
        <w:t>translation</w:t>
      </w:r>
      <w:r w:rsidR="003D28C3">
        <w:rPr>
          <w:lang w:val="en-US"/>
        </w:rPr>
        <w:t xml:space="preserve">] “an attempt to cover up his </w:t>
      </w:r>
      <w:r w:rsidR="00270F07">
        <w:rPr>
          <w:lang w:val="en-US"/>
        </w:rPr>
        <w:t>conduct</w:t>
      </w:r>
      <w:r w:rsidR="003D28C3">
        <w:rPr>
          <w:lang w:val="en-US"/>
        </w:rPr>
        <w:t>”</w:t>
      </w:r>
      <w:r w:rsidR="00DF6CD2">
        <w:rPr>
          <w:lang w:val="en-US"/>
        </w:rPr>
        <w:t>.</w:t>
      </w:r>
      <w:r w:rsidR="003D28C3">
        <w:rPr>
          <w:lang w:val="en-US"/>
        </w:rPr>
        <w:t xml:space="preserve"> </w:t>
      </w:r>
    </w:p>
    <w:p w14:paraId="10D5CD98" w14:textId="2ADE9E6C" w:rsidR="00D93A6C" w:rsidRPr="003105BB" w:rsidRDefault="00C94C6C" w:rsidP="00C65766">
      <w:pPr>
        <w:pStyle w:val="Paragraphe"/>
        <w:spacing w:line="280" w:lineRule="exact"/>
        <w:rPr>
          <w:lang w:val="en-US"/>
        </w:rPr>
      </w:pPr>
      <w:r>
        <w:rPr>
          <w:lang w:val="en-US"/>
        </w:rPr>
        <w:t>During the intervention, t</w:t>
      </w:r>
      <w:r w:rsidR="00E92BB2">
        <w:rPr>
          <w:lang w:val="en-US"/>
        </w:rPr>
        <w:t>he police officer</w:t>
      </w:r>
      <w:r>
        <w:rPr>
          <w:lang w:val="en-US"/>
        </w:rPr>
        <w:t xml:space="preserve"> displayed</w:t>
      </w:r>
      <w:r w:rsidR="00A97846">
        <w:rPr>
          <w:lang w:val="en-US"/>
        </w:rPr>
        <w:t xml:space="preserve"> </w:t>
      </w:r>
      <w:r w:rsidR="00E92BB2">
        <w:rPr>
          <w:lang w:val="en-US"/>
        </w:rPr>
        <w:t>[</w:t>
      </w:r>
      <w:r w:rsidR="00E92BB2" w:rsidRPr="00E92BB2">
        <w:rPr>
          <w:smallCaps/>
          <w:lang w:val="en-US"/>
        </w:rPr>
        <w:t>translation</w:t>
      </w:r>
      <w:r w:rsidR="00E92BB2">
        <w:rPr>
          <w:lang w:val="en-US"/>
        </w:rPr>
        <w:t xml:space="preserve">] “a profound </w:t>
      </w:r>
      <w:r w:rsidR="001D4908" w:rsidRPr="003105BB">
        <w:rPr>
          <w:lang w:val="en-US"/>
        </w:rPr>
        <w:t xml:space="preserve">ignorance </w:t>
      </w:r>
      <w:r w:rsidR="00E92BB2">
        <w:rPr>
          <w:lang w:val="en-US"/>
        </w:rPr>
        <w:t xml:space="preserve">of the right to counsel guaranteed by the </w:t>
      </w:r>
      <w:r w:rsidR="001D4908" w:rsidRPr="003105BB">
        <w:rPr>
          <w:i/>
          <w:lang w:val="en-US"/>
        </w:rPr>
        <w:t>Charte</w:t>
      </w:r>
      <w:r w:rsidR="00E92BB2">
        <w:rPr>
          <w:i/>
          <w:lang w:val="en-US"/>
        </w:rPr>
        <w:t>r</w:t>
      </w:r>
      <w:r w:rsidR="001D4908" w:rsidRPr="003105BB">
        <w:rPr>
          <w:lang w:val="en-US"/>
        </w:rPr>
        <w:t xml:space="preserve">, </w:t>
      </w:r>
      <w:r w:rsidR="009F7D98">
        <w:rPr>
          <w:lang w:val="en-US"/>
        </w:rPr>
        <w:t xml:space="preserve">a </w:t>
      </w:r>
      <w:r w:rsidR="00A97846">
        <w:rPr>
          <w:lang w:val="en-US"/>
        </w:rPr>
        <w:t xml:space="preserve">lack of </w:t>
      </w:r>
      <w:r w:rsidR="009F7D98">
        <w:rPr>
          <w:lang w:val="en-US"/>
        </w:rPr>
        <w:t xml:space="preserve">concern </w:t>
      </w:r>
      <w:r>
        <w:rPr>
          <w:lang w:val="en-US"/>
        </w:rPr>
        <w:t xml:space="preserve">or </w:t>
      </w:r>
      <w:r w:rsidR="009F7D98">
        <w:rPr>
          <w:lang w:val="en-US"/>
        </w:rPr>
        <w:t xml:space="preserve">even </w:t>
      </w:r>
      <w:r w:rsidR="00785759">
        <w:rPr>
          <w:lang w:val="en-US"/>
        </w:rPr>
        <w:t xml:space="preserve">disregard </w:t>
      </w:r>
      <w:r w:rsidR="00E92BB2">
        <w:rPr>
          <w:lang w:val="en-US"/>
        </w:rPr>
        <w:t>of what it involves”</w:t>
      </w:r>
      <w:r w:rsidR="00543152">
        <w:rPr>
          <w:lang w:val="en-US"/>
        </w:rPr>
        <w:t>.</w:t>
      </w:r>
      <w:r w:rsidR="00E92BB2">
        <w:rPr>
          <w:lang w:val="en-US"/>
        </w:rPr>
        <w:t xml:space="preserve"> </w:t>
      </w:r>
      <w:r w:rsidR="006271B6">
        <w:rPr>
          <w:lang w:val="en-US"/>
        </w:rPr>
        <w:t xml:space="preserve">Referring to </w:t>
      </w:r>
      <w:r w:rsidR="00E92BB2">
        <w:rPr>
          <w:lang w:val="en-US"/>
        </w:rPr>
        <w:t>the risk of self</w:t>
      </w:r>
      <w:r w:rsidR="001D4908" w:rsidRPr="003105BB">
        <w:rPr>
          <w:lang w:val="en-US"/>
        </w:rPr>
        <w:t xml:space="preserve">-incrimination, </w:t>
      </w:r>
      <w:r w:rsidR="00E92BB2">
        <w:rPr>
          <w:lang w:val="en-US"/>
        </w:rPr>
        <w:t xml:space="preserve">especially as the appellant was asking what would happen next, and </w:t>
      </w:r>
      <w:r w:rsidR="006271B6">
        <w:rPr>
          <w:lang w:val="en-US"/>
        </w:rPr>
        <w:t xml:space="preserve">to </w:t>
      </w:r>
      <w:r w:rsidR="00E92BB2">
        <w:rPr>
          <w:lang w:val="en-US"/>
        </w:rPr>
        <w:t xml:space="preserve">the significant vulnerability of a detained person, the </w:t>
      </w:r>
      <w:r w:rsidR="0084063D">
        <w:rPr>
          <w:lang w:val="en-US"/>
        </w:rPr>
        <w:t xml:space="preserve">trial </w:t>
      </w:r>
      <w:r w:rsidR="00E92BB2">
        <w:rPr>
          <w:lang w:val="en-US"/>
        </w:rPr>
        <w:t xml:space="preserve">judge concluded that </w:t>
      </w:r>
      <w:r w:rsidR="006271B6">
        <w:rPr>
          <w:lang w:val="en-US"/>
        </w:rPr>
        <w:t xml:space="preserve">admitting </w:t>
      </w:r>
      <w:r w:rsidR="00E92BB2">
        <w:rPr>
          <w:lang w:val="en-US"/>
        </w:rPr>
        <w:t>the breathalyzer test results</w:t>
      </w:r>
      <w:r>
        <w:rPr>
          <w:lang w:val="en-US"/>
        </w:rPr>
        <w:t xml:space="preserve"> </w:t>
      </w:r>
      <w:r w:rsidR="006271B6">
        <w:rPr>
          <w:lang w:val="en-US"/>
        </w:rPr>
        <w:t xml:space="preserve">as </w:t>
      </w:r>
      <w:r>
        <w:rPr>
          <w:lang w:val="en-US"/>
        </w:rPr>
        <w:t>evidence</w:t>
      </w:r>
      <w:r w:rsidR="00E92BB2">
        <w:rPr>
          <w:lang w:val="en-US"/>
        </w:rPr>
        <w:t xml:space="preserve"> would undermine public </w:t>
      </w:r>
      <w:r w:rsidR="006271B6">
        <w:rPr>
          <w:lang w:val="en-US"/>
        </w:rPr>
        <w:t xml:space="preserve">confidence </w:t>
      </w:r>
      <w:r w:rsidR="00E92BB2">
        <w:rPr>
          <w:lang w:val="en-US"/>
        </w:rPr>
        <w:t xml:space="preserve">in the administration of </w:t>
      </w:r>
      <w:r w:rsidR="001D4908" w:rsidRPr="003105BB">
        <w:rPr>
          <w:lang w:val="en-US"/>
        </w:rPr>
        <w:t>justice</w:t>
      </w:r>
      <w:r w:rsidR="006271B6">
        <w:rPr>
          <w:lang w:val="en-US"/>
        </w:rPr>
        <w:t>,</w:t>
      </w:r>
      <w:r w:rsidR="001D4908" w:rsidRPr="003105BB">
        <w:rPr>
          <w:lang w:val="en-US"/>
        </w:rPr>
        <w:t xml:space="preserve"> </w:t>
      </w:r>
      <w:r w:rsidR="00E92BB2">
        <w:rPr>
          <w:lang w:val="en-US"/>
        </w:rPr>
        <w:t xml:space="preserve">and </w:t>
      </w:r>
      <w:r w:rsidR="006271B6">
        <w:rPr>
          <w:lang w:val="en-US"/>
        </w:rPr>
        <w:t xml:space="preserve">she </w:t>
      </w:r>
      <w:r w:rsidR="00E92BB2">
        <w:rPr>
          <w:lang w:val="en-US"/>
        </w:rPr>
        <w:t xml:space="preserve">ordered </w:t>
      </w:r>
      <w:r>
        <w:rPr>
          <w:lang w:val="en-US"/>
        </w:rPr>
        <w:t>their exclusion</w:t>
      </w:r>
      <w:r w:rsidR="00E92BB2">
        <w:rPr>
          <w:lang w:val="en-US"/>
        </w:rPr>
        <w:t>.</w:t>
      </w:r>
    </w:p>
    <w:p w14:paraId="753D07C6" w14:textId="065836B3" w:rsidR="00D93A6C" w:rsidRPr="003105BB" w:rsidRDefault="00E92BB2" w:rsidP="00C65766">
      <w:pPr>
        <w:pStyle w:val="Paragraphe"/>
        <w:spacing w:line="280" w:lineRule="exact"/>
        <w:rPr>
          <w:lang w:val="en-US"/>
        </w:rPr>
      </w:pPr>
      <w:r>
        <w:rPr>
          <w:lang w:val="en-US"/>
        </w:rPr>
        <w:t xml:space="preserve">The Superior Court judge did not share that </w:t>
      </w:r>
      <w:r w:rsidR="001D4908" w:rsidRPr="003105BB">
        <w:rPr>
          <w:lang w:val="en-US"/>
        </w:rPr>
        <w:t xml:space="preserve">opinion. </w:t>
      </w:r>
      <w:r>
        <w:rPr>
          <w:lang w:val="en-US"/>
        </w:rPr>
        <w:t xml:space="preserve">She did not think the right to counsel had been </w:t>
      </w:r>
      <w:r w:rsidR="004F7EA4">
        <w:rPr>
          <w:lang w:val="en-US"/>
        </w:rPr>
        <w:t>infringed</w:t>
      </w:r>
      <w:r>
        <w:rPr>
          <w:lang w:val="en-US"/>
        </w:rPr>
        <w:t xml:space="preserve">. </w:t>
      </w:r>
    </w:p>
    <w:p w14:paraId="416022AD" w14:textId="28AA05DA" w:rsidR="00D93A6C" w:rsidRPr="003105BB" w:rsidRDefault="00E92BB2" w:rsidP="00C65766">
      <w:pPr>
        <w:pStyle w:val="Paragraphe"/>
        <w:spacing w:line="280" w:lineRule="exact"/>
        <w:rPr>
          <w:lang w:val="en-US"/>
        </w:rPr>
      </w:pPr>
      <w:r>
        <w:rPr>
          <w:lang w:val="en-US"/>
        </w:rPr>
        <w:t>According to her, the trial judge erred in adding [</w:t>
      </w:r>
      <w:r w:rsidRPr="005B755E">
        <w:rPr>
          <w:smallCaps/>
          <w:lang w:val="en-US"/>
        </w:rPr>
        <w:t>translation</w:t>
      </w:r>
      <w:r>
        <w:rPr>
          <w:lang w:val="en-US"/>
        </w:rPr>
        <w:t xml:space="preserve">] “an </w:t>
      </w:r>
      <w:r w:rsidR="001D4908" w:rsidRPr="003105BB">
        <w:rPr>
          <w:lang w:val="en-US"/>
        </w:rPr>
        <w:t xml:space="preserve">obligation </w:t>
      </w:r>
      <w:r>
        <w:rPr>
          <w:lang w:val="en-US"/>
        </w:rPr>
        <w:t>for the police officer</w:t>
      </w:r>
      <w:r w:rsidR="004852BB">
        <w:rPr>
          <w:lang w:val="en-US"/>
        </w:rPr>
        <w:t xml:space="preserve"> to ask</w:t>
      </w:r>
      <w:r>
        <w:rPr>
          <w:lang w:val="en-US"/>
        </w:rPr>
        <w:t xml:space="preserve"> whether the respondent </w:t>
      </w:r>
      <w:r w:rsidR="004852BB">
        <w:rPr>
          <w:lang w:val="en-US"/>
        </w:rPr>
        <w:t>was in possession of a cell phone</w:t>
      </w:r>
      <w:r w:rsidR="005B755E">
        <w:rPr>
          <w:lang w:val="en-US"/>
        </w:rPr>
        <w:t>” and even [</w:t>
      </w:r>
      <w:r w:rsidR="005B755E" w:rsidRPr="005B755E">
        <w:rPr>
          <w:smallCaps/>
          <w:lang w:val="en-US"/>
        </w:rPr>
        <w:t>translation</w:t>
      </w:r>
      <w:r w:rsidR="005B755E">
        <w:rPr>
          <w:lang w:val="en-US"/>
        </w:rPr>
        <w:t>] “</w:t>
      </w:r>
      <w:r w:rsidR="00236814">
        <w:rPr>
          <w:lang w:val="en-US"/>
        </w:rPr>
        <w:t xml:space="preserve">to </w:t>
      </w:r>
      <w:r w:rsidR="005B755E">
        <w:rPr>
          <w:lang w:val="en-US"/>
        </w:rPr>
        <w:t>ask the other passengers the same thing”</w:t>
      </w:r>
      <w:r w:rsidR="00236814">
        <w:rPr>
          <w:lang w:val="en-US"/>
        </w:rPr>
        <w:t>.</w:t>
      </w:r>
      <w:r w:rsidR="005B755E">
        <w:rPr>
          <w:lang w:val="en-US"/>
        </w:rPr>
        <w:t xml:space="preserve"> She also pointed out </w:t>
      </w:r>
      <w:r w:rsidR="0084063D">
        <w:rPr>
          <w:lang w:val="en-US"/>
        </w:rPr>
        <w:t xml:space="preserve">that </w:t>
      </w:r>
      <w:r w:rsidR="005B755E">
        <w:rPr>
          <w:lang w:val="en-US"/>
        </w:rPr>
        <w:t>the appellant [</w:t>
      </w:r>
      <w:r w:rsidR="005B755E" w:rsidRPr="005B755E">
        <w:rPr>
          <w:smallCaps/>
          <w:lang w:val="en-US"/>
        </w:rPr>
        <w:t>translation</w:t>
      </w:r>
      <w:r w:rsidR="005B755E">
        <w:rPr>
          <w:lang w:val="en-US"/>
        </w:rPr>
        <w:t>] “never told” the officer that she had a cell phone, which they only found out at the police station.</w:t>
      </w:r>
      <w:r w:rsidR="001D4908" w:rsidRPr="003105BB">
        <w:rPr>
          <w:lang w:val="en-US"/>
        </w:rPr>
        <w:t xml:space="preserve"> </w:t>
      </w:r>
    </w:p>
    <w:p w14:paraId="201F287B" w14:textId="1304EBE4" w:rsidR="00D93A6C" w:rsidRPr="003105BB" w:rsidRDefault="005C60A6" w:rsidP="00C65766">
      <w:pPr>
        <w:pStyle w:val="Paragraphe"/>
        <w:spacing w:line="280" w:lineRule="exact"/>
        <w:rPr>
          <w:lang w:val="en-US"/>
        </w:rPr>
      </w:pPr>
      <w:r>
        <w:rPr>
          <w:lang w:val="en-US"/>
        </w:rPr>
        <w:t xml:space="preserve">She </w:t>
      </w:r>
      <w:r w:rsidR="007B01B9">
        <w:rPr>
          <w:lang w:val="en-US"/>
        </w:rPr>
        <w:t xml:space="preserve">noted </w:t>
      </w:r>
      <w:r>
        <w:rPr>
          <w:lang w:val="en-US"/>
        </w:rPr>
        <w:t xml:space="preserve">that police officers </w:t>
      </w:r>
      <w:r w:rsidR="00113852">
        <w:rPr>
          <w:lang w:val="en-US"/>
        </w:rPr>
        <w:t>are under no obligation</w:t>
      </w:r>
      <w:r w:rsidR="001D4908" w:rsidRPr="003105BB">
        <w:rPr>
          <w:lang w:val="en-US"/>
        </w:rPr>
        <w:t xml:space="preserve"> </w:t>
      </w:r>
      <w:r>
        <w:rPr>
          <w:lang w:val="en-US"/>
        </w:rPr>
        <w:t xml:space="preserve">to provide detained persons with a cell phone, </w:t>
      </w:r>
      <w:r w:rsidR="00113852">
        <w:rPr>
          <w:lang w:val="en-US"/>
        </w:rPr>
        <w:t xml:space="preserve">or </w:t>
      </w:r>
      <w:r w:rsidR="008629F2">
        <w:rPr>
          <w:lang w:val="en-US"/>
        </w:rPr>
        <w:t>i</w:t>
      </w:r>
      <w:r w:rsidR="00113852">
        <w:rPr>
          <w:lang w:val="en-US"/>
        </w:rPr>
        <w:t>nquire</w:t>
      </w:r>
      <w:r>
        <w:rPr>
          <w:lang w:val="en-US"/>
        </w:rPr>
        <w:t xml:space="preserve"> whether they have one. She stated that the trial judge also committed an error, when deciding whether the right to counsel had been </w:t>
      </w:r>
      <w:r w:rsidR="00113852">
        <w:rPr>
          <w:lang w:val="en-US"/>
        </w:rPr>
        <w:t>violated</w:t>
      </w:r>
      <w:r>
        <w:rPr>
          <w:lang w:val="en-US"/>
        </w:rPr>
        <w:t xml:space="preserve">, </w:t>
      </w:r>
      <w:r w:rsidR="00113852">
        <w:rPr>
          <w:lang w:val="en-US"/>
        </w:rPr>
        <w:t>by failing</w:t>
      </w:r>
      <w:r>
        <w:rPr>
          <w:lang w:val="en-US"/>
        </w:rPr>
        <w:t xml:space="preserve"> to consider the fact that the officer had not tried to obtain any evidence before the appellant reached her lawyer. She did concede, however, that the trial judge took that into account when deciding </w:t>
      </w:r>
      <w:r w:rsidR="007B01B9">
        <w:rPr>
          <w:lang w:val="en-US"/>
        </w:rPr>
        <w:t xml:space="preserve">whether or not </w:t>
      </w:r>
      <w:r>
        <w:rPr>
          <w:lang w:val="en-US"/>
        </w:rPr>
        <w:t>to exclude the evidence.</w:t>
      </w:r>
    </w:p>
    <w:p w14:paraId="6660C428" w14:textId="77777777" w:rsidR="00D93A6C" w:rsidRPr="005C60A6" w:rsidRDefault="005C60A6" w:rsidP="00C65766">
      <w:pPr>
        <w:pStyle w:val="Paragraphe"/>
        <w:spacing w:line="280" w:lineRule="exact"/>
        <w:rPr>
          <w:lang w:val="en-US"/>
        </w:rPr>
      </w:pPr>
      <w:r w:rsidRPr="005C60A6">
        <w:rPr>
          <w:lang w:val="en-US"/>
        </w:rPr>
        <w:t>She added</w:t>
      </w:r>
      <w:r w:rsidR="001D4908" w:rsidRPr="005C60A6">
        <w:rPr>
          <w:lang w:val="en-US"/>
        </w:rPr>
        <w:t>:</w:t>
      </w:r>
    </w:p>
    <w:p w14:paraId="29522BB1" w14:textId="77777777" w:rsidR="005C60A6" w:rsidRDefault="005C60A6" w:rsidP="00C65766">
      <w:pPr>
        <w:pStyle w:val="Citationenretrait"/>
        <w:rPr>
          <w:lang w:val="en-US"/>
        </w:rPr>
      </w:pPr>
      <w:r>
        <w:rPr>
          <w:lang w:val="en-US"/>
        </w:rPr>
        <w:t>[</w:t>
      </w:r>
      <w:r w:rsidRPr="005C60A6">
        <w:rPr>
          <w:smallCaps/>
          <w:lang w:val="en-US"/>
        </w:rPr>
        <w:t>translation</w:t>
      </w:r>
      <w:r>
        <w:rPr>
          <w:lang w:val="en-US"/>
        </w:rPr>
        <w:t xml:space="preserve">] </w:t>
      </w:r>
    </w:p>
    <w:p w14:paraId="5062F420" w14:textId="5415BA87" w:rsidR="00D93A6C" w:rsidRPr="005C60A6" w:rsidRDefault="001D4908" w:rsidP="00C65766">
      <w:pPr>
        <w:pStyle w:val="Citationenretrait"/>
        <w:rPr>
          <w:lang w:val="en-US"/>
        </w:rPr>
      </w:pPr>
      <w:r w:rsidRPr="005C60A6">
        <w:rPr>
          <w:lang w:val="en-US"/>
        </w:rPr>
        <w:t xml:space="preserve">[30] </w:t>
      </w:r>
      <w:r w:rsidR="009A57C6" w:rsidRPr="005C60A6">
        <w:rPr>
          <w:lang w:val="en-US"/>
        </w:rPr>
        <w:tab/>
      </w:r>
      <w:r w:rsidR="005C60A6">
        <w:rPr>
          <w:lang w:val="en-US"/>
        </w:rPr>
        <w:t xml:space="preserve">A roadside call to a lawyer </w:t>
      </w:r>
      <w:r w:rsidR="00113852">
        <w:rPr>
          <w:lang w:val="en-US"/>
        </w:rPr>
        <w:t xml:space="preserve">would no doubt </w:t>
      </w:r>
      <w:r w:rsidR="00211ABC">
        <w:rPr>
          <w:lang w:val="en-US"/>
        </w:rPr>
        <w:t>raise a number of issues</w:t>
      </w:r>
      <w:r w:rsidR="005C60A6">
        <w:rPr>
          <w:lang w:val="en-US"/>
        </w:rPr>
        <w:t xml:space="preserve">, including </w:t>
      </w:r>
      <w:r w:rsidR="00113852">
        <w:rPr>
          <w:lang w:val="en-US"/>
        </w:rPr>
        <w:t>that</w:t>
      </w:r>
      <w:r w:rsidR="005C60A6">
        <w:rPr>
          <w:lang w:val="en-US"/>
        </w:rPr>
        <w:t xml:space="preserve"> of </w:t>
      </w:r>
      <w:r w:rsidR="00113852">
        <w:rPr>
          <w:lang w:val="en-US"/>
        </w:rPr>
        <w:t xml:space="preserve">the </w:t>
      </w:r>
      <w:r w:rsidR="005C60A6">
        <w:rPr>
          <w:lang w:val="en-US"/>
        </w:rPr>
        <w:t xml:space="preserve">safety </w:t>
      </w:r>
      <w:r w:rsidR="00113852">
        <w:rPr>
          <w:lang w:val="en-US"/>
        </w:rPr>
        <w:t xml:space="preserve">of </w:t>
      </w:r>
      <w:r w:rsidR="005C60A6">
        <w:rPr>
          <w:lang w:val="en-US"/>
        </w:rPr>
        <w:t>the officer, the detained person</w:t>
      </w:r>
      <w:r w:rsidR="00113852">
        <w:rPr>
          <w:lang w:val="en-US"/>
        </w:rPr>
        <w:t>,</w:t>
      </w:r>
      <w:r w:rsidR="005C60A6">
        <w:rPr>
          <w:lang w:val="en-US"/>
        </w:rPr>
        <w:t xml:space="preserve"> or anyone else. </w:t>
      </w:r>
    </w:p>
    <w:p w14:paraId="7F3C4CC2" w14:textId="7F882CC7" w:rsidR="00D93A6C" w:rsidRPr="005C60A6" w:rsidRDefault="001D4908" w:rsidP="00C65766">
      <w:pPr>
        <w:pStyle w:val="Citationenretrait"/>
        <w:rPr>
          <w:lang w:val="en-US"/>
        </w:rPr>
      </w:pPr>
      <w:r w:rsidRPr="005C60A6">
        <w:rPr>
          <w:lang w:val="en-US"/>
        </w:rPr>
        <w:t>[31]</w:t>
      </w:r>
      <w:r w:rsidR="009A57C6" w:rsidRPr="005C60A6">
        <w:rPr>
          <w:lang w:val="en-US"/>
        </w:rPr>
        <w:tab/>
      </w:r>
      <w:r w:rsidR="00113852">
        <w:rPr>
          <w:lang w:val="en-US"/>
        </w:rPr>
        <w:t>T</w:t>
      </w:r>
      <w:r w:rsidR="001864D6">
        <w:rPr>
          <w:lang w:val="en-US"/>
        </w:rPr>
        <w:t>here is also the fact that the call must be confidentia</w:t>
      </w:r>
      <w:r w:rsidRPr="005C60A6">
        <w:rPr>
          <w:lang w:val="en-US"/>
        </w:rPr>
        <w:t>l.</w:t>
      </w:r>
    </w:p>
    <w:p w14:paraId="4759A636" w14:textId="60A1A23C" w:rsidR="00D93A6C" w:rsidRPr="005C60A6" w:rsidRDefault="001864D6" w:rsidP="00C65766">
      <w:pPr>
        <w:pStyle w:val="Paragraphe"/>
        <w:spacing w:line="280" w:lineRule="exact"/>
        <w:rPr>
          <w:lang w:val="en-US"/>
        </w:rPr>
      </w:pPr>
      <w:r>
        <w:rPr>
          <w:lang w:val="en-US"/>
        </w:rPr>
        <w:t xml:space="preserve">According to her, the first reasonable opportunity to exercise the right to counsel </w:t>
      </w:r>
      <w:r w:rsidR="00113852">
        <w:rPr>
          <w:lang w:val="en-US"/>
        </w:rPr>
        <w:t xml:space="preserve">requires </w:t>
      </w:r>
      <w:r w:rsidR="00C82738">
        <w:rPr>
          <w:lang w:val="en-US"/>
        </w:rPr>
        <w:t>[</w:t>
      </w:r>
      <w:r w:rsidR="00C82738" w:rsidRPr="00C82738">
        <w:rPr>
          <w:smallCaps/>
          <w:lang w:val="en-US"/>
        </w:rPr>
        <w:t>translation</w:t>
      </w:r>
      <w:r w:rsidR="00C82738">
        <w:rPr>
          <w:lang w:val="en-US"/>
        </w:rPr>
        <w:t>] “</w:t>
      </w:r>
      <w:r w:rsidR="00113852">
        <w:rPr>
          <w:lang w:val="en-US"/>
        </w:rPr>
        <w:t>most of all the call’s confidentiality</w:t>
      </w:r>
      <w:r w:rsidR="00C82738">
        <w:rPr>
          <w:lang w:val="en-US"/>
        </w:rPr>
        <w:t>”</w:t>
      </w:r>
      <w:r w:rsidR="00D74B47">
        <w:rPr>
          <w:lang w:val="en-US"/>
        </w:rPr>
        <w:t>.</w:t>
      </w:r>
    </w:p>
    <w:p w14:paraId="554A49A5" w14:textId="1495C13F" w:rsidR="00D93A6C" w:rsidRPr="005C60A6" w:rsidRDefault="00BE429B" w:rsidP="00C65766">
      <w:pPr>
        <w:pStyle w:val="Paragraphe"/>
        <w:spacing w:line="280" w:lineRule="exact"/>
        <w:rPr>
          <w:lang w:val="en-US"/>
        </w:rPr>
      </w:pPr>
      <w:r>
        <w:rPr>
          <w:lang w:val="en-US"/>
        </w:rPr>
        <w:t xml:space="preserve">She </w:t>
      </w:r>
      <w:r w:rsidR="00FB67D2">
        <w:rPr>
          <w:lang w:val="en-US"/>
        </w:rPr>
        <w:t xml:space="preserve">also </w:t>
      </w:r>
      <w:r>
        <w:rPr>
          <w:lang w:val="en-US"/>
        </w:rPr>
        <w:t xml:space="preserve">criticized the trial judge for saying that it would have been </w:t>
      </w:r>
      <w:r w:rsidR="001D4908" w:rsidRPr="005C60A6">
        <w:rPr>
          <w:lang w:val="en-US"/>
        </w:rPr>
        <w:t>possible</w:t>
      </w:r>
      <w:r>
        <w:rPr>
          <w:lang w:val="en-US"/>
        </w:rPr>
        <w:t xml:space="preserve"> to allow a call to a lawyer at the </w:t>
      </w:r>
      <w:r w:rsidR="00FB67D2">
        <w:rPr>
          <w:lang w:val="en-US"/>
        </w:rPr>
        <w:t xml:space="preserve">scene of the </w:t>
      </w:r>
      <w:r w:rsidR="00D25818">
        <w:rPr>
          <w:lang w:val="en-US"/>
        </w:rPr>
        <w:t>interception</w:t>
      </w:r>
      <w:r>
        <w:rPr>
          <w:lang w:val="en-US"/>
        </w:rPr>
        <w:t xml:space="preserve">, </w:t>
      </w:r>
      <w:r w:rsidR="00FB67D2">
        <w:rPr>
          <w:lang w:val="en-US"/>
        </w:rPr>
        <w:t xml:space="preserve">despite </w:t>
      </w:r>
      <w:r>
        <w:rPr>
          <w:lang w:val="en-US"/>
        </w:rPr>
        <w:t xml:space="preserve">the officer not even </w:t>
      </w:r>
      <w:r>
        <w:rPr>
          <w:lang w:val="en-US"/>
        </w:rPr>
        <w:lastRenderedPageBreak/>
        <w:t>know</w:t>
      </w:r>
      <w:r w:rsidR="00FB67D2">
        <w:rPr>
          <w:lang w:val="en-US"/>
        </w:rPr>
        <w:t xml:space="preserve">ing </w:t>
      </w:r>
      <w:r w:rsidR="00190275">
        <w:rPr>
          <w:lang w:val="en-US"/>
        </w:rPr>
        <w:t xml:space="preserve">at that time </w:t>
      </w:r>
      <w:r w:rsidR="00FB67D2">
        <w:rPr>
          <w:lang w:val="en-US"/>
        </w:rPr>
        <w:t>that</w:t>
      </w:r>
      <w:r>
        <w:rPr>
          <w:lang w:val="en-US"/>
        </w:rPr>
        <w:t xml:space="preserve"> the appellant had a cell phone. </w:t>
      </w:r>
      <w:r w:rsidR="00FB67D2">
        <w:rPr>
          <w:lang w:val="en-US"/>
        </w:rPr>
        <w:t>From her perspective</w:t>
      </w:r>
      <w:r>
        <w:rPr>
          <w:lang w:val="en-US"/>
        </w:rPr>
        <w:t>, in this case [</w:t>
      </w:r>
      <w:r w:rsidRPr="00BE429B">
        <w:rPr>
          <w:smallCaps/>
          <w:lang w:val="en-US"/>
        </w:rPr>
        <w:t>translation</w:t>
      </w:r>
      <w:r>
        <w:rPr>
          <w:lang w:val="en-US"/>
        </w:rPr>
        <w:t>] “the possibility of a confidential call was purely hypothetical”</w:t>
      </w:r>
      <w:r w:rsidR="00190275">
        <w:rPr>
          <w:lang w:val="en-US"/>
        </w:rPr>
        <w:t>.</w:t>
      </w:r>
      <w:r w:rsidR="001D4908" w:rsidRPr="005C60A6">
        <w:rPr>
          <w:lang w:val="en-US"/>
        </w:rPr>
        <w:t xml:space="preserve"> </w:t>
      </w:r>
      <w:r>
        <w:rPr>
          <w:lang w:val="en-US"/>
        </w:rPr>
        <w:t xml:space="preserve">She believed that the officer could not realistically leave the appellant, who was under the influence of alcohol, alone in the police </w:t>
      </w:r>
      <w:r w:rsidR="00FB67D2">
        <w:rPr>
          <w:lang w:val="en-US"/>
        </w:rPr>
        <w:t xml:space="preserve">cruiser </w:t>
      </w:r>
      <w:r>
        <w:rPr>
          <w:lang w:val="en-US"/>
        </w:rPr>
        <w:t xml:space="preserve">with a cell phone, </w:t>
      </w:r>
      <w:r w:rsidR="00821697">
        <w:rPr>
          <w:lang w:val="en-US"/>
        </w:rPr>
        <w:t xml:space="preserve">which would have required that he </w:t>
      </w:r>
      <w:r w:rsidR="00FB67D2">
        <w:rPr>
          <w:lang w:val="en-US"/>
        </w:rPr>
        <w:t xml:space="preserve">step away from the vehicle </w:t>
      </w:r>
      <w:r w:rsidR="00821697">
        <w:rPr>
          <w:lang w:val="en-US"/>
        </w:rPr>
        <w:t xml:space="preserve">in complete disregard </w:t>
      </w:r>
      <w:r w:rsidR="00FB67D2">
        <w:rPr>
          <w:lang w:val="en-US"/>
        </w:rPr>
        <w:t xml:space="preserve">of </w:t>
      </w:r>
      <w:r>
        <w:rPr>
          <w:lang w:val="en-US"/>
        </w:rPr>
        <w:t>all safety rules</w:t>
      </w:r>
      <w:r w:rsidR="001D4908" w:rsidRPr="005C60A6">
        <w:rPr>
          <w:lang w:val="en-US"/>
        </w:rPr>
        <w:t xml:space="preserve">. </w:t>
      </w:r>
      <w:r>
        <w:rPr>
          <w:lang w:val="en-US"/>
        </w:rPr>
        <w:t xml:space="preserve">He </w:t>
      </w:r>
      <w:r w:rsidR="007065FE">
        <w:rPr>
          <w:lang w:val="en-US"/>
        </w:rPr>
        <w:t>could not</w:t>
      </w:r>
      <w:r>
        <w:rPr>
          <w:lang w:val="en-US"/>
        </w:rPr>
        <w:t xml:space="preserve"> [</w:t>
      </w:r>
      <w:r w:rsidRPr="00BE429B">
        <w:rPr>
          <w:smallCaps/>
          <w:lang w:val="en-US"/>
        </w:rPr>
        <w:t>translation</w:t>
      </w:r>
      <w:r>
        <w:rPr>
          <w:lang w:val="en-US"/>
        </w:rPr>
        <w:t>] “guess how a detained person would behave under the effect of the alcohol”</w:t>
      </w:r>
      <w:r w:rsidR="00016ABA">
        <w:rPr>
          <w:lang w:val="en-US"/>
        </w:rPr>
        <w:t>.</w:t>
      </w:r>
      <w:r>
        <w:rPr>
          <w:lang w:val="en-US"/>
        </w:rPr>
        <w:t xml:space="preserve"> </w:t>
      </w:r>
    </w:p>
    <w:p w14:paraId="1DF82B97" w14:textId="24D6D678" w:rsidR="00D93A6C" w:rsidRPr="007065FE" w:rsidRDefault="00BE429B" w:rsidP="007065FE">
      <w:pPr>
        <w:pStyle w:val="Paragraphe"/>
        <w:spacing w:line="280" w:lineRule="exact"/>
        <w:rPr>
          <w:lang w:val="en-US"/>
        </w:rPr>
      </w:pPr>
      <w:r>
        <w:rPr>
          <w:lang w:val="en-US"/>
        </w:rPr>
        <w:t xml:space="preserve">She </w:t>
      </w:r>
      <w:r w:rsidR="007065FE">
        <w:rPr>
          <w:lang w:val="en-US"/>
        </w:rPr>
        <w:t xml:space="preserve">then </w:t>
      </w:r>
      <w:r>
        <w:rPr>
          <w:lang w:val="en-US"/>
        </w:rPr>
        <w:t xml:space="preserve">cited </w:t>
      </w:r>
      <w:r w:rsidR="001D4908" w:rsidRPr="005C60A6">
        <w:rPr>
          <w:i/>
          <w:lang w:val="en-US"/>
        </w:rPr>
        <w:t>R. c. Piazza</w:t>
      </w:r>
      <w:r>
        <w:rPr>
          <w:lang w:val="en-US"/>
        </w:rPr>
        <w:t>, 2018 QCCA 948</w:t>
      </w:r>
      <w:r w:rsidR="001915C8">
        <w:rPr>
          <w:lang w:val="en-US"/>
        </w:rPr>
        <w:t>,</w:t>
      </w:r>
      <w:r>
        <w:rPr>
          <w:lang w:val="en-US"/>
        </w:rPr>
        <w:t xml:space="preserve"> </w:t>
      </w:r>
      <w:r w:rsidR="007065FE">
        <w:rPr>
          <w:lang w:val="en-US"/>
        </w:rPr>
        <w:t xml:space="preserve">to highlight </w:t>
      </w:r>
      <w:r>
        <w:rPr>
          <w:lang w:val="en-US"/>
        </w:rPr>
        <w:t>the problems</w:t>
      </w:r>
      <w:r w:rsidR="007065FE">
        <w:rPr>
          <w:lang w:val="en-US"/>
        </w:rPr>
        <w:t xml:space="preserve"> raised by </w:t>
      </w:r>
      <w:r w:rsidR="001915C8">
        <w:rPr>
          <w:lang w:val="en-US"/>
        </w:rPr>
        <w:t xml:space="preserve">a </w:t>
      </w:r>
      <w:r>
        <w:rPr>
          <w:lang w:val="en-US"/>
        </w:rPr>
        <w:t>[</w:t>
      </w:r>
      <w:r w:rsidRPr="0084063D">
        <w:rPr>
          <w:smallCaps/>
          <w:lang w:val="en-US"/>
        </w:rPr>
        <w:t>translation</w:t>
      </w:r>
      <w:r>
        <w:rPr>
          <w:lang w:val="en-US"/>
        </w:rPr>
        <w:t>] “</w:t>
      </w:r>
      <w:r w:rsidR="007065FE">
        <w:rPr>
          <w:lang w:val="en-US"/>
        </w:rPr>
        <w:t>roadside</w:t>
      </w:r>
      <w:r>
        <w:rPr>
          <w:lang w:val="en-US"/>
        </w:rPr>
        <w:t>”</w:t>
      </w:r>
      <w:r w:rsidR="001915C8">
        <w:rPr>
          <w:lang w:val="en-US"/>
        </w:rPr>
        <w:t xml:space="preserve"> consultation with counsel</w:t>
      </w:r>
      <w:r w:rsidR="003823A8">
        <w:rPr>
          <w:lang w:val="en-US"/>
        </w:rPr>
        <w:t>.</w:t>
      </w:r>
      <w:r w:rsidRPr="007065FE">
        <w:rPr>
          <w:lang w:val="en-US"/>
        </w:rPr>
        <w:t xml:space="preserve"> She concluded that [</w:t>
      </w:r>
      <w:r w:rsidRPr="007065FE">
        <w:rPr>
          <w:smallCaps/>
          <w:lang w:val="en-US"/>
        </w:rPr>
        <w:t>translation</w:t>
      </w:r>
      <w:r w:rsidRPr="007065FE">
        <w:rPr>
          <w:lang w:val="en-US"/>
        </w:rPr>
        <w:t>] “</w:t>
      </w:r>
      <w:r w:rsidR="00A7458B">
        <w:rPr>
          <w:lang w:val="en-US"/>
        </w:rPr>
        <w:t>there is no evidence</w:t>
      </w:r>
      <w:r w:rsidRPr="007065FE">
        <w:rPr>
          <w:lang w:val="en-US"/>
        </w:rPr>
        <w:t xml:space="preserve"> that there would</w:t>
      </w:r>
      <w:r w:rsidR="00A7458B">
        <w:rPr>
          <w:lang w:val="en-US"/>
        </w:rPr>
        <w:t xml:space="preserve"> not</w:t>
      </w:r>
      <w:r w:rsidRPr="007065FE">
        <w:rPr>
          <w:lang w:val="en-US"/>
        </w:rPr>
        <w:t xml:space="preserve"> have been </w:t>
      </w:r>
      <w:r w:rsidR="00A7458B">
        <w:rPr>
          <w:lang w:val="en-US"/>
        </w:rPr>
        <w:t>an</w:t>
      </w:r>
      <w:r w:rsidR="00A7458B" w:rsidRPr="007065FE">
        <w:rPr>
          <w:lang w:val="en-US"/>
        </w:rPr>
        <w:t xml:space="preserve"> </w:t>
      </w:r>
      <w:r w:rsidRPr="007065FE">
        <w:rPr>
          <w:lang w:val="en-US"/>
        </w:rPr>
        <w:t xml:space="preserve">incident or problem </w:t>
      </w:r>
      <w:r w:rsidR="00A7458B">
        <w:rPr>
          <w:lang w:val="en-US"/>
        </w:rPr>
        <w:t xml:space="preserve">had </w:t>
      </w:r>
      <w:r w:rsidRPr="007065FE">
        <w:rPr>
          <w:lang w:val="en-US"/>
        </w:rPr>
        <w:t>the respondent been</w:t>
      </w:r>
      <w:r w:rsidR="00A7458B">
        <w:rPr>
          <w:lang w:val="en-US"/>
        </w:rPr>
        <w:t xml:space="preserve"> left</w:t>
      </w:r>
      <w:r w:rsidRPr="007065FE">
        <w:rPr>
          <w:lang w:val="en-US"/>
        </w:rPr>
        <w:t xml:space="preserve"> alone in the patrol car. That </w:t>
      </w:r>
      <w:r w:rsidR="00A7458B">
        <w:rPr>
          <w:lang w:val="en-US"/>
        </w:rPr>
        <w:t>situation is hypothetical</w:t>
      </w:r>
      <w:r w:rsidRPr="007065FE">
        <w:rPr>
          <w:lang w:val="en-US"/>
        </w:rPr>
        <w:t>”</w:t>
      </w:r>
      <w:r w:rsidR="00986382">
        <w:rPr>
          <w:lang w:val="en-US"/>
        </w:rPr>
        <w:t>.</w:t>
      </w:r>
      <w:r w:rsidRPr="007065FE">
        <w:rPr>
          <w:lang w:val="en-US"/>
        </w:rPr>
        <w:t xml:space="preserve"> </w:t>
      </w:r>
    </w:p>
    <w:p w14:paraId="54AD01DE" w14:textId="2828FE16" w:rsidR="00D93A6C" w:rsidRPr="005C60A6" w:rsidRDefault="00555188" w:rsidP="00C65766">
      <w:pPr>
        <w:pStyle w:val="Paragraphe"/>
        <w:spacing w:line="280" w:lineRule="exact"/>
        <w:rPr>
          <w:lang w:val="en-US"/>
        </w:rPr>
      </w:pPr>
      <w:r>
        <w:rPr>
          <w:lang w:val="en-US"/>
        </w:rPr>
        <w:t xml:space="preserve">Since </w:t>
      </w:r>
      <w:r w:rsidR="00A7458B">
        <w:rPr>
          <w:lang w:val="en-US"/>
        </w:rPr>
        <w:t>the right was not infringed</w:t>
      </w:r>
      <w:r>
        <w:rPr>
          <w:lang w:val="en-US"/>
        </w:rPr>
        <w:t>, she did not rule on the exclusion of evidence.</w:t>
      </w:r>
    </w:p>
    <w:p w14:paraId="0C2D7C77" w14:textId="77777777" w:rsidR="00D93A6C" w:rsidRPr="005C60A6" w:rsidRDefault="00555188" w:rsidP="00C65766">
      <w:pPr>
        <w:pStyle w:val="Titre2"/>
        <w:rPr>
          <w:lang w:val="en-US"/>
        </w:rPr>
      </w:pPr>
      <w:r>
        <w:rPr>
          <w:lang w:val="en-US"/>
        </w:rPr>
        <w:t>ANALYSIS</w:t>
      </w:r>
    </w:p>
    <w:p w14:paraId="480C9A67" w14:textId="1031F7A4" w:rsidR="00D93A6C" w:rsidRPr="005C60A6" w:rsidRDefault="00C64B92" w:rsidP="00C65766">
      <w:pPr>
        <w:pStyle w:val="Paragraphe"/>
        <w:spacing w:line="280" w:lineRule="exact"/>
        <w:rPr>
          <w:lang w:val="en-US"/>
        </w:rPr>
      </w:pPr>
      <w:r>
        <w:rPr>
          <w:lang w:val="en-US"/>
        </w:rPr>
        <w:t xml:space="preserve">This appeal was heard together with the appeal in </w:t>
      </w:r>
      <w:r w:rsidR="001D4908" w:rsidRPr="005C60A6">
        <w:rPr>
          <w:i/>
          <w:lang w:val="en-US"/>
        </w:rPr>
        <w:t>R. c. Tremblay</w:t>
      </w:r>
      <w:r>
        <w:rPr>
          <w:lang w:val="en-US"/>
        </w:rPr>
        <w:t>, 2021 QCCA 24 (“</w:t>
      </w:r>
      <w:r w:rsidR="001D4908" w:rsidRPr="005C60A6">
        <w:rPr>
          <w:i/>
          <w:lang w:val="en-US"/>
        </w:rPr>
        <w:t>Tremblay</w:t>
      </w:r>
      <w:r>
        <w:rPr>
          <w:lang w:val="en-US"/>
        </w:rPr>
        <w:t>”</w:t>
      </w:r>
      <w:r w:rsidR="001D4908" w:rsidRPr="005C60A6">
        <w:rPr>
          <w:lang w:val="en-US"/>
        </w:rPr>
        <w:t xml:space="preserve">), </w:t>
      </w:r>
      <w:r>
        <w:rPr>
          <w:lang w:val="en-US"/>
        </w:rPr>
        <w:t xml:space="preserve">in which </w:t>
      </w:r>
      <w:r w:rsidR="003608F0">
        <w:rPr>
          <w:lang w:val="en-US"/>
        </w:rPr>
        <w:t xml:space="preserve">judgment </w:t>
      </w:r>
      <w:r>
        <w:rPr>
          <w:lang w:val="en-US"/>
        </w:rPr>
        <w:t>was rendered on January</w:t>
      </w:r>
      <w:r w:rsidR="001D4908" w:rsidRPr="005C60A6">
        <w:rPr>
          <w:lang w:val="en-US"/>
        </w:rPr>
        <w:t xml:space="preserve"> </w:t>
      </w:r>
      <w:r w:rsidR="0061299F">
        <w:rPr>
          <w:lang w:val="en-US"/>
        </w:rPr>
        <w:t xml:space="preserve">13, </w:t>
      </w:r>
      <w:r w:rsidR="001D4908" w:rsidRPr="005C60A6">
        <w:rPr>
          <w:lang w:val="en-US"/>
        </w:rPr>
        <w:t xml:space="preserve">2021. </w:t>
      </w:r>
      <w:r>
        <w:rPr>
          <w:lang w:val="en-US"/>
        </w:rPr>
        <w:t xml:space="preserve">The law is fully stated in that decision, and I will </w:t>
      </w:r>
      <w:r w:rsidR="00850CA5">
        <w:rPr>
          <w:lang w:val="en-US"/>
        </w:rPr>
        <w:t>quote</w:t>
      </w:r>
      <w:r>
        <w:rPr>
          <w:lang w:val="en-US"/>
        </w:rPr>
        <w:t xml:space="preserve"> a few</w:t>
      </w:r>
      <w:r w:rsidR="001D4908" w:rsidRPr="005C60A6">
        <w:rPr>
          <w:lang w:val="en-US"/>
        </w:rPr>
        <w:t xml:space="preserve"> passages </w:t>
      </w:r>
      <w:r>
        <w:rPr>
          <w:lang w:val="en-US"/>
        </w:rPr>
        <w:t xml:space="preserve">from it to </w:t>
      </w:r>
      <w:r w:rsidR="00F3589F">
        <w:rPr>
          <w:lang w:val="en-US"/>
        </w:rPr>
        <w:t>simplify matters</w:t>
      </w:r>
      <w:r>
        <w:rPr>
          <w:lang w:val="en-US"/>
        </w:rPr>
        <w:t>.</w:t>
      </w:r>
      <w:r w:rsidR="001D4908" w:rsidRPr="005C60A6">
        <w:rPr>
          <w:lang w:val="en-US"/>
        </w:rPr>
        <w:t xml:space="preserve"> </w:t>
      </w:r>
    </w:p>
    <w:p w14:paraId="268C2B99" w14:textId="263D5AC8" w:rsidR="00D93A6C" w:rsidRPr="005C60A6" w:rsidRDefault="00C64B92" w:rsidP="007D2937">
      <w:pPr>
        <w:pStyle w:val="Paragraphe"/>
        <w:tabs>
          <w:tab w:val="left" w:pos="5529"/>
        </w:tabs>
        <w:spacing w:line="280" w:lineRule="exact"/>
        <w:rPr>
          <w:lang w:val="en-US"/>
        </w:rPr>
      </w:pPr>
      <w:r>
        <w:rPr>
          <w:lang w:val="en-US"/>
        </w:rPr>
        <w:t xml:space="preserve">Both cases have much in common. The same principles of law are at stake. In both cases the detained person, who behaved irreproachably, asked to speak to a lawyer. In both cases that request was refused pursuant to a directive (or lack of a </w:t>
      </w:r>
      <w:r w:rsidR="001D4908" w:rsidRPr="005C60A6">
        <w:rPr>
          <w:lang w:val="en-US"/>
        </w:rPr>
        <w:t xml:space="preserve">directive). </w:t>
      </w:r>
      <w:r>
        <w:rPr>
          <w:lang w:val="en-US"/>
        </w:rPr>
        <w:t xml:space="preserve">In both cases the police officers explained their refusals by citing confidentiality and </w:t>
      </w:r>
      <w:r w:rsidR="008F4F7B">
        <w:rPr>
          <w:lang w:val="en-US"/>
        </w:rPr>
        <w:t xml:space="preserve">safety </w:t>
      </w:r>
      <w:r>
        <w:rPr>
          <w:lang w:val="en-US"/>
        </w:rPr>
        <w:t xml:space="preserve">issues. In both cases the trial judge dismissed </w:t>
      </w:r>
      <w:r w:rsidR="008F4F7B">
        <w:rPr>
          <w:lang w:val="en-US"/>
        </w:rPr>
        <w:t xml:space="preserve">the officers’ </w:t>
      </w:r>
      <w:r>
        <w:rPr>
          <w:lang w:val="en-US"/>
        </w:rPr>
        <w:t xml:space="preserve">testimonies </w:t>
      </w:r>
      <w:r w:rsidR="006A2634">
        <w:rPr>
          <w:lang w:val="en-US"/>
        </w:rPr>
        <w:t>([</w:t>
      </w:r>
      <w:r w:rsidR="006A2634" w:rsidRPr="006A2634">
        <w:rPr>
          <w:smallCaps/>
          <w:lang w:val="en-US"/>
        </w:rPr>
        <w:t>translation</w:t>
      </w:r>
      <w:r w:rsidR="006A2634">
        <w:rPr>
          <w:lang w:val="en-US"/>
        </w:rPr>
        <w:t>]</w:t>
      </w:r>
      <w:r w:rsidR="00A54FAB">
        <w:rPr>
          <w:lang w:val="en-US"/>
        </w:rPr>
        <w:t> </w:t>
      </w:r>
      <w:r w:rsidR="006A2634">
        <w:rPr>
          <w:lang w:val="en-US"/>
        </w:rPr>
        <w:t>“reasons</w:t>
      </w:r>
      <w:r w:rsidR="008B03EB">
        <w:rPr>
          <w:lang w:val="en-US"/>
        </w:rPr>
        <w:t xml:space="preserve"> that were made up</w:t>
      </w:r>
      <w:r w:rsidR="006A2634">
        <w:rPr>
          <w:lang w:val="en-US"/>
        </w:rPr>
        <w:t>” and “</w:t>
      </w:r>
      <w:r w:rsidR="008B03EB">
        <w:rPr>
          <w:lang w:val="en-US"/>
        </w:rPr>
        <w:t xml:space="preserve">an attempt </w:t>
      </w:r>
      <w:r w:rsidR="006A2634">
        <w:rPr>
          <w:lang w:val="en-US"/>
        </w:rPr>
        <w:t xml:space="preserve">to cover up his </w:t>
      </w:r>
      <w:r w:rsidR="008F4F7B">
        <w:rPr>
          <w:lang w:val="en-US"/>
        </w:rPr>
        <w:t>conduct</w:t>
      </w:r>
      <w:r w:rsidR="00755F29">
        <w:rPr>
          <w:lang w:val="en-US"/>
        </w:rPr>
        <w:t>” in this case and</w:t>
      </w:r>
      <w:r w:rsidR="006A2634">
        <w:rPr>
          <w:lang w:val="en-US"/>
        </w:rPr>
        <w:t xml:space="preserve"> [</w:t>
      </w:r>
      <w:r w:rsidR="006A2634" w:rsidRPr="006A2634">
        <w:rPr>
          <w:smallCaps/>
          <w:lang w:val="en-US"/>
        </w:rPr>
        <w:t>translation</w:t>
      </w:r>
      <w:r w:rsidR="006A2634">
        <w:rPr>
          <w:lang w:val="en-US"/>
        </w:rPr>
        <w:t xml:space="preserve">] “theoretical possibilities that do not </w:t>
      </w:r>
      <w:r w:rsidR="005B5D51">
        <w:rPr>
          <w:lang w:val="en-US"/>
        </w:rPr>
        <w:t xml:space="preserve">fit the present </w:t>
      </w:r>
      <w:r w:rsidR="001D4908" w:rsidRPr="005C60A6">
        <w:rPr>
          <w:lang w:val="en-US"/>
        </w:rPr>
        <w:t>situation</w:t>
      </w:r>
      <w:r w:rsidR="006A2634">
        <w:rPr>
          <w:i/>
          <w:lang w:val="en-US"/>
        </w:rPr>
        <w:t>”</w:t>
      </w:r>
      <w:r w:rsidR="006A2634">
        <w:rPr>
          <w:lang w:val="en-US"/>
        </w:rPr>
        <w:t xml:space="preserve"> in</w:t>
      </w:r>
      <w:r w:rsidR="001D4908" w:rsidRPr="005C60A6">
        <w:rPr>
          <w:lang w:val="en-US"/>
        </w:rPr>
        <w:t xml:space="preserve"> </w:t>
      </w:r>
      <w:r w:rsidR="001D4908" w:rsidRPr="005C60A6">
        <w:rPr>
          <w:i/>
          <w:lang w:val="en-US"/>
        </w:rPr>
        <w:t>Tremblay</w:t>
      </w:r>
      <w:r w:rsidR="001D4908" w:rsidRPr="005C60A6">
        <w:rPr>
          <w:lang w:val="en-US"/>
        </w:rPr>
        <w:t>).</w:t>
      </w:r>
      <w:r w:rsidR="006A2634">
        <w:rPr>
          <w:lang w:val="en-US"/>
        </w:rPr>
        <w:t xml:space="preserve"> There is one significant difference, however: the Superior Court judge refused to intervene in </w:t>
      </w:r>
      <w:r w:rsidR="001D4908" w:rsidRPr="005C60A6">
        <w:rPr>
          <w:i/>
          <w:lang w:val="en-US"/>
        </w:rPr>
        <w:t>Tremblay</w:t>
      </w:r>
      <w:r w:rsidR="006A2634">
        <w:rPr>
          <w:lang w:val="en-US"/>
        </w:rPr>
        <w:t xml:space="preserve">, contrary to what happened in this case. </w:t>
      </w:r>
    </w:p>
    <w:p w14:paraId="6A715FAD" w14:textId="1AD07656" w:rsidR="00D93A6C" w:rsidRPr="005C60A6" w:rsidRDefault="009E7944" w:rsidP="00C65766">
      <w:pPr>
        <w:pStyle w:val="Paragraphe"/>
        <w:spacing w:line="280" w:lineRule="exact"/>
        <w:rPr>
          <w:lang w:val="en-US"/>
        </w:rPr>
      </w:pPr>
      <w:r>
        <w:rPr>
          <w:lang w:val="en-US"/>
        </w:rPr>
        <w:t xml:space="preserve">In the present matter, the </w:t>
      </w:r>
      <w:r w:rsidR="006A2634">
        <w:rPr>
          <w:lang w:val="en-US"/>
        </w:rPr>
        <w:t xml:space="preserve">appeal must focus on the errors of law that the Superior Court judge may have committed. </w:t>
      </w:r>
    </w:p>
    <w:p w14:paraId="1A705A8C" w14:textId="77777777" w:rsidR="00D93A6C" w:rsidRPr="005C60A6" w:rsidRDefault="005B62C8" w:rsidP="00C65766">
      <w:pPr>
        <w:pStyle w:val="Titre4"/>
        <w:rPr>
          <w:lang w:val="en-US"/>
        </w:rPr>
      </w:pPr>
      <w:r>
        <w:rPr>
          <w:lang w:val="en-US"/>
        </w:rPr>
        <w:t xml:space="preserve">Implementation </w:t>
      </w:r>
      <w:r w:rsidR="008941C1">
        <w:rPr>
          <w:lang w:val="en-US"/>
        </w:rPr>
        <w:t>of the right to counsel</w:t>
      </w:r>
    </w:p>
    <w:p w14:paraId="634E7982" w14:textId="362338EA" w:rsidR="00D93A6C" w:rsidRPr="008941C1" w:rsidRDefault="008941C1" w:rsidP="00C65766">
      <w:pPr>
        <w:pStyle w:val="Paragraphe"/>
        <w:spacing w:line="280" w:lineRule="exact"/>
        <w:rPr>
          <w:lang w:val="en-US"/>
        </w:rPr>
      </w:pPr>
      <w:r w:rsidRPr="008941C1">
        <w:rPr>
          <w:lang w:val="en-US"/>
        </w:rPr>
        <w:t>I will re</w:t>
      </w:r>
      <w:r>
        <w:rPr>
          <w:lang w:val="en-US"/>
        </w:rPr>
        <w:t>iterate the rule that was more fully described in</w:t>
      </w:r>
      <w:r w:rsidR="003D0FA0">
        <w:rPr>
          <w:lang w:val="en-US"/>
        </w:rPr>
        <w:t xml:space="preserve"> </w:t>
      </w:r>
      <w:r w:rsidR="001D4908" w:rsidRPr="008941C1">
        <w:rPr>
          <w:i/>
          <w:lang w:val="en-US"/>
        </w:rPr>
        <w:t>Tremblay</w:t>
      </w:r>
      <w:r w:rsidR="001D4908" w:rsidRPr="008941C1">
        <w:rPr>
          <w:lang w:val="en-US"/>
        </w:rPr>
        <w:t xml:space="preserve">, </w:t>
      </w:r>
      <w:r w:rsidR="00E622D8">
        <w:rPr>
          <w:lang w:val="en-US"/>
        </w:rPr>
        <w:t xml:space="preserve">a judgment </w:t>
      </w:r>
      <w:r w:rsidR="003D0FA0">
        <w:rPr>
          <w:lang w:val="en-US"/>
        </w:rPr>
        <w:t>to which the Court must refer</w:t>
      </w:r>
      <w:r>
        <w:rPr>
          <w:lang w:val="en-US"/>
        </w:rPr>
        <w:t>: police officers are not obliged to let detained persons call their lawyer</w:t>
      </w:r>
      <w:r w:rsidR="008F01B5">
        <w:rPr>
          <w:lang w:val="en-US"/>
        </w:rPr>
        <w:t>,</w:t>
      </w:r>
      <w:r>
        <w:rPr>
          <w:lang w:val="en-US"/>
        </w:rPr>
        <w:t xml:space="preserve"> </w:t>
      </w:r>
      <w:r w:rsidR="00BD33BF">
        <w:rPr>
          <w:lang w:val="en-US"/>
        </w:rPr>
        <w:t>at the scene</w:t>
      </w:r>
      <w:r w:rsidR="008F01B5">
        <w:rPr>
          <w:lang w:val="en-US"/>
        </w:rPr>
        <w:t>,</w:t>
      </w:r>
      <w:r>
        <w:rPr>
          <w:lang w:val="en-US"/>
        </w:rPr>
        <w:t xml:space="preserve"> with </w:t>
      </w:r>
      <w:r w:rsidR="003D0FA0">
        <w:rPr>
          <w:lang w:val="en-US"/>
        </w:rPr>
        <w:t>a</w:t>
      </w:r>
      <w:r>
        <w:rPr>
          <w:lang w:val="en-US"/>
        </w:rPr>
        <w:t xml:space="preserve"> cell phone. They must, nevertheless, take that possibility into account in determining when the first reasonable opportunity to allow the detained person to have access to counsel</w:t>
      </w:r>
      <w:r w:rsidR="00755F29">
        <w:rPr>
          <w:lang w:val="en-US"/>
        </w:rPr>
        <w:t xml:space="preserve"> occur</w:t>
      </w:r>
      <w:r w:rsidR="00BD33BF">
        <w:rPr>
          <w:lang w:val="en-US"/>
        </w:rPr>
        <w:t>s</w:t>
      </w:r>
      <w:r>
        <w:rPr>
          <w:lang w:val="en-US"/>
        </w:rPr>
        <w:t>. The</w:t>
      </w:r>
      <w:r w:rsidR="000D7F0A">
        <w:rPr>
          <w:lang w:val="en-US"/>
        </w:rPr>
        <w:t>ir</w:t>
      </w:r>
      <w:r>
        <w:rPr>
          <w:lang w:val="en-US"/>
        </w:rPr>
        <w:t xml:space="preserve"> duty is to consider </w:t>
      </w:r>
      <w:r w:rsidR="003D0FA0">
        <w:rPr>
          <w:lang w:val="en-US"/>
        </w:rPr>
        <w:t>the overall</w:t>
      </w:r>
      <w:r>
        <w:rPr>
          <w:lang w:val="en-US"/>
        </w:rPr>
        <w:t xml:space="preserve"> circumstances when making their decision, and purely theoretical reasons unconnected to the case will not suffice. That is clearly what the Court</w:t>
      </w:r>
      <w:r w:rsidR="003D0FA0">
        <w:rPr>
          <w:lang w:val="en-US"/>
        </w:rPr>
        <w:t xml:space="preserve"> of Qu</w:t>
      </w:r>
      <w:r w:rsidR="00742B79">
        <w:rPr>
          <w:lang w:val="en-US"/>
        </w:rPr>
        <w:t>é</w:t>
      </w:r>
      <w:r w:rsidR="003D0FA0">
        <w:rPr>
          <w:lang w:val="en-US"/>
        </w:rPr>
        <w:t>bec</w:t>
      </w:r>
      <w:r>
        <w:rPr>
          <w:lang w:val="en-US"/>
        </w:rPr>
        <w:t xml:space="preserve"> judge concluded.</w:t>
      </w:r>
      <w:r w:rsidR="001D4908" w:rsidRPr="008941C1">
        <w:rPr>
          <w:lang w:val="en-US"/>
        </w:rPr>
        <w:t xml:space="preserve"> </w:t>
      </w:r>
    </w:p>
    <w:p w14:paraId="54986976" w14:textId="77777777" w:rsidR="00D93A6C" w:rsidRDefault="00274B76" w:rsidP="00C65766">
      <w:pPr>
        <w:pStyle w:val="Paragraphe"/>
        <w:spacing w:line="280" w:lineRule="exact"/>
        <w:rPr>
          <w:lang w:val="en-US"/>
        </w:rPr>
      </w:pPr>
      <w:r>
        <w:rPr>
          <w:lang w:val="en-US"/>
        </w:rPr>
        <w:lastRenderedPageBreak/>
        <w:t>In</w:t>
      </w:r>
      <w:r w:rsidR="001D4908" w:rsidRPr="008941C1">
        <w:rPr>
          <w:lang w:val="en-US"/>
        </w:rPr>
        <w:t xml:space="preserve"> </w:t>
      </w:r>
      <w:r w:rsidR="001D4908" w:rsidRPr="008941C1">
        <w:rPr>
          <w:i/>
          <w:lang w:val="en-US"/>
        </w:rPr>
        <w:t>Tremblay</w:t>
      </w:r>
      <w:r>
        <w:rPr>
          <w:lang w:val="en-US"/>
        </w:rPr>
        <w:t xml:space="preserve"> I summed up the </w:t>
      </w:r>
      <w:r w:rsidR="001D4908" w:rsidRPr="008941C1">
        <w:rPr>
          <w:lang w:val="en-US"/>
        </w:rPr>
        <w:t>situation </w:t>
      </w:r>
      <w:r>
        <w:rPr>
          <w:lang w:val="en-US"/>
        </w:rPr>
        <w:t>as follows</w:t>
      </w:r>
      <w:r w:rsidR="001D4908" w:rsidRPr="008941C1">
        <w:rPr>
          <w:lang w:val="en-US"/>
        </w:rPr>
        <w:t>:</w:t>
      </w:r>
    </w:p>
    <w:p w14:paraId="7612A9A8" w14:textId="520AFD07" w:rsidR="00274B76" w:rsidRPr="008941C1" w:rsidRDefault="00274B76" w:rsidP="00274B76">
      <w:pPr>
        <w:pStyle w:val="Paragraphe"/>
        <w:numPr>
          <w:ilvl w:val="0"/>
          <w:numId w:val="0"/>
        </w:numPr>
        <w:spacing w:line="280" w:lineRule="exact"/>
        <w:rPr>
          <w:lang w:val="en-US"/>
        </w:rPr>
      </w:pPr>
      <w:r>
        <w:rPr>
          <w:lang w:val="en-US"/>
        </w:rPr>
        <w:tab/>
      </w:r>
      <w:r w:rsidRPr="00274B76">
        <w:rPr>
          <w:sz w:val="22"/>
          <w:lang w:val="en-US"/>
        </w:rPr>
        <w:t>[</w:t>
      </w:r>
      <w:r w:rsidRPr="00274B76">
        <w:rPr>
          <w:smallCaps/>
          <w:sz w:val="22"/>
          <w:lang w:val="en-US"/>
        </w:rPr>
        <w:t>translation</w:t>
      </w:r>
      <w:r w:rsidRPr="00274B76">
        <w:rPr>
          <w:sz w:val="22"/>
          <w:lang w:val="en-US"/>
        </w:rPr>
        <w:t>]</w:t>
      </w:r>
    </w:p>
    <w:p w14:paraId="45039169" w14:textId="0D6C0C6B" w:rsidR="00274B76" w:rsidRPr="00274B76" w:rsidRDefault="00EB3859" w:rsidP="00EB3859">
      <w:pPr>
        <w:pStyle w:val="Paragraphe"/>
        <w:numPr>
          <w:ilvl w:val="0"/>
          <w:numId w:val="0"/>
        </w:numPr>
        <w:spacing w:line="280" w:lineRule="exact"/>
        <w:ind w:left="720" w:right="715"/>
        <w:rPr>
          <w:sz w:val="22"/>
          <w:lang w:val="en-CA"/>
        </w:rPr>
      </w:pPr>
      <w:r w:rsidRPr="00EB3859">
        <w:rPr>
          <w:sz w:val="22"/>
          <w:lang w:val="en-US"/>
        </w:rPr>
        <w:t>[78]</w:t>
      </w:r>
      <w:r>
        <w:rPr>
          <w:lang w:val="en-US"/>
        </w:rPr>
        <w:tab/>
      </w:r>
      <w:r w:rsidR="00274B76" w:rsidRPr="00274B76">
        <w:rPr>
          <w:sz w:val="22"/>
          <w:lang w:val="en-CA"/>
        </w:rPr>
        <w:t xml:space="preserve">I stress the following point: the issue here is not that the respondent was not permitted to use her cell phone to call her lawyer. The problem is that the two police officers did not even consider this possibility, although it was their responsibility to do so. And why did they not consider this possibility? Due to the lack of a directive allowing them to do so. This is where the responsibility of the system comes into play, which leads to systemic conduct, one that is obviously likely to be repeated and aggravates the situation. All this comes twenty years after the judgments in </w:t>
      </w:r>
      <w:r w:rsidR="00274B76" w:rsidRPr="00274B76">
        <w:rPr>
          <w:i/>
          <w:iCs/>
          <w:sz w:val="22"/>
          <w:lang w:val="en-CA"/>
        </w:rPr>
        <w:t xml:space="preserve">Clarkson </w:t>
      </w:r>
      <w:r w:rsidR="00274B76" w:rsidRPr="00274B76">
        <w:rPr>
          <w:sz w:val="22"/>
          <w:lang w:val="en-CA"/>
        </w:rPr>
        <w:t>and</w:t>
      </w:r>
      <w:r w:rsidR="00274B76" w:rsidRPr="00274B76">
        <w:rPr>
          <w:i/>
          <w:iCs/>
          <w:sz w:val="22"/>
          <w:lang w:val="en-CA"/>
        </w:rPr>
        <w:t xml:space="preserve"> </w:t>
      </w:r>
      <w:proofErr w:type="spellStart"/>
      <w:r w:rsidR="00274B76" w:rsidRPr="00274B76">
        <w:rPr>
          <w:i/>
          <w:iCs/>
          <w:sz w:val="22"/>
          <w:lang w:val="en-CA"/>
        </w:rPr>
        <w:t>Manninen</w:t>
      </w:r>
      <w:proofErr w:type="spellEnd"/>
      <w:r w:rsidR="00274B76" w:rsidRPr="00274B76">
        <w:rPr>
          <w:sz w:val="22"/>
          <w:lang w:val="en-CA"/>
        </w:rPr>
        <w:t xml:space="preserve">, five years after </w:t>
      </w:r>
      <w:proofErr w:type="spellStart"/>
      <w:r w:rsidR="00274B76" w:rsidRPr="00274B76">
        <w:rPr>
          <w:i/>
          <w:iCs/>
          <w:sz w:val="22"/>
          <w:lang w:val="en-CA"/>
        </w:rPr>
        <w:t>Archambault</w:t>
      </w:r>
      <w:proofErr w:type="spellEnd"/>
      <w:r w:rsidR="00274B76" w:rsidRPr="00274B76">
        <w:rPr>
          <w:sz w:val="22"/>
          <w:lang w:val="en-CA"/>
        </w:rPr>
        <w:t xml:space="preserve">, which requires exceptional circumstances to delay access to counsel, five years after the first in a series of judgments of the Court of Québec that reproached the police for not having let the detainee use his or her cell phone, and three years after </w:t>
      </w:r>
      <w:r w:rsidR="00274B76" w:rsidRPr="00274B76">
        <w:rPr>
          <w:i/>
          <w:iCs/>
          <w:sz w:val="22"/>
          <w:lang w:val="en-CA"/>
        </w:rPr>
        <w:t>Taylor</w:t>
      </w:r>
      <w:r w:rsidR="00274B76" w:rsidRPr="00274B76">
        <w:rPr>
          <w:sz w:val="22"/>
          <w:lang w:val="en-CA"/>
        </w:rPr>
        <w:t>, which reiterated that the duty to facilitate access to counsel arises immediately after the detainee has asked to speak with counsel, which means at the first reasonably available opportunity. In other words, the police officers did not fulfil their duty—one that is well known—not by complying with a directive, but by refusing to do so because of the absence of a directive. This situation cannot be tolerated.</w:t>
      </w:r>
    </w:p>
    <w:p w14:paraId="34EE3AE4" w14:textId="28AB313E" w:rsidR="00D93A6C" w:rsidRPr="008941C1" w:rsidRDefault="00EB3859" w:rsidP="00C65766">
      <w:pPr>
        <w:pStyle w:val="Paragraphe"/>
        <w:spacing w:line="280" w:lineRule="exact"/>
        <w:rPr>
          <w:lang w:val="en-US"/>
        </w:rPr>
      </w:pPr>
      <w:r>
        <w:rPr>
          <w:lang w:val="en-US"/>
        </w:rPr>
        <w:t xml:space="preserve">Those words apply, with </w:t>
      </w:r>
      <w:r w:rsidR="002C5C1E">
        <w:rPr>
          <w:lang w:val="en-US"/>
        </w:rPr>
        <w:t xml:space="preserve">circumstantial </w:t>
      </w:r>
      <w:r>
        <w:rPr>
          <w:lang w:val="en-US"/>
        </w:rPr>
        <w:t xml:space="preserve">adjustments as to the years, except that here we are not talking about the absence of a </w:t>
      </w:r>
      <w:r w:rsidR="001D4908" w:rsidRPr="008941C1">
        <w:rPr>
          <w:lang w:val="en-US"/>
        </w:rPr>
        <w:t xml:space="preserve">directive, </w:t>
      </w:r>
      <w:r>
        <w:rPr>
          <w:lang w:val="en-US"/>
        </w:rPr>
        <w:t xml:space="preserve">but rather, according to the officer, about a </w:t>
      </w:r>
      <w:r w:rsidR="001D4908" w:rsidRPr="008941C1">
        <w:rPr>
          <w:lang w:val="en-US"/>
        </w:rPr>
        <w:t xml:space="preserve">directive </w:t>
      </w:r>
      <w:r>
        <w:rPr>
          <w:lang w:val="en-US"/>
        </w:rPr>
        <w:t>to the effect that the phone call must be made at the police station.</w:t>
      </w:r>
      <w:r w:rsidR="001D4908" w:rsidRPr="008941C1">
        <w:rPr>
          <w:lang w:val="en-US"/>
        </w:rPr>
        <w:t xml:space="preserve"> </w:t>
      </w:r>
      <w:r w:rsidR="003A635C">
        <w:rPr>
          <w:lang w:val="en-US"/>
        </w:rPr>
        <w:t>This</w:t>
      </w:r>
      <w:r>
        <w:rPr>
          <w:lang w:val="en-US"/>
        </w:rPr>
        <w:t xml:space="preserve"> shows that there is systemic </w:t>
      </w:r>
      <w:r w:rsidR="003A635C">
        <w:rPr>
          <w:lang w:val="en-US"/>
        </w:rPr>
        <w:t xml:space="preserve">conduct </w:t>
      </w:r>
      <w:r w:rsidR="00C70FDA">
        <w:rPr>
          <w:lang w:val="en-US"/>
        </w:rPr>
        <w:t xml:space="preserve">that consists in </w:t>
      </w:r>
      <w:r w:rsidR="003A635C">
        <w:rPr>
          <w:lang w:val="en-US"/>
        </w:rPr>
        <w:t xml:space="preserve">failing to take </w:t>
      </w:r>
      <w:r>
        <w:rPr>
          <w:lang w:val="en-US"/>
        </w:rPr>
        <w:t xml:space="preserve">the </w:t>
      </w:r>
      <w:r w:rsidR="003A635C">
        <w:rPr>
          <w:lang w:val="en-US"/>
        </w:rPr>
        <w:t xml:space="preserve">overall </w:t>
      </w:r>
      <w:r>
        <w:rPr>
          <w:lang w:val="en-US"/>
        </w:rPr>
        <w:t xml:space="preserve">circumstances into account, contrary to the officers’ obligations and contrary to </w:t>
      </w:r>
      <w:r w:rsidR="00BB5361">
        <w:rPr>
          <w:i/>
          <w:lang w:val="en-US"/>
        </w:rPr>
        <w:t>R. v</w:t>
      </w:r>
      <w:r w:rsidR="001D4908" w:rsidRPr="008941C1">
        <w:rPr>
          <w:i/>
          <w:lang w:val="en-US"/>
        </w:rPr>
        <w:t>.</w:t>
      </w:r>
      <w:r w:rsidR="001D4908" w:rsidRPr="008941C1">
        <w:rPr>
          <w:lang w:val="en-US"/>
        </w:rPr>
        <w:t xml:space="preserve"> </w:t>
      </w:r>
      <w:r w:rsidR="001D4908" w:rsidRPr="008941C1">
        <w:rPr>
          <w:i/>
          <w:lang w:val="en-US"/>
        </w:rPr>
        <w:t>Taylor</w:t>
      </w:r>
      <w:r w:rsidR="001D4908" w:rsidRPr="008941C1">
        <w:rPr>
          <w:lang w:val="en-US"/>
        </w:rPr>
        <w:t xml:space="preserve">, </w:t>
      </w:r>
      <w:r w:rsidRPr="00EB3859">
        <w:rPr>
          <w:i/>
          <w:lang w:val="en-US"/>
        </w:rPr>
        <w:t>supra</w:t>
      </w:r>
      <w:r w:rsidR="00C70FDA">
        <w:rPr>
          <w:lang w:val="en-US"/>
        </w:rPr>
        <w:t>,</w:t>
      </w:r>
      <w:r w:rsidR="00D77395">
        <w:rPr>
          <w:lang w:val="en-US"/>
        </w:rPr>
        <w:t xml:space="preserve"> </w:t>
      </w:r>
      <w:r>
        <w:rPr>
          <w:lang w:val="en-US"/>
        </w:rPr>
        <w:t xml:space="preserve">paras. 31 to 33. </w:t>
      </w:r>
      <w:r w:rsidR="00D77395">
        <w:rPr>
          <w:lang w:val="en-US"/>
        </w:rPr>
        <w:t xml:space="preserve">Significant or exceptional circumstances are required to delay access to counsel: </w:t>
      </w:r>
      <w:r w:rsidR="001D4908" w:rsidRPr="008941C1">
        <w:rPr>
          <w:i/>
          <w:lang w:val="en-US"/>
        </w:rPr>
        <w:t>R. c.</w:t>
      </w:r>
      <w:r w:rsidR="001D4908" w:rsidRPr="008941C1">
        <w:rPr>
          <w:lang w:val="en-US"/>
        </w:rPr>
        <w:t xml:space="preserve"> </w:t>
      </w:r>
      <w:proofErr w:type="spellStart"/>
      <w:r w:rsidR="001D4908" w:rsidRPr="008941C1">
        <w:rPr>
          <w:i/>
          <w:lang w:val="en-US"/>
        </w:rPr>
        <w:t>Archambault</w:t>
      </w:r>
      <w:proofErr w:type="spellEnd"/>
      <w:r w:rsidR="001D4908" w:rsidRPr="008941C1">
        <w:rPr>
          <w:lang w:val="en-US"/>
        </w:rPr>
        <w:t xml:space="preserve">, </w:t>
      </w:r>
      <w:r w:rsidRPr="00EB3859">
        <w:rPr>
          <w:i/>
          <w:lang w:val="en-US"/>
        </w:rPr>
        <w:t>supra</w:t>
      </w:r>
      <w:r w:rsidR="00577F77">
        <w:rPr>
          <w:lang w:val="en-US"/>
        </w:rPr>
        <w:t>,</w:t>
      </w:r>
      <w:r w:rsidR="00D77395">
        <w:rPr>
          <w:lang w:val="en-US"/>
        </w:rPr>
        <w:t xml:space="preserve"> </w:t>
      </w:r>
      <w:r>
        <w:rPr>
          <w:lang w:val="en-US"/>
        </w:rPr>
        <w:t>para. 36, and</w:t>
      </w:r>
      <w:r w:rsidR="001D4908" w:rsidRPr="008941C1">
        <w:rPr>
          <w:lang w:val="en-US"/>
        </w:rPr>
        <w:t xml:space="preserve"> </w:t>
      </w:r>
      <w:r w:rsidR="001D4908" w:rsidRPr="008941C1">
        <w:rPr>
          <w:i/>
          <w:lang w:val="en-US"/>
        </w:rPr>
        <w:t>R. v. La</w:t>
      </w:r>
      <w:r>
        <w:rPr>
          <w:lang w:val="en-US"/>
        </w:rPr>
        <w:t>, 2018 ONCA 830</w:t>
      </w:r>
      <w:r w:rsidR="00577F77">
        <w:rPr>
          <w:lang w:val="en-US"/>
        </w:rPr>
        <w:t>,</w:t>
      </w:r>
      <w:r w:rsidR="00D77395">
        <w:rPr>
          <w:lang w:val="en-US"/>
        </w:rPr>
        <w:t xml:space="preserve"> </w:t>
      </w:r>
      <w:r>
        <w:rPr>
          <w:lang w:val="en-US"/>
        </w:rPr>
        <w:t>para</w:t>
      </w:r>
      <w:r w:rsidR="001D4908" w:rsidRPr="008941C1">
        <w:rPr>
          <w:lang w:val="en-US"/>
        </w:rPr>
        <w:t xml:space="preserve">. 39. </w:t>
      </w:r>
      <w:r>
        <w:rPr>
          <w:lang w:val="en-US"/>
        </w:rPr>
        <w:t>Moreover, it is the prosecution</w:t>
      </w:r>
      <w:r w:rsidR="00EC66D0">
        <w:rPr>
          <w:lang w:val="en-US"/>
        </w:rPr>
        <w:t>,</w:t>
      </w:r>
      <w:r>
        <w:rPr>
          <w:lang w:val="en-US"/>
        </w:rPr>
        <w:t xml:space="preserve"> and not the accused</w:t>
      </w:r>
      <w:r w:rsidR="00EC66D0">
        <w:rPr>
          <w:lang w:val="en-US"/>
        </w:rPr>
        <w:t>,</w:t>
      </w:r>
      <w:r>
        <w:rPr>
          <w:lang w:val="en-US"/>
        </w:rPr>
        <w:t xml:space="preserve"> that has the burden of demonstrating that the delay was reasonable. Reasonableness is a question of fact: </w:t>
      </w:r>
      <w:r w:rsidR="001D4908" w:rsidRPr="008941C1">
        <w:rPr>
          <w:i/>
          <w:lang w:val="en-US"/>
        </w:rPr>
        <w:t>Taylor</w:t>
      </w:r>
      <w:r w:rsidR="00577F77">
        <w:rPr>
          <w:lang w:val="en-US"/>
        </w:rPr>
        <w:t>,</w:t>
      </w:r>
      <w:r w:rsidR="00D77395">
        <w:rPr>
          <w:lang w:val="en-US"/>
        </w:rPr>
        <w:t xml:space="preserve"> </w:t>
      </w:r>
      <w:r>
        <w:rPr>
          <w:lang w:val="en-US"/>
        </w:rPr>
        <w:t>para</w:t>
      </w:r>
      <w:r w:rsidR="001D4908" w:rsidRPr="008941C1">
        <w:rPr>
          <w:lang w:val="en-US"/>
        </w:rPr>
        <w:t>. 24.</w:t>
      </w:r>
    </w:p>
    <w:p w14:paraId="32561D30" w14:textId="17A7C16A" w:rsidR="00D93A6C" w:rsidRPr="008941C1" w:rsidRDefault="00FF1F7B" w:rsidP="00C65766">
      <w:pPr>
        <w:pStyle w:val="Paragraphe"/>
        <w:spacing w:line="280" w:lineRule="exact"/>
        <w:rPr>
          <w:lang w:val="en-US"/>
        </w:rPr>
      </w:pPr>
      <w:r>
        <w:rPr>
          <w:lang w:val="en-US"/>
        </w:rPr>
        <w:t>The prosecution’s burden</w:t>
      </w:r>
      <w:r w:rsidR="00880101">
        <w:rPr>
          <w:lang w:val="en-US"/>
        </w:rPr>
        <w:t xml:space="preserve"> requires a demonstration of fact</w:t>
      </w:r>
      <w:r w:rsidR="00A81E46">
        <w:rPr>
          <w:lang w:val="en-US"/>
        </w:rPr>
        <w:t>—</w:t>
      </w:r>
      <w:r>
        <w:rPr>
          <w:lang w:val="en-US"/>
        </w:rPr>
        <w:t>on a case-by-case basis</w:t>
      </w:r>
      <w:r w:rsidR="00A81E46">
        <w:rPr>
          <w:lang w:val="en-US"/>
        </w:rPr>
        <w:t>—</w:t>
      </w:r>
      <w:r w:rsidR="00880101">
        <w:rPr>
          <w:lang w:val="en-US"/>
        </w:rPr>
        <w:t xml:space="preserve">as the respondent </w:t>
      </w:r>
      <w:r>
        <w:rPr>
          <w:lang w:val="en-US"/>
        </w:rPr>
        <w:t>concedes</w:t>
      </w:r>
      <w:r w:rsidR="00880101">
        <w:rPr>
          <w:lang w:val="en-US"/>
        </w:rPr>
        <w:t xml:space="preserve">, not hypotheses or an unwavering rule in the nature of a </w:t>
      </w:r>
      <w:r w:rsidR="001D4908" w:rsidRPr="008941C1">
        <w:rPr>
          <w:lang w:val="en-US"/>
        </w:rPr>
        <w:t>directive.</w:t>
      </w:r>
    </w:p>
    <w:p w14:paraId="2CAA848B" w14:textId="11164F3E" w:rsidR="00D93A6C" w:rsidRPr="008941C1" w:rsidRDefault="00880101" w:rsidP="00C65766">
      <w:pPr>
        <w:pStyle w:val="Paragraphe"/>
        <w:spacing w:line="280" w:lineRule="exact"/>
        <w:rPr>
          <w:lang w:val="en-US"/>
        </w:rPr>
      </w:pPr>
      <w:r>
        <w:rPr>
          <w:lang w:val="en-US"/>
        </w:rPr>
        <w:t>The Court of Qu</w:t>
      </w:r>
      <w:r w:rsidR="00E54A72">
        <w:rPr>
          <w:lang w:val="en-US"/>
        </w:rPr>
        <w:t>é</w:t>
      </w:r>
      <w:r>
        <w:rPr>
          <w:lang w:val="en-US"/>
        </w:rPr>
        <w:t>bec judge concluded</w:t>
      </w:r>
      <w:r w:rsidR="003A3772">
        <w:rPr>
          <w:lang w:val="en-US"/>
        </w:rPr>
        <w:t xml:space="preserve"> that,</w:t>
      </w:r>
      <w:r>
        <w:rPr>
          <w:lang w:val="en-US"/>
        </w:rPr>
        <w:t xml:space="preserve"> in the circumstances</w:t>
      </w:r>
      <w:r w:rsidR="003A3772">
        <w:rPr>
          <w:lang w:val="en-US"/>
        </w:rPr>
        <w:t>,</w:t>
      </w:r>
      <w:r>
        <w:rPr>
          <w:lang w:val="en-US"/>
        </w:rPr>
        <w:t xml:space="preserve"> the first reasonable opportunity occurred </w:t>
      </w:r>
      <w:r w:rsidR="00E54A72">
        <w:rPr>
          <w:lang w:val="en-US"/>
        </w:rPr>
        <w:t xml:space="preserve">at </w:t>
      </w:r>
      <w:r>
        <w:rPr>
          <w:lang w:val="en-US"/>
        </w:rPr>
        <w:t xml:space="preserve">the </w:t>
      </w:r>
      <w:r w:rsidR="003A3772">
        <w:rPr>
          <w:lang w:val="en-US"/>
        </w:rPr>
        <w:t xml:space="preserve">scene of the accused’s </w:t>
      </w:r>
      <w:r w:rsidR="00216382">
        <w:rPr>
          <w:lang w:val="en-US"/>
        </w:rPr>
        <w:t>interception</w:t>
      </w:r>
      <w:r>
        <w:rPr>
          <w:lang w:val="en-US"/>
        </w:rPr>
        <w:t xml:space="preserve">, after the arrest </w:t>
      </w:r>
      <w:r w:rsidR="003A3772">
        <w:rPr>
          <w:lang w:val="en-US"/>
        </w:rPr>
        <w:t xml:space="preserve">resulting from </w:t>
      </w:r>
      <w:r>
        <w:rPr>
          <w:lang w:val="en-US"/>
        </w:rPr>
        <w:t>the ASD test result. We know it took an</w:t>
      </w:r>
      <w:r w:rsidR="00C64F7E">
        <w:rPr>
          <w:lang w:val="en-US"/>
        </w:rPr>
        <w:t>other</w:t>
      </w:r>
      <w:r>
        <w:rPr>
          <w:lang w:val="en-US"/>
        </w:rPr>
        <w:t xml:space="preserve"> hour and 17</w:t>
      </w:r>
      <w:r w:rsidR="00C64F7E">
        <w:rPr>
          <w:lang w:val="en-US"/>
        </w:rPr>
        <w:t xml:space="preserve"> minutes </w:t>
      </w:r>
      <w:r>
        <w:rPr>
          <w:lang w:val="en-US"/>
        </w:rPr>
        <w:t>until the appellant w</w:t>
      </w:r>
      <w:r w:rsidR="00755F29">
        <w:rPr>
          <w:lang w:val="en-US"/>
        </w:rPr>
        <w:t xml:space="preserve">as finally allowed to access </w:t>
      </w:r>
      <w:r>
        <w:rPr>
          <w:lang w:val="en-US"/>
        </w:rPr>
        <w:t xml:space="preserve">a lawyer at the police station. </w:t>
      </w:r>
      <w:r w:rsidR="006C617A">
        <w:rPr>
          <w:lang w:val="en-US"/>
        </w:rPr>
        <w:t xml:space="preserve">That was therefore not the first reasonable opportunity, since the judge set aside the officers’ explanations </w:t>
      </w:r>
      <w:r w:rsidR="003A3772">
        <w:rPr>
          <w:lang w:val="en-US"/>
        </w:rPr>
        <w:t xml:space="preserve">as to </w:t>
      </w:r>
      <w:r w:rsidR="006C617A">
        <w:rPr>
          <w:lang w:val="en-US"/>
        </w:rPr>
        <w:t xml:space="preserve">why they waited until they got to the station.  </w:t>
      </w:r>
    </w:p>
    <w:p w14:paraId="24AB94A0" w14:textId="035B8956" w:rsidR="00D93A6C" w:rsidRPr="008941C1" w:rsidRDefault="003A3772" w:rsidP="00C65766">
      <w:pPr>
        <w:pStyle w:val="Paragraphe"/>
        <w:spacing w:line="280" w:lineRule="exact"/>
        <w:rPr>
          <w:lang w:val="en-US"/>
        </w:rPr>
      </w:pPr>
      <w:r>
        <w:rPr>
          <w:lang w:val="en-US"/>
        </w:rPr>
        <w:lastRenderedPageBreak/>
        <w:t xml:space="preserve">It bears repeating that </w:t>
      </w:r>
      <w:r w:rsidR="00845B2B">
        <w:rPr>
          <w:lang w:val="en-US"/>
        </w:rPr>
        <w:t xml:space="preserve">I </w:t>
      </w:r>
      <w:r>
        <w:rPr>
          <w:lang w:val="en-US"/>
        </w:rPr>
        <w:t xml:space="preserve">acknowledge </w:t>
      </w:r>
      <w:r w:rsidR="006C617A">
        <w:rPr>
          <w:lang w:val="en-US"/>
        </w:rPr>
        <w:t xml:space="preserve">that the presence of a cell phone is not in and of itself a circumstance that obliges police officers to permit its use. This technology does not always provide the answer to when the “first reasonable opportunity” arises. </w:t>
      </w:r>
      <w:r w:rsidR="003859AB">
        <w:rPr>
          <w:lang w:val="en-US"/>
        </w:rPr>
        <w:t>Nevertheless,</w:t>
      </w:r>
      <w:r w:rsidR="006C617A">
        <w:rPr>
          <w:lang w:val="en-US"/>
        </w:rPr>
        <w:t xml:space="preserve"> it is a circumstance to be considered when answering that </w:t>
      </w:r>
      <w:r w:rsidR="001D4908" w:rsidRPr="008941C1">
        <w:rPr>
          <w:lang w:val="en-US"/>
        </w:rPr>
        <w:t>question.</w:t>
      </w:r>
    </w:p>
    <w:p w14:paraId="65718694" w14:textId="2DB5B3C7" w:rsidR="00D93A6C" w:rsidRPr="008941C1" w:rsidRDefault="006C617A" w:rsidP="00C65766">
      <w:pPr>
        <w:pStyle w:val="Paragraphe"/>
        <w:spacing w:line="280" w:lineRule="exact"/>
        <w:rPr>
          <w:lang w:val="en-US"/>
        </w:rPr>
      </w:pPr>
      <w:r>
        <w:rPr>
          <w:lang w:val="en-US"/>
        </w:rPr>
        <w:t xml:space="preserve">With regard to the ruling in </w:t>
      </w:r>
      <w:r w:rsidR="001D4908" w:rsidRPr="008941C1">
        <w:rPr>
          <w:i/>
          <w:lang w:val="en-US"/>
        </w:rPr>
        <w:t>R. c. Piazza</w:t>
      </w:r>
      <w:r w:rsidR="001D4908" w:rsidRPr="008941C1">
        <w:rPr>
          <w:lang w:val="en-US"/>
        </w:rPr>
        <w:t xml:space="preserve">, </w:t>
      </w:r>
      <w:r w:rsidRPr="006C617A">
        <w:rPr>
          <w:i/>
          <w:lang w:val="en-US"/>
        </w:rPr>
        <w:t>supra</w:t>
      </w:r>
      <w:r w:rsidR="001D4908" w:rsidRPr="008941C1">
        <w:rPr>
          <w:lang w:val="en-US"/>
        </w:rPr>
        <w:t xml:space="preserve">, </w:t>
      </w:r>
      <w:r>
        <w:rPr>
          <w:lang w:val="en-US"/>
        </w:rPr>
        <w:t>which</w:t>
      </w:r>
      <w:r w:rsidR="00755F29">
        <w:rPr>
          <w:lang w:val="en-US"/>
        </w:rPr>
        <w:t xml:space="preserve"> the Superior Court judge referred</w:t>
      </w:r>
      <w:r>
        <w:rPr>
          <w:lang w:val="en-US"/>
        </w:rPr>
        <w:t xml:space="preserve"> to and the respondent relies on, </w:t>
      </w:r>
      <w:r w:rsidR="003A3772">
        <w:rPr>
          <w:lang w:val="en-US"/>
        </w:rPr>
        <w:t>the following</w:t>
      </w:r>
      <w:r w:rsidR="00701184">
        <w:rPr>
          <w:lang w:val="en-US"/>
        </w:rPr>
        <w:t xml:space="preserve"> excerpt </w:t>
      </w:r>
      <w:r w:rsidR="003A3772">
        <w:rPr>
          <w:lang w:val="en-US"/>
        </w:rPr>
        <w:t>from</w:t>
      </w:r>
      <w:r>
        <w:rPr>
          <w:lang w:val="en-US"/>
        </w:rPr>
        <w:t xml:space="preserve"> </w:t>
      </w:r>
      <w:r w:rsidR="00701184">
        <w:rPr>
          <w:lang w:val="en-US"/>
        </w:rPr>
        <w:t xml:space="preserve">my reasons in </w:t>
      </w:r>
      <w:r w:rsidR="001D4908" w:rsidRPr="008941C1">
        <w:rPr>
          <w:i/>
          <w:lang w:val="en-US"/>
        </w:rPr>
        <w:t>Tremblay</w:t>
      </w:r>
      <w:r w:rsidR="001D4908" w:rsidRPr="008941C1">
        <w:rPr>
          <w:lang w:val="en-US"/>
        </w:rPr>
        <w:t xml:space="preserve"> </w:t>
      </w:r>
      <w:r>
        <w:rPr>
          <w:lang w:val="en-US"/>
        </w:rPr>
        <w:t>explain</w:t>
      </w:r>
      <w:r w:rsidR="003A3772">
        <w:rPr>
          <w:lang w:val="en-US"/>
        </w:rPr>
        <w:t>s</w:t>
      </w:r>
      <w:r>
        <w:rPr>
          <w:lang w:val="en-US"/>
        </w:rPr>
        <w:t xml:space="preserve"> why it </w:t>
      </w:r>
      <w:r w:rsidR="003A3772">
        <w:rPr>
          <w:lang w:val="en-US"/>
        </w:rPr>
        <w:t>can be of no use</w:t>
      </w:r>
      <w:r>
        <w:rPr>
          <w:lang w:val="en-US"/>
        </w:rPr>
        <w:t xml:space="preserve"> in these circumstances:  </w:t>
      </w:r>
    </w:p>
    <w:p w14:paraId="4F44CE68" w14:textId="03B66351" w:rsidR="006C617A" w:rsidRDefault="006C617A" w:rsidP="00C65766">
      <w:pPr>
        <w:pStyle w:val="Citationenretrait"/>
        <w:rPr>
          <w:lang w:val="en-US"/>
        </w:rPr>
      </w:pPr>
      <w:r w:rsidRPr="00274B76">
        <w:rPr>
          <w:lang w:val="en-US"/>
        </w:rPr>
        <w:t>[</w:t>
      </w:r>
      <w:r w:rsidRPr="00274B76">
        <w:rPr>
          <w:smallCaps/>
          <w:lang w:val="en-US"/>
        </w:rPr>
        <w:t>translation</w:t>
      </w:r>
      <w:r w:rsidRPr="00274B76">
        <w:rPr>
          <w:lang w:val="en-US"/>
        </w:rPr>
        <w:t>]</w:t>
      </w:r>
      <w:r w:rsidRPr="008941C1">
        <w:rPr>
          <w:lang w:val="en-US"/>
        </w:rPr>
        <w:t xml:space="preserve"> </w:t>
      </w:r>
    </w:p>
    <w:p w14:paraId="1DAF422D" w14:textId="6BF27136" w:rsidR="00D93A6C" w:rsidRPr="008941C1" w:rsidRDefault="001D4908" w:rsidP="00C65766">
      <w:pPr>
        <w:pStyle w:val="Citationenretrait"/>
        <w:rPr>
          <w:lang w:val="en-US"/>
        </w:rPr>
      </w:pPr>
      <w:r w:rsidRPr="008941C1">
        <w:rPr>
          <w:lang w:val="en-US"/>
        </w:rPr>
        <w:t>[57]</w:t>
      </w:r>
      <w:r w:rsidRPr="008941C1">
        <w:rPr>
          <w:lang w:val="en-US"/>
        </w:rPr>
        <w:tab/>
      </w:r>
      <w:r w:rsidR="006C617A">
        <w:rPr>
          <w:lang w:val="en-US"/>
        </w:rPr>
        <w:t xml:space="preserve">The appellant refers to </w:t>
      </w:r>
      <w:r w:rsidRPr="008941C1">
        <w:rPr>
          <w:i/>
          <w:lang w:val="en-US"/>
        </w:rPr>
        <w:t>R. c. Piazza</w:t>
      </w:r>
      <w:r w:rsidR="006C617A">
        <w:rPr>
          <w:lang w:val="en-US"/>
        </w:rPr>
        <w:t>, 2018 QCCA 948</w:t>
      </w:r>
      <w:r w:rsidR="00052927">
        <w:rPr>
          <w:lang w:val="en-US"/>
        </w:rPr>
        <w:t>,</w:t>
      </w:r>
      <w:r w:rsidR="006C617A">
        <w:rPr>
          <w:lang w:val="en-US"/>
        </w:rPr>
        <w:t xml:space="preserve"> </w:t>
      </w:r>
      <w:r w:rsidR="006C617A" w:rsidRPr="006C617A">
        <w:rPr>
          <w:lang w:val="en-CA"/>
        </w:rPr>
        <w:t>in support of its argument that it is difficult, if not impossible, to allow the use of a cell phone [</w:t>
      </w:r>
      <w:r w:rsidR="006C617A" w:rsidRPr="006C617A">
        <w:rPr>
          <w:smallCaps/>
          <w:lang w:val="en-CA"/>
        </w:rPr>
        <w:t>translation</w:t>
      </w:r>
      <w:r w:rsidR="006C617A" w:rsidRPr="006C617A">
        <w:rPr>
          <w:lang w:val="en-CA"/>
        </w:rPr>
        <w:t>] “at the side of the road”. This calls for two</w:t>
      </w:r>
      <w:r w:rsidR="006C617A">
        <w:rPr>
          <w:lang w:val="en-CA"/>
        </w:rPr>
        <w:t xml:space="preserve"> comments.</w:t>
      </w:r>
      <w:r w:rsidRPr="008941C1">
        <w:rPr>
          <w:lang w:val="en-US"/>
        </w:rPr>
        <w:t xml:space="preserve"> </w:t>
      </w:r>
      <w:r w:rsidR="006C617A">
        <w:rPr>
          <w:lang w:val="en-US"/>
        </w:rPr>
        <w:t xml:space="preserve"> </w:t>
      </w:r>
    </w:p>
    <w:p w14:paraId="678A7C61" w14:textId="2EBE9490" w:rsidR="00D93A6C" w:rsidRPr="008941C1" w:rsidRDefault="001D4908" w:rsidP="00C65766">
      <w:pPr>
        <w:pStyle w:val="Citationenretrait"/>
        <w:rPr>
          <w:lang w:val="en-US"/>
        </w:rPr>
      </w:pPr>
      <w:r w:rsidRPr="008941C1">
        <w:rPr>
          <w:lang w:val="en-US"/>
        </w:rPr>
        <w:t>[58]</w:t>
      </w:r>
      <w:r w:rsidRPr="008941C1">
        <w:rPr>
          <w:lang w:val="en-US"/>
        </w:rPr>
        <w:tab/>
      </w:r>
      <w:r w:rsidR="006C617A">
        <w:rPr>
          <w:lang w:val="en-US"/>
        </w:rPr>
        <w:t xml:space="preserve">First, that case deals with </w:t>
      </w:r>
      <w:r w:rsidR="007D2937" w:rsidRPr="007D2937">
        <w:rPr>
          <w:lang w:val="en-CA"/>
        </w:rPr>
        <w:t xml:space="preserve">the period preceding the use of the ASD, such that the right to counsel is suspended because of a rule of law (s. 254(2) </w:t>
      </w:r>
      <w:proofErr w:type="spellStart"/>
      <w:r w:rsidR="007D2937" w:rsidRPr="007D2937">
        <w:rPr>
          <w:i/>
          <w:iCs/>
          <w:lang w:val="en-CA"/>
        </w:rPr>
        <w:t>Cr.C</w:t>
      </w:r>
      <w:proofErr w:type="spellEnd"/>
      <w:r w:rsidR="007D2937" w:rsidRPr="007D2937">
        <w:rPr>
          <w:i/>
          <w:iCs/>
          <w:lang w:val="en-CA"/>
        </w:rPr>
        <w:t>.</w:t>
      </w:r>
      <w:r w:rsidR="007D2937" w:rsidRPr="007D2937">
        <w:rPr>
          <w:lang w:val="en-CA"/>
        </w:rPr>
        <w:t xml:space="preserve"> at the time) which states that the breath sample must be provided “forthwith”. Thus, s. 10(</w:t>
      </w:r>
      <w:r w:rsidR="007D2937" w:rsidRPr="007D2937">
        <w:rPr>
          <w:i/>
          <w:iCs/>
          <w:lang w:val="en-CA"/>
        </w:rPr>
        <w:t>b</w:t>
      </w:r>
      <w:r w:rsidR="007D2937" w:rsidRPr="007D2937">
        <w:rPr>
          <w:lang w:val="en-CA"/>
        </w:rPr>
        <w:t xml:space="preserve">) of the </w:t>
      </w:r>
      <w:r w:rsidR="007D2937" w:rsidRPr="007D2937">
        <w:rPr>
          <w:i/>
          <w:iCs/>
          <w:lang w:val="en-CA"/>
        </w:rPr>
        <w:t>Charter</w:t>
      </w:r>
      <w:r w:rsidR="007D2937" w:rsidRPr="007D2937">
        <w:rPr>
          <w:lang w:val="en-CA"/>
        </w:rPr>
        <w:t xml:space="preserve"> did not apply. As my colleague, </w:t>
      </w:r>
      <w:proofErr w:type="spellStart"/>
      <w:r w:rsidR="007D2937" w:rsidRPr="007D2937">
        <w:rPr>
          <w:lang w:val="en-CA"/>
        </w:rPr>
        <w:t>Vauclair</w:t>
      </w:r>
      <w:proofErr w:type="spellEnd"/>
      <w:r w:rsidR="007D2937" w:rsidRPr="007D2937">
        <w:rPr>
          <w:lang w:val="en-CA"/>
        </w:rPr>
        <w:t>, J.A. wrote, at para.</w:t>
      </w:r>
      <w:r w:rsidR="00B84F9D">
        <w:rPr>
          <w:lang w:val="en-CA"/>
        </w:rPr>
        <w:t> </w:t>
      </w:r>
      <w:r w:rsidR="007D2937" w:rsidRPr="007D2937">
        <w:rPr>
          <w:lang w:val="en-CA"/>
        </w:rPr>
        <w:t xml:space="preserve">112 of </w:t>
      </w:r>
      <w:r w:rsidR="007D2937" w:rsidRPr="007D2937">
        <w:rPr>
          <w:i/>
          <w:iCs/>
          <w:lang w:val="en-CA"/>
        </w:rPr>
        <w:t>Piazza</w:t>
      </w:r>
      <w:r w:rsidR="007D2937" w:rsidRPr="007D2937">
        <w:rPr>
          <w:lang w:val="en-CA"/>
        </w:rPr>
        <w:t>, regarding access to counsel: [</w:t>
      </w:r>
      <w:r w:rsidR="007D2937" w:rsidRPr="007D2937">
        <w:rPr>
          <w:smallCaps/>
          <w:lang w:val="en-CA"/>
        </w:rPr>
        <w:t>translation</w:t>
      </w:r>
      <w:r w:rsidR="007D2937" w:rsidRPr="007D2937">
        <w:rPr>
          <w:lang w:val="en-CA"/>
        </w:rPr>
        <w:t xml:space="preserve">] “I think it is a spurious problem, because the right is suspended...” in these circumstances. It cannot therefore be argued that this ruling can be of use to us here, when my colleague referred to the difficulties of using a cell phone at the time of an </w:t>
      </w:r>
      <w:r w:rsidR="007D2937">
        <w:rPr>
          <w:lang w:val="en-US"/>
        </w:rPr>
        <w:t>arrest</w:t>
      </w:r>
      <w:r w:rsidRPr="008941C1">
        <w:rPr>
          <w:lang w:val="en-US"/>
        </w:rPr>
        <w:t>.</w:t>
      </w:r>
    </w:p>
    <w:p w14:paraId="46D292BE" w14:textId="77777777" w:rsidR="00D93A6C" w:rsidRPr="008941C1" w:rsidRDefault="001D4908" w:rsidP="00C65766">
      <w:pPr>
        <w:pStyle w:val="Citationenretrait"/>
        <w:rPr>
          <w:lang w:val="en-US"/>
        </w:rPr>
      </w:pPr>
      <w:r w:rsidRPr="008941C1">
        <w:rPr>
          <w:lang w:val="en-US"/>
        </w:rPr>
        <w:t>[59]</w:t>
      </w:r>
      <w:r w:rsidRPr="008941C1">
        <w:rPr>
          <w:lang w:val="en-US"/>
        </w:rPr>
        <w:tab/>
      </w:r>
      <w:r w:rsidR="007D2937">
        <w:rPr>
          <w:lang w:val="en-US"/>
        </w:rPr>
        <w:t xml:space="preserve">Second, </w:t>
      </w:r>
      <w:r w:rsidR="007D2937" w:rsidRPr="007D2937">
        <w:rPr>
          <w:lang w:val="en-CA"/>
        </w:rPr>
        <w:t xml:space="preserve">while, at paras. 113 and 114, my colleague set out a series of difficulties that are likely to make the possibility of consulting counsel at the scene using a cell phone illusory, he did so in the context of the waiting period prior to the use of the ASD and in response to the suggestion that such consultation becomes necessary in order to authorize the use of the ASD. He did not rule on the period that follows the taking of a breath sample using the ASD, since this was not the situation being considered in </w:t>
      </w:r>
      <w:r w:rsidR="007D2937">
        <w:rPr>
          <w:lang w:val="en-CA"/>
        </w:rPr>
        <w:t>that judgment.</w:t>
      </w:r>
    </w:p>
    <w:p w14:paraId="17546662" w14:textId="373F7889" w:rsidR="00D93A6C" w:rsidRPr="008941C1" w:rsidRDefault="007D2937" w:rsidP="00C65766">
      <w:pPr>
        <w:pStyle w:val="Paragraphe"/>
        <w:spacing w:line="280" w:lineRule="exact"/>
        <w:rPr>
          <w:lang w:val="en-US"/>
        </w:rPr>
      </w:pPr>
      <w:r>
        <w:rPr>
          <w:lang w:val="en-US"/>
        </w:rPr>
        <w:t>The respondent concedes that</w:t>
      </w:r>
      <w:r w:rsidR="004F240D">
        <w:rPr>
          <w:lang w:val="en-US"/>
        </w:rPr>
        <w:t xml:space="preserve"> it is necessary to</w:t>
      </w:r>
      <w:r>
        <w:rPr>
          <w:lang w:val="en-US"/>
        </w:rPr>
        <w:t xml:space="preserve"> [</w:t>
      </w:r>
      <w:r w:rsidRPr="006A2634">
        <w:rPr>
          <w:smallCaps/>
          <w:lang w:val="en-US"/>
        </w:rPr>
        <w:t>translation</w:t>
      </w:r>
      <w:r>
        <w:rPr>
          <w:lang w:val="en-US"/>
        </w:rPr>
        <w:t>] “</w:t>
      </w:r>
      <w:r w:rsidR="004F240D">
        <w:rPr>
          <w:lang w:val="en-US"/>
        </w:rPr>
        <w:t>assess</w:t>
      </w:r>
      <w:r w:rsidR="00384DF0">
        <w:rPr>
          <w:lang w:val="en-US"/>
        </w:rPr>
        <w:t>—on a case-by-case basis—</w:t>
      </w:r>
      <w:r>
        <w:rPr>
          <w:lang w:val="en-US"/>
        </w:rPr>
        <w:t xml:space="preserve">a multitude of issues or difficulties that may arise in connection with </w:t>
      </w:r>
      <w:r w:rsidR="005B62C8">
        <w:rPr>
          <w:lang w:val="en-US"/>
        </w:rPr>
        <w:t xml:space="preserve">the implementation </w:t>
      </w:r>
      <w:r>
        <w:rPr>
          <w:lang w:val="en-US"/>
        </w:rPr>
        <w:t xml:space="preserve">of the right to counsel by the roadside </w:t>
      </w:r>
      <w:r w:rsidR="00774DFD">
        <w:rPr>
          <w:lang w:val="en-US"/>
        </w:rPr>
        <w:t>[</w:t>
      </w:r>
      <w:r>
        <w:rPr>
          <w:lang w:val="en-US"/>
        </w:rPr>
        <w:t>…</w:t>
      </w:r>
      <w:r w:rsidR="00774DFD">
        <w:rPr>
          <w:lang w:val="en-US"/>
        </w:rPr>
        <w:t>]</w:t>
      </w:r>
      <w:r>
        <w:rPr>
          <w:lang w:val="en-US"/>
        </w:rPr>
        <w:t>”</w:t>
      </w:r>
      <w:r w:rsidR="00774DFD">
        <w:rPr>
          <w:lang w:val="en-US"/>
        </w:rPr>
        <w:t>.</w:t>
      </w:r>
      <w:r w:rsidR="001D4908" w:rsidRPr="008941C1">
        <w:rPr>
          <w:lang w:val="en-US"/>
        </w:rPr>
        <w:t xml:space="preserve"> </w:t>
      </w:r>
      <w:r>
        <w:rPr>
          <w:lang w:val="en-US"/>
        </w:rPr>
        <w:t>It writes that the conclusion may be different [</w:t>
      </w:r>
      <w:r w:rsidRPr="006A2634">
        <w:rPr>
          <w:smallCaps/>
          <w:lang w:val="en-US"/>
        </w:rPr>
        <w:t>translation</w:t>
      </w:r>
      <w:r>
        <w:rPr>
          <w:lang w:val="en-US"/>
        </w:rPr>
        <w:t xml:space="preserve">] “from one detained person to another, depending on whether they have a functioning cell phone, their </w:t>
      </w:r>
      <w:r w:rsidR="004F240D">
        <w:rPr>
          <w:lang w:val="en-US"/>
        </w:rPr>
        <w:t>conduct</w:t>
      </w:r>
      <w:r>
        <w:rPr>
          <w:lang w:val="en-US"/>
        </w:rPr>
        <w:t>, their criminal record, the weather</w:t>
      </w:r>
      <w:r w:rsidR="005B62C8">
        <w:rPr>
          <w:lang w:val="en-US"/>
        </w:rPr>
        <w:t xml:space="preserve"> conditions</w:t>
      </w:r>
      <w:r>
        <w:rPr>
          <w:lang w:val="en-US"/>
        </w:rPr>
        <w:t>, the road conditions, the existence of a partition in the patrol car, whether they can access a lawyer rapidly, etc.”</w:t>
      </w:r>
      <w:r w:rsidR="00444B7B">
        <w:rPr>
          <w:lang w:val="en-US"/>
        </w:rPr>
        <w:t>.</w:t>
      </w:r>
      <w:r>
        <w:rPr>
          <w:lang w:val="en-US"/>
        </w:rPr>
        <w:t xml:space="preserve"> I agree.</w:t>
      </w:r>
      <w:r w:rsidR="001D4908" w:rsidRPr="008941C1">
        <w:rPr>
          <w:lang w:val="en-US"/>
        </w:rPr>
        <w:t xml:space="preserve"> </w:t>
      </w:r>
    </w:p>
    <w:p w14:paraId="1BE86B89" w14:textId="1997D861" w:rsidR="00D93A6C" w:rsidRPr="008941C1" w:rsidRDefault="00740626" w:rsidP="00C65766">
      <w:pPr>
        <w:pStyle w:val="Paragraphe"/>
        <w:spacing w:line="280" w:lineRule="exact"/>
        <w:rPr>
          <w:lang w:val="en-US"/>
        </w:rPr>
      </w:pPr>
      <w:r>
        <w:rPr>
          <w:lang w:val="en-US"/>
        </w:rPr>
        <w:t>Yet</w:t>
      </w:r>
      <w:r w:rsidR="007D2937">
        <w:rPr>
          <w:lang w:val="en-US"/>
        </w:rPr>
        <w:t xml:space="preserve">, the </w:t>
      </w:r>
      <w:r w:rsidR="005B62C8">
        <w:rPr>
          <w:lang w:val="en-US"/>
        </w:rPr>
        <w:t xml:space="preserve">main thrust of its argument shows that it refuses to take </w:t>
      </w:r>
      <w:r>
        <w:rPr>
          <w:lang w:val="en-US"/>
        </w:rPr>
        <w:t xml:space="preserve">into consideration </w:t>
      </w:r>
      <w:r w:rsidR="005B62C8">
        <w:rPr>
          <w:lang w:val="en-US"/>
        </w:rPr>
        <w:t xml:space="preserve">all those circumstances. In paragraph </w:t>
      </w:r>
      <w:r w:rsidR="001D4908" w:rsidRPr="008941C1">
        <w:rPr>
          <w:lang w:val="en-US"/>
        </w:rPr>
        <w:t xml:space="preserve">23 </w:t>
      </w:r>
      <w:r w:rsidR="005B62C8">
        <w:rPr>
          <w:lang w:val="en-US"/>
        </w:rPr>
        <w:t xml:space="preserve">of its brief, the respondent rejects the idea of taking the appellant’s </w:t>
      </w:r>
      <w:r w:rsidR="00584A59">
        <w:rPr>
          <w:lang w:val="en-US"/>
        </w:rPr>
        <w:t xml:space="preserve">conduct </w:t>
      </w:r>
      <w:r w:rsidR="005B62C8">
        <w:rPr>
          <w:lang w:val="en-US"/>
        </w:rPr>
        <w:t xml:space="preserve">into account; in </w:t>
      </w:r>
      <w:r w:rsidR="001D4908" w:rsidRPr="008941C1">
        <w:rPr>
          <w:lang w:val="en-US"/>
        </w:rPr>
        <w:t>paragr</w:t>
      </w:r>
      <w:r w:rsidR="005B62C8">
        <w:rPr>
          <w:lang w:val="en-US"/>
        </w:rPr>
        <w:t xml:space="preserve">aph 63 it contests the possibility of taking the weather conditions into account; in paragraph 25 it </w:t>
      </w:r>
      <w:r w:rsidR="00584A59">
        <w:rPr>
          <w:lang w:val="en-US"/>
        </w:rPr>
        <w:t xml:space="preserve">argues </w:t>
      </w:r>
      <w:r w:rsidR="005B62C8">
        <w:rPr>
          <w:lang w:val="en-US"/>
        </w:rPr>
        <w:t xml:space="preserve">that officers may </w:t>
      </w:r>
      <w:r w:rsidR="005B62C8">
        <w:rPr>
          <w:lang w:val="en-US"/>
        </w:rPr>
        <w:lastRenderedPageBreak/>
        <w:t xml:space="preserve">never </w:t>
      </w:r>
      <w:r w:rsidR="00584A59">
        <w:rPr>
          <w:lang w:val="en-US"/>
        </w:rPr>
        <w:t xml:space="preserve">step away from </w:t>
      </w:r>
      <w:r w:rsidR="005B62C8">
        <w:rPr>
          <w:lang w:val="en-US"/>
        </w:rPr>
        <w:t xml:space="preserve">their police </w:t>
      </w:r>
      <w:r w:rsidR="00FB67D2">
        <w:rPr>
          <w:lang w:val="en-US"/>
        </w:rPr>
        <w:t>cruisers</w:t>
      </w:r>
      <w:r w:rsidR="005B62C8">
        <w:rPr>
          <w:lang w:val="en-US"/>
        </w:rPr>
        <w:t xml:space="preserve">. </w:t>
      </w:r>
      <w:r w:rsidR="00584A59">
        <w:rPr>
          <w:lang w:val="en-US"/>
        </w:rPr>
        <w:t>Thus</w:t>
      </w:r>
      <w:r w:rsidR="005B62C8">
        <w:rPr>
          <w:lang w:val="en-US"/>
        </w:rPr>
        <w:t>, the respondent refus</w:t>
      </w:r>
      <w:r w:rsidR="00584A59">
        <w:rPr>
          <w:lang w:val="en-US"/>
        </w:rPr>
        <w:t>es</w:t>
      </w:r>
      <w:r w:rsidR="005B62C8">
        <w:rPr>
          <w:lang w:val="en-US"/>
        </w:rPr>
        <w:t xml:space="preserve"> to take all of the circumstances into account, contrary to the rule.</w:t>
      </w:r>
    </w:p>
    <w:p w14:paraId="3E722782" w14:textId="4BE1DF4B" w:rsidR="00D93A6C" w:rsidRPr="008941C1" w:rsidRDefault="00E70223" w:rsidP="00C65766">
      <w:pPr>
        <w:pStyle w:val="Paragraphe"/>
        <w:spacing w:line="280" w:lineRule="exact"/>
        <w:rPr>
          <w:lang w:val="en-US"/>
        </w:rPr>
      </w:pPr>
      <w:r>
        <w:rPr>
          <w:lang w:val="en-US"/>
        </w:rPr>
        <w:t xml:space="preserve">With regard to the waiver of the right to a confidential </w:t>
      </w:r>
      <w:r w:rsidR="001D4908" w:rsidRPr="008941C1">
        <w:rPr>
          <w:lang w:val="en-US"/>
        </w:rPr>
        <w:t xml:space="preserve">conversation </w:t>
      </w:r>
      <w:r>
        <w:rPr>
          <w:lang w:val="en-US"/>
        </w:rPr>
        <w:t>with a lawyer in exchange for the right to use a cell phone at the</w:t>
      </w:r>
      <w:r w:rsidR="00916221">
        <w:rPr>
          <w:lang w:val="en-US"/>
        </w:rPr>
        <w:t xml:space="preserve"> site of the</w:t>
      </w:r>
      <w:r>
        <w:rPr>
          <w:lang w:val="en-US"/>
        </w:rPr>
        <w:t xml:space="preserve"> arrest, the respondent does not believe it would be lawful in view of [</w:t>
      </w:r>
      <w:r w:rsidRPr="006A2634">
        <w:rPr>
          <w:smallCaps/>
          <w:lang w:val="en-US"/>
        </w:rPr>
        <w:t>translation</w:t>
      </w:r>
      <w:r>
        <w:rPr>
          <w:lang w:val="en-US"/>
        </w:rPr>
        <w:t xml:space="preserve">] “the fundamental </w:t>
      </w:r>
      <w:r w:rsidR="001D4908" w:rsidRPr="008941C1">
        <w:rPr>
          <w:lang w:val="en-US"/>
        </w:rPr>
        <w:t xml:space="preserve">importance </w:t>
      </w:r>
      <w:r>
        <w:rPr>
          <w:lang w:val="en-US"/>
        </w:rPr>
        <w:t>of confidentiality to the call to counsel”</w:t>
      </w:r>
      <w:r w:rsidR="000737D8">
        <w:rPr>
          <w:lang w:val="en-US"/>
        </w:rPr>
        <w:t>,</w:t>
      </w:r>
      <w:r>
        <w:rPr>
          <w:lang w:val="en-US"/>
        </w:rPr>
        <w:t xml:space="preserve"> </w:t>
      </w:r>
      <w:r w:rsidR="001D4908" w:rsidRPr="008941C1">
        <w:rPr>
          <w:lang w:val="en-US"/>
        </w:rPr>
        <w:t>t</w:t>
      </w:r>
      <w:r>
        <w:rPr>
          <w:lang w:val="en-US"/>
        </w:rPr>
        <w:t xml:space="preserve">aking into account the condition of a person arrested for </w:t>
      </w:r>
      <w:r w:rsidR="00916221">
        <w:rPr>
          <w:lang w:val="en-US"/>
        </w:rPr>
        <w:t>impaired driving</w:t>
      </w:r>
      <w:r>
        <w:rPr>
          <w:lang w:val="en-US"/>
        </w:rPr>
        <w:t xml:space="preserve">. I do not accept that </w:t>
      </w:r>
      <w:r w:rsidR="001D4908" w:rsidRPr="008941C1">
        <w:rPr>
          <w:lang w:val="en-US"/>
        </w:rPr>
        <w:t xml:space="preserve">argument. </w:t>
      </w:r>
      <w:r w:rsidR="00A5497B">
        <w:rPr>
          <w:lang w:val="en-US"/>
        </w:rPr>
        <w:t>D</w:t>
      </w:r>
      <w:r>
        <w:rPr>
          <w:lang w:val="en-US"/>
        </w:rPr>
        <w:t>etained person</w:t>
      </w:r>
      <w:r w:rsidR="00A5497B">
        <w:rPr>
          <w:lang w:val="en-US"/>
        </w:rPr>
        <w:t>s</w:t>
      </w:r>
      <w:r>
        <w:rPr>
          <w:lang w:val="en-US"/>
        </w:rPr>
        <w:t xml:space="preserve"> can legally waive </w:t>
      </w:r>
      <w:r w:rsidR="00A5497B">
        <w:rPr>
          <w:lang w:val="en-US"/>
        </w:rPr>
        <w:t xml:space="preserve">their </w:t>
      </w:r>
      <w:r>
        <w:rPr>
          <w:lang w:val="en-US"/>
        </w:rPr>
        <w:t xml:space="preserve">right to counsel. Why could </w:t>
      </w:r>
      <w:r w:rsidR="00A5497B">
        <w:rPr>
          <w:lang w:val="en-US"/>
        </w:rPr>
        <w:t xml:space="preserve">they </w:t>
      </w:r>
      <w:r>
        <w:rPr>
          <w:lang w:val="en-US"/>
        </w:rPr>
        <w:t xml:space="preserve">not do so partially? </w:t>
      </w:r>
      <w:r w:rsidR="00916221">
        <w:rPr>
          <w:lang w:val="en-US"/>
        </w:rPr>
        <w:t>A lack of privacy</w:t>
      </w:r>
      <w:r>
        <w:rPr>
          <w:lang w:val="en-US"/>
        </w:rPr>
        <w:t xml:space="preserve"> does not necessarily justify a refusal:</w:t>
      </w:r>
      <w:r w:rsidR="001D4908" w:rsidRPr="008941C1">
        <w:rPr>
          <w:lang w:val="en-US"/>
        </w:rPr>
        <w:t xml:space="preserve"> </w:t>
      </w:r>
      <w:r w:rsidR="001D4908" w:rsidRPr="008941C1">
        <w:rPr>
          <w:i/>
          <w:lang w:val="en-US"/>
        </w:rPr>
        <w:t>R. v. Fan</w:t>
      </w:r>
      <w:r>
        <w:rPr>
          <w:lang w:val="en-US"/>
        </w:rPr>
        <w:t>, 2017 BCCA 99, para</w:t>
      </w:r>
      <w:r w:rsidR="001D4908" w:rsidRPr="008941C1">
        <w:rPr>
          <w:lang w:val="en-US"/>
        </w:rPr>
        <w:t xml:space="preserve">. 55. </w:t>
      </w:r>
      <w:r>
        <w:rPr>
          <w:lang w:val="en-US"/>
        </w:rPr>
        <w:t xml:space="preserve">In any </w:t>
      </w:r>
      <w:r w:rsidR="00916221">
        <w:rPr>
          <w:lang w:val="en-US"/>
        </w:rPr>
        <w:t>event</w:t>
      </w:r>
      <w:r>
        <w:rPr>
          <w:lang w:val="en-US"/>
        </w:rPr>
        <w:t>, the Court of Qu</w:t>
      </w:r>
      <w:r w:rsidR="00E54A72">
        <w:rPr>
          <w:lang w:val="en-US"/>
        </w:rPr>
        <w:t>é</w:t>
      </w:r>
      <w:r>
        <w:rPr>
          <w:lang w:val="en-US"/>
        </w:rPr>
        <w:t>bec judge</w:t>
      </w:r>
      <w:r w:rsidR="00916221">
        <w:rPr>
          <w:lang w:val="en-US"/>
        </w:rPr>
        <w:t>’s findings of fact</w:t>
      </w:r>
      <w:r>
        <w:rPr>
          <w:lang w:val="en-US"/>
        </w:rPr>
        <w:t xml:space="preserve"> led her to dismiss the officers’ claim that the call could not be confidentia</w:t>
      </w:r>
      <w:r w:rsidR="001D4908" w:rsidRPr="008941C1">
        <w:rPr>
          <w:lang w:val="en-US"/>
        </w:rPr>
        <w:t xml:space="preserve">l. </w:t>
      </w:r>
    </w:p>
    <w:p w14:paraId="3C627DAB" w14:textId="3D410F26" w:rsidR="00D93A6C" w:rsidRPr="008941C1" w:rsidRDefault="00E70223" w:rsidP="00C65766">
      <w:pPr>
        <w:pStyle w:val="Paragraphe"/>
        <w:spacing w:line="280" w:lineRule="exact"/>
        <w:rPr>
          <w:lang w:val="en-US"/>
        </w:rPr>
      </w:pPr>
      <w:r>
        <w:rPr>
          <w:lang w:val="en-US"/>
        </w:rPr>
        <w:t>The respondent also believes that the Court of Qu</w:t>
      </w:r>
      <w:r w:rsidR="00E54A72">
        <w:rPr>
          <w:lang w:val="en-US"/>
        </w:rPr>
        <w:t>é</w:t>
      </w:r>
      <w:r>
        <w:rPr>
          <w:lang w:val="en-US"/>
        </w:rPr>
        <w:t>bec judge erred in affirming that the words “without delay” in s</w:t>
      </w:r>
      <w:r w:rsidR="007B7F09">
        <w:rPr>
          <w:lang w:val="en-US"/>
        </w:rPr>
        <w:t xml:space="preserve">. </w:t>
      </w:r>
      <w:r w:rsidR="009F7D98">
        <w:rPr>
          <w:lang w:val="en-US"/>
        </w:rPr>
        <w:t>10(</w:t>
      </w:r>
      <w:r w:rsidR="001D4908" w:rsidRPr="0016054C">
        <w:rPr>
          <w:i/>
          <w:lang w:val="en-US"/>
        </w:rPr>
        <w:t>b</w:t>
      </w:r>
      <w:r w:rsidR="001D4908" w:rsidRPr="008941C1">
        <w:rPr>
          <w:lang w:val="en-US"/>
        </w:rPr>
        <w:t xml:space="preserve">) </w:t>
      </w:r>
      <w:r>
        <w:rPr>
          <w:lang w:val="en-US"/>
        </w:rPr>
        <w:t xml:space="preserve">mean “immediately.” That is not the case, as we saw above. The trial judge assessed all of the circumstances, trying to </w:t>
      </w:r>
      <w:r w:rsidR="009076B3">
        <w:rPr>
          <w:lang w:val="en-US"/>
        </w:rPr>
        <w:t>determine whether the prosecution</w:t>
      </w:r>
      <w:r w:rsidR="00504EB8">
        <w:rPr>
          <w:lang w:val="en-US"/>
        </w:rPr>
        <w:t>’s</w:t>
      </w:r>
      <w:r w:rsidR="009076B3">
        <w:rPr>
          <w:lang w:val="en-US"/>
        </w:rPr>
        <w:t xml:space="preserve"> evidence showed that access to counsel was granted at the first reasonable opportunity, meaning as soon as it was practically </w:t>
      </w:r>
      <w:r w:rsidR="001D4908" w:rsidRPr="008941C1">
        <w:rPr>
          <w:lang w:val="en-US"/>
        </w:rPr>
        <w:t>possible</w:t>
      </w:r>
      <w:r w:rsidR="009076B3">
        <w:rPr>
          <w:lang w:val="en-US"/>
        </w:rPr>
        <w:t xml:space="preserve">. In </w:t>
      </w:r>
      <w:r w:rsidR="002F73C0">
        <w:rPr>
          <w:lang w:val="en-US"/>
        </w:rPr>
        <w:t>truth</w:t>
      </w:r>
      <w:r w:rsidR="009076B3">
        <w:rPr>
          <w:lang w:val="en-US"/>
        </w:rPr>
        <w:t xml:space="preserve">, the respondent is criticizing her for </w:t>
      </w:r>
      <w:r w:rsidR="002F73C0">
        <w:rPr>
          <w:lang w:val="en-US"/>
        </w:rPr>
        <w:t xml:space="preserve">rejecting </w:t>
      </w:r>
      <w:r w:rsidR="009076B3">
        <w:rPr>
          <w:lang w:val="en-US"/>
        </w:rPr>
        <w:t xml:space="preserve">the officer’s testimony </w:t>
      </w:r>
      <w:r w:rsidR="002F73C0">
        <w:rPr>
          <w:lang w:val="en-US"/>
        </w:rPr>
        <w:t>on</w:t>
      </w:r>
      <w:r w:rsidR="009076B3">
        <w:rPr>
          <w:lang w:val="en-US"/>
        </w:rPr>
        <w:t xml:space="preserve"> the reasons for the delay. </w:t>
      </w:r>
      <w:r w:rsidR="002F73C0">
        <w:rPr>
          <w:lang w:val="en-US"/>
        </w:rPr>
        <w:t>T</w:t>
      </w:r>
      <w:r w:rsidR="009076B3">
        <w:rPr>
          <w:lang w:val="en-US"/>
        </w:rPr>
        <w:t>h</w:t>
      </w:r>
      <w:r w:rsidR="002F73C0">
        <w:rPr>
          <w:lang w:val="en-US"/>
        </w:rPr>
        <w:t>e</w:t>
      </w:r>
      <w:r w:rsidR="009076B3">
        <w:rPr>
          <w:lang w:val="en-US"/>
        </w:rPr>
        <w:t>se are questions of fact,</w:t>
      </w:r>
      <w:r w:rsidR="002F73C0">
        <w:rPr>
          <w:lang w:val="en-US"/>
        </w:rPr>
        <w:t xml:space="preserve"> however,</w:t>
      </w:r>
      <w:r w:rsidR="009076B3">
        <w:rPr>
          <w:lang w:val="en-US"/>
        </w:rPr>
        <w:t xml:space="preserve"> which </w:t>
      </w:r>
      <w:r w:rsidR="002F73C0">
        <w:rPr>
          <w:lang w:val="en-US"/>
        </w:rPr>
        <w:t xml:space="preserve">fall to </w:t>
      </w:r>
      <w:r w:rsidR="009076B3">
        <w:rPr>
          <w:lang w:val="en-US"/>
        </w:rPr>
        <w:t>the trial judge, and regard</w:t>
      </w:r>
      <w:r w:rsidR="005F56F6">
        <w:rPr>
          <w:lang w:val="en-US"/>
        </w:rPr>
        <w:t>ing</w:t>
      </w:r>
      <w:r w:rsidR="009076B3">
        <w:rPr>
          <w:lang w:val="en-US"/>
        </w:rPr>
        <w:t xml:space="preserve"> which the respondent has not demonstrated any error.</w:t>
      </w:r>
      <w:r w:rsidR="001D4908" w:rsidRPr="008941C1">
        <w:rPr>
          <w:lang w:val="en-US"/>
        </w:rPr>
        <w:t xml:space="preserve"> </w:t>
      </w:r>
      <w:r w:rsidR="009076B3">
        <w:rPr>
          <w:lang w:val="en-US"/>
        </w:rPr>
        <w:t xml:space="preserve"> </w:t>
      </w:r>
    </w:p>
    <w:p w14:paraId="297BE1FD" w14:textId="46075C77" w:rsidR="00D93A6C" w:rsidRPr="008941C1" w:rsidRDefault="009076B3" w:rsidP="00C65766">
      <w:pPr>
        <w:pStyle w:val="Paragraphe"/>
        <w:spacing w:line="280" w:lineRule="exact"/>
        <w:rPr>
          <w:lang w:val="en-US"/>
        </w:rPr>
      </w:pPr>
      <w:r>
        <w:rPr>
          <w:lang w:val="en-US"/>
        </w:rPr>
        <w:t>In the circumstances,</w:t>
      </w:r>
      <w:r w:rsidR="006C623C">
        <w:rPr>
          <w:lang w:val="en-US"/>
        </w:rPr>
        <w:t xml:space="preserve"> the Court is</w:t>
      </w:r>
      <w:r>
        <w:rPr>
          <w:lang w:val="en-US"/>
        </w:rPr>
        <w:t xml:space="preserve"> of the opinion that the Superior Court judge erred in law </w:t>
      </w:r>
      <w:r w:rsidR="006C623C">
        <w:rPr>
          <w:lang w:val="en-US"/>
        </w:rPr>
        <w:t>by</w:t>
      </w:r>
      <w:r>
        <w:rPr>
          <w:lang w:val="en-US"/>
        </w:rPr>
        <w:t xml:space="preserve"> interven</w:t>
      </w:r>
      <w:r w:rsidR="006C623C">
        <w:rPr>
          <w:lang w:val="en-US"/>
        </w:rPr>
        <w:t>ing</w:t>
      </w:r>
      <w:r>
        <w:rPr>
          <w:lang w:val="en-US"/>
        </w:rPr>
        <w:t xml:space="preserve"> as she did.</w:t>
      </w:r>
      <w:r w:rsidR="001D4908" w:rsidRPr="008941C1">
        <w:rPr>
          <w:lang w:val="en-US"/>
        </w:rPr>
        <w:t xml:space="preserve"> </w:t>
      </w:r>
    </w:p>
    <w:p w14:paraId="10996AB9" w14:textId="44088366" w:rsidR="00D93A6C" w:rsidRPr="008941C1" w:rsidRDefault="002C5021" w:rsidP="00C65766">
      <w:pPr>
        <w:pStyle w:val="Paragraphe"/>
        <w:spacing w:line="280" w:lineRule="exact"/>
        <w:rPr>
          <w:lang w:val="en-US"/>
        </w:rPr>
      </w:pPr>
      <w:r>
        <w:rPr>
          <w:lang w:val="en-US"/>
        </w:rPr>
        <w:t xml:space="preserve">It should be </w:t>
      </w:r>
      <w:r w:rsidR="007B7F09">
        <w:rPr>
          <w:lang w:val="en-US"/>
        </w:rPr>
        <w:t xml:space="preserve">noted </w:t>
      </w:r>
      <w:r>
        <w:rPr>
          <w:lang w:val="en-US"/>
        </w:rPr>
        <w:t>that the Court of Qu</w:t>
      </w:r>
      <w:r w:rsidR="00E54A72">
        <w:rPr>
          <w:lang w:val="en-US"/>
        </w:rPr>
        <w:t>é</w:t>
      </w:r>
      <w:r>
        <w:rPr>
          <w:lang w:val="en-US"/>
        </w:rPr>
        <w:t xml:space="preserve">bec judge stated the law perfectly, especially when she </w:t>
      </w:r>
      <w:r w:rsidR="007B7F09">
        <w:rPr>
          <w:lang w:val="en-US"/>
        </w:rPr>
        <w:t xml:space="preserve">pointed out </w:t>
      </w:r>
      <w:r>
        <w:rPr>
          <w:lang w:val="en-US"/>
        </w:rPr>
        <w:t>that it is up to the prosecution to demonstrate that [</w:t>
      </w:r>
      <w:r w:rsidRPr="006A2634">
        <w:rPr>
          <w:smallCaps/>
          <w:lang w:val="en-US"/>
        </w:rPr>
        <w:t>translation</w:t>
      </w:r>
      <w:r>
        <w:rPr>
          <w:lang w:val="en-US"/>
        </w:rPr>
        <w:t xml:space="preserve">] “the time between when a detained person states his or her intention to exercise the right to counsel and the time when that right takes effect” is reasonable. </w:t>
      </w:r>
      <w:r w:rsidR="00995BCC">
        <w:rPr>
          <w:lang w:val="en-US"/>
        </w:rPr>
        <w:t xml:space="preserve">The same applies </w:t>
      </w:r>
      <w:r w:rsidR="00504EB8">
        <w:rPr>
          <w:lang w:val="en-US"/>
        </w:rPr>
        <w:t xml:space="preserve">to her statement </w:t>
      </w:r>
      <w:r w:rsidR="00995BCC">
        <w:rPr>
          <w:lang w:val="en-US"/>
        </w:rPr>
        <w:t>that the officers must [</w:t>
      </w:r>
      <w:r w:rsidR="00995BCC" w:rsidRPr="006A2634">
        <w:rPr>
          <w:smallCaps/>
          <w:lang w:val="en-US"/>
        </w:rPr>
        <w:t>translation</w:t>
      </w:r>
      <w:r w:rsidR="00995BCC">
        <w:rPr>
          <w:lang w:val="en-US"/>
        </w:rPr>
        <w:t xml:space="preserve">] “give </w:t>
      </w:r>
      <w:r w:rsidR="007B7F09">
        <w:rPr>
          <w:lang w:val="en-US"/>
        </w:rPr>
        <w:t xml:space="preserve">the detained person </w:t>
      </w:r>
      <w:r w:rsidR="00995BCC">
        <w:rPr>
          <w:lang w:val="en-US"/>
        </w:rPr>
        <w:t>access to a telephone as soon as it is practically possible”</w:t>
      </w:r>
      <w:r w:rsidR="0016054C">
        <w:rPr>
          <w:lang w:val="en-US"/>
        </w:rPr>
        <w:t xml:space="preserve">. </w:t>
      </w:r>
      <w:r w:rsidR="00995BCC">
        <w:rPr>
          <w:lang w:val="en-US"/>
        </w:rPr>
        <w:t>She also stated, rightly</w:t>
      </w:r>
      <w:r w:rsidR="00B4390A">
        <w:rPr>
          <w:lang w:val="en-US"/>
        </w:rPr>
        <w:t xml:space="preserve"> so</w:t>
      </w:r>
      <w:r w:rsidR="00995BCC">
        <w:rPr>
          <w:lang w:val="en-US"/>
        </w:rPr>
        <w:t>, that s</w:t>
      </w:r>
      <w:r w:rsidR="00B4390A">
        <w:rPr>
          <w:lang w:val="en-US"/>
        </w:rPr>
        <w:t xml:space="preserve">. </w:t>
      </w:r>
      <w:r w:rsidR="00504EB8">
        <w:rPr>
          <w:lang w:val="en-US"/>
        </w:rPr>
        <w:t>10</w:t>
      </w:r>
      <w:r w:rsidR="009F7D98">
        <w:rPr>
          <w:lang w:val="en-US"/>
        </w:rPr>
        <w:t>(</w:t>
      </w:r>
      <w:r w:rsidR="009F7D98" w:rsidRPr="0016054C">
        <w:rPr>
          <w:i/>
          <w:lang w:val="en-US"/>
        </w:rPr>
        <w:t>b</w:t>
      </w:r>
      <w:r w:rsidR="001D4908" w:rsidRPr="008941C1">
        <w:rPr>
          <w:lang w:val="en-US"/>
        </w:rPr>
        <w:t xml:space="preserve">) </w:t>
      </w:r>
      <w:r w:rsidR="00995BCC">
        <w:rPr>
          <w:lang w:val="en-US"/>
        </w:rPr>
        <w:t>[</w:t>
      </w:r>
      <w:r w:rsidR="00995BCC" w:rsidRPr="006A2634">
        <w:rPr>
          <w:smallCaps/>
          <w:lang w:val="en-US"/>
        </w:rPr>
        <w:t>translation</w:t>
      </w:r>
      <w:r w:rsidR="00995BCC">
        <w:rPr>
          <w:lang w:val="en-US"/>
        </w:rPr>
        <w:t>] “does not create the ri</w:t>
      </w:r>
      <w:r w:rsidR="0016054C">
        <w:rPr>
          <w:lang w:val="en-US"/>
        </w:rPr>
        <w:t>ght to use a specific telephone</w:t>
      </w:r>
      <w:r w:rsidR="00995BCC">
        <w:rPr>
          <w:lang w:val="en-US"/>
        </w:rPr>
        <w:t>”</w:t>
      </w:r>
      <w:r w:rsidR="0016054C">
        <w:rPr>
          <w:lang w:val="en-US"/>
        </w:rPr>
        <w:t>.</w:t>
      </w:r>
      <w:r w:rsidR="00995BCC">
        <w:rPr>
          <w:lang w:val="en-US"/>
        </w:rPr>
        <w:t xml:space="preserve"> In short, it is a question of circum</w:t>
      </w:r>
      <w:r w:rsidR="001D4908" w:rsidRPr="008941C1">
        <w:rPr>
          <w:lang w:val="en-US"/>
        </w:rPr>
        <w:t xml:space="preserve">stances </w:t>
      </w:r>
      <w:r w:rsidR="00995BCC">
        <w:rPr>
          <w:lang w:val="en-US"/>
        </w:rPr>
        <w:t>and that is what the trial judge did: she assessed all of the circum</w:t>
      </w:r>
      <w:r w:rsidR="001D4908" w:rsidRPr="008941C1">
        <w:rPr>
          <w:lang w:val="en-US"/>
        </w:rPr>
        <w:t xml:space="preserve">stances </w:t>
      </w:r>
      <w:r w:rsidR="00995BCC">
        <w:rPr>
          <w:lang w:val="en-US"/>
        </w:rPr>
        <w:t>to determine whether the prosecution had demonstrated tha</w:t>
      </w:r>
      <w:r w:rsidR="00504EB8">
        <w:rPr>
          <w:lang w:val="en-US"/>
        </w:rPr>
        <w:t>t</w:t>
      </w:r>
      <w:r w:rsidR="00995BCC">
        <w:rPr>
          <w:lang w:val="en-US"/>
        </w:rPr>
        <w:t xml:space="preserve"> the delay was reasonable.</w:t>
      </w:r>
    </w:p>
    <w:p w14:paraId="689FFD71" w14:textId="62057A40" w:rsidR="00D93A6C" w:rsidRPr="008941C1" w:rsidRDefault="00995BCC" w:rsidP="00C65766">
      <w:pPr>
        <w:pStyle w:val="Paragraphe"/>
        <w:spacing w:line="280" w:lineRule="exact"/>
        <w:rPr>
          <w:lang w:val="en-US"/>
        </w:rPr>
      </w:pPr>
      <w:r>
        <w:rPr>
          <w:lang w:val="en-US"/>
        </w:rPr>
        <w:t xml:space="preserve">The Superior Court </w:t>
      </w:r>
      <w:r w:rsidR="00504EB8">
        <w:rPr>
          <w:lang w:val="en-US"/>
        </w:rPr>
        <w:t xml:space="preserve">judge </w:t>
      </w:r>
      <w:r w:rsidR="00B161E0">
        <w:rPr>
          <w:lang w:val="en-US"/>
        </w:rPr>
        <w:t xml:space="preserve">faulted </w:t>
      </w:r>
      <w:r>
        <w:rPr>
          <w:lang w:val="en-US"/>
        </w:rPr>
        <w:t xml:space="preserve">her for </w:t>
      </w:r>
      <w:r w:rsidR="00C64F7E">
        <w:rPr>
          <w:lang w:val="en-US"/>
        </w:rPr>
        <w:t xml:space="preserve">creating </w:t>
      </w:r>
      <w:r w:rsidR="00B161E0">
        <w:rPr>
          <w:lang w:val="en-US"/>
        </w:rPr>
        <w:t xml:space="preserve">the </w:t>
      </w:r>
      <w:r>
        <w:rPr>
          <w:lang w:val="en-US"/>
        </w:rPr>
        <w:t xml:space="preserve">obligation of having to inquire whether </w:t>
      </w:r>
      <w:r w:rsidR="00B161E0">
        <w:rPr>
          <w:lang w:val="en-US"/>
        </w:rPr>
        <w:t xml:space="preserve">a </w:t>
      </w:r>
      <w:r>
        <w:rPr>
          <w:lang w:val="en-US"/>
        </w:rPr>
        <w:t xml:space="preserve">detained person </w:t>
      </w:r>
      <w:r w:rsidR="00E975DA">
        <w:rPr>
          <w:lang w:val="en-US"/>
        </w:rPr>
        <w:t xml:space="preserve">is </w:t>
      </w:r>
      <w:r>
        <w:rPr>
          <w:lang w:val="en-US"/>
        </w:rPr>
        <w:t xml:space="preserve">in possession of a cell phone. That is not the case. The trial judge did not create such an </w:t>
      </w:r>
      <w:r w:rsidR="001D4908" w:rsidRPr="008941C1">
        <w:rPr>
          <w:lang w:val="en-US"/>
        </w:rPr>
        <w:t xml:space="preserve">obligation. </w:t>
      </w:r>
      <w:r>
        <w:rPr>
          <w:lang w:val="en-US"/>
        </w:rPr>
        <w:t xml:space="preserve">All she did was note that no such inquiry was made. That is one more circumstance to </w:t>
      </w:r>
      <w:r w:rsidR="00B161E0">
        <w:rPr>
          <w:lang w:val="en-US"/>
        </w:rPr>
        <w:t>consider</w:t>
      </w:r>
      <w:r>
        <w:rPr>
          <w:lang w:val="en-US"/>
        </w:rPr>
        <w:t xml:space="preserve">, especially since the </w:t>
      </w:r>
      <w:r w:rsidR="001D4908" w:rsidRPr="008941C1">
        <w:rPr>
          <w:lang w:val="en-US"/>
        </w:rPr>
        <w:t xml:space="preserve">possession </w:t>
      </w:r>
      <w:r>
        <w:rPr>
          <w:lang w:val="en-US"/>
        </w:rPr>
        <w:t xml:space="preserve">of a cell phone is so common </w:t>
      </w:r>
      <w:r w:rsidR="00504EB8">
        <w:rPr>
          <w:lang w:val="en-US"/>
        </w:rPr>
        <w:t xml:space="preserve">these days </w:t>
      </w:r>
      <w:r>
        <w:rPr>
          <w:lang w:val="en-US"/>
        </w:rPr>
        <w:t xml:space="preserve">that </w:t>
      </w:r>
      <w:r w:rsidR="003856EA">
        <w:rPr>
          <w:lang w:val="en-US"/>
        </w:rPr>
        <w:t xml:space="preserve">we wonder </w:t>
      </w:r>
      <w:r>
        <w:rPr>
          <w:lang w:val="en-US"/>
        </w:rPr>
        <w:t>less and less</w:t>
      </w:r>
      <w:r w:rsidR="003856EA">
        <w:rPr>
          <w:lang w:val="en-US"/>
        </w:rPr>
        <w:t xml:space="preserve"> whether someone has one</w:t>
      </w:r>
      <w:r>
        <w:rPr>
          <w:lang w:val="en-US"/>
        </w:rPr>
        <w:t>. That is in fact what the Court of Qu</w:t>
      </w:r>
      <w:r w:rsidR="00E54A72">
        <w:rPr>
          <w:lang w:val="en-US"/>
        </w:rPr>
        <w:t>é</w:t>
      </w:r>
      <w:r>
        <w:rPr>
          <w:lang w:val="en-US"/>
        </w:rPr>
        <w:t xml:space="preserve">bec judge said, in </w:t>
      </w:r>
      <w:r w:rsidR="0099102D">
        <w:rPr>
          <w:lang w:val="en-US"/>
        </w:rPr>
        <w:t xml:space="preserve">her own </w:t>
      </w:r>
      <w:r>
        <w:rPr>
          <w:lang w:val="en-US"/>
        </w:rPr>
        <w:t xml:space="preserve">words, in paragraph </w:t>
      </w:r>
      <w:r w:rsidR="001D4908" w:rsidRPr="008941C1">
        <w:rPr>
          <w:lang w:val="en-US"/>
        </w:rPr>
        <w:t xml:space="preserve">75 </w:t>
      </w:r>
      <w:r>
        <w:rPr>
          <w:lang w:val="en-US"/>
        </w:rPr>
        <w:t xml:space="preserve">of her </w:t>
      </w:r>
      <w:r w:rsidR="001D4908" w:rsidRPr="008941C1">
        <w:rPr>
          <w:lang w:val="en-US"/>
        </w:rPr>
        <w:t>ju</w:t>
      </w:r>
      <w:r>
        <w:rPr>
          <w:lang w:val="en-US"/>
        </w:rPr>
        <w:t>dg</w:t>
      </w:r>
      <w:r w:rsidR="001D4908" w:rsidRPr="008941C1">
        <w:rPr>
          <w:lang w:val="en-US"/>
        </w:rPr>
        <w:t>ment.</w:t>
      </w:r>
    </w:p>
    <w:p w14:paraId="5CCAC7C4" w14:textId="307D936B" w:rsidR="00D93A6C" w:rsidRPr="008941C1" w:rsidRDefault="00995BCC" w:rsidP="00C65766">
      <w:pPr>
        <w:pStyle w:val="Paragraphe"/>
        <w:spacing w:line="280" w:lineRule="exact"/>
        <w:rPr>
          <w:lang w:val="en-US"/>
        </w:rPr>
      </w:pPr>
      <w:r w:rsidRPr="00EB7E9E">
        <w:rPr>
          <w:lang w:val="en-US"/>
        </w:rPr>
        <w:lastRenderedPageBreak/>
        <w:t>The Superior Court</w:t>
      </w:r>
      <w:r w:rsidR="00504EB8" w:rsidRPr="00EB7E9E">
        <w:rPr>
          <w:lang w:val="en-US"/>
        </w:rPr>
        <w:t xml:space="preserve"> judge’s ruling shows that she </w:t>
      </w:r>
      <w:r w:rsidR="00F835D2">
        <w:rPr>
          <w:lang w:val="en-US"/>
        </w:rPr>
        <w:t xml:space="preserve">is </w:t>
      </w:r>
      <w:r w:rsidRPr="00EB7E9E">
        <w:rPr>
          <w:lang w:val="en-US"/>
        </w:rPr>
        <w:t xml:space="preserve">the one </w:t>
      </w:r>
      <w:r w:rsidR="00F835D2">
        <w:rPr>
          <w:lang w:val="en-US"/>
        </w:rPr>
        <w:t xml:space="preserve">who committed </w:t>
      </w:r>
      <w:r w:rsidRPr="00EB7E9E">
        <w:rPr>
          <w:lang w:val="en-US"/>
        </w:rPr>
        <w:t xml:space="preserve">the error </w:t>
      </w:r>
      <w:r w:rsidR="00BB6B90">
        <w:rPr>
          <w:lang w:val="en-US"/>
        </w:rPr>
        <w:t xml:space="preserve">for which </w:t>
      </w:r>
      <w:r w:rsidRPr="00EB7E9E">
        <w:rPr>
          <w:lang w:val="en-US"/>
        </w:rPr>
        <w:t xml:space="preserve">she </w:t>
      </w:r>
      <w:r w:rsidR="00BB6B90">
        <w:rPr>
          <w:lang w:val="en-US"/>
        </w:rPr>
        <w:t>faulted</w:t>
      </w:r>
      <w:r w:rsidR="00BB6B90" w:rsidRPr="00EB7E9E">
        <w:rPr>
          <w:lang w:val="en-US"/>
        </w:rPr>
        <w:t xml:space="preserve"> </w:t>
      </w:r>
      <w:r w:rsidRPr="00EB7E9E">
        <w:rPr>
          <w:lang w:val="en-US"/>
        </w:rPr>
        <w:t>the Court of Qu</w:t>
      </w:r>
      <w:r w:rsidR="00E54A72">
        <w:rPr>
          <w:lang w:val="en-US"/>
        </w:rPr>
        <w:t>é</w:t>
      </w:r>
      <w:r w:rsidRPr="00EB7E9E">
        <w:rPr>
          <w:lang w:val="en-US"/>
        </w:rPr>
        <w:t>bec judge, i.e.</w:t>
      </w:r>
      <w:r w:rsidR="00BB6B90">
        <w:rPr>
          <w:lang w:val="en-US"/>
        </w:rPr>
        <w:t>,</w:t>
      </w:r>
      <w:r w:rsidRPr="00EB7E9E">
        <w:rPr>
          <w:lang w:val="en-US"/>
        </w:rPr>
        <w:t xml:space="preserve"> not taking all the circum</w:t>
      </w:r>
      <w:r w:rsidR="001D4908" w:rsidRPr="00EB7E9E">
        <w:rPr>
          <w:lang w:val="en-US"/>
        </w:rPr>
        <w:t>stances</w:t>
      </w:r>
      <w:r w:rsidRPr="00EB7E9E">
        <w:rPr>
          <w:lang w:val="en-US"/>
        </w:rPr>
        <w:t xml:space="preserve"> into account</w:t>
      </w:r>
      <w:r w:rsidR="001D4908" w:rsidRPr="00EB7E9E">
        <w:rPr>
          <w:lang w:val="en-US"/>
        </w:rPr>
        <w:t xml:space="preserve">. </w:t>
      </w:r>
      <w:r w:rsidR="00504EB8" w:rsidRPr="00EB7E9E">
        <w:rPr>
          <w:lang w:val="en-US"/>
        </w:rPr>
        <w:t>When she wrote</w:t>
      </w:r>
      <w:r w:rsidRPr="00EB7E9E">
        <w:rPr>
          <w:lang w:val="en-US"/>
        </w:rPr>
        <w:t xml:space="preserve">, for example, that </w:t>
      </w:r>
      <w:r w:rsidR="009F7D98" w:rsidRPr="00EB7E9E">
        <w:rPr>
          <w:lang w:val="en-US"/>
        </w:rPr>
        <w:t>[</w:t>
      </w:r>
      <w:r w:rsidR="009F7D98" w:rsidRPr="00EB7E9E">
        <w:rPr>
          <w:smallCaps/>
          <w:lang w:val="en-US"/>
        </w:rPr>
        <w:t>translation</w:t>
      </w:r>
      <w:r w:rsidR="009F7D98" w:rsidRPr="00EB7E9E">
        <w:rPr>
          <w:lang w:val="en-US"/>
        </w:rPr>
        <w:t>] “</w:t>
      </w:r>
      <w:r w:rsidR="00850CA5" w:rsidRPr="00EB7E9E">
        <w:rPr>
          <w:lang w:val="en-US"/>
        </w:rPr>
        <w:t>[a]</w:t>
      </w:r>
      <w:r w:rsidR="001D4908" w:rsidRPr="00EB7E9E">
        <w:rPr>
          <w:lang w:val="en-US"/>
        </w:rPr>
        <w:t xml:space="preserve"> </w:t>
      </w:r>
      <w:r w:rsidR="00211ABC">
        <w:rPr>
          <w:lang w:val="en-US"/>
        </w:rPr>
        <w:t>roadside call to a lawyer would no doubt raise a number of issues</w:t>
      </w:r>
      <w:r w:rsidR="00BB6B90" w:rsidRPr="00EB7E9E">
        <w:rPr>
          <w:lang w:val="en-US"/>
        </w:rPr>
        <w:t xml:space="preserve"> </w:t>
      </w:r>
      <w:r w:rsidR="00F835D2">
        <w:rPr>
          <w:lang w:val="en-US"/>
        </w:rPr>
        <w:t>[</w:t>
      </w:r>
      <w:r w:rsidR="00850CA5" w:rsidRPr="00EB7E9E">
        <w:rPr>
          <w:lang w:val="en-US"/>
        </w:rPr>
        <w:t>…</w:t>
      </w:r>
      <w:r w:rsidR="00F835D2">
        <w:rPr>
          <w:lang w:val="en-US"/>
        </w:rPr>
        <w:t>]</w:t>
      </w:r>
      <w:r w:rsidR="00850CA5" w:rsidRPr="00EB7E9E">
        <w:rPr>
          <w:lang w:val="en-US"/>
        </w:rPr>
        <w:t>” or [</w:t>
      </w:r>
      <w:r w:rsidR="00850CA5" w:rsidRPr="00EB7E9E">
        <w:rPr>
          <w:smallCaps/>
          <w:lang w:val="en-US"/>
        </w:rPr>
        <w:t>translation</w:t>
      </w:r>
      <w:r w:rsidR="00850CA5" w:rsidRPr="00EB7E9E">
        <w:rPr>
          <w:lang w:val="en-US"/>
        </w:rPr>
        <w:t>] “[</w:t>
      </w:r>
      <w:proofErr w:type="spellStart"/>
      <w:r w:rsidR="00850CA5" w:rsidRPr="00EB7E9E">
        <w:rPr>
          <w:lang w:val="en-US"/>
        </w:rPr>
        <w:t>i</w:t>
      </w:r>
      <w:proofErr w:type="spellEnd"/>
      <w:r w:rsidR="00850CA5" w:rsidRPr="00EB7E9E">
        <w:rPr>
          <w:lang w:val="en-US"/>
        </w:rPr>
        <w:t xml:space="preserve">]t is unlikely that an officer </w:t>
      </w:r>
      <w:r w:rsidR="00BB6B90">
        <w:rPr>
          <w:lang w:val="en-US"/>
        </w:rPr>
        <w:t>would be able to</w:t>
      </w:r>
      <w:r w:rsidR="00BB6B90" w:rsidRPr="00EB7E9E">
        <w:rPr>
          <w:lang w:val="en-US"/>
        </w:rPr>
        <w:t xml:space="preserve"> </w:t>
      </w:r>
      <w:r w:rsidR="00850CA5" w:rsidRPr="00EB7E9E">
        <w:rPr>
          <w:lang w:val="en-US"/>
        </w:rPr>
        <w:t>assume or guess how a detained person will behave und</w:t>
      </w:r>
      <w:r w:rsidR="00504EB8" w:rsidRPr="00EB7E9E">
        <w:rPr>
          <w:lang w:val="en-US"/>
        </w:rPr>
        <w:t>er the effect of alcohol”</w:t>
      </w:r>
      <w:r w:rsidR="00F835D2">
        <w:rPr>
          <w:lang w:val="en-US"/>
        </w:rPr>
        <w:t>,</w:t>
      </w:r>
      <w:r w:rsidR="00504EB8" w:rsidRPr="00EB7E9E">
        <w:rPr>
          <w:lang w:val="en-US"/>
        </w:rPr>
        <w:t xml:space="preserve"> she wa</w:t>
      </w:r>
      <w:r w:rsidR="00850CA5" w:rsidRPr="00EB7E9E">
        <w:rPr>
          <w:lang w:val="en-US"/>
        </w:rPr>
        <w:t>s straying from the evidence and relying on hypotheses</w:t>
      </w:r>
      <w:r w:rsidR="001D4908" w:rsidRPr="00EB7E9E">
        <w:rPr>
          <w:lang w:val="en-US"/>
        </w:rPr>
        <w:t xml:space="preserve">: </w:t>
      </w:r>
      <w:r w:rsidR="00850CA5" w:rsidRPr="00EB7E9E">
        <w:rPr>
          <w:lang w:val="en-US"/>
        </w:rPr>
        <w:t xml:space="preserve">what </w:t>
      </w:r>
      <w:r w:rsidR="0016054C">
        <w:rPr>
          <w:lang w:val="en-US"/>
        </w:rPr>
        <w:t>conduct</w:t>
      </w:r>
      <w:r w:rsidR="00850CA5" w:rsidRPr="00EB7E9E">
        <w:rPr>
          <w:lang w:val="en-US"/>
        </w:rPr>
        <w:t xml:space="preserve"> is to be expected from a police office. But that is not what matters. The Court of Qu</w:t>
      </w:r>
      <w:r w:rsidR="00E54A72">
        <w:rPr>
          <w:lang w:val="en-US"/>
        </w:rPr>
        <w:t>é</w:t>
      </w:r>
      <w:r w:rsidR="00850CA5" w:rsidRPr="00EB7E9E">
        <w:rPr>
          <w:lang w:val="en-US"/>
        </w:rPr>
        <w:t>bec judge drew</w:t>
      </w:r>
      <w:r w:rsidR="00850CA5">
        <w:rPr>
          <w:lang w:val="en-US"/>
        </w:rPr>
        <w:t xml:space="preserve"> factual inferences that deserved deference in the absence of any reviewable error, and the decision as to whether the right had been </w:t>
      </w:r>
      <w:r w:rsidR="00BB6B90">
        <w:rPr>
          <w:lang w:val="en-US"/>
        </w:rPr>
        <w:t xml:space="preserve">infringed </w:t>
      </w:r>
      <w:r w:rsidR="00850CA5">
        <w:rPr>
          <w:lang w:val="en-US"/>
        </w:rPr>
        <w:t xml:space="preserve">had to be based on those inferences. </w:t>
      </w:r>
    </w:p>
    <w:p w14:paraId="6A5EA3BC" w14:textId="36E6999F" w:rsidR="00D93A6C" w:rsidRPr="008941C1" w:rsidRDefault="00850CA5" w:rsidP="00C65766">
      <w:pPr>
        <w:pStyle w:val="Paragraphe"/>
        <w:spacing w:line="280" w:lineRule="exact"/>
        <w:rPr>
          <w:lang w:val="en-US"/>
        </w:rPr>
      </w:pPr>
      <w:r>
        <w:rPr>
          <w:lang w:val="en-US"/>
        </w:rPr>
        <w:t>The Superior Court judge also reversed the burden, writing: [</w:t>
      </w:r>
      <w:r w:rsidRPr="006A2634">
        <w:rPr>
          <w:smallCaps/>
          <w:lang w:val="en-US"/>
        </w:rPr>
        <w:t>translation</w:t>
      </w:r>
      <w:r>
        <w:rPr>
          <w:lang w:val="en-US"/>
        </w:rPr>
        <w:t>] “</w:t>
      </w:r>
      <w:r w:rsidR="00BC25B9">
        <w:rPr>
          <w:lang w:val="en-US"/>
        </w:rPr>
        <w:t>There is no evidence</w:t>
      </w:r>
      <w:r>
        <w:rPr>
          <w:lang w:val="en-US"/>
        </w:rPr>
        <w:t xml:space="preserve"> that there would </w:t>
      </w:r>
      <w:r w:rsidR="00BC25B9">
        <w:rPr>
          <w:lang w:val="en-US"/>
        </w:rPr>
        <w:t xml:space="preserve">not </w:t>
      </w:r>
      <w:r>
        <w:rPr>
          <w:lang w:val="en-US"/>
        </w:rPr>
        <w:t xml:space="preserve">have been </w:t>
      </w:r>
      <w:r w:rsidR="00BC25B9">
        <w:rPr>
          <w:lang w:val="en-US"/>
        </w:rPr>
        <w:t xml:space="preserve">an </w:t>
      </w:r>
      <w:r>
        <w:rPr>
          <w:lang w:val="en-US"/>
        </w:rPr>
        <w:t xml:space="preserve">incident or problem </w:t>
      </w:r>
      <w:r w:rsidR="00BC25B9">
        <w:rPr>
          <w:lang w:val="en-US"/>
        </w:rPr>
        <w:t xml:space="preserve">had </w:t>
      </w:r>
      <w:r>
        <w:rPr>
          <w:lang w:val="en-US"/>
        </w:rPr>
        <w:t xml:space="preserve">the </w:t>
      </w:r>
      <w:r w:rsidR="000E338C">
        <w:rPr>
          <w:lang w:val="en-US"/>
        </w:rPr>
        <w:t>r</w:t>
      </w:r>
      <w:r>
        <w:rPr>
          <w:lang w:val="en-US"/>
        </w:rPr>
        <w:t xml:space="preserve">espondent been left alone in the patrol car.” </w:t>
      </w:r>
      <w:r w:rsidR="00491CF6">
        <w:rPr>
          <w:lang w:val="en-US"/>
        </w:rPr>
        <w:t xml:space="preserve">I </w:t>
      </w:r>
      <w:r>
        <w:rPr>
          <w:lang w:val="en-US"/>
        </w:rPr>
        <w:t xml:space="preserve">will say it again: it is up to the prosecution to </w:t>
      </w:r>
      <w:r w:rsidR="00446DD2">
        <w:rPr>
          <w:lang w:val="en-US"/>
        </w:rPr>
        <w:t xml:space="preserve">prove </w:t>
      </w:r>
      <w:r>
        <w:rPr>
          <w:lang w:val="en-US"/>
        </w:rPr>
        <w:t>that the delay was reasonable</w:t>
      </w:r>
      <w:r w:rsidR="007C3C33">
        <w:rPr>
          <w:lang w:val="en-US"/>
        </w:rPr>
        <w:t>—</w:t>
      </w:r>
      <w:r>
        <w:rPr>
          <w:lang w:val="en-US"/>
        </w:rPr>
        <w:t xml:space="preserve">it is not up to the accused to make sure the evidence demonstrates that </w:t>
      </w:r>
      <w:r w:rsidR="00446DD2">
        <w:rPr>
          <w:lang w:val="en-US"/>
        </w:rPr>
        <w:t>it was not</w:t>
      </w:r>
      <w:r>
        <w:rPr>
          <w:lang w:val="en-US"/>
        </w:rPr>
        <w:t xml:space="preserve">. </w:t>
      </w:r>
    </w:p>
    <w:p w14:paraId="4BBC54F6" w14:textId="137B8D48" w:rsidR="00D93A6C" w:rsidRPr="00212C65" w:rsidRDefault="00212C65" w:rsidP="00C65766">
      <w:pPr>
        <w:pStyle w:val="Paragraphe"/>
        <w:spacing w:line="280" w:lineRule="exact"/>
        <w:rPr>
          <w:lang w:val="en-US"/>
        </w:rPr>
      </w:pPr>
      <w:r w:rsidRPr="00212C65">
        <w:rPr>
          <w:lang w:val="en-US"/>
        </w:rPr>
        <w:t xml:space="preserve">The </w:t>
      </w:r>
      <w:r w:rsidR="00504EB8">
        <w:rPr>
          <w:lang w:val="en-US"/>
        </w:rPr>
        <w:t>message in the Superior Court judg</w:t>
      </w:r>
      <w:r>
        <w:rPr>
          <w:lang w:val="en-US"/>
        </w:rPr>
        <w:t>ment is clear: a roadside telephone call will never be a reasonable option, because it cannot be confidentia</w:t>
      </w:r>
      <w:r w:rsidR="001D4908" w:rsidRPr="00212C65">
        <w:rPr>
          <w:lang w:val="en-US"/>
        </w:rPr>
        <w:t>l</w:t>
      </w:r>
      <w:r>
        <w:rPr>
          <w:lang w:val="en-US"/>
        </w:rPr>
        <w:t xml:space="preserve"> and will always endanger the safety of the police officer and the others. </w:t>
      </w:r>
      <w:r w:rsidR="007330FE">
        <w:rPr>
          <w:lang w:val="en-US"/>
        </w:rPr>
        <w:t>Yet, that is not the state of the law.</w:t>
      </w:r>
      <w:r>
        <w:rPr>
          <w:lang w:val="en-US"/>
        </w:rPr>
        <w:t xml:space="preserve"> </w:t>
      </w:r>
    </w:p>
    <w:p w14:paraId="13145044" w14:textId="20D88FA5" w:rsidR="00D93A6C" w:rsidRPr="00212C65" w:rsidRDefault="00491CF6" w:rsidP="00612B7B">
      <w:pPr>
        <w:pStyle w:val="Paragraphe"/>
        <w:spacing w:after="0" w:line="280" w:lineRule="exact"/>
        <w:rPr>
          <w:lang w:val="en-US"/>
        </w:rPr>
      </w:pPr>
      <w:r>
        <w:rPr>
          <w:lang w:val="en-US"/>
        </w:rPr>
        <w:t xml:space="preserve">I </w:t>
      </w:r>
      <w:r w:rsidR="00212C65">
        <w:rPr>
          <w:lang w:val="en-US"/>
        </w:rPr>
        <w:t xml:space="preserve">return to </w:t>
      </w:r>
      <w:r w:rsidR="001D4908" w:rsidRPr="00212C65">
        <w:rPr>
          <w:i/>
          <w:lang w:val="en-US"/>
        </w:rPr>
        <w:t>Tremblay</w:t>
      </w:r>
      <w:r w:rsidR="001D4908" w:rsidRPr="00212C65">
        <w:rPr>
          <w:lang w:val="en-US"/>
        </w:rPr>
        <w:t>:</w:t>
      </w:r>
    </w:p>
    <w:p w14:paraId="0D57ED97" w14:textId="293E8985" w:rsidR="00504EB8" w:rsidRDefault="00504EB8" w:rsidP="00612B7B">
      <w:pPr>
        <w:pStyle w:val="Paragraphe"/>
        <w:numPr>
          <w:ilvl w:val="0"/>
          <w:numId w:val="0"/>
        </w:numPr>
        <w:spacing w:before="0" w:after="0"/>
        <w:rPr>
          <w:lang w:val="en-US"/>
        </w:rPr>
      </w:pPr>
      <w:r>
        <w:rPr>
          <w:lang w:val="en-US"/>
        </w:rPr>
        <w:tab/>
      </w:r>
      <w:r w:rsidRPr="00504EB8">
        <w:rPr>
          <w:sz w:val="22"/>
          <w:lang w:val="en-US"/>
        </w:rPr>
        <w:t>[</w:t>
      </w:r>
      <w:r w:rsidRPr="0016054C">
        <w:rPr>
          <w:smallCaps/>
          <w:sz w:val="22"/>
          <w:lang w:val="en-US"/>
        </w:rPr>
        <w:t>translation</w:t>
      </w:r>
      <w:r w:rsidRPr="00504EB8">
        <w:rPr>
          <w:sz w:val="22"/>
          <w:lang w:val="en-US"/>
        </w:rPr>
        <w:t xml:space="preserve">] </w:t>
      </w:r>
    </w:p>
    <w:p w14:paraId="014265C5" w14:textId="1749E54C" w:rsidR="00D93A6C" w:rsidRPr="00212C65" w:rsidRDefault="001D4908" w:rsidP="00C65766">
      <w:pPr>
        <w:pStyle w:val="Citationenretrait"/>
        <w:rPr>
          <w:lang w:val="en-US"/>
        </w:rPr>
      </w:pPr>
      <w:r w:rsidRPr="00212C65">
        <w:rPr>
          <w:lang w:val="en-US"/>
        </w:rPr>
        <w:t>[41]</w:t>
      </w:r>
      <w:r w:rsidRPr="00212C65">
        <w:rPr>
          <w:lang w:val="en-US"/>
        </w:rPr>
        <w:tab/>
      </w:r>
      <w:r w:rsidR="00212C65">
        <w:rPr>
          <w:lang w:val="en-US"/>
        </w:rPr>
        <w:t xml:space="preserve">The appellant </w:t>
      </w:r>
      <w:r w:rsidR="00212C65" w:rsidRPr="00212C65">
        <w:rPr>
          <w:lang w:val="en-CA"/>
        </w:rPr>
        <w:t xml:space="preserve">writes in its memorandum </w:t>
      </w:r>
      <w:r w:rsidR="00212C65" w:rsidRPr="00212C65">
        <w:rPr>
          <w:smallCaps/>
          <w:lang w:val="en-CA"/>
        </w:rPr>
        <w:t>[translation</w:t>
      </w:r>
      <w:r w:rsidR="00212C65" w:rsidRPr="00212C65">
        <w:rPr>
          <w:lang w:val="en-CA"/>
        </w:rPr>
        <w:t xml:space="preserve">] “that the advent and proliferation of cell phones do not bring about a new constitutional era in which an individual could consult the lawyer of his or her choice at the side of the road while waiting for the tow truck to arrive”. If this means that it cannot be decreed, </w:t>
      </w:r>
      <w:r w:rsidR="00212C65" w:rsidRPr="00212C65">
        <w:rPr>
          <w:u w:val="single"/>
          <w:lang w:val="en-CA"/>
        </w:rPr>
        <w:t>in all cases</w:t>
      </w:r>
      <w:r w:rsidR="00212C65" w:rsidRPr="00212C65">
        <w:rPr>
          <w:lang w:val="en-CA"/>
        </w:rPr>
        <w:t xml:space="preserve">, that the person must be authorized to do so, I agree. On the other hand, if it means that it can </w:t>
      </w:r>
      <w:r w:rsidR="00212C65" w:rsidRPr="00212C65">
        <w:rPr>
          <w:u w:val="single"/>
          <w:lang w:val="en-CA"/>
        </w:rPr>
        <w:t>never</w:t>
      </w:r>
      <w:r w:rsidR="00212C65" w:rsidRPr="00212C65">
        <w:rPr>
          <w:lang w:val="en-CA"/>
        </w:rPr>
        <w:t xml:space="preserve"> be done, I disagree entirely. It all depends on the circumstance</w:t>
      </w:r>
      <w:r w:rsidR="000E052C">
        <w:rPr>
          <w:lang w:val="en-CA"/>
        </w:rPr>
        <w:t>s</w:t>
      </w:r>
      <w:r w:rsidR="00212C65" w:rsidRPr="00212C65">
        <w:rPr>
          <w:lang w:val="en-CA"/>
        </w:rPr>
        <w:t xml:space="preserve"> and I disagree with the appellant when it adds: [</w:t>
      </w:r>
      <w:r w:rsidR="00212C65" w:rsidRPr="00212C65">
        <w:rPr>
          <w:smallCaps/>
          <w:lang w:val="en-CA"/>
        </w:rPr>
        <w:t>translation</w:t>
      </w:r>
      <w:r w:rsidR="00212C65" w:rsidRPr="00212C65">
        <w:rPr>
          <w:lang w:val="en-CA"/>
        </w:rPr>
        <w:t xml:space="preserve">] “This is the essence of the debate”. The essence of the debate is not whether the advent of the cell phone changes the law and allows its use. Rather, in my view, the essence of the debate is to determine what police officers should take into account in deciding whether or not to authorize its use for the purpose of consulting </w:t>
      </w:r>
      <w:r w:rsidR="00212C65">
        <w:rPr>
          <w:lang w:val="en-CA"/>
        </w:rPr>
        <w:t>a lawyer.</w:t>
      </w:r>
    </w:p>
    <w:p w14:paraId="6B46D49C" w14:textId="3B66C21A" w:rsidR="00D93A6C" w:rsidRPr="00212C65" w:rsidRDefault="000E052C" w:rsidP="00C65766">
      <w:pPr>
        <w:pStyle w:val="Citationenretrait"/>
        <w:rPr>
          <w:lang w:val="en-US"/>
        </w:rPr>
      </w:pPr>
      <w:r>
        <w:rPr>
          <w:lang w:val="en-US"/>
        </w:rPr>
        <w:t>[</w:t>
      </w:r>
      <w:r w:rsidR="001D4908" w:rsidRPr="00212C65">
        <w:rPr>
          <w:lang w:val="en-US"/>
        </w:rPr>
        <w:t>…</w:t>
      </w:r>
      <w:r>
        <w:rPr>
          <w:lang w:val="en-US"/>
        </w:rPr>
        <w:t>]</w:t>
      </w:r>
    </w:p>
    <w:p w14:paraId="17575EA9" w14:textId="0D8E8EC1" w:rsidR="00D93A6C" w:rsidRPr="00212C65" w:rsidRDefault="001D4908" w:rsidP="00C65766">
      <w:pPr>
        <w:pStyle w:val="Citationenretrait"/>
        <w:rPr>
          <w:lang w:val="en-US"/>
        </w:rPr>
      </w:pPr>
      <w:r w:rsidRPr="00212C65">
        <w:rPr>
          <w:lang w:val="en-US"/>
        </w:rPr>
        <w:t>[53]</w:t>
      </w:r>
      <w:r w:rsidRPr="00212C65">
        <w:rPr>
          <w:lang w:val="en-US"/>
        </w:rPr>
        <w:tab/>
      </w:r>
      <w:r w:rsidR="00212C65">
        <w:rPr>
          <w:lang w:val="en-US"/>
        </w:rPr>
        <w:t xml:space="preserve">In short, </w:t>
      </w:r>
      <w:r w:rsidR="00212C65" w:rsidRPr="00212C65">
        <w:rPr>
          <w:lang w:val="en-CA"/>
        </w:rPr>
        <w:t xml:space="preserve">hypotheses and assumptions, such as those raised by the appellant (as the Court of Québec judge concluded), are not sufficient for it to discharge its burden, which requires proof of real obstacles, such as an </w:t>
      </w:r>
      <w:r w:rsidR="00212C65" w:rsidRPr="00212C65">
        <w:rPr>
          <w:lang w:val="en-CA"/>
        </w:rPr>
        <w:lastRenderedPageBreak/>
        <w:t xml:space="preserve">emergency, a danger or a rule of law: </w:t>
      </w:r>
      <w:r w:rsidR="00212C65" w:rsidRPr="00212C65">
        <w:rPr>
          <w:i/>
          <w:iCs/>
          <w:lang w:val="en-CA"/>
        </w:rPr>
        <w:t xml:space="preserve">R. v. </w:t>
      </w:r>
      <w:proofErr w:type="spellStart"/>
      <w:r w:rsidR="00212C65" w:rsidRPr="00212C65">
        <w:rPr>
          <w:i/>
          <w:iCs/>
          <w:lang w:val="en-CA"/>
        </w:rPr>
        <w:t>Suberu</w:t>
      </w:r>
      <w:proofErr w:type="spellEnd"/>
      <w:r w:rsidR="00212C65" w:rsidRPr="00212C65">
        <w:rPr>
          <w:lang w:val="en-CA"/>
        </w:rPr>
        <w:t xml:space="preserve">, 2009 SCC 33, [2009] 2 S.C.R. 460; </w:t>
      </w:r>
      <w:r w:rsidR="00212C65" w:rsidRPr="00212C65">
        <w:rPr>
          <w:i/>
          <w:iCs/>
          <w:lang w:val="en-CA"/>
        </w:rPr>
        <w:t>R. v. Strachan</w:t>
      </w:r>
      <w:r w:rsidR="00212C65" w:rsidRPr="00212C65">
        <w:rPr>
          <w:lang w:val="en-CA"/>
        </w:rPr>
        <w:t xml:space="preserve">, [1988] 2 S.C.R. 980. Recently, in </w:t>
      </w:r>
      <w:r w:rsidR="00212C65" w:rsidRPr="00212C65">
        <w:rPr>
          <w:i/>
          <w:iCs/>
          <w:lang w:val="en-CA"/>
        </w:rPr>
        <w:t>R. v. La</w:t>
      </w:r>
      <w:r w:rsidR="00212C65" w:rsidRPr="00212C65">
        <w:rPr>
          <w:lang w:val="en-CA"/>
        </w:rPr>
        <w:t xml:space="preserve">, 2018 ONCA 830, the Ontario Court of Appeal emphasized that factual evidence of particular circumstances is required to justify a delay, and mere suppositions </w:t>
      </w:r>
      <w:r w:rsidR="00212C65">
        <w:rPr>
          <w:lang w:val="en-CA"/>
        </w:rPr>
        <w:t xml:space="preserve">are not sufficient </w:t>
      </w:r>
      <w:r w:rsidR="001104F2">
        <w:rPr>
          <w:lang w:val="en-CA"/>
        </w:rPr>
        <w:t>[</w:t>
      </w:r>
      <w:r w:rsidRPr="00212C65">
        <w:rPr>
          <w:lang w:val="en-US"/>
        </w:rPr>
        <w:t>…</w:t>
      </w:r>
      <w:r w:rsidR="001104F2">
        <w:rPr>
          <w:lang w:val="en-US"/>
        </w:rPr>
        <w:t>]</w:t>
      </w:r>
    </w:p>
    <w:p w14:paraId="0DD72D53" w14:textId="2F0B6B35" w:rsidR="00D93A6C" w:rsidRPr="00212C65" w:rsidRDefault="00212C65" w:rsidP="00C65766">
      <w:pPr>
        <w:pStyle w:val="Paragraphe"/>
        <w:spacing w:line="280" w:lineRule="exact"/>
        <w:rPr>
          <w:lang w:val="en-US"/>
        </w:rPr>
      </w:pPr>
      <w:r>
        <w:rPr>
          <w:lang w:val="en-US"/>
        </w:rPr>
        <w:t>In short, given the Court of Qu</w:t>
      </w:r>
      <w:r w:rsidR="00E54A72">
        <w:rPr>
          <w:lang w:val="en-US"/>
        </w:rPr>
        <w:t>é</w:t>
      </w:r>
      <w:r>
        <w:rPr>
          <w:lang w:val="en-US"/>
        </w:rPr>
        <w:t xml:space="preserve">bec judge’s findings of fact, the Superior Court judge could not </w:t>
      </w:r>
      <w:r w:rsidR="007330FE">
        <w:rPr>
          <w:lang w:val="en-US"/>
        </w:rPr>
        <w:t xml:space="preserve">quash </w:t>
      </w:r>
      <w:r>
        <w:rPr>
          <w:lang w:val="en-US"/>
        </w:rPr>
        <w:t>her decision as she did</w:t>
      </w:r>
      <w:r w:rsidR="001D4908" w:rsidRPr="00212C65">
        <w:rPr>
          <w:lang w:val="en-US"/>
        </w:rPr>
        <w:t>.</w:t>
      </w:r>
    </w:p>
    <w:p w14:paraId="12F277E9" w14:textId="77777777" w:rsidR="00D93A6C" w:rsidRPr="00212C65" w:rsidRDefault="00511908" w:rsidP="00C65766">
      <w:pPr>
        <w:pStyle w:val="Titre4"/>
        <w:rPr>
          <w:lang w:val="en-US"/>
        </w:rPr>
      </w:pPr>
      <w:r>
        <w:rPr>
          <w:lang w:val="en-US"/>
        </w:rPr>
        <w:t>Section 24</w:t>
      </w:r>
      <w:r w:rsidR="00212C65">
        <w:rPr>
          <w:lang w:val="en-US"/>
        </w:rPr>
        <w:t>(2) of the</w:t>
      </w:r>
      <w:r w:rsidR="001D4908" w:rsidRPr="00212C65">
        <w:rPr>
          <w:lang w:val="en-US"/>
        </w:rPr>
        <w:t xml:space="preserve"> </w:t>
      </w:r>
      <w:r w:rsidR="001D4908" w:rsidRPr="00212C65">
        <w:rPr>
          <w:i/>
          <w:lang w:val="en-US"/>
        </w:rPr>
        <w:t>Charte</w:t>
      </w:r>
      <w:r w:rsidR="00212C65">
        <w:rPr>
          <w:i/>
          <w:lang w:val="en-US"/>
        </w:rPr>
        <w:t>r</w:t>
      </w:r>
    </w:p>
    <w:p w14:paraId="7AEEE64E" w14:textId="3A62D024" w:rsidR="00D93A6C" w:rsidRPr="00212C65" w:rsidRDefault="00916CE1" w:rsidP="00C65766">
      <w:pPr>
        <w:pStyle w:val="Paragraphe"/>
        <w:spacing w:line="280" w:lineRule="exact"/>
        <w:rPr>
          <w:lang w:val="en-US"/>
        </w:rPr>
      </w:pPr>
      <w:r>
        <w:rPr>
          <w:lang w:val="en-US"/>
        </w:rPr>
        <w:t xml:space="preserve">Since she concluded that the right to counsel had not been </w:t>
      </w:r>
      <w:r w:rsidR="00B471DA">
        <w:rPr>
          <w:lang w:val="en-US"/>
        </w:rPr>
        <w:t>infringed</w:t>
      </w:r>
      <w:r>
        <w:rPr>
          <w:lang w:val="en-US"/>
        </w:rPr>
        <w:t>, the Superior Court judge decided not to rule on the exclusion of evidence</w:t>
      </w:r>
      <w:r w:rsidR="00B471DA">
        <w:rPr>
          <w:lang w:val="en-US"/>
        </w:rPr>
        <w:t xml:space="preserve"> and</w:t>
      </w:r>
      <w:r>
        <w:rPr>
          <w:lang w:val="en-US"/>
        </w:rPr>
        <w:t xml:space="preserve"> simply ordered a new trial. At the end of the hearing th</w:t>
      </w:r>
      <w:r w:rsidR="003B6961">
        <w:rPr>
          <w:lang w:val="en-US"/>
        </w:rPr>
        <w:t>e respondent indicated to this C</w:t>
      </w:r>
      <w:r>
        <w:rPr>
          <w:lang w:val="en-US"/>
        </w:rPr>
        <w:t xml:space="preserve">ourt that if the appeal </w:t>
      </w:r>
      <w:r w:rsidR="00DC7FF1">
        <w:rPr>
          <w:lang w:val="en-US"/>
        </w:rPr>
        <w:t xml:space="preserve">were </w:t>
      </w:r>
      <w:r>
        <w:rPr>
          <w:lang w:val="en-US"/>
        </w:rPr>
        <w:t>allowed</w:t>
      </w:r>
      <w:r w:rsidR="00B078BE">
        <w:rPr>
          <w:lang w:val="en-US"/>
        </w:rPr>
        <w:t>,</w:t>
      </w:r>
      <w:r>
        <w:rPr>
          <w:lang w:val="en-US"/>
        </w:rPr>
        <w:t xml:space="preserve"> the case would have to be </w:t>
      </w:r>
      <w:r w:rsidR="00B078BE">
        <w:rPr>
          <w:lang w:val="en-US"/>
        </w:rPr>
        <w:t xml:space="preserve">referred back </w:t>
      </w:r>
      <w:r>
        <w:rPr>
          <w:lang w:val="en-US"/>
        </w:rPr>
        <w:t>to the Superior Co</w:t>
      </w:r>
      <w:r w:rsidR="00504EB8">
        <w:rPr>
          <w:lang w:val="en-US"/>
        </w:rPr>
        <w:t>urt for a ruling on that</w:t>
      </w:r>
      <w:r>
        <w:rPr>
          <w:lang w:val="en-US"/>
        </w:rPr>
        <w:t xml:space="preserve"> issue. The appellant </w:t>
      </w:r>
      <w:r w:rsidR="003B6961">
        <w:rPr>
          <w:lang w:val="en-US"/>
        </w:rPr>
        <w:t xml:space="preserve">disagreed and asked the Court to make its own ruling on the exclusion of evidence. </w:t>
      </w:r>
    </w:p>
    <w:p w14:paraId="3A06352C" w14:textId="7BD7D2E3" w:rsidR="00D93A6C" w:rsidRPr="00212C65" w:rsidRDefault="003B6961" w:rsidP="00C65766">
      <w:pPr>
        <w:pStyle w:val="Paragraphe"/>
        <w:spacing w:line="280" w:lineRule="exact"/>
        <w:rPr>
          <w:lang w:val="en-US"/>
        </w:rPr>
      </w:pPr>
      <w:r>
        <w:rPr>
          <w:lang w:val="en-US"/>
        </w:rPr>
        <w:t xml:space="preserve">In order to avoid any misunderstanding, the Court asked the </w:t>
      </w:r>
      <w:r w:rsidR="001D4908" w:rsidRPr="00212C65">
        <w:rPr>
          <w:lang w:val="en-US"/>
        </w:rPr>
        <w:t xml:space="preserve">parties </w:t>
      </w:r>
      <w:r>
        <w:rPr>
          <w:lang w:val="en-US"/>
        </w:rPr>
        <w:t xml:space="preserve">to send it additional </w:t>
      </w:r>
      <w:r w:rsidR="006B07D3">
        <w:rPr>
          <w:lang w:val="en-US"/>
        </w:rPr>
        <w:t>memoranda</w:t>
      </w:r>
      <w:r>
        <w:rPr>
          <w:lang w:val="en-US"/>
        </w:rPr>
        <w:t xml:space="preserve">, which they did. </w:t>
      </w:r>
    </w:p>
    <w:p w14:paraId="1B32B61F" w14:textId="6843E78A" w:rsidR="00D93A6C" w:rsidRPr="00212C65" w:rsidRDefault="00854DD5" w:rsidP="00C65766">
      <w:pPr>
        <w:pStyle w:val="Paragraphe"/>
        <w:spacing w:line="280" w:lineRule="exact"/>
        <w:rPr>
          <w:lang w:val="en-US"/>
        </w:rPr>
      </w:pPr>
      <w:r>
        <w:rPr>
          <w:lang w:val="en-US"/>
        </w:rPr>
        <w:t>In its memorandum, t</w:t>
      </w:r>
      <w:r w:rsidR="003B6961">
        <w:rPr>
          <w:lang w:val="en-US"/>
        </w:rPr>
        <w:t>he responde</w:t>
      </w:r>
      <w:r w:rsidR="00C64F7E">
        <w:rPr>
          <w:lang w:val="en-US"/>
        </w:rPr>
        <w:t>nt argues</w:t>
      </w:r>
      <w:r w:rsidR="003B6961">
        <w:rPr>
          <w:lang w:val="en-US"/>
        </w:rPr>
        <w:t xml:space="preserve"> that the Court is not </w:t>
      </w:r>
      <w:r w:rsidR="00B078BE">
        <w:rPr>
          <w:lang w:val="en-US"/>
        </w:rPr>
        <w:t xml:space="preserve">validly </w:t>
      </w:r>
      <w:r w:rsidR="003B6961">
        <w:rPr>
          <w:lang w:val="en-US"/>
        </w:rPr>
        <w:t xml:space="preserve">seized of </w:t>
      </w:r>
      <w:r w:rsidR="0035059C">
        <w:rPr>
          <w:lang w:val="en-US"/>
        </w:rPr>
        <w:t xml:space="preserve">this </w:t>
      </w:r>
      <w:r w:rsidR="003B6961">
        <w:rPr>
          <w:lang w:val="en-US"/>
        </w:rPr>
        <w:t xml:space="preserve">issue, on the ground that the application for leave to appeal did not </w:t>
      </w:r>
      <w:r w:rsidR="00B078BE">
        <w:rPr>
          <w:lang w:val="en-US"/>
        </w:rPr>
        <w:t>concern</w:t>
      </w:r>
      <w:r w:rsidR="003B6961">
        <w:rPr>
          <w:lang w:val="en-US"/>
        </w:rPr>
        <w:t xml:space="preserve"> the exclusion of evidence nor did the judgment granting leave to appeal, which would explain its request to have the case </w:t>
      </w:r>
      <w:r w:rsidR="0016054C">
        <w:rPr>
          <w:lang w:val="en-US"/>
        </w:rPr>
        <w:t>referred</w:t>
      </w:r>
      <w:r w:rsidR="00B078BE">
        <w:rPr>
          <w:lang w:val="en-US"/>
        </w:rPr>
        <w:t xml:space="preserve"> </w:t>
      </w:r>
      <w:r w:rsidR="003B6961">
        <w:rPr>
          <w:lang w:val="en-US"/>
        </w:rPr>
        <w:t>back to the Super</w:t>
      </w:r>
      <w:r w:rsidR="00C64F7E">
        <w:rPr>
          <w:lang w:val="en-US"/>
        </w:rPr>
        <w:t xml:space="preserve">ior Court. In any </w:t>
      </w:r>
      <w:r w:rsidR="00B078BE">
        <w:rPr>
          <w:lang w:val="en-US"/>
        </w:rPr>
        <w:t>event</w:t>
      </w:r>
      <w:r w:rsidR="00C64F7E">
        <w:rPr>
          <w:lang w:val="en-US"/>
        </w:rPr>
        <w:t>, it adds</w:t>
      </w:r>
      <w:r w:rsidR="003B6961">
        <w:rPr>
          <w:lang w:val="en-US"/>
        </w:rPr>
        <w:t>, the Court of Qu</w:t>
      </w:r>
      <w:r w:rsidR="00E54A72">
        <w:rPr>
          <w:lang w:val="en-US"/>
        </w:rPr>
        <w:t>é</w:t>
      </w:r>
      <w:r w:rsidR="003B6961">
        <w:rPr>
          <w:lang w:val="en-US"/>
        </w:rPr>
        <w:t>bec judge’s analysis of s</w:t>
      </w:r>
      <w:r>
        <w:rPr>
          <w:lang w:val="en-US"/>
        </w:rPr>
        <w:t xml:space="preserve">. </w:t>
      </w:r>
      <w:r w:rsidR="00511908">
        <w:rPr>
          <w:lang w:val="en-US"/>
        </w:rPr>
        <w:t>24</w:t>
      </w:r>
      <w:r w:rsidR="001D4908" w:rsidRPr="00212C65">
        <w:rPr>
          <w:lang w:val="en-US"/>
        </w:rPr>
        <w:t xml:space="preserve">(2) </w:t>
      </w:r>
      <w:r w:rsidR="003B6961">
        <w:rPr>
          <w:lang w:val="en-US"/>
        </w:rPr>
        <w:t xml:space="preserve">of the </w:t>
      </w:r>
      <w:r w:rsidR="001D4908" w:rsidRPr="00212C65">
        <w:rPr>
          <w:i/>
          <w:lang w:val="en-US"/>
        </w:rPr>
        <w:t>Charte</w:t>
      </w:r>
      <w:r w:rsidR="003B6961">
        <w:rPr>
          <w:i/>
          <w:lang w:val="en-US"/>
        </w:rPr>
        <w:t>r</w:t>
      </w:r>
      <w:r w:rsidR="001D4908" w:rsidRPr="00212C65">
        <w:rPr>
          <w:lang w:val="en-US"/>
        </w:rPr>
        <w:t xml:space="preserve"> </w:t>
      </w:r>
      <w:r w:rsidR="003B6961">
        <w:rPr>
          <w:lang w:val="en-US"/>
        </w:rPr>
        <w:t xml:space="preserve">is </w:t>
      </w:r>
      <w:r w:rsidR="00B078BE">
        <w:rPr>
          <w:lang w:val="en-US"/>
        </w:rPr>
        <w:t xml:space="preserve">vitiated </w:t>
      </w:r>
      <w:r w:rsidR="003B6961">
        <w:rPr>
          <w:lang w:val="en-US"/>
        </w:rPr>
        <w:t>because there is no [</w:t>
      </w:r>
      <w:r w:rsidR="003B6961" w:rsidRPr="006A2634">
        <w:rPr>
          <w:smallCaps/>
          <w:lang w:val="en-US"/>
        </w:rPr>
        <w:t>translation</w:t>
      </w:r>
      <w:r w:rsidR="003B6961">
        <w:rPr>
          <w:lang w:val="en-US"/>
        </w:rPr>
        <w:t xml:space="preserve">] “close </w:t>
      </w:r>
      <w:r w:rsidR="00B078BE">
        <w:rPr>
          <w:lang w:val="en-US"/>
        </w:rPr>
        <w:t xml:space="preserve">connection </w:t>
      </w:r>
      <w:r w:rsidR="003B6961">
        <w:rPr>
          <w:lang w:val="en-US"/>
        </w:rPr>
        <w:t xml:space="preserve">between the alleged </w:t>
      </w:r>
      <w:r w:rsidR="00B078BE">
        <w:rPr>
          <w:lang w:val="en-US"/>
        </w:rPr>
        <w:t xml:space="preserve">violation </w:t>
      </w:r>
      <w:r w:rsidR="003B6961">
        <w:rPr>
          <w:lang w:val="en-US"/>
        </w:rPr>
        <w:t>and the evidence obtained”</w:t>
      </w:r>
      <w:r>
        <w:rPr>
          <w:lang w:val="en-US"/>
        </w:rPr>
        <w:t>.</w:t>
      </w:r>
      <w:r w:rsidR="003B6961">
        <w:rPr>
          <w:lang w:val="en-US"/>
        </w:rPr>
        <w:t xml:space="preserve"> It </w:t>
      </w:r>
      <w:r w:rsidR="00A210D0">
        <w:rPr>
          <w:lang w:val="en-US"/>
        </w:rPr>
        <w:t xml:space="preserve">points out </w:t>
      </w:r>
      <w:r w:rsidR="003B6961">
        <w:rPr>
          <w:lang w:val="en-US"/>
        </w:rPr>
        <w:t xml:space="preserve">that the </w:t>
      </w:r>
      <w:r w:rsidR="00B078BE">
        <w:rPr>
          <w:lang w:val="en-US"/>
        </w:rPr>
        <w:t xml:space="preserve">contested </w:t>
      </w:r>
      <w:r w:rsidR="003B6961">
        <w:rPr>
          <w:lang w:val="en-US"/>
        </w:rPr>
        <w:t xml:space="preserve">evidence </w:t>
      </w:r>
      <w:r w:rsidR="006804F6">
        <w:rPr>
          <w:lang w:val="en-US"/>
        </w:rPr>
        <w:t xml:space="preserve">was </w:t>
      </w:r>
      <w:r w:rsidR="003B6961">
        <w:rPr>
          <w:lang w:val="en-US"/>
        </w:rPr>
        <w:t xml:space="preserve">obtained </w:t>
      </w:r>
      <w:r w:rsidR="00B078BE">
        <w:rPr>
          <w:lang w:val="en-US"/>
        </w:rPr>
        <w:t xml:space="preserve">subsequent to the </w:t>
      </w:r>
      <w:r w:rsidR="003B6961">
        <w:rPr>
          <w:lang w:val="en-US"/>
        </w:rPr>
        <w:t>consultation with a lawyer,</w:t>
      </w:r>
      <w:r w:rsidR="00B078BE">
        <w:rPr>
          <w:lang w:val="en-US"/>
        </w:rPr>
        <w:t xml:space="preserve"> such that the violation, if there was one, had no real effect</w:t>
      </w:r>
      <w:r w:rsidR="001D4908" w:rsidRPr="00212C65">
        <w:rPr>
          <w:lang w:val="en-US"/>
        </w:rPr>
        <w:t>.</w:t>
      </w:r>
    </w:p>
    <w:p w14:paraId="038194A3" w14:textId="6E6D3020" w:rsidR="00D93A6C" w:rsidRPr="00212C65" w:rsidRDefault="006804F6" w:rsidP="00C65766">
      <w:pPr>
        <w:pStyle w:val="Paragraphe"/>
        <w:spacing w:line="280" w:lineRule="exact"/>
        <w:rPr>
          <w:lang w:val="en-US"/>
        </w:rPr>
      </w:pPr>
      <w:r>
        <w:rPr>
          <w:lang w:val="en-US"/>
        </w:rPr>
        <w:t>The appellant contends</w:t>
      </w:r>
      <w:r w:rsidR="00FA79FA">
        <w:rPr>
          <w:lang w:val="en-US"/>
        </w:rPr>
        <w:t xml:space="preserve"> that the Court should use its powers under s</w:t>
      </w:r>
      <w:r w:rsidR="004930DD">
        <w:rPr>
          <w:lang w:val="en-US"/>
        </w:rPr>
        <w:t xml:space="preserve">. </w:t>
      </w:r>
      <w:r w:rsidR="001D4908" w:rsidRPr="00212C65">
        <w:rPr>
          <w:lang w:val="en-US"/>
        </w:rPr>
        <w:t xml:space="preserve">686(8) </w:t>
      </w:r>
      <w:proofErr w:type="spellStart"/>
      <w:r w:rsidR="00FA79FA">
        <w:rPr>
          <w:i/>
          <w:lang w:val="en-US"/>
        </w:rPr>
        <w:t>Cr</w:t>
      </w:r>
      <w:r w:rsidR="00836264">
        <w:rPr>
          <w:i/>
          <w:lang w:val="en-US"/>
        </w:rPr>
        <w:t>.</w:t>
      </w:r>
      <w:r w:rsidR="00FA79FA">
        <w:rPr>
          <w:i/>
          <w:lang w:val="en-US"/>
        </w:rPr>
        <w:t>C</w:t>
      </w:r>
      <w:proofErr w:type="spellEnd"/>
      <w:r w:rsidR="00836264">
        <w:rPr>
          <w:i/>
          <w:lang w:val="en-US"/>
        </w:rPr>
        <w:t>.</w:t>
      </w:r>
      <w:r w:rsidR="001D4908" w:rsidRPr="00212C65">
        <w:rPr>
          <w:i/>
          <w:lang w:val="en-US"/>
        </w:rPr>
        <w:t xml:space="preserve"> </w:t>
      </w:r>
      <w:r w:rsidR="00FA79FA">
        <w:rPr>
          <w:lang w:val="en-US"/>
        </w:rPr>
        <w:t>to [</w:t>
      </w:r>
      <w:r w:rsidR="00FA79FA" w:rsidRPr="006A2634">
        <w:rPr>
          <w:smallCaps/>
          <w:lang w:val="en-US"/>
        </w:rPr>
        <w:t>translation</w:t>
      </w:r>
      <w:r w:rsidR="00FA79FA">
        <w:rPr>
          <w:lang w:val="en-US"/>
        </w:rPr>
        <w:t>] “rule on the ex</w:t>
      </w:r>
      <w:r>
        <w:rPr>
          <w:lang w:val="en-US"/>
        </w:rPr>
        <w:t>clusion of evidence”</w:t>
      </w:r>
      <w:r w:rsidR="004930DD">
        <w:rPr>
          <w:lang w:val="en-US"/>
        </w:rPr>
        <w:t>.</w:t>
      </w:r>
      <w:r>
        <w:rPr>
          <w:lang w:val="en-US"/>
        </w:rPr>
        <w:t xml:space="preserve"> </w:t>
      </w:r>
      <w:r w:rsidR="00236332">
        <w:rPr>
          <w:lang w:val="en-US"/>
        </w:rPr>
        <w:t xml:space="preserve">She </w:t>
      </w:r>
      <w:r>
        <w:rPr>
          <w:lang w:val="en-US"/>
        </w:rPr>
        <w:t>points out that all the facts a</w:t>
      </w:r>
      <w:r w:rsidR="00FA79FA">
        <w:rPr>
          <w:lang w:val="en-US"/>
        </w:rPr>
        <w:t>re</w:t>
      </w:r>
      <w:r>
        <w:rPr>
          <w:lang w:val="en-US"/>
        </w:rPr>
        <w:t xml:space="preserve"> in the </w:t>
      </w:r>
      <w:r w:rsidR="0040575F">
        <w:rPr>
          <w:lang w:val="en-US"/>
        </w:rPr>
        <w:t>record</w:t>
      </w:r>
      <w:r>
        <w:rPr>
          <w:lang w:val="en-US"/>
        </w:rPr>
        <w:t>, that the Court has</w:t>
      </w:r>
      <w:r w:rsidR="00FA79FA">
        <w:rPr>
          <w:lang w:val="en-US"/>
        </w:rPr>
        <w:t xml:space="preserve"> heard the parties’ arguments</w:t>
      </w:r>
      <w:r w:rsidR="0040575F">
        <w:rPr>
          <w:lang w:val="en-US"/>
        </w:rPr>
        <w:t>,</w:t>
      </w:r>
      <w:r w:rsidR="00FA79FA">
        <w:rPr>
          <w:lang w:val="en-US"/>
        </w:rPr>
        <w:t xml:space="preserve"> which they </w:t>
      </w:r>
      <w:r>
        <w:rPr>
          <w:lang w:val="en-US"/>
        </w:rPr>
        <w:t xml:space="preserve">were </w:t>
      </w:r>
      <w:r w:rsidR="00FA79FA">
        <w:rPr>
          <w:lang w:val="en-US"/>
        </w:rPr>
        <w:t xml:space="preserve">able to make before </w:t>
      </w:r>
      <w:r w:rsidR="00695ABC">
        <w:rPr>
          <w:lang w:val="en-US"/>
        </w:rPr>
        <w:t xml:space="preserve">both </w:t>
      </w:r>
      <w:r w:rsidR="00FA79FA">
        <w:rPr>
          <w:lang w:val="en-US"/>
        </w:rPr>
        <w:t>the Court of Qu</w:t>
      </w:r>
      <w:r w:rsidR="00E54A72">
        <w:rPr>
          <w:lang w:val="en-US"/>
        </w:rPr>
        <w:t>é</w:t>
      </w:r>
      <w:r w:rsidR="00FA79FA">
        <w:rPr>
          <w:lang w:val="en-US"/>
        </w:rPr>
        <w:t xml:space="preserve">bec and the </w:t>
      </w:r>
      <w:r>
        <w:rPr>
          <w:lang w:val="en-US"/>
        </w:rPr>
        <w:t xml:space="preserve">Superior Court, and that </w:t>
      </w:r>
      <w:r w:rsidR="0040575F">
        <w:rPr>
          <w:lang w:val="en-US"/>
        </w:rPr>
        <w:t xml:space="preserve">the delays are </w:t>
      </w:r>
      <w:r w:rsidR="004320BE">
        <w:rPr>
          <w:lang w:val="en-US"/>
        </w:rPr>
        <w:t>mounting</w:t>
      </w:r>
      <w:r>
        <w:rPr>
          <w:lang w:val="en-US"/>
        </w:rPr>
        <w:t>; it has</w:t>
      </w:r>
      <w:r w:rsidR="00FA79FA">
        <w:rPr>
          <w:lang w:val="en-US"/>
        </w:rPr>
        <w:t xml:space="preserve"> already been more than five years since the events happened. With regard to the e</w:t>
      </w:r>
      <w:r>
        <w:rPr>
          <w:lang w:val="en-US"/>
        </w:rPr>
        <w:t>xclusion of evidence, she argues</w:t>
      </w:r>
      <w:r w:rsidR="00FA79FA">
        <w:rPr>
          <w:lang w:val="en-US"/>
        </w:rPr>
        <w:t xml:space="preserve"> that</w:t>
      </w:r>
      <w:r w:rsidR="00487785">
        <w:rPr>
          <w:lang w:val="en-US"/>
        </w:rPr>
        <w:t>, absent a causal link,</w:t>
      </w:r>
      <w:r w:rsidR="00FA79FA">
        <w:rPr>
          <w:lang w:val="en-US"/>
        </w:rPr>
        <w:t xml:space="preserve"> the temporal link </w:t>
      </w:r>
      <w:r w:rsidR="00487785">
        <w:rPr>
          <w:lang w:val="en-US"/>
        </w:rPr>
        <w:t xml:space="preserve">in the present matter </w:t>
      </w:r>
      <w:r w:rsidR="00FA79FA">
        <w:rPr>
          <w:lang w:val="en-US"/>
        </w:rPr>
        <w:t>is amply sufficient.</w:t>
      </w:r>
    </w:p>
    <w:p w14:paraId="1D2FEEBC" w14:textId="329180FA" w:rsidR="00D93A6C" w:rsidRPr="00212C65" w:rsidRDefault="00FA79FA" w:rsidP="00C65766">
      <w:pPr>
        <w:pStyle w:val="Paragraphe"/>
        <w:spacing w:line="280" w:lineRule="exact"/>
        <w:rPr>
          <w:lang w:val="en-US"/>
        </w:rPr>
      </w:pPr>
      <w:r>
        <w:rPr>
          <w:lang w:val="en-US"/>
        </w:rPr>
        <w:t xml:space="preserve">When our colleague </w:t>
      </w:r>
      <w:r w:rsidR="004F0DC2">
        <w:rPr>
          <w:lang w:val="en-US"/>
        </w:rPr>
        <w:t>authorized this appeal</w:t>
      </w:r>
      <w:r>
        <w:rPr>
          <w:lang w:val="en-US"/>
        </w:rPr>
        <w:t xml:space="preserve">, she </w:t>
      </w:r>
      <w:r w:rsidR="0026059B">
        <w:rPr>
          <w:lang w:val="en-US"/>
        </w:rPr>
        <w:t xml:space="preserve">evidently </w:t>
      </w:r>
      <w:r>
        <w:rPr>
          <w:lang w:val="en-US"/>
        </w:rPr>
        <w:t xml:space="preserve">did so based on the issues of law set out in the application for leave. The appellant </w:t>
      </w:r>
      <w:r w:rsidR="004F0DC2">
        <w:rPr>
          <w:lang w:val="en-US"/>
        </w:rPr>
        <w:t xml:space="preserve">contested </w:t>
      </w:r>
      <w:r>
        <w:rPr>
          <w:lang w:val="en-US"/>
        </w:rPr>
        <w:t>the</w:t>
      </w:r>
      <w:r w:rsidR="004F0DC2">
        <w:rPr>
          <w:lang w:val="en-US"/>
        </w:rPr>
        <w:t xml:space="preserve"> order for a</w:t>
      </w:r>
      <w:r>
        <w:rPr>
          <w:lang w:val="en-US"/>
        </w:rPr>
        <w:t xml:space="preserve"> new trial and wanted to convince the Court to reinstate the acquittal; to do so, she </w:t>
      </w:r>
      <w:r w:rsidR="00EE644B">
        <w:rPr>
          <w:lang w:val="en-US"/>
        </w:rPr>
        <w:t>naturally focused on the judgment rendered by the Superior Court, not the one rendered by the Court of Qu</w:t>
      </w:r>
      <w:r w:rsidR="00E54A72">
        <w:rPr>
          <w:lang w:val="en-US"/>
        </w:rPr>
        <w:t>é</w:t>
      </w:r>
      <w:r w:rsidR="00EE644B">
        <w:rPr>
          <w:lang w:val="en-US"/>
        </w:rPr>
        <w:t xml:space="preserve">bec. </w:t>
      </w:r>
    </w:p>
    <w:p w14:paraId="52E65AA4" w14:textId="7C2CFEA3" w:rsidR="00D93A6C" w:rsidRPr="00212C65" w:rsidRDefault="00E762F8" w:rsidP="00C65766">
      <w:pPr>
        <w:pStyle w:val="Paragraphe"/>
        <w:spacing w:line="280" w:lineRule="exact"/>
        <w:rPr>
          <w:lang w:val="en-US"/>
        </w:rPr>
      </w:pPr>
      <w:r>
        <w:rPr>
          <w:lang w:val="en-US"/>
        </w:rPr>
        <w:lastRenderedPageBreak/>
        <w:t>I</w:t>
      </w:r>
      <w:r w:rsidR="0026059B">
        <w:rPr>
          <w:lang w:val="en-US"/>
        </w:rPr>
        <w:t>t goes without saying</w:t>
      </w:r>
      <w:r>
        <w:rPr>
          <w:lang w:val="en-US"/>
        </w:rPr>
        <w:t>, it seems to me,</w:t>
      </w:r>
      <w:r w:rsidR="0026059B">
        <w:rPr>
          <w:lang w:val="en-US"/>
        </w:rPr>
        <w:t xml:space="preserve"> </w:t>
      </w:r>
      <w:r w:rsidR="00275ED8">
        <w:rPr>
          <w:lang w:val="en-US"/>
        </w:rPr>
        <w:t xml:space="preserve">that the application for leave to appeal </w:t>
      </w:r>
      <w:r w:rsidR="00695ABC">
        <w:rPr>
          <w:lang w:val="en-US"/>
        </w:rPr>
        <w:t>encompass</w:t>
      </w:r>
      <w:r w:rsidR="00967AC1">
        <w:rPr>
          <w:lang w:val="en-US"/>
        </w:rPr>
        <w:t>ed</w:t>
      </w:r>
      <w:r w:rsidR="00275ED8">
        <w:rPr>
          <w:lang w:val="en-US"/>
        </w:rPr>
        <w:t xml:space="preserve"> the issue of </w:t>
      </w:r>
      <w:r w:rsidR="003E733D">
        <w:rPr>
          <w:lang w:val="en-US"/>
        </w:rPr>
        <w:t xml:space="preserve">the </w:t>
      </w:r>
      <w:r w:rsidR="00275ED8">
        <w:rPr>
          <w:lang w:val="en-US"/>
        </w:rPr>
        <w:t xml:space="preserve">exclusion of evidence, </w:t>
      </w:r>
      <w:r w:rsidR="0041311C">
        <w:rPr>
          <w:lang w:val="en-US"/>
        </w:rPr>
        <w:t xml:space="preserve">whether </w:t>
      </w:r>
      <w:r w:rsidR="003330BE">
        <w:rPr>
          <w:lang w:val="en-US"/>
        </w:rPr>
        <w:t xml:space="preserve">explicitly </w:t>
      </w:r>
      <w:r w:rsidR="00275ED8">
        <w:rPr>
          <w:lang w:val="en-US"/>
        </w:rPr>
        <w:t xml:space="preserve">or implicitly. Since the Superior Court </w:t>
      </w:r>
      <w:r w:rsidR="006804F6">
        <w:rPr>
          <w:lang w:val="en-US"/>
        </w:rPr>
        <w:t>did not overturn</w:t>
      </w:r>
      <w:r w:rsidR="00275ED8">
        <w:rPr>
          <w:lang w:val="en-US"/>
        </w:rPr>
        <w:t xml:space="preserve"> </w:t>
      </w:r>
      <w:r w:rsidR="00A27FF3">
        <w:rPr>
          <w:lang w:val="en-US"/>
        </w:rPr>
        <w:t>the exclusion</w:t>
      </w:r>
      <w:r w:rsidR="00275ED8">
        <w:rPr>
          <w:lang w:val="en-US"/>
        </w:rPr>
        <w:t xml:space="preserve">, on the ground that </w:t>
      </w:r>
      <w:r w:rsidR="00A27FF3">
        <w:rPr>
          <w:lang w:val="en-US"/>
        </w:rPr>
        <w:t xml:space="preserve">the issue </w:t>
      </w:r>
      <w:r w:rsidR="00275ED8">
        <w:rPr>
          <w:lang w:val="en-US"/>
        </w:rPr>
        <w:t xml:space="preserve">had become moot, the Superior Court judge could not have committed an error of law by not ruling on it. The appellant therefore could not have </w:t>
      </w:r>
      <w:r w:rsidR="00692ED0">
        <w:rPr>
          <w:lang w:val="en-US"/>
        </w:rPr>
        <w:t xml:space="preserve">raised </w:t>
      </w:r>
      <w:r w:rsidR="00275ED8">
        <w:rPr>
          <w:lang w:val="en-US"/>
        </w:rPr>
        <w:t>such an error in her application for leave</w:t>
      </w:r>
      <w:r w:rsidR="004F0DC2">
        <w:rPr>
          <w:lang w:val="en-US"/>
        </w:rPr>
        <w:t xml:space="preserve"> to appeal</w:t>
      </w:r>
      <w:r w:rsidR="00275ED8">
        <w:rPr>
          <w:lang w:val="en-US"/>
        </w:rPr>
        <w:t>. Nevertheless, in asking for</w:t>
      </w:r>
      <w:r w:rsidR="00695ABC">
        <w:rPr>
          <w:lang w:val="en-US"/>
        </w:rPr>
        <w:t xml:space="preserve"> the acquittal to be reinstated</w:t>
      </w:r>
      <w:r w:rsidR="00275ED8">
        <w:rPr>
          <w:lang w:val="en-US"/>
        </w:rPr>
        <w:t xml:space="preserve"> she was </w:t>
      </w:r>
      <w:r w:rsidR="00695ABC">
        <w:rPr>
          <w:lang w:val="en-US"/>
        </w:rPr>
        <w:t xml:space="preserve">necessarily </w:t>
      </w:r>
      <w:r w:rsidR="00275ED8">
        <w:rPr>
          <w:lang w:val="en-US"/>
        </w:rPr>
        <w:t>asking for the evidence to remain excluded. Similarly, in contesting the appeal at the Superior Court level, the appellant</w:t>
      </w:r>
      <w:r w:rsidR="006804F6">
        <w:rPr>
          <w:lang w:val="en-US"/>
        </w:rPr>
        <w:t xml:space="preserve"> </w:t>
      </w:r>
      <w:r w:rsidR="004E1E3C">
        <w:rPr>
          <w:lang w:val="en-US"/>
        </w:rPr>
        <w:t xml:space="preserve">was </w:t>
      </w:r>
      <w:r w:rsidR="006804F6">
        <w:rPr>
          <w:lang w:val="en-US"/>
        </w:rPr>
        <w:t>invok</w:t>
      </w:r>
      <w:r w:rsidR="004E1E3C">
        <w:rPr>
          <w:lang w:val="en-US"/>
        </w:rPr>
        <w:t>ing</w:t>
      </w:r>
      <w:r w:rsidR="006804F6">
        <w:rPr>
          <w:lang w:val="en-US"/>
        </w:rPr>
        <w:t xml:space="preserve"> the absence of error by</w:t>
      </w:r>
      <w:r w:rsidR="00275ED8">
        <w:rPr>
          <w:lang w:val="en-US"/>
        </w:rPr>
        <w:t xml:space="preserve"> the Court of Qu</w:t>
      </w:r>
      <w:r w:rsidR="00E54A72">
        <w:rPr>
          <w:lang w:val="en-US"/>
        </w:rPr>
        <w:t>é</w:t>
      </w:r>
      <w:r w:rsidR="00275ED8">
        <w:rPr>
          <w:lang w:val="en-US"/>
        </w:rPr>
        <w:t xml:space="preserve">bec. In short, it would be unjust to claim that the Court does not have jurisdiction over that </w:t>
      </w:r>
      <w:r w:rsidR="004F0DC2">
        <w:rPr>
          <w:lang w:val="en-US"/>
        </w:rPr>
        <w:t xml:space="preserve">aspect </w:t>
      </w:r>
      <w:r w:rsidR="00275ED8">
        <w:rPr>
          <w:lang w:val="en-US"/>
        </w:rPr>
        <w:t xml:space="preserve">of the appeal simply because the appellant did not raise it in her application for leave to appeal, </w:t>
      </w:r>
      <w:r w:rsidR="004F0DC2">
        <w:rPr>
          <w:lang w:val="en-US"/>
        </w:rPr>
        <w:t xml:space="preserve">especially </w:t>
      </w:r>
      <w:r w:rsidR="00275ED8">
        <w:rPr>
          <w:lang w:val="en-US"/>
        </w:rPr>
        <w:t xml:space="preserve">since all of the evidence is in the </w:t>
      </w:r>
      <w:r w:rsidR="004F0DC2">
        <w:rPr>
          <w:lang w:val="en-US"/>
        </w:rPr>
        <w:t xml:space="preserve">record </w:t>
      </w:r>
      <w:r w:rsidR="00275ED8">
        <w:rPr>
          <w:lang w:val="en-US"/>
        </w:rPr>
        <w:t xml:space="preserve">and both parties have </w:t>
      </w:r>
      <w:r w:rsidR="004F0DC2">
        <w:rPr>
          <w:lang w:val="en-US"/>
        </w:rPr>
        <w:t>had the opportunity</w:t>
      </w:r>
      <w:r w:rsidR="00275ED8">
        <w:rPr>
          <w:lang w:val="en-US"/>
        </w:rPr>
        <w:t xml:space="preserve"> to </w:t>
      </w:r>
      <w:r w:rsidR="004F0DC2">
        <w:rPr>
          <w:lang w:val="en-US"/>
        </w:rPr>
        <w:t>present their positions</w:t>
      </w:r>
      <w:r w:rsidR="00275ED8">
        <w:rPr>
          <w:lang w:val="en-US"/>
        </w:rPr>
        <w:t>.</w:t>
      </w:r>
      <w:r w:rsidR="001D4908" w:rsidRPr="00212C65">
        <w:rPr>
          <w:lang w:val="en-US"/>
        </w:rPr>
        <w:t xml:space="preserve"> </w:t>
      </w:r>
    </w:p>
    <w:p w14:paraId="6A303631" w14:textId="6531B4D7" w:rsidR="00D93A6C" w:rsidRPr="00212C65" w:rsidRDefault="00AC6178" w:rsidP="00C65766">
      <w:pPr>
        <w:pStyle w:val="Paragraphe"/>
        <w:spacing w:line="280" w:lineRule="exact"/>
        <w:rPr>
          <w:lang w:val="en-US"/>
        </w:rPr>
      </w:pPr>
      <w:r>
        <w:rPr>
          <w:lang w:val="en-US"/>
        </w:rPr>
        <w:t>In</w:t>
      </w:r>
      <w:r w:rsidR="001D4908" w:rsidRPr="00212C65">
        <w:rPr>
          <w:lang w:val="en-US"/>
        </w:rPr>
        <w:t xml:space="preserve"> </w:t>
      </w:r>
      <w:r w:rsidR="001D4908" w:rsidRPr="00212C65">
        <w:rPr>
          <w:i/>
          <w:lang w:val="en-US"/>
        </w:rPr>
        <w:t>R. v. Molnar</w:t>
      </w:r>
      <w:r>
        <w:rPr>
          <w:lang w:val="en-US"/>
        </w:rPr>
        <w:t>, 2018 MBCA 61, Hamilton</w:t>
      </w:r>
      <w:r w:rsidR="00284E25">
        <w:rPr>
          <w:lang w:val="en-US"/>
        </w:rPr>
        <w:t>, J.A.</w:t>
      </w:r>
      <w:r>
        <w:rPr>
          <w:lang w:val="en-US"/>
        </w:rPr>
        <w:t xml:space="preserve"> wrote</w:t>
      </w:r>
      <w:r w:rsidR="001D4908" w:rsidRPr="00212C65">
        <w:rPr>
          <w:lang w:val="en-US"/>
        </w:rPr>
        <w:t>:</w:t>
      </w:r>
    </w:p>
    <w:p w14:paraId="569BF63A" w14:textId="72F18AE3" w:rsidR="00D93A6C" w:rsidRPr="00212C65" w:rsidRDefault="001D4908" w:rsidP="009A57C6">
      <w:pPr>
        <w:pStyle w:val="Citationenretrait"/>
        <w:tabs>
          <w:tab w:val="left" w:pos="1440"/>
        </w:tabs>
        <w:rPr>
          <w:lang w:val="en-US"/>
        </w:rPr>
      </w:pPr>
      <w:r w:rsidRPr="00212C65">
        <w:rPr>
          <w:lang w:val="en-US"/>
        </w:rPr>
        <w:t xml:space="preserve">[38] </w:t>
      </w:r>
      <w:r w:rsidR="009A57C6" w:rsidRPr="00212C65">
        <w:rPr>
          <w:lang w:val="en-US"/>
        </w:rPr>
        <w:tab/>
      </w:r>
      <w:r w:rsidRPr="00212C65">
        <w:rPr>
          <w:lang w:val="en-US"/>
        </w:rPr>
        <w:t xml:space="preserve">The trial judge did not make an alternate ruling under section 24(2).  Rather than sending the matter back to the trial judge, the panel chose to rule on the motion, based on the record and findings of fact of the trial judge that are relevant to the required analysis and which are entitled to deference (see </w:t>
      </w:r>
      <w:r w:rsidRPr="00212C65">
        <w:rPr>
          <w:i/>
          <w:lang w:val="en-US"/>
        </w:rPr>
        <w:t>R v Vu</w:t>
      </w:r>
      <w:r w:rsidRPr="00212C65">
        <w:rPr>
          <w:lang w:val="en-US"/>
        </w:rPr>
        <w:t xml:space="preserve">, 2013 SCC 60 at para 67; and </w:t>
      </w:r>
      <w:r w:rsidRPr="00212C65">
        <w:rPr>
          <w:i/>
          <w:lang w:val="en-US"/>
        </w:rPr>
        <w:t>R v Spencer</w:t>
      </w:r>
      <w:r w:rsidRPr="00212C65">
        <w:rPr>
          <w:lang w:val="en-US"/>
        </w:rPr>
        <w:t>, 2014 SCC 43 at para 75).  At the appeal hearing, the panel asked counsel to submit supplementary factums on this issue.</w:t>
      </w:r>
    </w:p>
    <w:p w14:paraId="3841F5A6" w14:textId="16B44907" w:rsidR="00D93A6C" w:rsidRPr="00212C65" w:rsidRDefault="00511908" w:rsidP="00C65766">
      <w:pPr>
        <w:pStyle w:val="Paragraphe"/>
        <w:spacing w:line="280" w:lineRule="exact"/>
        <w:rPr>
          <w:lang w:val="en-US"/>
        </w:rPr>
      </w:pPr>
      <w:r>
        <w:rPr>
          <w:lang w:val="en-US"/>
        </w:rPr>
        <w:t xml:space="preserve">That is </w:t>
      </w:r>
      <w:r w:rsidR="004F0DC2">
        <w:rPr>
          <w:lang w:val="en-US"/>
        </w:rPr>
        <w:t xml:space="preserve">the procedure followed by </w:t>
      </w:r>
      <w:r w:rsidR="00181441">
        <w:rPr>
          <w:lang w:val="en-US"/>
        </w:rPr>
        <w:t>this C</w:t>
      </w:r>
      <w:r>
        <w:rPr>
          <w:lang w:val="en-US"/>
        </w:rPr>
        <w:t xml:space="preserve">ourt, </w:t>
      </w:r>
      <w:r w:rsidR="00790F06">
        <w:rPr>
          <w:lang w:val="en-US"/>
        </w:rPr>
        <w:t>which</w:t>
      </w:r>
      <w:r>
        <w:rPr>
          <w:lang w:val="en-US"/>
        </w:rPr>
        <w:t xml:space="preserve"> ha</w:t>
      </w:r>
      <w:r w:rsidR="00EA1E17">
        <w:rPr>
          <w:lang w:val="en-US"/>
        </w:rPr>
        <w:t>s</w:t>
      </w:r>
      <w:r>
        <w:rPr>
          <w:lang w:val="en-US"/>
        </w:rPr>
        <w:t xml:space="preserve"> jurisdiction over the exclusion of </w:t>
      </w:r>
      <w:r w:rsidR="00EA1E17">
        <w:rPr>
          <w:lang w:val="en-US"/>
        </w:rPr>
        <w:t xml:space="preserve">the </w:t>
      </w:r>
      <w:r>
        <w:rPr>
          <w:lang w:val="en-US"/>
        </w:rPr>
        <w:t>evidenc</w:t>
      </w:r>
      <w:r w:rsidR="00695ABC">
        <w:rPr>
          <w:lang w:val="en-US"/>
        </w:rPr>
        <w:t xml:space="preserve">e. </w:t>
      </w:r>
      <w:r w:rsidR="00790F06">
        <w:rPr>
          <w:lang w:val="en-US"/>
        </w:rPr>
        <w:t xml:space="preserve">The question becomes whether it </w:t>
      </w:r>
      <w:r w:rsidR="00EA1E17">
        <w:rPr>
          <w:lang w:val="en-US"/>
        </w:rPr>
        <w:t xml:space="preserve">should </w:t>
      </w:r>
      <w:r>
        <w:rPr>
          <w:lang w:val="en-US"/>
        </w:rPr>
        <w:t xml:space="preserve">exercise that jurisdiction.  </w:t>
      </w:r>
    </w:p>
    <w:p w14:paraId="5579AE54" w14:textId="2247366C" w:rsidR="00D93A6C" w:rsidRPr="00212C65" w:rsidRDefault="00511908" w:rsidP="00C65766">
      <w:pPr>
        <w:pStyle w:val="Paragraphe"/>
        <w:spacing w:line="280" w:lineRule="exact"/>
        <w:rPr>
          <w:lang w:val="en-US"/>
        </w:rPr>
      </w:pPr>
      <w:r>
        <w:rPr>
          <w:lang w:val="en-US"/>
        </w:rPr>
        <w:t xml:space="preserve">Since the Court is in </w:t>
      </w:r>
      <w:r w:rsidR="001D4908" w:rsidRPr="00212C65">
        <w:rPr>
          <w:lang w:val="en-US"/>
        </w:rPr>
        <w:t xml:space="preserve">possession </w:t>
      </w:r>
      <w:r>
        <w:rPr>
          <w:lang w:val="en-US"/>
        </w:rPr>
        <w:t xml:space="preserve">of all the evidence and has the advantage of knowing the trial judge’s findings of fact, </w:t>
      </w:r>
      <w:r w:rsidR="00A66CDB">
        <w:rPr>
          <w:lang w:val="en-US"/>
        </w:rPr>
        <w:t xml:space="preserve">I am </w:t>
      </w:r>
      <w:r w:rsidR="00690668">
        <w:rPr>
          <w:lang w:val="en-US"/>
        </w:rPr>
        <w:t>of the view that it</w:t>
      </w:r>
      <w:r>
        <w:rPr>
          <w:lang w:val="en-US"/>
        </w:rPr>
        <w:t xml:space="preserve"> should exercise its jurisdiction. </w:t>
      </w:r>
      <w:r w:rsidR="009017CD">
        <w:rPr>
          <w:lang w:val="en-US"/>
        </w:rPr>
        <w:t xml:space="preserve">As </w:t>
      </w:r>
      <w:r>
        <w:rPr>
          <w:lang w:val="en-US"/>
        </w:rPr>
        <w:t>the findings of fact and the de</w:t>
      </w:r>
      <w:r w:rsidR="002C4650">
        <w:rPr>
          <w:lang w:val="en-US"/>
        </w:rPr>
        <w:t>terminations required for an analysis under s</w:t>
      </w:r>
      <w:r w:rsidR="009017CD">
        <w:rPr>
          <w:lang w:val="en-US"/>
        </w:rPr>
        <w:t xml:space="preserve">. </w:t>
      </w:r>
      <w:r w:rsidR="002C4650">
        <w:rPr>
          <w:lang w:val="en-US"/>
        </w:rPr>
        <w:t>24</w:t>
      </w:r>
      <w:r w:rsidR="001D4908" w:rsidRPr="00212C65">
        <w:rPr>
          <w:lang w:val="en-US"/>
        </w:rPr>
        <w:t xml:space="preserve">(2) </w:t>
      </w:r>
      <w:r w:rsidR="002C4650">
        <w:rPr>
          <w:lang w:val="en-US"/>
        </w:rPr>
        <w:t xml:space="preserve">are in the </w:t>
      </w:r>
      <w:r w:rsidR="00690668">
        <w:rPr>
          <w:lang w:val="en-US"/>
        </w:rPr>
        <w:t>record</w:t>
      </w:r>
      <w:r w:rsidR="002C4650">
        <w:rPr>
          <w:lang w:val="en-US"/>
        </w:rPr>
        <w:t xml:space="preserve">, </w:t>
      </w:r>
      <w:r w:rsidR="00690668">
        <w:rPr>
          <w:lang w:val="en-US"/>
        </w:rPr>
        <w:t>the issue should be decided</w:t>
      </w:r>
      <w:r w:rsidR="002C4650">
        <w:rPr>
          <w:lang w:val="en-US"/>
        </w:rPr>
        <w:t xml:space="preserve">: </w:t>
      </w:r>
      <w:r w:rsidR="001D4908" w:rsidRPr="00212C65">
        <w:rPr>
          <w:i/>
          <w:lang w:val="en-US"/>
        </w:rPr>
        <w:t xml:space="preserve">R. v. </w:t>
      </w:r>
      <w:proofErr w:type="spellStart"/>
      <w:r w:rsidR="001D4908" w:rsidRPr="00212C65">
        <w:rPr>
          <w:i/>
          <w:lang w:val="en-US"/>
        </w:rPr>
        <w:t>McCorriston</w:t>
      </w:r>
      <w:proofErr w:type="spellEnd"/>
      <w:r>
        <w:rPr>
          <w:lang w:val="en-US"/>
        </w:rPr>
        <w:t>, 2010 MBCA 3</w:t>
      </w:r>
      <w:r w:rsidR="00341F94">
        <w:rPr>
          <w:lang w:val="en-US"/>
        </w:rPr>
        <w:t>,</w:t>
      </w:r>
      <w:r>
        <w:rPr>
          <w:lang w:val="en-US"/>
        </w:rPr>
        <w:t xml:space="preserve"> para</w:t>
      </w:r>
      <w:r w:rsidR="001D4908" w:rsidRPr="00212C65">
        <w:rPr>
          <w:lang w:val="en-US"/>
        </w:rPr>
        <w:t xml:space="preserve">. 30; </w:t>
      </w:r>
      <w:r w:rsidR="001D4908" w:rsidRPr="00212C65">
        <w:rPr>
          <w:i/>
          <w:lang w:val="en-US"/>
        </w:rPr>
        <w:t xml:space="preserve">R. v. </w:t>
      </w:r>
      <w:proofErr w:type="spellStart"/>
      <w:r w:rsidR="001D4908" w:rsidRPr="00212C65">
        <w:rPr>
          <w:i/>
          <w:lang w:val="en-US"/>
        </w:rPr>
        <w:t>Dudhi</w:t>
      </w:r>
      <w:proofErr w:type="spellEnd"/>
      <w:r>
        <w:rPr>
          <w:lang w:val="en-US"/>
        </w:rPr>
        <w:t>, 2019 ONCA 665</w:t>
      </w:r>
      <w:r w:rsidR="00341F94">
        <w:rPr>
          <w:lang w:val="en-US"/>
        </w:rPr>
        <w:t>,</w:t>
      </w:r>
      <w:r w:rsidR="00690668">
        <w:rPr>
          <w:lang w:val="en-US"/>
        </w:rPr>
        <w:t xml:space="preserve"> </w:t>
      </w:r>
      <w:r>
        <w:rPr>
          <w:lang w:val="en-US"/>
        </w:rPr>
        <w:t>para</w:t>
      </w:r>
      <w:r w:rsidR="001D4908" w:rsidRPr="00212C65">
        <w:rPr>
          <w:lang w:val="en-US"/>
        </w:rPr>
        <w:t xml:space="preserve">. 88; </w:t>
      </w:r>
      <w:r w:rsidR="001D4908" w:rsidRPr="00212C65">
        <w:rPr>
          <w:i/>
          <w:lang w:val="en-US"/>
        </w:rPr>
        <w:t>R. v. Ritchie</w:t>
      </w:r>
      <w:r>
        <w:rPr>
          <w:lang w:val="en-US"/>
        </w:rPr>
        <w:t>, 2018 ONCA 918</w:t>
      </w:r>
      <w:r w:rsidR="00341F94">
        <w:rPr>
          <w:lang w:val="en-US"/>
        </w:rPr>
        <w:t>,</w:t>
      </w:r>
      <w:r w:rsidR="00690668">
        <w:rPr>
          <w:lang w:val="en-US"/>
        </w:rPr>
        <w:t xml:space="preserve"> </w:t>
      </w:r>
      <w:r>
        <w:rPr>
          <w:lang w:val="en-US"/>
        </w:rPr>
        <w:t>para</w:t>
      </w:r>
      <w:r w:rsidR="001D4908" w:rsidRPr="00212C65">
        <w:rPr>
          <w:lang w:val="en-US"/>
        </w:rPr>
        <w:t>.</w:t>
      </w:r>
      <w:r w:rsidR="00341F94">
        <w:rPr>
          <w:lang w:val="en-US"/>
        </w:rPr>
        <w:t> </w:t>
      </w:r>
      <w:r w:rsidR="001D4908" w:rsidRPr="00212C65">
        <w:rPr>
          <w:lang w:val="en-US"/>
        </w:rPr>
        <w:t xml:space="preserve">19; </w:t>
      </w:r>
      <w:r w:rsidR="001D4908" w:rsidRPr="00212C65">
        <w:rPr>
          <w:i/>
          <w:lang w:val="en-US"/>
        </w:rPr>
        <w:t xml:space="preserve">R. v. </w:t>
      </w:r>
      <w:proofErr w:type="spellStart"/>
      <w:r w:rsidR="001D4908" w:rsidRPr="00212C65">
        <w:rPr>
          <w:i/>
          <w:lang w:val="en-US"/>
        </w:rPr>
        <w:t>Dolynchuk</w:t>
      </w:r>
      <w:proofErr w:type="spellEnd"/>
      <w:r w:rsidR="001D4908" w:rsidRPr="00212C65">
        <w:rPr>
          <w:lang w:val="en-US"/>
        </w:rPr>
        <w:t>, 2004 MBCA 45</w:t>
      </w:r>
      <w:r w:rsidR="00341F94">
        <w:rPr>
          <w:lang w:val="en-US"/>
        </w:rPr>
        <w:t>,</w:t>
      </w:r>
      <w:r w:rsidR="00690668">
        <w:rPr>
          <w:lang w:val="en-US"/>
        </w:rPr>
        <w:t xml:space="preserve"> </w:t>
      </w:r>
      <w:r w:rsidR="00341F94">
        <w:rPr>
          <w:lang w:val="en-US"/>
        </w:rPr>
        <w:t>p.</w:t>
      </w:r>
      <w:r w:rsidR="001D4908" w:rsidRPr="00212C65">
        <w:rPr>
          <w:lang w:val="en-US"/>
        </w:rPr>
        <w:t xml:space="preserve"> 12; </w:t>
      </w:r>
      <w:r w:rsidR="001D4908" w:rsidRPr="00212C65">
        <w:rPr>
          <w:i/>
          <w:lang w:val="en-US"/>
        </w:rPr>
        <w:t>R. v. Caputo</w:t>
      </w:r>
      <w:r w:rsidR="001D4908" w:rsidRPr="00212C65">
        <w:rPr>
          <w:lang w:val="en-US"/>
        </w:rPr>
        <w:t>, [1997] O.J. No. 857 (Ont. C.A.)</w:t>
      </w:r>
      <w:r w:rsidR="00341F94">
        <w:rPr>
          <w:lang w:val="en-US"/>
        </w:rPr>
        <w:t>,</w:t>
      </w:r>
      <w:r w:rsidR="00690668">
        <w:rPr>
          <w:lang w:val="en-US"/>
        </w:rPr>
        <w:t xml:space="preserve"> </w:t>
      </w:r>
      <w:r w:rsidR="00341F94">
        <w:rPr>
          <w:lang w:val="en-US"/>
        </w:rPr>
        <w:t>p. </w:t>
      </w:r>
      <w:r w:rsidR="001D4908" w:rsidRPr="00212C65">
        <w:rPr>
          <w:lang w:val="en-US"/>
        </w:rPr>
        <w:t>16.</w:t>
      </w:r>
    </w:p>
    <w:p w14:paraId="3821C23B" w14:textId="50A8AF46" w:rsidR="00D93A6C" w:rsidRPr="00212C65" w:rsidRDefault="007F4867" w:rsidP="00C65766">
      <w:pPr>
        <w:pStyle w:val="Paragraphe"/>
        <w:spacing w:line="280" w:lineRule="exact"/>
        <w:rPr>
          <w:lang w:val="en-US"/>
        </w:rPr>
      </w:pPr>
      <w:r>
        <w:rPr>
          <w:lang w:val="en-US"/>
        </w:rPr>
        <w:t xml:space="preserve">The </w:t>
      </w:r>
      <w:r w:rsidR="00690668">
        <w:rPr>
          <w:lang w:val="en-US"/>
        </w:rPr>
        <w:t xml:space="preserve">delays in </w:t>
      </w:r>
      <w:r>
        <w:rPr>
          <w:lang w:val="en-US"/>
        </w:rPr>
        <w:t xml:space="preserve">this case </w:t>
      </w:r>
      <w:r w:rsidR="00695ABC">
        <w:rPr>
          <w:lang w:val="en-US"/>
        </w:rPr>
        <w:t>and the cost of a new trial</w:t>
      </w:r>
      <w:r w:rsidR="007D7F0F">
        <w:rPr>
          <w:lang w:val="en-US"/>
        </w:rPr>
        <w:t>—</w:t>
      </w:r>
      <w:r>
        <w:rPr>
          <w:lang w:val="en-US"/>
        </w:rPr>
        <w:t xml:space="preserve">both </w:t>
      </w:r>
      <w:r w:rsidR="00690668">
        <w:rPr>
          <w:lang w:val="en-US"/>
        </w:rPr>
        <w:t xml:space="preserve">to </w:t>
      </w:r>
      <w:r w:rsidR="00695ABC">
        <w:rPr>
          <w:lang w:val="en-US"/>
        </w:rPr>
        <w:t xml:space="preserve">society and </w:t>
      </w:r>
      <w:r w:rsidR="005654C7">
        <w:rPr>
          <w:lang w:val="en-US"/>
        </w:rPr>
        <w:t xml:space="preserve">to </w:t>
      </w:r>
      <w:r w:rsidR="00695ABC">
        <w:rPr>
          <w:lang w:val="en-US"/>
        </w:rPr>
        <w:t>the parties</w:t>
      </w:r>
      <w:r w:rsidR="007D7F0F">
        <w:rPr>
          <w:lang w:val="en-US"/>
        </w:rPr>
        <w:t>—</w:t>
      </w:r>
      <w:r>
        <w:rPr>
          <w:lang w:val="en-US"/>
        </w:rPr>
        <w:t xml:space="preserve">have convinced </w:t>
      </w:r>
      <w:r w:rsidR="00832B35">
        <w:rPr>
          <w:lang w:val="en-US"/>
        </w:rPr>
        <w:t xml:space="preserve">me </w:t>
      </w:r>
      <w:r>
        <w:rPr>
          <w:lang w:val="en-US"/>
        </w:rPr>
        <w:t xml:space="preserve">that this is the right course of action. </w:t>
      </w:r>
    </w:p>
    <w:p w14:paraId="022512A0" w14:textId="0BB368B9" w:rsidR="00D93A6C" w:rsidRPr="00212C65" w:rsidRDefault="007F4867" w:rsidP="00A96FD6">
      <w:pPr>
        <w:pStyle w:val="Paragraphe"/>
        <w:spacing w:after="0" w:line="280" w:lineRule="exact"/>
        <w:rPr>
          <w:lang w:val="en-US"/>
        </w:rPr>
      </w:pPr>
      <w:r>
        <w:rPr>
          <w:lang w:val="en-US"/>
        </w:rPr>
        <w:t>An appellate court owes deference to decisions made under s</w:t>
      </w:r>
      <w:r w:rsidR="00ED163E">
        <w:rPr>
          <w:lang w:val="en-US"/>
        </w:rPr>
        <w:t xml:space="preserve">. </w:t>
      </w:r>
      <w:r>
        <w:rPr>
          <w:lang w:val="en-US"/>
        </w:rPr>
        <w:t>24(2) of the</w:t>
      </w:r>
      <w:r w:rsidR="001D4908" w:rsidRPr="00212C65">
        <w:rPr>
          <w:lang w:val="en-US"/>
        </w:rPr>
        <w:t xml:space="preserve"> </w:t>
      </w:r>
      <w:r w:rsidR="001D4908" w:rsidRPr="00212C65">
        <w:rPr>
          <w:i/>
          <w:lang w:val="en-US"/>
        </w:rPr>
        <w:t>Charte</w:t>
      </w:r>
      <w:r>
        <w:rPr>
          <w:i/>
          <w:lang w:val="en-US"/>
        </w:rPr>
        <w:t>r</w:t>
      </w:r>
      <w:r w:rsidR="00AC6178">
        <w:rPr>
          <w:lang w:val="en-US"/>
        </w:rPr>
        <w:t>. In</w:t>
      </w:r>
      <w:r w:rsidR="001D4908" w:rsidRPr="00212C65">
        <w:rPr>
          <w:lang w:val="en-US"/>
        </w:rPr>
        <w:t xml:space="preserve"> </w:t>
      </w:r>
      <w:r w:rsidR="001D4908" w:rsidRPr="00212C65">
        <w:rPr>
          <w:i/>
          <w:lang w:val="en-US"/>
        </w:rPr>
        <w:t>Tremblay</w:t>
      </w:r>
      <w:r w:rsidR="00690668">
        <w:rPr>
          <w:lang w:val="en-US"/>
        </w:rPr>
        <w:t xml:space="preserve">, </w:t>
      </w:r>
      <w:r w:rsidR="00ED163E">
        <w:rPr>
          <w:lang w:val="en-US"/>
        </w:rPr>
        <w:t>I pointed out the following</w:t>
      </w:r>
      <w:r w:rsidR="00AC6178">
        <w:rPr>
          <w:lang w:val="en-US"/>
        </w:rPr>
        <w:t>:</w:t>
      </w:r>
    </w:p>
    <w:p w14:paraId="634838A6" w14:textId="497F932C" w:rsidR="00695ABC" w:rsidRDefault="00695ABC" w:rsidP="00A96FD6">
      <w:pPr>
        <w:pStyle w:val="Paragraphe"/>
        <w:numPr>
          <w:ilvl w:val="0"/>
          <w:numId w:val="0"/>
        </w:numPr>
        <w:spacing w:before="0" w:after="0" w:line="460" w:lineRule="exact"/>
        <w:rPr>
          <w:lang w:val="en-US"/>
        </w:rPr>
      </w:pPr>
      <w:r>
        <w:rPr>
          <w:lang w:val="en-US"/>
        </w:rPr>
        <w:tab/>
      </w:r>
      <w:r w:rsidRPr="00695ABC">
        <w:rPr>
          <w:sz w:val="22"/>
          <w:lang w:val="en-US"/>
        </w:rPr>
        <w:t>[</w:t>
      </w:r>
      <w:r w:rsidRPr="0016054C">
        <w:rPr>
          <w:smallCaps/>
          <w:sz w:val="22"/>
          <w:lang w:val="en-US"/>
        </w:rPr>
        <w:t>translation</w:t>
      </w:r>
      <w:r w:rsidRPr="00695ABC">
        <w:rPr>
          <w:sz w:val="22"/>
          <w:lang w:val="en-US"/>
        </w:rPr>
        <w:t xml:space="preserve">] </w:t>
      </w:r>
    </w:p>
    <w:p w14:paraId="64B21ECF" w14:textId="77777777" w:rsidR="00D93A6C" w:rsidRPr="00212C65" w:rsidRDefault="001D4908" w:rsidP="00A96FD6">
      <w:pPr>
        <w:pStyle w:val="Citationenretrait"/>
        <w:rPr>
          <w:lang w:val="en-US"/>
        </w:rPr>
      </w:pPr>
      <w:r w:rsidRPr="00212C65">
        <w:rPr>
          <w:lang w:val="en-US"/>
        </w:rPr>
        <w:t>[62]</w:t>
      </w:r>
      <w:r w:rsidRPr="00212C65">
        <w:rPr>
          <w:lang w:val="en-US"/>
        </w:rPr>
        <w:tab/>
      </w:r>
      <w:r w:rsidR="00AC6178">
        <w:rPr>
          <w:lang w:val="en-US"/>
        </w:rPr>
        <w:t xml:space="preserve">Some might believe </w:t>
      </w:r>
      <w:r w:rsidR="00AC6178" w:rsidRPr="00AC6178">
        <w:rPr>
          <w:lang w:val="en-CA"/>
        </w:rPr>
        <w:t xml:space="preserve">that the judge’s conclusion is harsh. After all, as soon as the exclusion of evidence results in an acquittal, the decision may seem harsh. Such a decision, however, is first and foremost one for the trial judge </w:t>
      </w:r>
      <w:r w:rsidR="00AC6178">
        <w:rPr>
          <w:lang w:val="en-CA"/>
        </w:rPr>
        <w:t>to make.</w:t>
      </w:r>
      <w:r w:rsidR="00AC6178">
        <w:rPr>
          <w:lang w:val="en-US"/>
        </w:rPr>
        <w:t xml:space="preserve"> </w:t>
      </w:r>
    </w:p>
    <w:p w14:paraId="2054C843" w14:textId="77777777" w:rsidR="00D93A6C" w:rsidRPr="00212C65" w:rsidRDefault="00AC6178" w:rsidP="00C65766">
      <w:pPr>
        <w:pStyle w:val="Citationenretrait"/>
        <w:rPr>
          <w:lang w:val="en-US"/>
        </w:rPr>
      </w:pPr>
      <w:r>
        <w:rPr>
          <w:lang w:val="en-US"/>
        </w:rPr>
        <w:lastRenderedPageBreak/>
        <w:t>[63]</w:t>
      </w:r>
      <w:r>
        <w:rPr>
          <w:lang w:val="en-US"/>
        </w:rPr>
        <w:tab/>
        <w:t>Deciding</w:t>
      </w:r>
      <w:r w:rsidR="001D4908" w:rsidRPr="00212C65">
        <w:rPr>
          <w:lang w:val="en-US"/>
        </w:rPr>
        <w:t xml:space="preserve"> </w:t>
      </w:r>
      <w:r w:rsidRPr="00AC6178">
        <w:rPr>
          <w:lang w:val="en-CA"/>
        </w:rPr>
        <w:t xml:space="preserve">whether or not one or more factors favour the exclusion of evidence requires an overall assessment of all the circumstances and therefore mandates deference from an appellate court: </w:t>
      </w:r>
      <w:r w:rsidRPr="00AC6178">
        <w:rPr>
          <w:i/>
          <w:iCs/>
          <w:lang w:val="en-CA"/>
        </w:rPr>
        <w:t>R. v. Côté</w:t>
      </w:r>
      <w:r w:rsidRPr="00AC6178">
        <w:rPr>
          <w:lang w:val="en-CA"/>
        </w:rPr>
        <w:t xml:space="preserve">, 2011 SCC 46, [2011] 3 S.C.R. 215, paras. 44 to 52. While the decision to exclude evidence must be reasonable, the reviewing court will not interfere with the trial judge’s findings in the absence of an “apparent error as to the applicable principles or rules of law” or an “unreasonable finding”: </w:t>
      </w:r>
      <w:r>
        <w:rPr>
          <w:i/>
          <w:lang w:val="en-US"/>
        </w:rPr>
        <w:t>R. v</w:t>
      </w:r>
      <w:r w:rsidR="001D4908" w:rsidRPr="00212C65">
        <w:rPr>
          <w:i/>
          <w:lang w:val="en-US"/>
        </w:rPr>
        <w:t>. Law</w:t>
      </w:r>
      <w:r>
        <w:rPr>
          <w:lang w:val="en-US"/>
        </w:rPr>
        <w:t xml:space="preserve">, 2002 </w:t>
      </w:r>
      <w:r w:rsidR="001D4908" w:rsidRPr="00212C65">
        <w:rPr>
          <w:lang w:val="en-US"/>
        </w:rPr>
        <w:t>S</w:t>
      </w:r>
      <w:r>
        <w:rPr>
          <w:lang w:val="en-US"/>
        </w:rPr>
        <w:t>CC 10, [2002] 1 S.C.R. 227, para</w:t>
      </w:r>
      <w:r w:rsidR="001D4908" w:rsidRPr="00212C65">
        <w:rPr>
          <w:lang w:val="en-US"/>
        </w:rPr>
        <w:t>. 32.</w:t>
      </w:r>
    </w:p>
    <w:p w14:paraId="6F937CBE" w14:textId="77777777" w:rsidR="00D93A6C" w:rsidRPr="00212C65" w:rsidRDefault="00695ABC" w:rsidP="00C65766">
      <w:pPr>
        <w:pStyle w:val="Paragraphe"/>
        <w:spacing w:line="280" w:lineRule="exact"/>
        <w:rPr>
          <w:lang w:val="en-US"/>
        </w:rPr>
      </w:pPr>
      <w:r>
        <w:rPr>
          <w:lang w:val="en-US"/>
        </w:rPr>
        <w:t>The respondent has not demonstrated</w:t>
      </w:r>
      <w:r w:rsidR="00AC6178">
        <w:rPr>
          <w:lang w:val="en-US"/>
        </w:rPr>
        <w:t xml:space="preserve"> such an error. </w:t>
      </w:r>
    </w:p>
    <w:p w14:paraId="08256D07" w14:textId="206BC171" w:rsidR="00D93A6C" w:rsidRPr="00EF019D" w:rsidRDefault="007F4867" w:rsidP="00EF019D">
      <w:pPr>
        <w:pStyle w:val="Paragraphe"/>
        <w:spacing w:line="280" w:lineRule="exact"/>
        <w:rPr>
          <w:lang w:val="en-US"/>
        </w:rPr>
      </w:pPr>
      <w:r>
        <w:rPr>
          <w:lang w:val="en-US"/>
        </w:rPr>
        <w:t>We must also bear in mind that, according to the trial judge, the officer had [</w:t>
      </w:r>
      <w:r w:rsidRPr="006A2634">
        <w:rPr>
          <w:smallCaps/>
          <w:lang w:val="en-US"/>
        </w:rPr>
        <w:t>translation</w:t>
      </w:r>
      <w:r>
        <w:rPr>
          <w:lang w:val="en-US"/>
        </w:rPr>
        <w:t>] “</w:t>
      </w:r>
      <w:r w:rsidR="00A0083A">
        <w:rPr>
          <w:lang w:val="en-US"/>
        </w:rPr>
        <w:t>made up</w:t>
      </w:r>
      <w:r>
        <w:rPr>
          <w:lang w:val="en-US"/>
        </w:rPr>
        <w:t xml:space="preserve">” grounds </w:t>
      </w:r>
      <w:r w:rsidR="00EF019D">
        <w:rPr>
          <w:lang w:val="en-US"/>
        </w:rPr>
        <w:t xml:space="preserve">after the fact </w:t>
      </w:r>
      <w:r>
        <w:rPr>
          <w:lang w:val="en-US"/>
        </w:rPr>
        <w:t>to justify his refusal.</w:t>
      </w:r>
      <w:r w:rsidR="001D4908" w:rsidRPr="00212C65">
        <w:rPr>
          <w:lang w:val="en-US"/>
        </w:rPr>
        <w:t xml:space="preserve"> </w:t>
      </w:r>
      <w:r w:rsidR="00005FE6">
        <w:rPr>
          <w:lang w:val="en-US"/>
        </w:rPr>
        <w:t xml:space="preserve">There is </w:t>
      </w:r>
      <w:r w:rsidR="00EF019D">
        <w:rPr>
          <w:lang w:val="en-US"/>
        </w:rPr>
        <w:t xml:space="preserve">therefore </w:t>
      </w:r>
      <w:r w:rsidR="00005FE6">
        <w:rPr>
          <w:lang w:val="en-US"/>
        </w:rPr>
        <w:t xml:space="preserve">no </w:t>
      </w:r>
      <w:r w:rsidR="00695ABC">
        <w:rPr>
          <w:lang w:val="en-US"/>
        </w:rPr>
        <w:t>good faith</w:t>
      </w:r>
      <w:r w:rsidR="007D7F0F">
        <w:rPr>
          <w:lang w:val="en-US"/>
        </w:rPr>
        <w:t>—</w:t>
      </w:r>
      <w:r>
        <w:rPr>
          <w:lang w:val="en-US"/>
        </w:rPr>
        <w:t>on the c</w:t>
      </w:r>
      <w:r w:rsidR="00695ABC">
        <w:rPr>
          <w:lang w:val="en-US"/>
        </w:rPr>
        <w:t>ontrary</w:t>
      </w:r>
      <w:r w:rsidR="007D7F0F">
        <w:rPr>
          <w:lang w:val="en-US"/>
        </w:rPr>
        <w:t>—</w:t>
      </w:r>
      <w:r>
        <w:rPr>
          <w:lang w:val="en-US"/>
        </w:rPr>
        <w:t>and the</w:t>
      </w:r>
      <w:r w:rsidR="00EF019D">
        <w:rPr>
          <w:lang w:val="en-US"/>
        </w:rPr>
        <w:t xml:space="preserve"> seriousness of the </w:t>
      </w:r>
      <w:r w:rsidR="00005FE6">
        <w:rPr>
          <w:lang w:val="en-US"/>
        </w:rPr>
        <w:t xml:space="preserve">state’s </w:t>
      </w:r>
      <w:r w:rsidR="00EF019D" w:rsidRPr="001D6B3F">
        <w:rPr>
          <w:i/>
          <w:lang w:val="en-US"/>
        </w:rPr>
        <w:t>Charter</w:t>
      </w:r>
      <w:r w:rsidR="00EF019D">
        <w:rPr>
          <w:lang w:val="en-US"/>
        </w:rPr>
        <w:t>-infringing conduct remains</w:t>
      </w:r>
      <w:r w:rsidR="00B11EED">
        <w:rPr>
          <w:lang w:val="en-US"/>
        </w:rPr>
        <w:t xml:space="preserve"> </w:t>
      </w:r>
      <w:r w:rsidR="00AA1202">
        <w:rPr>
          <w:lang w:val="en-US"/>
        </w:rPr>
        <w:t>undiminished</w:t>
      </w:r>
      <w:r w:rsidR="001760C0" w:rsidRPr="00EF019D">
        <w:rPr>
          <w:lang w:val="en-US"/>
        </w:rPr>
        <w:t xml:space="preserve">. Misleading testimony by a police officer </w:t>
      </w:r>
      <w:r w:rsidR="00EF019D">
        <w:rPr>
          <w:lang w:val="en-US"/>
        </w:rPr>
        <w:t xml:space="preserve">undermines </w:t>
      </w:r>
      <w:r w:rsidR="001760C0" w:rsidRPr="00EF019D">
        <w:rPr>
          <w:lang w:val="en-US"/>
        </w:rPr>
        <w:t xml:space="preserve">the integrity of the justice system: </w:t>
      </w:r>
      <w:r w:rsidR="001760C0" w:rsidRPr="00EF019D">
        <w:rPr>
          <w:i/>
          <w:lang w:val="en-US"/>
        </w:rPr>
        <w:t>R. v</w:t>
      </w:r>
      <w:r w:rsidR="007C1300" w:rsidRPr="00EF019D">
        <w:rPr>
          <w:i/>
          <w:lang w:val="en-US"/>
        </w:rPr>
        <w:t>. Harrison</w:t>
      </w:r>
      <w:r w:rsidR="001760C0" w:rsidRPr="00EF019D">
        <w:rPr>
          <w:lang w:val="en-US"/>
        </w:rPr>
        <w:t xml:space="preserve">, 2009 </w:t>
      </w:r>
      <w:r w:rsidR="007C1300" w:rsidRPr="00EF019D">
        <w:rPr>
          <w:lang w:val="en-US"/>
        </w:rPr>
        <w:t>S</w:t>
      </w:r>
      <w:r w:rsidR="001760C0" w:rsidRPr="00EF019D">
        <w:rPr>
          <w:lang w:val="en-US"/>
        </w:rPr>
        <w:t>CC 34, [2009] 2 SCR</w:t>
      </w:r>
      <w:r w:rsidR="007C1300" w:rsidRPr="00EF019D">
        <w:rPr>
          <w:lang w:val="en-US"/>
        </w:rPr>
        <w:t xml:space="preserve"> 494</w:t>
      </w:r>
      <w:r w:rsidR="001760C0" w:rsidRPr="00EF019D">
        <w:rPr>
          <w:lang w:val="en-US"/>
        </w:rPr>
        <w:t>, paras. 26 and</w:t>
      </w:r>
      <w:r w:rsidR="00EA5387" w:rsidRPr="00EF019D">
        <w:rPr>
          <w:lang w:val="en-US"/>
        </w:rPr>
        <w:t xml:space="preserve"> 27</w:t>
      </w:r>
      <w:r w:rsidR="007C1300" w:rsidRPr="00EF019D">
        <w:rPr>
          <w:lang w:val="en-US"/>
        </w:rPr>
        <w:t>.</w:t>
      </w:r>
    </w:p>
    <w:p w14:paraId="1ED45D84" w14:textId="40181E97" w:rsidR="00D93A6C" w:rsidRPr="00212C65" w:rsidRDefault="001760C0" w:rsidP="00C65766">
      <w:pPr>
        <w:pStyle w:val="Paragraphe"/>
        <w:spacing w:line="280" w:lineRule="exact"/>
        <w:rPr>
          <w:lang w:val="en-US"/>
        </w:rPr>
      </w:pPr>
      <w:r>
        <w:rPr>
          <w:lang w:val="en-US"/>
        </w:rPr>
        <w:t xml:space="preserve">The courts </w:t>
      </w:r>
      <w:r w:rsidR="00EF019D">
        <w:rPr>
          <w:lang w:val="en-US"/>
        </w:rPr>
        <w:t>must distance themselves from</w:t>
      </w:r>
      <w:r>
        <w:rPr>
          <w:lang w:val="en-US"/>
        </w:rPr>
        <w:t xml:space="preserve"> police </w:t>
      </w:r>
      <w:r w:rsidR="00EF019D">
        <w:rPr>
          <w:lang w:val="en-US"/>
        </w:rPr>
        <w:t xml:space="preserve">conduct </w:t>
      </w:r>
      <w:r w:rsidR="00695ABC">
        <w:rPr>
          <w:lang w:val="en-US"/>
        </w:rPr>
        <w:t xml:space="preserve">based on </w:t>
      </w:r>
      <w:r w:rsidR="00D028AF">
        <w:rPr>
          <w:lang w:val="en-US"/>
        </w:rPr>
        <w:t xml:space="preserve">immutable </w:t>
      </w:r>
      <w:r w:rsidR="00695ABC">
        <w:rPr>
          <w:lang w:val="en-US"/>
        </w:rPr>
        <w:t>practices</w:t>
      </w:r>
      <w:r w:rsidR="00EF019D">
        <w:rPr>
          <w:lang w:val="en-US"/>
        </w:rPr>
        <w:t>,</w:t>
      </w:r>
      <w:r>
        <w:rPr>
          <w:lang w:val="en-US"/>
        </w:rPr>
        <w:t xml:space="preserve"> </w:t>
      </w:r>
      <w:r w:rsidR="00EF019D">
        <w:rPr>
          <w:lang w:val="en-US"/>
        </w:rPr>
        <w:t>like</w:t>
      </w:r>
      <w:r>
        <w:rPr>
          <w:lang w:val="en-US"/>
        </w:rPr>
        <w:t xml:space="preserve"> </w:t>
      </w:r>
      <w:r w:rsidR="001D4908" w:rsidRPr="00212C65">
        <w:rPr>
          <w:lang w:val="en-US"/>
        </w:rPr>
        <w:t>directive</w:t>
      </w:r>
      <w:r>
        <w:rPr>
          <w:lang w:val="en-US"/>
        </w:rPr>
        <w:t>s</w:t>
      </w:r>
      <w:r w:rsidR="00EF019D">
        <w:rPr>
          <w:lang w:val="en-US"/>
        </w:rPr>
        <w:t>,</w:t>
      </w:r>
      <w:r w:rsidR="001D4908" w:rsidRPr="00212C65">
        <w:rPr>
          <w:lang w:val="en-US"/>
        </w:rPr>
        <w:t xml:space="preserve"> </w:t>
      </w:r>
      <w:r w:rsidR="00BD4CA7">
        <w:rPr>
          <w:lang w:val="en-US"/>
        </w:rPr>
        <w:t xml:space="preserve">rather than on </w:t>
      </w:r>
      <w:r>
        <w:rPr>
          <w:lang w:val="en-US"/>
        </w:rPr>
        <w:t>the circum</w:t>
      </w:r>
      <w:r w:rsidR="001D4908" w:rsidRPr="00212C65">
        <w:rPr>
          <w:lang w:val="en-US"/>
        </w:rPr>
        <w:t xml:space="preserve">stances </w:t>
      </w:r>
      <w:r>
        <w:rPr>
          <w:lang w:val="en-US"/>
        </w:rPr>
        <w:t xml:space="preserve">of the case. </w:t>
      </w:r>
      <w:r w:rsidR="00AC6178">
        <w:rPr>
          <w:lang w:val="en-US"/>
        </w:rPr>
        <w:t>As Doherty</w:t>
      </w:r>
      <w:r w:rsidR="00D83532">
        <w:rPr>
          <w:lang w:val="en-US"/>
        </w:rPr>
        <w:t>, J.A.</w:t>
      </w:r>
      <w:r w:rsidR="00AC6178">
        <w:rPr>
          <w:lang w:val="en-US"/>
        </w:rPr>
        <w:t xml:space="preserve"> wrote in</w:t>
      </w:r>
      <w:r w:rsidR="001D4908" w:rsidRPr="00212C65">
        <w:rPr>
          <w:lang w:val="en-US"/>
        </w:rPr>
        <w:t xml:space="preserve"> </w:t>
      </w:r>
      <w:r w:rsidR="001D4908" w:rsidRPr="00212C65">
        <w:rPr>
          <w:i/>
          <w:lang w:val="en-US"/>
        </w:rPr>
        <w:t>R. v. Rover</w:t>
      </w:r>
      <w:r w:rsidR="00AC6178">
        <w:rPr>
          <w:lang w:val="en-US"/>
        </w:rPr>
        <w:t>, 2018 ONCA 745</w:t>
      </w:r>
      <w:r w:rsidR="001D4908" w:rsidRPr="00212C65">
        <w:rPr>
          <w:lang w:val="en-US"/>
        </w:rPr>
        <w:t>:</w:t>
      </w:r>
    </w:p>
    <w:p w14:paraId="54145EBA" w14:textId="2EC89AFE" w:rsidR="00D93A6C" w:rsidRPr="00212C65" w:rsidRDefault="001D4908" w:rsidP="001A319C">
      <w:pPr>
        <w:pStyle w:val="Citationenretrait"/>
        <w:tabs>
          <w:tab w:val="left" w:pos="1440"/>
        </w:tabs>
        <w:rPr>
          <w:lang w:val="en-US"/>
        </w:rPr>
      </w:pPr>
      <w:r w:rsidRPr="00212C65">
        <w:rPr>
          <w:lang w:val="en-US"/>
        </w:rPr>
        <w:t xml:space="preserve">[32] </w:t>
      </w:r>
      <w:r w:rsidR="001A319C" w:rsidRPr="00212C65">
        <w:rPr>
          <w:lang w:val="en-US"/>
        </w:rPr>
        <w:tab/>
      </w:r>
      <w:r w:rsidR="000568DA">
        <w:rPr>
          <w:lang w:val="en-US"/>
        </w:rPr>
        <w:t>[</w:t>
      </w:r>
      <w:r w:rsidRPr="00212C65">
        <w:rPr>
          <w:lang w:val="en-US"/>
        </w:rPr>
        <w:t>…</w:t>
      </w:r>
      <w:r w:rsidR="000568DA">
        <w:rPr>
          <w:lang w:val="en-US"/>
        </w:rPr>
        <w:t>]</w:t>
      </w:r>
      <w:r w:rsidRPr="00212C65">
        <w:rPr>
          <w:lang w:val="en-US"/>
        </w:rPr>
        <w:t xml:space="preserve"> There is no evidence that any of the officers turned their mind to the specific circumstances of this case before deciding that the appellant would be arrested and denied access to counsel for several hours while the police sought, obtained, and executed a search warrant. On the evidence of the police, there was no need to consider the specifics of this case. For them, the decision to arrest the appellant before seeking the search warrant dictated that the appellant would not be allowed to contact a lawyer until the warrant was executed.</w:t>
      </w:r>
    </w:p>
    <w:p w14:paraId="2C82F43E" w14:textId="1FB17E25" w:rsidR="00D93A6C" w:rsidRPr="0011384E" w:rsidRDefault="001D4908" w:rsidP="001A319C">
      <w:pPr>
        <w:pStyle w:val="Citationenretrait"/>
        <w:tabs>
          <w:tab w:val="left" w:pos="1440"/>
        </w:tabs>
        <w:rPr>
          <w:lang w:val="en-CA"/>
        </w:rPr>
      </w:pPr>
      <w:r w:rsidRPr="0011384E">
        <w:rPr>
          <w:lang w:val="en-CA"/>
        </w:rPr>
        <w:t xml:space="preserve">[33] </w:t>
      </w:r>
      <w:r w:rsidR="001A319C" w:rsidRPr="0011384E">
        <w:rPr>
          <w:lang w:val="en-CA"/>
        </w:rPr>
        <w:tab/>
      </w:r>
      <w:r w:rsidRPr="0011384E">
        <w:rPr>
          <w:lang w:val="en-CA"/>
        </w:rPr>
        <w:t xml:space="preserve">In my view, to fall within the exception to the requirement that an arrested person be allowed to speak to counsel without delay, the police must actually turn their mind to the specific circumstances of the case, and they must have reasonable grounds to justify the delay. The justification may be premised on the risk of the destruction of evidence, public safety, police safety, or some other urgent or dangerous circumstance. Furthermore, if the police determine that some delay in allowing an arrested person to speak to counsel is justified to permit execution of the warrant, then they must consider whether it is necessary to arrest the individual before they execute the warrant. </w:t>
      </w:r>
      <w:r w:rsidR="009C2E93">
        <w:rPr>
          <w:lang w:val="en-CA"/>
        </w:rPr>
        <w:t>[</w:t>
      </w:r>
      <w:r w:rsidRPr="0011384E">
        <w:rPr>
          <w:lang w:val="en-CA"/>
        </w:rPr>
        <w:t>…</w:t>
      </w:r>
      <w:r w:rsidR="009C2E93">
        <w:rPr>
          <w:lang w:val="en-CA"/>
        </w:rPr>
        <w:t>]</w:t>
      </w:r>
    </w:p>
    <w:p w14:paraId="36E0ACDD" w14:textId="77777777" w:rsidR="00D93A6C" w:rsidRPr="0011384E" w:rsidRDefault="001D4908" w:rsidP="001A319C">
      <w:pPr>
        <w:pStyle w:val="Citationenretrait"/>
        <w:tabs>
          <w:tab w:val="left" w:pos="1440"/>
        </w:tabs>
        <w:rPr>
          <w:lang w:val="en-CA"/>
        </w:rPr>
      </w:pPr>
      <w:r w:rsidRPr="0011384E">
        <w:rPr>
          <w:lang w:val="en-CA"/>
        </w:rPr>
        <w:t xml:space="preserve">[34] </w:t>
      </w:r>
      <w:r w:rsidR="001A319C" w:rsidRPr="0011384E">
        <w:rPr>
          <w:lang w:val="en-CA"/>
        </w:rPr>
        <w:tab/>
      </w:r>
      <w:r w:rsidRPr="0011384E">
        <w:rPr>
          <w:lang w:val="en-CA"/>
        </w:rPr>
        <w:t xml:space="preserve">The effective implementation of the right to counsel guaranteed by s. 10(b) depends entirely on the police. The police must understand that right and be willing to facilitate contact with counsel. The practice under which the officers involved in this case operated demonstrates a disregard of a fundamental constitutional right. </w:t>
      </w:r>
      <w:r w:rsidRPr="0011384E">
        <w:rPr>
          <w:lang w:val="en-CA"/>
        </w:rPr>
        <w:lastRenderedPageBreak/>
        <w:t>The appellant’s right to speak with counsel was denied at the time of his arrest, when the police refused his request to speak with counsel.</w:t>
      </w:r>
    </w:p>
    <w:p w14:paraId="645478EB" w14:textId="3BEBBA1A" w:rsidR="00D93A6C" w:rsidRPr="00BB5361" w:rsidRDefault="00BB5361" w:rsidP="00C65766">
      <w:pPr>
        <w:pStyle w:val="Paragraphe"/>
        <w:spacing w:line="280" w:lineRule="exact"/>
        <w:rPr>
          <w:lang w:val="en-US"/>
        </w:rPr>
      </w:pPr>
      <w:r w:rsidRPr="00BB5361">
        <w:rPr>
          <w:lang w:val="en-US"/>
        </w:rPr>
        <w:t>The</w:t>
      </w:r>
      <w:r w:rsidR="00127A0A">
        <w:rPr>
          <w:lang w:val="en-US"/>
        </w:rPr>
        <w:t xml:space="preserve"> role of</w:t>
      </w:r>
      <w:r w:rsidRPr="00BB5361">
        <w:rPr>
          <w:lang w:val="en-US"/>
        </w:rPr>
        <w:t xml:space="preserve"> police officers</w:t>
      </w:r>
      <w:r>
        <w:rPr>
          <w:lang w:val="en-US"/>
        </w:rPr>
        <w:t xml:space="preserve"> is to analyze the circum</w:t>
      </w:r>
      <w:r w:rsidR="001D4908" w:rsidRPr="00BB5361">
        <w:rPr>
          <w:lang w:val="en-US"/>
        </w:rPr>
        <w:t xml:space="preserve">stances </w:t>
      </w:r>
      <w:r>
        <w:rPr>
          <w:lang w:val="en-US"/>
        </w:rPr>
        <w:t xml:space="preserve">as a whole </w:t>
      </w:r>
      <w:r w:rsidR="001D367D">
        <w:rPr>
          <w:lang w:val="en-US"/>
        </w:rPr>
        <w:t xml:space="preserve">so as </w:t>
      </w:r>
      <w:r>
        <w:rPr>
          <w:lang w:val="en-US"/>
        </w:rPr>
        <w:t xml:space="preserve">to determine when the call can be made, which must be at the first reasonable opportunity. </w:t>
      </w:r>
      <w:r w:rsidR="00127A0A">
        <w:rPr>
          <w:lang w:val="en-US"/>
        </w:rPr>
        <w:t>This requires that they</w:t>
      </w:r>
      <w:r>
        <w:rPr>
          <w:lang w:val="en-US"/>
        </w:rPr>
        <w:t xml:space="preserve"> assess each case individually: </w:t>
      </w:r>
      <w:r w:rsidR="001D4908" w:rsidRPr="00BB5361">
        <w:rPr>
          <w:i/>
          <w:lang w:val="en-US"/>
        </w:rPr>
        <w:t>R. c. Taylor</w:t>
      </w:r>
      <w:r w:rsidR="001D4908" w:rsidRPr="00BB5361">
        <w:rPr>
          <w:lang w:val="en-US"/>
        </w:rPr>
        <w:t xml:space="preserve">, </w:t>
      </w:r>
      <w:r w:rsidRPr="00BB5361">
        <w:rPr>
          <w:i/>
          <w:lang w:val="en-US"/>
        </w:rPr>
        <w:t>supra</w:t>
      </w:r>
      <w:r w:rsidR="003F5463">
        <w:rPr>
          <w:lang w:val="en-US"/>
        </w:rPr>
        <w:t>,</w:t>
      </w:r>
      <w:r w:rsidR="00127A0A">
        <w:rPr>
          <w:lang w:val="en-US"/>
        </w:rPr>
        <w:t xml:space="preserve"> </w:t>
      </w:r>
      <w:r>
        <w:rPr>
          <w:lang w:val="en-US"/>
        </w:rPr>
        <w:t xml:space="preserve">paras. </w:t>
      </w:r>
      <w:r w:rsidRPr="0016054C">
        <w:rPr>
          <w:lang w:val="en-CA"/>
        </w:rPr>
        <w:t>32 and</w:t>
      </w:r>
      <w:r w:rsidR="001D4908" w:rsidRPr="0016054C">
        <w:rPr>
          <w:lang w:val="en-CA"/>
        </w:rPr>
        <w:t xml:space="preserve"> 33; </w:t>
      </w:r>
      <w:r w:rsidR="001D4908" w:rsidRPr="0016054C">
        <w:rPr>
          <w:i/>
          <w:lang w:val="en-CA"/>
        </w:rPr>
        <w:t>R. v. La</w:t>
      </w:r>
      <w:r w:rsidRPr="0016054C">
        <w:rPr>
          <w:lang w:val="en-CA"/>
        </w:rPr>
        <w:t>, 2018 ONCA 830</w:t>
      </w:r>
      <w:r w:rsidR="000936D2">
        <w:rPr>
          <w:lang w:val="en-CA"/>
        </w:rPr>
        <w:t>,</w:t>
      </w:r>
      <w:r w:rsidR="00127A0A" w:rsidRPr="0016054C">
        <w:rPr>
          <w:lang w:val="en-CA"/>
        </w:rPr>
        <w:t xml:space="preserve"> </w:t>
      </w:r>
      <w:r w:rsidRPr="0016054C">
        <w:rPr>
          <w:lang w:val="en-CA"/>
        </w:rPr>
        <w:t>para</w:t>
      </w:r>
      <w:r w:rsidR="001D4908" w:rsidRPr="0016054C">
        <w:rPr>
          <w:lang w:val="en-CA"/>
        </w:rPr>
        <w:t xml:space="preserve">. 39; </w:t>
      </w:r>
      <w:r w:rsidR="001D4908" w:rsidRPr="0016054C">
        <w:rPr>
          <w:i/>
          <w:lang w:val="en-CA"/>
        </w:rPr>
        <w:t>R. v. Rover</w:t>
      </w:r>
      <w:r w:rsidR="001D4908" w:rsidRPr="0016054C">
        <w:rPr>
          <w:lang w:val="en-CA"/>
        </w:rPr>
        <w:t xml:space="preserve">, </w:t>
      </w:r>
      <w:r w:rsidRPr="0016054C">
        <w:rPr>
          <w:i/>
          <w:lang w:val="en-CA"/>
        </w:rPr>
        <w:t>supra</w:t>
      </w:r>
      <w:r w:rsidR="000936D2">
        <w:rPr>
          <w:lang w:val="en-CA"/>
        </w:rPr>
        <w:t>,</w:t>
      </w:r>
      <w:r w:rsidR="00127A0A" w:rsidRPr="0016054C">
        <w:rPr>
          <w:lang w:val="en-CA"/>
        </w:rPr>
        <w:t xml:space="preserve"> </w:t>
      </w:r>
      <w:r w:rsidRPr="0016054C">
        <w:rPr>
          <w:lang w:val="en-CA"/>
        </w:rPr>
        <w:t xml:space="preserve">paras. </w:t>
      </w:r>
      <w:r>
        <w:rPr>
          <w:lang w:val="en-US"/>
        </w:rPr>
        <w:t>32 and</w:t>
      </w:r>
      <w:r w:rsidR="001D4908" w:rsidRPr="00BB5361">
        <w:rPr>
          <w:lang w:val="en-US"/>
        </w:rPr>
        <w:t xml:space="preserve"> 33. </w:t>
      </w:r>
      <w:r w:rsidR="008B6DA6">
        <w:rPr>
          <w:lang w:val="en-US"/>
        </w:rPr>
        <w:t>A</w:t>
      </w:r>
      <w:r>
        <w:rPr>
          <w:lang w:val="en-US"/>
        </w:rPr>
        <w:t xml:space="preserve"> routine police practice or a </w:t>
      </w:r>
      <w:r w:rsidR="001D4908" w:rsidRPr="00BB5361">
        <w:rPr>
          <w:lang w:val="en-US"/>
        </w:rPr>
        <w:t xml:space="preserve">directive </w:t>
      </w:r>
      <w:r w:rsidR="008B6DA6">
        <w:rPr>
          <w:lang w:val="en-US"/>
        </w:rPr>
        <w:t xml:space="preserve">that </w:t>
      </w:r>
      <w:r w:rsidR="00695ABC">
        <w:rPr>
          <w:lang w:val="en-US"/>
        </w:rPr>
        <w:t>unduly restrict</w:t>
      </w:r>
      <w:r w:rsidR="008B6DA6">
        <w:rPr>
          <w:lang w:val="en-US"/>
        </w:rPr>
        <w:t>s</w:t>
      </w:r>
      <w:r w:rsidR="00695ABC">
        <w:rPr>
          <w:lang w:val="en-US"/>
        </w:rPr>
        <w:t xml:space="preserve"> a right</w:t>
      </w:r>
      <w:r>
        <w:rPr>
          <w:lang w:val="en-US"/>
        </w:rPr>
        <w:t xml:space="preserve"> tends to aggravate the </w:t>
      </w:r>
      <w:r w:rsidR="001D4908" w:rsidRPr="00BB5361">
        <w:rPr>
          <w:lang w:val="en-US"/>
        </w:rPr>
        <w:t>violation</w:t>
      </w:r>
      <w:r w:rsidR="00127A0A">
        <w:rPr>
          <w:lang w:val="en-US"/>
        </w:rPr>
        <w:t>, which</w:t>
      </w:r>
      <w:r w:rsidR="008B6DA6">
        <w:rPr>
          <w:lang w:val="en-US"/>
        </w:rPr>
        <w:t xml:space="preserve"> then</w:t>
      </w:r>
      <w:r w:rsidR="00127A0A">
        <w:rPr>
          <w:lang w:val="en-US"/>
        </w:rPr>
        <w:t xml:space="preserve"> becomes</w:t>
      </w:r>
      <w:r>
        <w:rPr>
          <w:lang w:val="en-US"/>
        </w:rPr>
        <w:t xml:space="preserve"> systemic.</w:t>
      </w:r>
      <w:r w:rsidR="001D4908" w:rsidRPr="00BB5361">
        <w:rPr>
          <w:lang w:val="en-US"/>
        </w:rPr>
        <w:t xml:space="preserve"> </w:t>
      </w:r>
    </w:p>
    <w:p w14:paraId="17AFB906" w14:textId="123160A6" w:rsidR="00D93A6C" w:rsidRPr="00BB5361" w:rsidRDefault="00360F5E" w:rsidP="00C65766">
      <w:pPr>
        <w:pStyle w:val="Paragraphe"/>
        <w:spacing w:line="280" w:lineRule="exact"/>
        <w:rPr>
          <w:lang w:val="en-US"/>
        </w:rPr>
      </w:pPr>
      <w:r>
        <w:rPr>
          <w:lang w:val="en-US"/>
        </w:rPr>
        <w:t xml:space="preserve">Lastly, although it is true that no evidence was discovered before the </w:t>
      </w:r>
      <w:r w:rsidR="008B637A">
        <w:rPr>
          <w:lang w:val="en-US"/>
        </w:rPr>
        <w:t>appellant</w:t>
      </w:r>
      <w:r w:rsidR="00695ABC">
        <w:rPr>
          <w:lang w:val="en-US"/>
        </w:rPr>
        <w:t xml:space="preserve"> spoke to her lawyer</w:t>
      </w:r>
      <w:r w:rsidR="007D7F0F">
        <w:rPr>
          <w:lang w:val="en-US"/>
        </w:rPr>
        <w:t>—</w:t>
      </w:r>
      <w:r>
        <w:rPr>
          <w:lang w:val="en-US"/>
        </w:rPr>
        <w:t>which the respondent associates with</w:t>
      </w:r>
      <w:r w:rsidR="00695ABC">
        <w:rPr>
          <w:lang w:val="en-US"/>
        </w:rPr>
        <w:t xml:space="preserve"> an absence of actual prejudice</w:t>
      </w:r>
      <w:r w:rsidR="007D7F0F">
        <w:rPr>
          <w:lang w:val="en-US"/>
        </w:rPr>
        <w:t>—</w:t>
      </w:r>
      <w:r w:rsidR="00132308">
        <w:rPr>
          <w:lang w:val="en-US"/>
        </w:rPr>
        <w:t xml:space="preserve">it remains that </w:t>
      </w:r>
      <w:r>
        <w:rPr>
          <w:lang w:val="en-US"/>
        </w:rPr>
        <w:t xml:space="preserve">a causal link between the </w:t>
      </w:r>
      <w:r w:rsidR="001D4908" w:rsidRPr="00BB5361">
        <w:rPr>
          <w:lang w:val="en-US"/>
        </w:rPr>
        <w:t xml:space="preserve">violation </w:t>
      </w:r>
      <w:r>
        <w:rPr>
          <w:lang w:val="en-US"/>
        </w:rPr>
        <w:t xml:space="preserve">of the </w:t>
      </w:r>
      <w:r w:rsidR="001D4908" w:rsidRPr="00BB5361">
        <w:rPr>
          <w:i/>
          <w:lang w:val="en-US"/>
        </w:rPr>
        <w:t>Charte</w:t>
      </w:r>
      <w:r>
        <w:rPr>
          <w:i/>
          <w:lang w:val="en-US"/>
        </w:rPr>
        <w:t>r</w:t>
      </w:r>
      <w:r w:rsidR="001D4908" w:rsidRPr="00BB5361">
        <w:rPr>
          <w:i/>
          <w:lang w:val="en-US"/>
        </w:rPr>
        <w:t xml:space="preserve"> </w:t>
      </w:r>
      <w:r>
        <w:rPr>
          <w:lang w:val="en-US"/>
        </w:rPr>
        <w:t>and the discovery of evidence</w:t>
      </w:r>
      <w:r w:rsidR="00024B72">
        <w:rPr>
          <w:lang w:val="en-US"/>
        </w:rPr>
        <w:t xml:space="preserve"> is not always required</w:t>
      </w:r>
      <w:r>
        <w:rPr>
          <w:lang w:val="en-US"/>
        </w:rPr>
        <w:t xml:space="preserve">. The temporal link is usually of particular importance and may even suffice: </w:t>
      </w:r>
      <w:r>
        <w:rPr>
          <w:i/>
          <w:lang w:val="en-US"/>
        </w:rPr>
        <w:t>R. v</w:t>
      </w:r>
      <w:r w:rsidR="001D4908" w:rsidRPr="00BB5361">
        <w:rPr>
          <w:i/>
          <w:lang w:val="en-US"/>
        </w:rPr>
        <w:t>. Strachan</w:t>
      </w:r>
      <w:r>
        <w:rPr>
          <w:lang w:val="en-US"/>
        </w:rPr>
        <w:t>, [1988] 2 S.C.R. 980</w:t>
      </w:r>
      <w:r w:rsidR="00732CA7">
        <w:rPr>
          <w:lang w:val="en-US"/>
        </w:rPr>
        <w:t>, p.</w:t>
      </w:r>
      <w:r>
        <w:rPr>
          <w:lang w:val="en-US"/>
        </w:rPr>
        <w:t xml:space="preserve"> 1000, and</w:t>
      </w:r>
      <w:r w:rsidR="001D4908" w:rsidRPr="00BB5361">
        <w:rPr>
          <w:lang w:val="en-US"/>
        </w:rPr>
        <w:t xml:space="preserve"> </w:t>
      </w:r>
      <w:r>
        <w:rPr>
          <w:i/>
          <w:lang w:val="en-US"/>
        </w:rPr>
        <w:t>R. v</w:t>
      </w:r>
      <w:r w:rsidR="001D4908" w:rsidRPr="00BB5361">
        <w:rPr>
          <w:i/>
          <w:lang w:val="en-US"/>
        </w:rPr>
        <w:t xml:space="preserve">. </w:t>
      </w:r>
      <w:proofErr w:type="spellStart"/>
      <w:r w:rsidR="001D4908" w:rsidRPr="00BB5361">
        <w:rPr>
          <w:i/>
          <w:lang w:val="en-US"/>
        </w:rPr>
        <w:t>Mian</w:t>
      </w:r>
      <w:proofErr w:type="spellEnd"/>
      <w:r>
        <w:rPr>
          <w:lang w:val="en-US"/>
        </w:rPr>
        <w:t xml:space="preserve">, 2014 </w:t>
      </w:r>
      <w:r w:rsidR="001D4908" w:rsidRPr="00BB5361">
        <w:rPr>
          <w:lang w:val="en-US"/>
        </w:rPr>
        <w:t>S</w:t>
      </w:r>
      <w:r>
        <w:rPr>
          <w:lang w:val="en-US"/>
        </w:rPr>
        <w:t>CC 54, [2014] 2 SCR 689</w:t>
      </w:r>
      <w:r w:rsidR="00732CA7">
        <w:rPr>
          <w:lang w:val="en-US"/>
        </w:rPr>
        <w:t>,</w:t>
      </w:r>
      <w:r w:rsidR="004B154A">
        <w:rPr>
          <w:lang w:val="en-US"/>
        </w:rPr>
        <w:t xml:space="preserve"> </w:t>
      </w:r>
      <w:r>
        <w:rPr>
          <w:lang w:val="en-US"/>
        </w:rPr>
        <w:t>para</w:t>
      </w:r>
      <w:r w:rsidR="001D4908" w:rsidRPr="00BB5361">
        <w:rPr>
          <w:lang w:val="en-US"/>
        </w:rPr>
        <w:t xml:space="preserve">. 83. </w:t>
      </w:r>
      <w:r>
        <w:rPr>
          <w:lang w:val="en-US"/>
        </w:rPr>
        <w:t xml:space="preserve">The </w:t>
      </w:r>
      <w:r w:rsidR="00A61A6D">
        <w:rPr>
          <w:lang w:val="en-US"/>
        </w:rPr>
        <w:t xml:space="preserve">appellant </w:t>
      </w:r>
      <w:r>
        <w:rPr>
          <w:lang w:val="en-US"/>
        </w:rPr>
        <w:t>was also unnecessarily deprived of any contact with the outside world,</w:t>
      </w:r>
      <w:r w:rsidR="004B154A">
        <w:rPr>
          <w:lang w:val="en-US"/>
        </w:rPr>
        <w:t xml:space="preserve"> and</w:t>
      </w:r>
      <w:r>
        <w:rPr>
          <w:lang w:val="en-US"/>
        </w:rPr>
        <w:t xml:space="preserve"> in particular with her lawyer, for over an hour after she had asked </w:t>
      </w:r>
      <w:r w:rsidR="00A13BDE">
        <w:rPr>
          <w:lang w:val="en-US"/>
        </w:rPr>
        <w:t xml:space="preserve">permission to call him, </w:t>
      </w:r>
      <w:r w:rsidR="004B154A">
        <w:rPr>
          <w:lang w:val="en-US"/>
        </w:rPr>
        <w:t>which</w:t>
      </w:r>
      <w:r>
        <w:rPr>
          <w:lang w:val="en-US"/>
        </w:rPr>
        <w:t xml:space="preserve"> was refused without even considering the mere possibility of her being able to do so. It is worth citing Justice </w:t>
      </w:r>
      <w:r w:rsidR="001D4908" w:rsidRPr="00BB5361">
        <w:rPr>
          <w:lang w:val="en-US"/>
        </w:rPr>
        <w:t>Doherty</w:t>
      </w:r>
      <w:r>
        <w:rPr>
          <w:lang w:val="en-US"/>
        </w:rPr>
        <w:t xml:space="preserve">’s </w:t>
      </w:r>
      <w:r w:rsidR="004B154A">
        <w:rPr>
          <w:lang w:val="en-US"/>
        </w:rPr>
        <w:t xml:space="preserve">remarks </w:t>
      </w:r>
      <w:r>
        <w:rPr>
          <w:lang w:val="en-US"/>
        </w:rPr>
        <w:t xml:space="preserve">in </w:t>
      </w:r>
      <w:r w:rsidR="001D4908" w:rsidRPr="00BB5361">
        <w:rPr>
          <w:i/>
          <w:lang w:val="en-US"/>
        </w:rPr>
        <w:t>Rover</w:t>
      </w:r>
      <w:r w:rsidR="001D4908" w:rsidRPr="00BB5361">
        <w:rPr>
          <w:lang w:val="en-US"/>
        </w:rPr>
        <w:t xml:space="preserve">, </w:t>
      </w:r>
      <w:r w:rsidRPr="00360F5E">
        <w:rPr>
          <w:i/>
          <w:lang w:val="en-US"/>
        </w:rPr>
        <w:t>supra</w:t>
      </w:r>
      <w:r w:rsidR="001D4908" w:rsidRPr="00BB5361">
        <w:rPr>
          <w:lang w:val="en-US"/>
        </w:rPr>
        <w:t xml:space="preserve">, </w:t>
      </w:r>
      <w:r>
        <w:rPr>
          <w:lang w:val="en-US"/>
        </w:rPr>
        <w:t>on how important it is for detained persons not to feel entirely at the mercy of</w:t>
      </w:r>
      <w:r w:rsidR="000B7E41">
        <w:rPr>
          <w:lang w:val="en-US"/>
        </w:rPr>
        <w:t xml:space="preserve"> the police: </w:t>
      </w:r>
    </w:p>
    <w:p w14:paraId="4B59D300" w14:textId="24DD338A" w:rsidR="00D93A6C" w:rsidRPr="00BB5361" w:rsidRDefault="001D4908" w:rsidP="00C65766">
      <w:pPr>
        <w:pStyle w:val="Citationenretrait"/>
        <w:rPr>
          <w:lang w:val="en-US"/>
        </w:rPr>
      </w:pPr>
      <w:r w:rsidRPr="00BB5361">
        <w:rPr>
          <w:lang w:val="en-US"/>
        </w:rPr>
        <w:t xml:space="preserve">[45] </w:t>
      </w:r>
      <w:r w:rsidR="009A57C6" w:rsidRPr="00BB5361">
        <w:rPr>
          <w:lang w:val="en-US"/>
        </w:rPr>
        <w:tab/>
      </w:r>
      <w:r w:rsidRPr="00BB5361">
        <w:rPr>
          <w:lang w:val="en-US"/>
        </w:rPr>
        <w:t xml:space="preserve">The right to counsel is a lifeline for detained persons. Through that lifeline, detained persons obtain, not only legal advice and guidance, </w:t>
      </w:r>
      <w:r w:rsidR="00AA04BC">
        <w:rPr>
          <w:lang w:val="en-US"/>
        </w:rPr>
        <w:t>[</w:t>
      </w:r>
      <w:r w:rsidRPr="00BB5361">
        <w:rPr>
          <w:lang w:val="en-US"/>
        </w:rPr>
        <w:t>…</w:t>
      </w:r>
      <w:r w:rsidR="00AA04BC">
        <w:rPr>
          <w:lang w:val="en-US"/>
        </w:rPr>
        <w:t>]</w:t>
      </w:r>
      <w:r w:rsidRPr="00BB5361">
        <w:rPr>
          <w:lang w:val="en-US"/>
        </w:rPr>
        <w:t xml:space="preserve"> but also the sense that they are not entirely at the mercy of the police while detained. The psychological value of access to counsel without delay should not be underestimated.</w:t>
      </w:r>
    </w:p>
    <w:p w14:paraId="50008D34" w14:textId="04E8AAFD" w:rsidR="00D93A6C" w:rsidRPr="00BB5361" w:rsidRDefault="00AC6178" w:rsidP="00612B7B">
      <w:pPr>
        <w:pStyle w:val="Paragraphe"/>
        <w:spacing w:after="0" w:line="240" w:lineRule="auto"/>
        <w:rPr>
          <w:lang w:val="en-US"/>
        </w:rPr>
      </w:pPr>
      <w:r w:rsidRPr="00BB5361">
        <w:rPr>
          <w:lang w:val="en-US"/>
        </w:rPr>
        <w:t>In short, the Court of Qu</w:t>
      </w:r>
      <w:r w:rsidR="00E54A72">
        <w:rPr>
          <w:lang w:val="en-US"/>
        </w:rPr>
        <w:t>é</w:t>
      </w:r>
      <w:r w:rsidRPr="00BB5361">
        <w:rPr>
          <w:lang w:val="en-US"/>
        </w:rPr>
        <w:t>bec judge committed no error when she ordered the evidence excluded, and for those reasons</w:t>
      </w:r>
      <w:r w:rsidR="004B154A">
        <w:rPr>
          <w:lang w:val="en-US"/>
        </w:rPr>
        <w:t xml:space="preserve">, </w:t>
      </w:r>
      <w:r w:rsidR="0065650E">
        <w:rPr>
          <w:lang w:val="en-US"/>
        </w:rPr>
        <w:t xml:space="preserve">I would </w:t>
      </w:r>
      <w:r w:rsidRPr="00BB5361">
        <w:rPr>
          <w:lang w:val="en-US"/>
        </w:rPr>
        <w:t xml:space="preserve">allow the appeal, </w:t>
      </w:r>
      <w:r w:rsidR="0065650E">
        <w:rPr>
          <w:lang w:val="en-US"/>
        </w:rPr>
        <w:t xml:space="preserve">quash </w:t>
      </w:r>
      <w:r w:rsidRPr="00BB5361">
        <w:rPr>
          <w:lang w:val="en-US"/>
        </w:rPr>
        <w:t xml:space="preserve">the Superior Court judgment and </w:t>
      </w:r>
      <w:r w:rsidR="004B154A">
        <w:rPr>
          <w:lang w:val="en-US"/>
        </w:rPr>
        <w:t>restore</w:t>
      </w:r>
      <w:r w:rsidR="004B154A" w:rsidRPr="00BB5361">
        <w:rPr>
          <w:lang w:val="en-US"/>
        </w:rPr>
        <w:t xml:space="preserve"> </w:t>
      </w:r>
      <w:r w:rsidRPr="00BB5361">
        <w:rPr>
          <w:lang w:val="en-US"/>
        </w:rPr>
        <w:t xml:space="preserve">the acquittal </w:t>
      </w:r>
      <w:r w:rsidR="0065650E">
        <w:rPr>
          <w:lang w:val="en-US"/>
        </w:rPr>
        <w:t xml:space="preserve">entered </w:t>
      </w:r>
      <w:r w:rsidRPr="00BB5361">
        <w:rPr>
          <w:lang w:val="en-US"/>
        </w:rPr>
        <w:t>by the Court of Qu</w:t>
      </w:r>
      <w:r w:rsidR="00E54A72">
        <w:rPr>
          <w:lang w:val="en-US"/>
        </w:rPr>
        <w:t>é</w:t>
      </w:r>
      <w:r w:rsidRPr="00BB5361">
        <w:rPr>
          <w:lang w:val="en-US"/>
        </w:rPr>
        <w:t>bec.</w:t>
      </w:r>
    </w:p>
    <w:tbl>
      <w:tblPr>
        <w:tblW w:w="0" w:type="auto"/>
        <w:tblInd w:w="70" w:type="dxa"/>
        <w:tblLayout w:type="fixed"/>
        <w:tblCellMar>
          <w:left w:w="70" w:type="dxa"/>
          <w:right w:w="70" w:type="dxa"/>
        </w:tblCellMar>
        <w:tblLook w:val="0000" w:firstRow="0" w:lastRow="0" w:firstColumn="0" w:lastColumn="0" w:noHBand="0" w:noVBand="0"/>
      </w:tblPr>
      <w:tblGrid>
        <w:gridCol w:w="4735"/>
        <w:gridCol w:w="4625"/>
      </w:tblGrid>
      <w:tr w:rsidR="00713DD5" w:rsidRPr="0016054C" w14:paraId="303C6942" w14:textId="77777777" w:rsidTr="0011384E">
        <w:trPr>
          <w:cantSplit/>
          <w:trHeight w:val="513"/>
        </w:trPr>
        <w:tc>
          <w:tcPr>
            <w:tcW w:w="9360" w:type="dxa"/>
            <w:gridSpan w:val="2"/>
          </w:tcPr>
          <w:p w14:paraId="6C23B0A4" w14:textId="77777777" w:rsidR="00D93A6C" w:rsidRPr="00BB5361" w:rsidRDefault="00D93A6C" w:rsidP="00C65766">
            <w:pPr>
              <w:pStyle w:val="Paragraphe"/>
              <w:numPr>
                <w:ilvl w:val="0"/>
                <w:numId w:val="0"/>
              </w:numPr>
              <w:spacing w:line="280" w:lineRule="exact"/>
              <w:rPr>
                <w:lang w:val="en-US"/>
              </w:rPr>
            </w:pPr>
          </w:p>
        </w:tc>
      </w:tr>
      <w:tr w:rsidR="00713DD5" w:rsidRPr="0016054C" w14:paraId="6AE7909E" w14:textId="77777777" w:rsidTr="0011384E">
        <w:tblPrEx>
          <w:tblCellMar>
            <w:left w:w="0" w:type="dxa"/>
            <w:right w:w="0" w:type="dxa"/>
          </w:tblCellMar>
        </w:tblPrEx>
        <w:trPr>
          <w:cantSplit/>
          <w:trHeight w:val="277"/>
        </w:trPr>
        <w:tc>
          <w:tcPr>
            <w:tcW w:w="4735" w:type="dxa"/>
            <w:vMerge w:val="restart"/>
          </w:tcPr>
          <w:p w14:paraId="189ECF30" w14:textId="77777777" w:rsidR="00D93A6C" w:rsidRPr="00BB5361" w:rsidRDefault="00D93A6C" w:rsidP="00C65766">
            <w:pPr>
              <w:pStyle w:val="Paragraphe"/>
              <w:numPr>
                <w:ilvl w:val="0"/>
                <w:numId w:val="0"/>
              </w:numPr>
              <w:spacing w:line="280" w:lineRule="exact"/>
              <w:rPr>
                <w:lang w:val="en-US"/>
              </w:rPr>
            </w:pPr>
          </w:p>
        </w:tc>
        <w:tc>
          <w:tcPr>
            <w:tcW w:w="4625" w:type="dxa"/>
            <w:tcBorders>
              <w:bottom w:val="single" w:sz="8" w:space="0" w:color="auto"/>
            </w:tcBorders>
          </w:tcPr>
          <w:p w14:paraId="1F7F1F7C" w14:textId="77777777" w:rsidR="00D93A6C" w:rsidRPr="00BB5361" w:rsidRDefault="00D93A6C" w:rsidP="00C65766">
            <w:pPr>
              <w:rPr>
                <w:lang w:val="en-US"/>
              </w:rPr>
            </w:pPr>
          </w:p>
        </w:tc>
      </w:tr>
      <w:tr w:rsidR="00713DD5" w:rsidRPr="00BB5361" w14:paraId="7970B2BE" w14:textId="77777777" w:rsidTr="0011384E">
        <w:tblPrEx>
          <w:tblCellMar>
            <w:left w:w="0" w:type="dxa"/>
            <w:right w:w="0" w:type="dxa"/>
          </w:tblCellMar>
        </w:tblPrEx>
        <w:trPr>
          <w:cantSplit/>
          <w:trHeight w:val="276"/>
        </w:trPr>
        <w:tc>
          <w:tcPr>
            <w:tcW w:w="4735" w:type="dxa"/>
            <w:vMerge/>
          </w:tcPr>
          <w:p w14:paraId="50A3DC8F" w14:textId="77777777" w:rsidR="00D93A6C" w:rsidRPr="00BB5361" w:rsidRDefault="00D93A6C" w:rsidP="00C65766">
            <w:pPr>
              <w:rPr>
                <w:lang w:val="en-US"/>
              </w:rPr>
            </w:pPr>
          </w:p>
        </w:tc>
        <w:tc>
          <w:tcPr>
            <w:tcW w:w="4625" w:type="dxa"/>
          </w:tcPr>
          <w:p w14:paraId="395127CD" w14:textId="77777777" w:rsidR="00D93A6C" w:rsidRPr="00BB5361" w:rsidRDefault="00AC6178" w:rsidP="00C65766">
            <w:pPr>
              <w:rPr>
                <w:lang w:val="en-US"/>
              </w:rPr>
            </w:pPr>
            <w:r w:rsidRPr="00BB5361">
              <w:rPr>
                <w:lang w:val="en-US"/>
              </w:rPr>
              <w:t>FRANÇOIS DOYON, J.</w:t>
            </w:r>
            <w:r w:rsidR="003A3F17" w:rsidRPr="00BB5361">
              <w:rPr>
                <w:lang w:val="en-US"/>
              </w:rPr>
              <w:t>A.</w:t>
            </w:r>
          </w:p>
        </w:tc>
      </w:tr>
      <w:bookmarkEnd w:id="12"/>
    </w:tbl>
    <w:p w14:paraId="738629F7" w14:textId="77777777" w:rsidR="00740A17" w:rsidRPr="00BB5361" w:rsidRDefault="00740A17" w:rsidP="001A319C">
      <w:pPr>
        <w:rPr>
          <w:lang w:val="en-US"/>
        </w:rPr>
      </w:pPr>
    </w:p>
    <w:sectPr w:rsidR="00740A17" w:rsidRPr="00BB5361" w:rsidSect="00D93A6C">
      <w:headerReference w:type="default" r:id="rId9"/>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E638" w14:textId="77777777" w:rsidR="00922087" w:rsidRDefault="00922087">
      <w:pPr>
        <w:spacing w:line="240" w:lineRule="auto"/>
      </w:pPr>
      <w:r>
        <w:separator/>
      </w:r>
    </w:p>
  </w:endnote>
  <w:endnote w:type="continuationSeparator" w:id="0">
    <w:p w14:paraId="7953EC45" w14:textId="77777777" w:rsidR="00922087" w:rsidRDefault="00922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2CF8" w14:textId="77777777" w:rsidR="00922087" w:rsidRDefault="00922087">
      <w:pPr>
        <w:spacing w:line="240" w:lineRule="auto"/>
      </w:pPr>
      <w:r>
        <w:separator/>
      </w:r>
    </w:p>
  </w:footnote>
  <w:footnote w:type="continuationSeparator" w:id="0">
    <w:p w14:paraId="74EB9F81" w14:textId="77777777" w:rsidR="00922087" w:rsidRDefault="009220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2C97" w14:textId="27A0141A" w:rsidR="0016054C" w:rsidRDefault="0016054C" w:rsidP="0011384E">
    <w:pPr>
      <w:tabs>
        <w:tab w:val="center" w:pos="4709"/>
        <w:tab w:val="right" w:pos="9360"/>
      </w:tabs>
      <w:spacing w:line="360" w:lineRule="auto"/>
      <w:ind w:right="524"/>
    </w:pPr>
    <w:r>
      <w:t>500-10-006845-182</w:t>
    </w:r>
    <w:r w:rsidRPr="007462D6">
      <w:t xml:space="preserve"> </w:t>
    </w:r>
    <w:r>
      <w:tab/>
    </w:r>
    <w:r>
      <w:tab/>
      <w:t xml:space="preserve">PAGE: </w:t>
    </w:r>
    <w:r>
      <w:fldChar w:fldCharType="begin"/>
    </w:r>
    <w:r>
      <w:instrText xml:space="preserve"> PAGE </w:instrText>
    </w:r>
    <w:r>
      <w:fldChar w:fldCharType="separate"/>
    </w:r>
    <w:r w:rsidR="00FB445A">
      <w:rPr>
        <w:noProof/>
      </w:rPr>
      <w:t>2</w:t>
    </w:r>
    <w:r>
      <w:rPr>
        <w:noProof/>
      </w:rPr>
      <w:fldChar w:fldCharType="end"/>
    </w:r>
  </w:p>
  <w:p w14:paraId="07D164CA" w14:textId="77777777" w:rsidR="0016054C" w:rsidRDefault="0016054C" w:rsidP="0011384E">
    <w:pPr>
      <w:tabs>
        <w:tab w:val="center" w:pos="4709"/>
        <w:tab w:val="right" w:pos="9360"/>
      </w:tabs>
      <w:spacing w:line="360" w:lineRule="auto"/>
      <w:ind w:right="52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4CC4" w14:textId="67BD929E" w:rsidR="0016054C" w:rsidRDefault="0016054C" w:rsidP="00DB2119">
    <w:pPr>
      <w:tabs>
        <w:tab w:val="center" w:pos="4709"/>
        <w:tab w:val="right" w:pos="9360"/>
      </w:tabs>
      <w:spacing w:line="360" w:lineRule="auto"/>
      <w:ind w:right="524"/>
    </w:pPr>
    <w:bookmarkStart w:id="13" w:name="EntDossier"/>
    <w:r>
      <w:t>500-10-006845-182</w:t>
    </w:r>
    <w:bookmarkEnd w:id="13"/>
    <w:r w:rsidRPr="007462D6">
      <w:t xml:space="preserve"> </w:t>
    </w:r>
    <w:r>
      <w:tab/>
    </w:r>
    <w:r>
      <w:tab/>
      <w:t xml:space="preserve">PAGE: </w:t>
    </w:r>
    <w:r>
      <w:fldChar w:fldCharType="begin"/>
    </w:r>
    <w:r>
      <w:instrText xml:space="preserve"> PAGE </w:instrText>
    </w:r>
    <w:r>
      <w:fldChar w:fldCharType="separate"/>
    </w:r>
    <w:r w:rsidR="00FB445A">
      <w:rPr>
        <w:noProof/>
      </w:rPr>
      <w:t>15</w:t>
    </w:r>
    <w:r>
      <w:rPr>
        <w:noProof/>
      </w:rPr>
      <w:fldChar w:fldCharType="end"/>
    </w:r>
  </w:p>
  <w:p w14:paraId="3A76BC9E" w14:textId="77777777" w:rsidR="0016054C" w:rsidRDefault="0016054C"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1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50"/>
    <w:rsid w:val="00005FE6"/>
    <w:rsid w:val="0001228E"/>
    <w:rsid w:val="000131E1"/>
    <w:rsid w:val="00013D1C"/>
    <w:rsid w:val="00016ABA"/>
    <w:rsid w:val="00021323"/>
    <w:rsid w:val="000221A9"/>
    <w:rsid w:val="00024B72"/>
    <w:rsid w:val="00027D60"/>
    <w:rsid w:val="0004394C"/>
    <w:rsid w:val="00052927"/>
    <w:rsid w:val="00053691"/>
    <w:rsid w:val="000568DA"/>
    <w:rsid w:val="000573EE"/>
    <w:rsid w:val="0006539E"/>
    <w:rsid w:val="000737D8"/>
    <w:rsid w:val="00074BFF"/>
    <w:rsid w:val="00086FCE"/>
    <w:rsid w:val="00087996"/>
    <w:rsid w:val="00087BE0"/>
    <w:rsid w:val="00091AA6"/>
    <w:rsid w:val="000936D2"/>
    <w:rsid w:val="000A7516"/>
    <w:rsid w:val="000A7CB8"/>
    <w:rsid w:val="000B215A"/>
    <w:rsid w:val="000B42AF"/>
    <w:rsid w:val="000B7E41"/>
    <w:rsid w:val="000D7F0A"/>
    <w:rsid w:val="000E052C"/>
    <w:rsid w:val="000E338C"/>
    <w:rsid w:val="000F68DA"/>
    <w:rsid w:val="001104F2"/>
    <w:rsid w:val="00110B53"/>
    <w:rsid w:val="00112321"/>
    <w:rsid w:val="0011384E"/>
    <w:rsid w:val="00113852"/>
    <w:rsid w:val="001146C8"/>
    <w:rsid w:val="00117914"/>
    <w:rsid w:val="00127A0A"/>
    <w:rsid w:val="0013028C"/>
    <w:rsid w:val="00132308"/>
    <w:rsid w:val="00136ABB"/>
    <w:rsid w:val="00146728"/>
    <w:rsid w:val="00147442"/>
    <w:rsid w:val="00152C87"/>
    <w:rsid w:val="0015610F"/>
    <w:rsid w:val="0015642F"/>
    <w:rsid w:val="0016054C"/>
    <w:rsid w:val="00160B31"/>
    <w:rsid w:val="001760C0"/>
    <w:rsid w:val="0018103E"/>
    <w:rsid w:val="001812E7"/>
    <w:rsid w:val="00181441"/>
    <w:rsid w:val="00181F56"/>
    <w:rsid w:val="00184BC0"/>
    <w:rsid w:val="0018552E"/>
    <w:rsid w:val="001864D6"/>
    <w:rsid w:val="00190275"/>
    <w:rsid w:val="00190FA7"/>
    <w:rsid w:val="001915C8"/>
    <w:rsid w:val="00192F9A"/>
    <w:rsid w:val="00193F97"/>
    <w:rsid w:val="001972F2"/>
    <w:rsid w:val="001A319C"/>
    <w:rsid w:val="001B1242"/>
    <w:rsid w:val="001B24F2"/>
    <w:rsid w:val="001B484D"/>
    <w:rsid w:val="001C0EF7"/>
    <w:rsid w:val="001C2282"/>
    <w:rsid w:val="001C3B23"/>
    <w:rsid w:val="001D367D"/>
    <w:rsid w:val="001D4908"/>
    <w:rsid w:val="001D6B3F"/>
    <w:rsid w:val="001F06B0"/>
    <w:rsid w:val="001F577F"/>
    <w:rsid w:val="00205DC4"/>
    <w:rsid w:val="00211ABC"/>
    <w:rsid w:val="00212C65"/>
    <w:rsid w:val="0021548E"/>
    <w:rsid w:val="00216382"/>
    <w:rsid w:val="002273F5"/>
    <w:rsid w:val="00236332"/>
    <w:rsid w:val="00236814"/>
    <w:rsid w:val="00237EE7"/>
    <w:rsid w:val="002547FC"/>
    <w:rsid w:val="0026059B"/>
    <w:rsid w:val="00260FDC"/>
    <w:rsid w:val="00270F07"/>
    <w:rsid w:val="00274B76"/>
    <w:rsid w:val="00275ED8"/>
    <w:rsid w:val="00284E25"/>
    <w:rsid w:val="002943B6"/>
    <w:rsid w:val="002A1208"/>
    <w:rsid w:val="002A1E30"/>
    <w:rsid w:val="002B1A96"/>
    <w:rsid w:val="002B4A07"/>
    <w:rsid w:val="002C4107"/>
    <w:rsid w:val="002C4650"/>
    <w:rsid w:val="002C5021"/>
    <w:rsid w:val="002C5C1E"/>
    <w:rsid w:val="002D3468"/>
    <w:rsid w:val="002D5D29"/>
    <w:rsid w:val="002E229C"/>
    <w:rsid w:val="002E51F1"/>
    <w:rsid w:val="002E7143"/>
    <w:rsid w:val="002F050F"/>
    <w:rsid w:val="002F1350"/>
    <w:rsid w:val="002F6136"/>
    <w:rsid w:val="002F73C0"/>
    <w:rsid w:val="003036A0"/>
    <w:rsid w:val="003064F1"/>
    <w:rsid w:val="00307002"/>
    <w:rsid w:val="003105BB"/>
    <w:rsid w:val="003130AD"/>
    <w:rsid w:val="00313DC9"/>
    <w:rsid w:val="003141E0"/>
    <w:rsid w:val="00317153"/>
    <w:rsid w:val="0031763A"/>
    <w:rsid w:val="0032012A"/>
    <w:rsid w:val="00322DE0"/>
    <w:rsid w:val="0032363D"/>
    <w:rsid w:val="003303C1"/>
    <w:rsid w:val="0033190E"/>
    <w:rsid w:val="003330BE"/>
    <w:rsid w:val="00335C86"/>
    <w:rsid w:val="00335E28"/>
    <w:rsid w:val="00337BDE"/>
    <w:rsid w:val="00341F94"/>
    <w:rsid w:val="0035059C"/>
    <w:rsid w:val="003608F0"/>
    <w:rsid w:val="00360F5E"/>
    <w:rsid w:val="003610C8"/>
    <w:rsid w:val="003612F9"/>
    <w:rsid w:val="00361325"/>
    <w:rsid w:val="00361F7D"/>
    <w:rsid w:val="003655EC"/>
    <w:rsid w:val="00373EC1"/>
    <w:rsid w:val="00374888"/>
    <w:rsid w:val="00374E40"/>
    <w:rsid w:val="003823A8"/>
    <w:rsid w:val="00382B13"/>
    <w:rsid w:val="0038495B"/>
    <w:rsid w:val="00384DF0"/>
    <w:rsid w:val="003856EA"/>
    <w:rsid w:val="003859AB"/>
    <w:rsid w:val="003A3772"/>
    <w:rsid w:val="003A3F17"/>
    <w:rsid w:val="003A635C"/>
    <w:rsid w:val="003B6961"/>
    <w:rsid w:val="003C0353"/>
    <w:rsid w:val="003C3E9E"/>
    <w:rsid w:val="003C7A78"/>
    <w:rsid w:val="003D0FA0"/>
    <w:rsid w:val="003D1CF1"/>
    <w:rsid w:val="003D28C3"/>
    <w:rsid w:val="003D44B3"/>
    <w:rsid w:val="003D487D"/>
    <w:rsid w:val="003D5AB1"/>
    <w:rsid w:val="003E3239"/>
    <w:rsid w:val="003E3E3C"/>
    <w:rsid w:val="003E733D"/>
    <w:rsid w:val="003F5463"/>
    <w:rsid w:val="0040575F"/>
    <w:rsid w:val="00411D41"/>
    <w:rsid w:val="0041311C"/>
    <w:rsid w:val="00415827"/>
    <w:rsid w:val="00423DF1"/>
    <w:rsid w:val="00430C58"/>
    <w:rsid w:val="004320BE"/>
    <w:rsid w:val="00432EA7"/>
    <w:rsid w:val="004331C4"/>
    <w:rsid w:val="00434292"/>
    <w:rsid w:val="0043564D"/>
    <w:rsid w:val="00441C25"/>
    <w:rsid w:val="00444B7B"/>
    <w:rsid w:val="00446452"/>
    <w:rsid w:val="00446DD2"/>
    <w:rsid w:val="00451813"/>
    <w:rsid w:val="004566E3"/>
    <w:rsid w:val="00466E12"/>
    <w:rsid w:val="004702F4"/>
    <w:rsid w:val="00472DC8"/>
    <w:rsid w:val="00476F28"/>
    <w:rsid w:val="004802EC"/>
    <w:rsid w:val="004852BB"/>
    <w:rsid w:val="00487785"/>
    <w:rsid w:val="00491CF6"/>
    <w:rsid w:val="004930DD"/>
    <w:rsid w:val="004958F3"/>
    <w:rsid w:val="004A01A3"/>
    <w:rsid w:val="004A29F1"/>
    <w:rsid w:val="004A6641"/>
    <w:rsid w:val="004B154A"/>
    <w:rsid w:val="004B1E94"/>
    <w:rsid w:val="004B33FF"/>
    <w:rsid w:val="004C3FBF"/>
    <w:rsid w:val="004C5D4F"/>
    <w:rsid w:val="004D23CD"/>
    <w:rsid w:val="004D2F69"/>
    <w:rsid w:val="004E1E3C"/>
    <w:rsid w:val="004E2662"/>
    <w:rsid w:val="004E4FBA"/>
    <w:rsid w:val="004F0DC2"/>
    <w:rsid w:val="004F240D"/>
    <w:rsid w:val="004F6284"/>
    <w:rsid w:val="004F7EA4"/>
    <w:rsid w:val="00504EB8"/>
    <w:rsid w:val="00511908"/>
    <w:rsid w:val="005131F1"/>
    <w:rsid w:val="0051484F"/>
    <w:rsid w:val="00514B77"/>
    <w:rsid w:val="00516B3E"/>
    <w:rsid w:val="00517043"/>
    <w:rsid w:val="005262C9"/>
    <w:rsid w:val="00531D70"/>
    <w:rsid w:val="0053443E"/>
    <w:rsid w:val="00541BCF"/>
    <w:rsid w:val="00543152"/>
    <w:rsid w:val="00555188"/>
    <w:rsid w:val="00563F0F"/>
    <w:rsid w:val="005654C7"/>
    <w:rsid w:val="00566BF6"/>
    <w:rsid w:val="00570F3E"/>
    <w:rsid w:val="00577F77"/>
    <w:rsid w:val="00581F01"/>
    <w:rsid w:val="00583434"/>
    <w:rsid w:val="0058349F"/>
    <w:rsid w:val="00584A59"/>
    <w:rsid w:val="0059160E"/>
    <w:rsid w:val="005A78BF"/>
    <w:rsid w:val="005B589D"/>
    <w:rsid w:val="005B5D51"/>
    <w:rsid w:val="005B62C8"/>
    <w:rsid w:val="005B6B4C"/>
    <w:rsid w:val="005B755E"/>
    <w:rsid w:val="005B7B2E"/>
    <w:rsid w:val="005C3B63"/>
    <w:rsid w:val="005C60A6"/>
    <w:rsid w:val="005C680D"/>
    <w:rsid w:val="005C7516"/>
    <w:rsid w:val="005D1522"/>
    <w:rsid w:val="005D47C0"/>
    <w:rsid w:val="005E1307"/>
    <w:rsid w:val="005E3545"/>
    <w:rsid w:val="005E4D42"/>
    <w:rsid w:val="005F4751"/>
    <w:rsid w:val="005F56F6"/>
    <w:rsid w:val="005F5F5F"/>
    <w:rsid w:val="005F6CA4"/>
    <w:rsid w:val="00606426"/>
    <w:rsid w:val="00607418"/>
    <w:rsid w:val="006107C3"/>
    <w:rsid w:val="0061299F"/>
    <w:rsid w:val="00612B7B"/>
    <w:rsid w:val="00616B70"/>
    <w:rsid w:val="00624770"/>
    <w:rsid w:val="006271B6"/>
    <w:rsid w:val="006272C8"/>
    <w:rsid w:val="006278A8"/>
    <w:rsid w:val="0064250B"/>
    <w:rsid w:val="00651037"/>
    <w:rsid w:val="00653E22"/>
    <w:rsid w:val="0065650E"/>
    <w:rsid w:val="00661915"/>
    <w:rsid w:val="00665873"/>
    <w:rsid w:val="006675D9"/>
    <w:rsid w:val="0067183F"/>
    <w:rsid w:val="006804F6"/>
    <w:rsid w:val="006826AA"/>
    <w:rsid w:val="0068356A"/>
    <w:rsid w:val="00690668"/>
    <w:rsid w:val="00692ED0"/>
    <w:rsid w:val="00695ABC"/>
    <w:rsid w:val="006A0DB0"/>
    <w:rsid w:val="006A2634"/>
    <w:rsid w:val="006A4720"/>
    <w:rsid w:val="006A6629"/>
    <w:rsid w:val="006B07D3"/>
    <w:rsid w:val="006B5BCB"/>
    <w:rsid w:val="006C617A"/>
    <w:rsid w:val="006C623C"/>
    <w:rsid w:val="006D5DD2"/>
    <w:rsid w:val="006D68EC"/>
    <w:rsid w:val="006E112E"/>
    <w:rsid w:val="006E4467"/>
    <w:rsid w:val="006F0CA3"/>
    <w:rsid w:val="00701184"/>
    <w:rsid w:val="007065FE"/>
    <w:rsid w:val="00713DD5"/>
    <w:rsid w:val="00732CA7"/>
    <w:rsid w:val="007330FE"/>
    <w:rsid w:val="0073626D"/>
    <w:rsid w:val="00740626"/>
    <w:rsid w:val="00740A17"/>
    <w:rsid w:val="00742B79"/>
    <w:rsid w:val="00742C3C"/>
    <w:rsid w:val="00744586"/>
    <w:rsid w:val="007462D6"/>
    <w:rsid w:val="00747362"/>
    <w:rsid w:val="0074738B"/>
    <w:rsid w:val="00755F29"/>
    <w:rsid w:val="0076062E"/>
    <w:rsid w:val="00774DFD"/>
    <w:rsid w:val="00780D54"/>
    <w:rsid w:val="00785759"/>
    <w:rsid w:val="007857F7"/>
    <w:rsid w:val="00790F06"/>
    <w:rsid w:val="007953F3"/>
    <w:rsid w:val="007A7803"/>
    <w:rsid w:val="007B01B9"/>
    <w:rsid w:val="007B1758"/>
    <w:rsid w:val="007B48D5"/>
    <w:rsid w:val="007B7F09"/>
    <w:rsid w:val="007C1300"/>
    <w:rsid w:val="007C3C33"/>
    <w:rsid w:val="007D087C"/>
    <w:rsid w:val="007D2937"/>
    <w:rsid w:val="007D7742"/>
    <w:rsid w:val="007D7F0F"/>
    <w:rsid w:val="007E2D9C"/>
    <w:rsid w:val="007E33E4"/>
    <w:rsid w:val="007E4CC9"/>
    <w:rsid w:val="007F4867"/>
    <w:rsid w:val="00800D23"/>
    <w:rsid w:val="00806259"/>
    <w:rsid w:val="00816273"/>
    <w:rsid w:val="00821697"/>
    <w:rsid w:val="00824090"/>
    <w:rsid w:val="00825408"/>
    <w:rsid w:val="0082717B"/>
    <w:rsid w:val="00827B04"/>
    <w:rsid w:val="0083032E"/>
    <w:rsid w:val="00831761"/>
    <w:rsid w:val="00832B35"/>
    <w:rsid w:val="00836264"/>
    <w:rsid w:val="0084063D"/>
    <w:rsid w:val="00841907"/>
    <w:rsid w:val="00845B2B"/>
    <w:rsid w:val="00847EB2"/>
    <w:rsid w:val="00850CA5"/>
    <w:rsid w:val="00854DD5"/>
    <w:rsid w:val="0086036A"/>
    <w:rsid w:val="008629F2"/>
    <w:rsid w:val="008653A3"/>
    <w:rsid w:val="008657A2"/>
    <w:rsid w:val="00866645"/>
    <w:rsid w:val="0088003C"/>
    <w:rsid w:val="00880101"/>
    <w:rsid w:val="00882210"/>
    <w:rsid w:val="00883B6C"/>
    <w:rsid w:val="008941C1"/>
    <w:rsid w:val="008A29D6"/>
    <w:rsid w:val="008A6185"/>
    <w:rsid w:val="008B03EB"/>
    <w:rsid w:val="008B14D4"/>
    <w:rsid w:val="008B4043"/>
    <w:rsid w:val="008B637A"/>
    <w:rsid w:val="008B6DA6"/>
    <w:rsid w:val="008C0FF8"/>
    <w:rsid w:val="008C1FE9"/>
    <w:rsid w:val="008C2319"/>
    <w:rsid w:val="008C6FDD"/>
    <w:rsid w:val="008C7DCE"/>
    <w:rsid w:val="008D18FC"/>
    <w:rsid w:val="008D398B"/>
    <w:rsid w:val="008D39A0"/>
    <w:rsid w:val="008D7E49"/>
    <w:rsid w:val="008F01B5"/>
    <w:rsid w:val="008F364A"/>
    <w:rsid w:val="008F3F53"/>
    <w:rsid w:val="008F4F7B"/>
    <w:rsid w:val="009017CD"/>
    <w:rsid w:val="009076B3"/>
    <w:rsid w:val="00913E03"/>
    <w:rsid w:val="00916221"/>
    <w:rsid w:val="00916CE1"/>
    <w:rsid w:val="00922087"/>
    <w:rsid w:val="009220B5"/>
    <w:rsid w:val="009229E9"/>
    <w:rsid w:val="00926953"/>
    <w:rsid w:val="0093221B"/>
    <w:rsid w:val="00936469"/>
    <w:rsid w:val="009400B7"/>
    <w:rsid w:val="00954DC2"/>
    <w:rsid w:val="0095583C"/>
    <w:rsid w:val="00957B92"/>
    <w:rsid w:val="00961927"/>
    <w:rsid w:val="00967AC1"/>
    <w:rsid w:val="00970966"/>
    <w:rsid w:val="00972D1E"/>
    <w:rsid w:val="00974442"/>
    <w:rsid w:val="00985F39"/>
    <w:rsid w:val="00986382"/>
    <w:rsid w:val="009909A4"/>
    <w:rsid w:val="0099102D"/>
    <w:rsid w:val="009924B2"/>
    <w:rsid w:val="00995BCC"/>
    <w:rsid w:val="00996237"/>
    <w:rsid w:val="009A57C6"/>
    <w:rsid w:val="009A62A8"/>
    <w:rsid w:val="009A6739"/>
    <w:rsid w:val="009B4064"/>
    <w:rsid w:val="009C0253"/>
    <w:rsid w:val="009C2E93"/>
    <w:rsid w:val="009E30AF"/>
    <w:rsid w:val="009E68A6"/>
    <w:rsid w:val="009E7944"/>
    <w:rsid w:val="009F1D81"/>
    <w:rsid w:val="009F1F69"/>
    <w:rsid w:val="009F45F8"/>
    <w:rsid w:val="009F7D98"/>
    <w:rsid w:val="00A0083A"/>
    <w:rsid w:val="00A045D7"/>
    <w:rsid w:val="00A13BDE"/>
    <w:rsid w:val="00A210D0"/>
    <w:rsid w:val="00A23BF4"/>
    <w:rsid w:val="00A2593B"/>
    <w:rsid w:val="00A27FF3"/>
    <w:rsid w:val="00A34E05"/>
    <w:rsid w:val="00A43D8B"/>
    <w:rsid w:val="00A454F1"/>
    <w:rsid w:val="00A543CC"/>
    <w:rsid w:val="00A5497B"/>
    <w:rsid w:val="00A54FAB"/>
    <w:rsid w:val="00A61A6D"/>
    <w:rsid w:val="00A66CDB"/>
    <w:rsid w:val="00A7458B"/>
    <w:rsid w:val="00A776DF"/>
    <w:rsid w:val="00A81E46"/>
    <w:rsid w:val="00A85535"/>
    <w:rsid w:val="00A90F32"/>
    <w:rsid w:val="00A93CFF"/>
    <w:rsid w:val="00A96FD6"/>
    <w:rsid w:val="00A97846"/>
    <w:rsid w:val="00AA04BC"/>
    <w:rsid w:val="00AA1202"/>
    <w:rsid w:val="00AA4754"/>
    <w:rsid w:val="00AB101C"/>
    <w:rsid w:val="00AB1F80"/>
    <w:rsid w:val="00AB7DD2"/>
    <w:rsid w:val="00AC3CC8"/>
    <w:rsid w:val="00AC6178"/>
    <w:rsid w:val="00AD44A4"/>
    <w:rsid w:val="00AF0C7C"/>
    <w:rsid w:val="00AF24AE"/>
    <w:rsid w:val="00B014D8"/>
    <w:rsid w:val="00B01D86"/>
    <w:rsid w:val="00B04F46"/>
    <w:rsid w:val="00B078BE"/>
    <w:rsid w:val="00B07E4E"/>
    <w:rsid w:val="00B11750"/>
    <w:rsid w:val="00B1177B"/>
    <w:rsid w:val="00B11EED"/>
    <w:rsid w:val="00B11FD1"/>
    <w:rsid w:val="00B12C00"/>
    <w:rsid w:val="00B137E9"/>
    <w:rsid w:val="00B13B50"/>
    <w:rsid w:val="00B15C4F"/>
    <w:rsid w:val="00B161E0"/>
    <w:rsid w:val="00B165CA"/>
    <w:rsid w:val="00B30EA2"/>
    <w:rsid w:val="00B36ED3"/>
    <w:rsid w:val="00B4390A"/>
    <w:rsid w:val="00B43974"/>
    <w:rsid w:val="00B4633F"/>
    <w:rsid w:val="00B4657E"/>
    <w:rsid w:val="00B471DA"/>
    <w:rsid w:val="00B513C9"/>
    <w:rsid w:val="00B5145D"/>
    <w:rsid w:val="00B56EF4"/>
    <w:rsid w:val="00B70485"/>
    <w:rsid w:val="00B803EB"/>
    <w:rsid w:val="00B82A13"/>
    <w:rsid w:val="00B84F9D"/>
    <w:rsid w:val="00BB488C"/>
    <w:rsid w:val="00BB5361"/>
    <w:rsid w:val="00BB6B90"/>
    <w:rsid w:val="00BC25B9"/>
    <w:rsid w:val="00BD0376"/>
    <w:rsid w:val="00BD33BF"/>
    <w:rsid w:val="00BD4AFA"/>
    <w:rsid w:val="00BD4CA7"/>
    <w:rsid w:val="00BE020D"/>
    <w:rsid w:val="00BE03EB"/>
    <w:rsid w:val="00BE429B"/>
    <w:rsid w:val="00BE43E7"/>
    <w:rsid w:val="00BE798B"/>
    <w:rsid w:val="00BE7F5D"/>
    <w:rsid w:val="00C023D7"/>
    <w:rsid w:val="00C02A67"/>
    <w:rsid w:val="00C02AF8"/>
    <w:rsid w:val="00C02E61"/>
    <w:rsid w:val="00C0427A"/>
    <w:rsid w:val="00C04886"/>
    <w:rsid w:val="00C1148C"/>
    <w:rsid w:val="00C17E01"/>
    <w:rsid w:val="00C31AC4"/>
    <w:rsid w:val="00C409BE"/>
    <w:rsid w:val="00C423CA"/>
    <w:rsid w:val="00C46B65"/>
    <w:rsid w:val="00C47201"/>
    <w:rsid w:val="00C64B92"/>
    <w:rsid w:val="00C64F7E"/>
    <w:rsid w:val="00C652ED"/>
    <w:rsid w:val="00C65766"/>
    <w:rsid w:val="00C65EC5"/>
    <w:rsid w:val="00C70FDA"/>
    <w:rsid w:val="00C75CE1"/>
    <w:rsid w:val="00C7793C"/>
    <w:rsid w:val="00C82738"/>
    <w:rsid w:val="00C82965"/>
    <w:rsid w:val="00C82BCB"/>
    <w:rsid w:val="00C939A8"/>
    <w:rsid w:val="00C94791"/>
    <w:rsid w:val="00C94C6C"/>
    <w:rsid w:val="00C97145"/>
    <w:rsid w:val="00C97826"/>
    <w:rsid w:val="00CA16C3"/>
    <w:rsid w:val="00CA33F9"/>
    <w:rsid w:val="00CB0556"/>
    <w:rsid w:val="00CB5FFA"/>
    <w:rsid w:val="00CF2C8A"/>
    <w:rsid w:val="00CF3742"/>
    <w:rsid w:val="00D010FD"/>
    <w:rsid w:val="00D0201E"/>
    <w:rsid w:val="00D02812"/>
    <w:rsid w:val="00D028AF"/>
    <w:rsid w:val="00D12E65"/>
    <w:rsid w:val="00D20056"/>
    <w:rsid w:val="00D21CA7"/>
    <w:rsid w:val="00D25818"/>
    <w:rsid w:val="00D31B1B"/>
    <w:rsid w:val="00D37577"/>
    <w:rsid w:val="00D5175A"/>
    <w:rsid w:val="00D52B75"/>
    <w:rsid w:val="00D60F8A"/>
    <w:rsid w:val="00D672A3"/>
    <w:rsid w:val="00D70D59"/>
    <w:rsid w:val="00D74B47"/>
    <w:rsid w:val="00D77395"/>
    <w:rsid w:val="00D83532"/>
    <w:rsid w:val="00D85C3F"/>
    <w:rsid w:val="00D867F9"/>
    <w:rsid w:val="00D93A6C"/>
    <w:rsid w:val="00DA0E74"/>
    <w:rsid w:val="00DA189F"/>
    <w:rsid w:val="00DB2119"/>
    <w:rsid w:val="00DC05BC"/>
    <w:rsid w:val="00DC7FF1"/>
    <w:rsid w:val="00DD0F25"/>
    <w:rsid w:val="00DD3A24"/>
    <w:rsid w:val="00DD6E04"/>
    <w:rsid w:val="00DF3516"/>
    <w:rsid w:val="00DF3546"/>
    <w:rsid w:val="00DF6CD2"/>
    <w:rsid w:val="00E03C07"/>
    <w:rsid w:val="00E20E3C"/>
    <w:rsid w:val="00E33088"/>
    <w:rsid w:val="00E33988"/>
    <w:rsid w:val="00E36290"/>
    <w:rsid w:val="00E452DE"/>
    <w:rsid w:val="00E54A72"/>
    <w:rsid w:val="00E622D8"/>
    <w:rsid w:val="00E66FFD"/>
    <w:rsid w:val="00E70223"/>
    <w:rsid w:val="00E74360"/>
    <w:rsid w:val="00E760B7"/>
    <w:rsid w:val="00E762F8"/>
    <w:rsid w:val="00E81E61"/>
    <w:rsid w:val="00E848B4"/>
    <w:rsid w:val="00E84A73"/>
    <w:rsid w:val="00E86694"/>
    <w:rsid w:val="00E91417"/>
    <w:rsid w:val="00E92BB2"/>
    <w:rsid w:val="00E94329"/>
    <w:rsid w:val="00E949C4"/>
    <w:rsid w:val="00E952B9"/>
    <w:rsid w:val="00E967A4"/>
    <w:rsid w:val="00E975DA"/>
    <w:rsid w:val="00EA1E17"/>
    <w:rsid w:val="00EA4F01"/>
    <w:rsid w:val="00EA5387"/>
    <w:rsid w:val="00EB1377"/>
    <w:rsid w:val="00EB3859"/>
    <w:rsid w:val="00EB7E9E"/>
    <w:rsid w:val="00EC1E33"/>
    <w:rsid w:val="00EC53AA"/>
    <w:rsid w:val="00EC66D0"/>
    <w:rsid w:val="00ED163E"/>
    <w:rsid w:val="00ED1975"/>
    <w:rsid w:val="00ED2070"/>
    <w:rsid w:val="00EE41C1"/>
    <w:rsid w:val="00EE644B"/>
    <w:rsid w:val="00EF019D"/>
    <w:rsid w:val="00F02714"/>
    <w:rsid w:val="00F04284"/>
    <w:rsid w:val="00F07022"/>
    <w:rsid w:val="00F1119E"/>
    <w:rsid w:val="00F17121"/>
    <w:rsid w:val="00F231FA"/>
    <w:rsid w:val="00F308F8"/>
    <w:rsid w:val="00F32B46"/>
    <w:rsid w:val="00F33E30"/>
    <w:rsid w:val="00F3589F"/>
    <w:rsid w:val="00F35A34"/>
    <w:rsid w:val="00F36B1F"/>
    <w:rsid w:val="00F40882"/>
    <w:rsid w:val="00F43559"/>
    <w:rsid w:val="00F45FED"/>
    <w:rsid w:val="00F46C3A"/>
    <w:rsid w:val="00F5789B"/>
    <w:rsid w:val="00F64988"/>
    <w:rsid w:val="00F73E9E"/>
    <w:rsid w:val="00F75AAB"/>
    <w:rsid w:val="00F75C76"/>
    <w:rsid w:val="00F82D02"/>
    <w:rsid w:val="00F835D2"/>
    <w:rsid w:val="00F85DC3"/>
    <w:rsid w:val="00FA00B5"/>
    <w:rsid w:val="00FA687C"/>
    <w:rsid w:val="00FA79FA"/>
    <w:rsid w:val="00FB445A"/>
    <w:rsid w:val="00FB4A5C"/>
    <w:rsid w:val="00FB67D2"/>
    <w:rsid w:val="00FC18C6"/>
    <w:rsid w:val="00FC227F"/>
    <w:rsid w:val="00FC4020"/>
    <w:rsid w:val="00FC720B"/>
    <w:rsid w:val="00FD1AE6"/>
    <w:rsid w:val="00FD1C80"/>
    <w:rsid w:val="00FD6C1D"/>
    <w:rsid w:val="00FE3FE9"/>
    <w:rsid w:val="00FE6A10"/>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0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0F"/>
    <w:pPr>
      <w:spacing w:line="280" w:lineRule="exact"/>
    </w:pPr>
    <w:rPr>
      <w:rFonts w:ascii="Arial" w:hAnsi="Arial"/>
      <w:sz w:val="24"/>
      <w:lang w:eastAsia="fr-FR"/>
    </w:rPr>
  </w:style>
  <w:style w:type="paragraph" w:styleId="Titre1">
    <w:name w:val="heading 1"/>
    <w:basedOn w:val="Normal"/>
    <w:next w:val="Normal"/>
    <w:qFormat/>
    <w:rsid w:val="00563F0F"/>
    <w:pPr>
      <w:keepNext/>
      <w:spacing w:before="240" w:after="60" w:line="500" w:lineRule="exact"/>
      <w:outlineLvl w:val="0"/>
    </w:pPr>
    <w:rPr>
      <w:b/>
      <w:kern w:val="28"/>
      <w:sz w:val="28"/>
    </w:rPr>
  </w:style>
  <w:style w:type="paragraph" w:styleId="Titre2">
    <w:name w:val="heading 2"/>
    <w:basedOn w:val="Normal"/>
    <w:next w:val="Normal"/>
    <w:qFormat/>
    <w:rsid w:val="00AF24AE"/>
    <w:pPr>
      <w:keepNext/>
      <w:spacing w:before="240" w:after="120"/>
      <w:outlineLvl w:val="1"/>
    </w:pPr>
    <w:rPr>
      <w:b/>
      <w:i/>
    </w:rPr>
  </w:style>
  <w:style w:type="paragraph" w:styleId="Titre3">
    <w:name w:val="heading 3"/>
    <w:basedOn w:val="Normal"/>
    <w:next w:val="Normal"/>
    <w:qFormat/>
    <w:rsid w:val="00563F0F"/>
    <w:pPr>
      <w:keepNext/>
      <w:spacing w:before="240" w:after="60"/>
      <w:outlineLvl w:val="2"/>
    </w:pPr>
  </w:style>
  <w:style w:type="paragraph" w:styleId="Titre4">
    <w:name w:val="heading 4"/>
    <w:basedOn w:val="Normal"/>
    <w:next w:val="Normal"/>
    <w:link w:val="Titre4Car"/>
    <w:qFormat/>
    <w:rsid w:val="001A319C"/>
    <w:pPr>
      <w:keepNext/>
      <w:spacing w:before="240" w:after="120"/>
      <w:outlineLvl w:val="3"/>
    </w:pPr>
    <w:rPr>
      <w:b/>
    </w:rPr>
  </w:style>
  <w:style w:type="paragraph" w:styleId="Titre5">
    <w:name w:val="heading 5"/>
    <w:basedOn w:val="Normal"/>
    <w:next w:val="Normal"/>
    <w:qFormat/>
    <w:rsid w:val="00563F0F"/>
    <w:pPr>
      <w:spacing w:before="240" w:after="60"/>
      <w:outlineLvl w:val="4"/>
    </w:pPr>
    <w:rPr>
      <w:sz w:val="22"/>
    </w:rPr>
  </w:style>
  <w:style w:type="paragraph" w:styleId="Titre6">
    <w:name w:val="heading 6"/>
    <w:basedOn w:val="Normal"/>
    <w:next w:val="Normal"/>
    <w:qFormat/>
    <w:rsid w:val="00563F0F"/>
    <w:pPr>
      <w:spacing w:before="240" w:after="60"/>
      <w:outlineLvl w:val="5"/>
    </w:pPr>
    <w:rPr>
      <w:i/>
      <w:sz w:val="22"/>
    </w:rPr>
  </w:style>
  <w:style w:type="paragraph" w:styleId="Titre7">
    <w:name w:val="heading 7"/>
    <w:basedOn w:val="Normal"/>
    <w:next w:val="Normal"/>
    <w:qFormat/>
    <w:rsid w:val="00563F0F"/>
    <w:pPr>
      <w:spacing w:before="240" w:after="60"/>
      <w:outlineLvl w:val="6"/>
    </w:pPr>
    <w:rPr>
      <w:sz w:val="20"/>
    </w:rPr>
  </w:style>
  <w:style w:type="paragraph" w:styleId="Titre8">
    <w:name w:val="heading 8"/>
    <w:basedOn w:val="Normal"/>
    <w:next w:val="Normal"/>
    <w:qFormat/>
    <w:rsid w:val="00563F0F"/>
    <w:pPr>
      <w:spacing w:before="240" w:after="60"/>
      <w:outlineLvl w:val="7"/>
    </w:pPr>
    <w:rPr>
      <w:i/>
      <w:sz w:val="20"/>
    </w:rPr>
  </w:style>
  <w:style w:type="paragraph" w:styleId="Titre9">
    <w:name w:val="heading 9"/>
    <w:basedOn w:val="Normal"/>
    <w:next w:val="Normal"/>
    <w:qFormat/>
    <w:rsid w:val="00563F0F"/>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563F0F"/>
    <w:pPr>
      <w:numPr>
        <w:numId w:val="18"/>
      </w:numPr>
      <w:spacing w:before="120" w:after="120" w:line="500" w:lineRule="exact"/>
      <w:jc w:val="both"/>
    </w:pPr>
    <w:rPr>
      <w:kern w:val="28"/>
    </w:rPr>
  </w:style>
  <w:style w:type="paragraph" w:customStyle="1" w:styleId="Citationenretrait">
    <w:name w:val="Citation en retrait"/>
    <w:basedOn w:val="Normal"/>
    <w:rsid w:val="00563F0F"/>
    <w:pPr>
      <w:spacing w:before="120" w:after="120"/>
      <w:ind w:left="720" w:right="720"/>
      <w:jc w:val="both"/>
    </w:pPr>
    <w:rPr>
      <w:kern w:val="24"/>
      <w:sz w:val="22"/>
    </w:rPr>
  </w:style>
  <w:style w:type="character" w:customStyle="1" w:styleId="Citationintgre">
    <w:name w:val="Citation intégrée"/>
    <w:rsid w:val="00563F0F"/>
    <w:rPr>
      <w:rFonts w:ascii="Arial" w:hAnsi="Arial"/>
      <w:i/>
      <w:noProof w:val="0"/>
      <w:sz w:val="22"/>
      <w:lang w:val="fr-CA"/>
    </w:rPr>
  </w:style>
  <w:style w:type="paragraph" w:styleId="Corpsdetexte">
    <w:name w:val="Body Text"/>
    <w:basedOn w:val="Normal"/>
    <w:semiHidden/>
    <w:rsid w:val="00563F0F"/>
    <w:pPr>
      <w:spacing w:after="120"/>
    </w:pPr>
  </w:style>
  <w:style w:type="paragraph" w:styleId="Notedebasdepage">
    <w:name w:val="footnote text"/>
    <w:basedOn w:val="Normal"/>
    <w:semiHidden/>
    <w:rsid w:val="00563F0F"/>
    <w:pPr>
      <w:spacing w:line="240" w:lineRule="auto"/>
      <w:ind w:left="360" w:hanging="360"/>
      <w:jc w:val="both"/>
    </w:pPr>
    <w:rPr>
      <w:sz w:val="20"/>
    </w:rPr>
  </w:style>
  <w:style w:type="paragraph" w:styleId="Notedefin">
    <w:name w:val="endnote text"/>
    <w:basedOn w:val="Normal"/>
    <w:semiHidden/>
    <w:rsid w:val="00563F0F"/>
    <w:pPr>
      <w:ind w:left="-360"/>
      <w:jc w:val="both"/>
    </w:pPr>
    <w:rPr>
      <w:sz w:val="20"/>
    </w:rPr>
  </w:style>
  <w:style w:type="paragraph" w:customStyle="1" w:styleId="zSoquijlblCour">
    <w:name w:val="zSoquij_lblCour"/>
    <w:basedOn w:val="Normal"/>
    <w:rsid w:val="00563F0F"/>
    <w:pPr>
      <w:spacing w:line="500" w:lineRule="exact"/>
      <w:jc w:val="center"/>
    </w:pPr>
    <w:rPr>
      <w:b/>
      <w:sz w:val="36"/>
    </w:rPr>
  </w:style>
  <w:style w:type="paragraph" w:customStyle="1" w:styleId="zSoquijlblPays">
    <w:name w:val="zSoquij_lblPays"/>
    <w:basedOn w:val="Normal"/>
    <w:rsid w:val="00563F0F"/>
  </w:style>
  <w:style w:type="paragraph" w:customStyle="1" w:styleId="zSoquijlblProvince">
    <w:name w:val="zSoquij_lblProvince"/>
    <w:basedOn w:val="Normal"/>
    <w:rsid w:val="00563F0F"/>
  </w:style>
  <w:style w:type="paragraph" w:customStyle="1" w:styleId="zSoquijlblGreffe">
    <w:name w:val="zSoquij_lblGreffe"/>
    <w:basedOn w:val="Normal"/>
    <w:rsid w:val="00563F0F"/>
  </w:style>
  <w:style w:type="paragraph" w:customStyle="1" w:styleId="zSoquijdatGreffe">
    <w:name w:val="zSoquij_datGreffe"/>
    <w:basedOn w:val="Normal"/>
    <w:rsid w:val="00563F0F"/>
  </w:style>
  <w:style w:type="paragraph" w:customStyle="1" w:styleId="zSoquijdatDivision">
    <w:name w:val="zSoquij_datDivision"/>
    <w:basedOn w:val="Normal"/>
    <w:rsid w:val="00563F0F"/>
    <w:pPr>
      <w:jc w:val="center"/>
    </w:pPr>
    <w:rPr>
      <w:sz w:val="22"/>
    </w:rPr>
  </w:style>
  <w:style w:type="paragraph" w:customStyle="1" w:styleId="zSoquijlblNoDossier">
    <w:name w:val="zSoquij_lblNoDossier"/>
    <w:basedOn w:val="Normal"/>
    <w:rsid w:val="00563F0F"/>
  </w:style>
  <w:style w:type="paragraph" w:customStyle="1" w:styleId="zSoquijdatNoDossier">
    <w:name w:val="zSoquij_datNoDossier"/>
    <w:basedOn w:val="Normal"/>
    <w:rsid w:val="00563F0F"/>
  </w:style>
  <w:style w:type="paragraph" w:customStyle="1" w:styleId="zSoquijdatNoDossierAnt">
    <w:name w:val="zSoquij_datNoDossierAnt"/>
    <w:basedOn w:val="Normal"/>
    <w:rsid w:val="00563F0F"/>
    <w:pPr>
      <w:ind w:left="950"/>
    </w:pPr>
  </w:style>
  <w:style w:type="paragraph" w:customStyle="1" w:styleId="zSoquijdatDateJugement">
    <w:name w:val="zSoquij_datDateJugement"/>
    <w:basedOn w:val="Normal"/>
    <w:rsid w:val="00563F0F"/>
  </w:style>
  <w:style w:type="paragraph" w:customStyle="1" w:styleId="zSoquijlblDateJugement">
    <w:name w:val="zSoquij_lblDateJugement"/>
    <w:basedOn w:val="Normal"/>
    <w:rsid w:val="00563F0F"/>
  </w:style>
  <w:style w:type="paragraph" w:customStyle="1" w:styleId="zSoquijlblJuge">
    <w:name w:val="zSoquij_lblJuge"/>
    <w:basedOn w:val="Normal"/>
    <w:rsid w:val="00563F0F"/>
    <w:rPr>
      <w:b/>
    </w:rPr>
  </w:style>
  <w:style w:type="paragraph" w:customStyle="1" w:styleId="zSoquijdatQteJuge">
    <w:name w:val="zSoquij_datQteJuge"/>
    <w:basedOn w:val="Normal"/>
    <w:rsid w:val="00563F0F"/>
    <w:rPr>
      <w:b/>
    </w:rPr>
  </w:style>
  <w:style w:type="paragraph" w:customStyle="1" w:styleId="zSoquijdatJuge">
    <w:name w:val="zSoquij_datJuge"/>
    <w:basedOn w:val="Normal"/>
    <w:rsid w:val="00563F0F"/>
    <w:rPr>
      <w:b/>
    </w:rPr>
  </w:style>
  <w:style w:type="paragraph" w:customStyle="1" w:styleId="zSoquijdatNomPartieDem">
    <w:name w:val="zSoquij_datNomPartieDem"/>
    <w:basedOn w:val="Normal"/>
    <w:rsid w:val="00563F0F"/>
    <w:rPr>
      <w:b/>
      <w:bCs/>
    </w:rPr>
  </w:style>
  <w:style w:type="paragraph" w:customStyle="1" w:styleId="zSoquijdatQtePartieDem">
    <w:name w:val="zSoquij_datQtePartieDem"/>
    <w:basedOn w:val="Normal"/>
    <w:rsid w:val="00563F0F"/>
    <w:pPr>
      <w:ind w:left="708"/>
    </w:pPr>
  </w:style>
  <w:style w:type="paragraph" w:customStyle="1" w:styleId="zSoquijlblLienParties">
    <w:name w:val="zSoquij_lblLienParties"/>
    <w:basedOn w:val="Normal"/>
    <w:rsid w:val="00563F0F"/>
  </w:style>
  <w:style w:type="paragraph" w:customStyle="1" w:styleId="zSoquijdatNomPartieDef">
    <w:name w:val="zSoquij_datNomPartieDef"/>
    <w:basedOn w:val="Normal"/>
    <w:rsid w:val="00563F0F"/>
    <w:rPr>
      <w:b/>
      <w:bCs/>
    </w:rPr>
  </w:style>
  <w:style w:type="paragraph" w:customStyle="1" w:styleId="zSoquijdatQtePartieDef">
    <w:name w:val="zSoquij_datQtePartieDef"/>
    <w:basedOn w:val="Normal"/>
    <w:rsid w:val="00563F0F"/>
    <w:pPr>
      <w:ind w:left="708"/>
    </w:pPr>
  </w:style>
  <w:style w:type="paragraph" w:customStyle="1" w:styleId="zSoquijlblTypeDocument">
    <w:name w:val="zSoquij_lblTypeDocument"/>
    <w:basedOn w:val="Normal"/>
    <w:rsid w:val="00563F0F"/>
    <w:pPr>
      <w:jc w:val="center"/>
    </w:pPr>
  </w:style>
  <w:style w:type="paragraph" w:customStyle="1" w:styleId="zSoquijlblProcureurDem">
    <w:name w:val="zSoquij_lblProcureurDem"/>
    <w:basedOn w:val="Normal"/>
    <w:rsid w:val="00563F0F"/>
  </w:style>
  <w:style w:type="paragraph" w:customStyle="1" w:styleId="zSoquijlblProcureurDef">
    <w:name w:val="zSoquij_lblProcureurDef"/>
    <w:basedOn w:val="Normal"/>
    <w:rsid w:val="00563F0F"/>
  </w:style>
  <w:style w:type="paragraph" w:customStyle="1" w:styleId="zSoquijlblDateAudience">
    <w:name w:val="zSoquij_lblDateAudience"/>
    <w:basedOn w:val="Normal"/>
    <w:rsid w:val="00563F0F"/>
  </w:style>
  <w:style w:type="paragraph" w:customStyle="1" w:styleId="zSoquijdatDateAudience">
    <w:name w:val="zSoquij_datDateAudience"/>
    <w:basedOn w:val="Normal"/>
    <w:rsid w:val="00563F0F"/>
  </w:style>
  <w:style w:type="paragraph" w:customStyle="1" w:styleId="zSoquijlblNomChambre">
    <w:name w:val="zSoquij_lblNomChambre"/>
    <w:basedOn w:val="Normal"/>
    <w:rsid w:val="00563F0F"/>
  </w:style>
  <w:style w:type="paragraph" w:customStyle="1" w:styleId="zSoquijlblOpinionJuge">
    <w:name w:val="zSoquij_lblOpinionJuge"/>
    <w:basedOn w:val="Normal"/>
    <w:rsid w:val="00563F0F"/>
    <w:pPr>
      <w:jc w:val="center"/>
    </w:pPr>
  </w:style>
  <w:style w:type="character" w:customStyle="1" w:styleId="zSoquijlblEntNoDossier">
    <w:name w:val="zSoquij_lblEntNoDossier"/>
    <w:basedOn w:val="Policepardfaut"/>
    <w:rsid w:val="00563F0F"/>
    <w:rPr>
      <w:noProof w:val="0"/>
      <w:lang w:val="fr-CA"/>
    </w:rPr>
  </w:style>
  <w:style w:type="paragraph" w:customStyle="1" w:styleId="zSoquijlblTitrePartie">
    <w:name w:val="zSoquij_lblTitrePartie"/>
    <w:basedOn w:val="Normal"/>
    <w:rsid w:val="00563F0F"/>
  </w:style>
  <w:style w:type="paragraph" w:customStyle="1" w:styleId="zSoquijdatIdJuge">
    <w:name w:val="zSoquij_datIdJuge"/>
    <w:basedOn w:val="Normal"/>
    <w:rsid w:val="00563F0F"/>
    <w:pPr>
      <w:jc w:val="right"/>
    </w:pPr>
  </w:style>
  <w:style w:type="paragraph" w:customStyle="1" w:styleId="Sous-paragraphe">
    <w:name w:val="Sous-paragraphe"/>
    <w:basedOn w:val="Normal"/>
    <w:rsid w:val="00563F0F"/>
    <w:pPr>
      <w:widowControl w:val="0"/>
      <w:numPr>
        <w:ilvl w:val="1"/>
        <w:numId w:val="18"/>
      </w:numPr>
      <w:spacing w:after="120"/>
      <w:jc w:val="both"/>
    </w:pPr>
    <w:rPr>
      <w:kern w:val="28"/>
    </w:rPr>
  </w:style>
  <w:style w:type="paragraph" w:customStyle="1" w:styleId="zSoquijdatNomProcureurDem">
    <w:name w:val="zSoquij_datNomProcureurDem"/>
    <w:basedOn w:val="zSoquijlblProcureurDem"/>
    <w:rsid w:val="00563F0F"/>
    <w:pPr>
      <w:keepNext/>
    </w:pPr>
  </w:style>
  <w:style w:type="paragraph" w:customStyle="1" w:styleId="zSoquijdatNomProcureurDef">
    <w:name w:val="zSoquij_datNomProcureurDef"/>
    <w:basedOn w:val="zSoquijlblProcureurDef"/>
    <w:rsid w:val="00563F0F"/>
    <w:pPr>
      <w:keepNext/>
    </w:pPr>
  </w:style>
  <w:style w:type="paragraph" w:customStyle="1" w:styleId="zSoquijdatCabinetProcureurDem">
    <w:name w:val="zSoquij_datCabinetProcureurDem"/>
    <w:basedOn w:val="Normal"/>
    <w:rsid w:val="00563F0F"/>
    <w:pPr>
      <w:keepNext/>
    </w:pPr>
  </w:style>
  <w:style w:type="paragraph" w:customStyle="1" w:styleId="zSoquijdatCabinetProcureurDef">
    <w:name w:val="zSoquij_datCabinetProcureurDef"/>
    <w:basedOn w:val="zSoquijlblProcureurDef"/>
    <w:rsid w:val="00563F0F"/>
    <w:pPr>
      <w:keepNext/>
    </w:pPr>
  </w:style>
  <w:style w:type="paragraph" w:styleId="En-tte">
    <w:name w:val="header"/>
    <w:basedOn w:val="Normal"/>
    <w:semiHidden/>
    <w:rsid w:val="00563F0F"/>
    <w:pPr>
      <w:tabs>
        <w:tab w:val="center" w:pos="4320"/>
        <w:tab w:val="right" w:pos="8640"/>
      </w:tabs>
    </w:pPr>
  </w:style>
  <w:style w:type="paragraph" w:styleId="Pieddepage">
    <w:name w:val="footer"/>
    <w:basedOn w:val="Normal"/>
    <w:semiHidden/>
    <w:rsid w:val="00563F0F"/>
    <w:pPr>
      <w:tabs>
        <w:tab w:val="center" w:pos="4320"/>
        <w:tab w:val="right" w:pos="8640"/>
      </w:tabs>
    </w:pPr>
  </w:style>
  <w:style w:type="paragraph" w:customStyle="1" w:styleId="Tableaudroiteanglais">
    <w:name w:val="Tableau droite anglais"/>
    <w:basedOn w:val="Tableaugauchefranais"/>
    <w:rsid w:val="00563F0F"/>
    <w:pPr>
      <w:ind w:left="144" w:right="720"/>
      <w:jc w:val="both"/>
    </w:pPr>
    <w:rPr>
      <w:lang w:val="en-CA"/>
    </w:rPr>
  </w:style>
  <w:style w:type="paragraph" w:customStyle="1" w:styleId="Tableaugauchefranais">
    <w:name w:val="Tableau gauche français"/>
    <w:basedOn w:val="Normal"/>
    <w:rsid w:val="00563F0F"/>
    <w:pPr>
      <w:ind w:left="720" w:right="144"/>
    </w:pPr>
    <w:rPr>
      <w:sz w:val="22"/>
    </w:rPr>
  </w:style>
  <w:style w:type="character" w:styleId="Appelnotedebasdep">
    <w:name w:val="footnote reference"/>
    <w:semiHidden/>
    <w:rsid w:val="00563F0F"/>
    <w:rPr>
      <w:noProof w:val="0"/>
      <w:vertAlign w:val="superscript"/>
      <w:lang w:val="fr-CA"/>
    </w:rPr>
  </w:style>
  <w:style w:type="paragraph" w:styleId="Corpsdetexte3">
    <w:name w:val="Body Text 3"/>
    <w:basedOn w:val="Normal"/>
    <w:semiHidden/>
    <w:rsid w:val="00563F0F"/>
    <w:pPr>
      <w:spacing w:after="120"/>
    </w:pPr>
    <w:rPr>
      <w:sz w:val="16"/>
    </w:rPr>
  </w:style>
  <w:style w:type="paragraph" w:customStyle="1" w:styleId="zSoquijdatRepertorie">
    <w:name w:val="zSoquij_datRepertorie"/>
    <w:basedOn w:val="zSoquijlblCour"/>
    <w:rsid w:val="00563F0F"/>
    <w:pPr>
      <w:spacing w:line="240" w:lineRule="auto"/>
      <w:jc w:val="left"/>
    </w:pPr>
    <w:rPr>
      <w:sz w:val="22"/>
    </w:rPr>
  </w:style>
  <w:style w:type="paragraph" w:customStyle="1" w:styleId="zSoquijdatRefNeutre">
    <w:name w:val="zSoquij_datRefNeutre"/>
    <w:basedOn w:val="zSoquijlblCour"/>
    <w:rsid w:val="00563F0F"/>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Titre4Car">
    <w:name w:val="Titre 4 Car"/>
    <w:basedOn w:val="Policepardfaut"/>
    <w:link w:val="Titre4"/>
    <w:rsid w:val="001A319C"/>
    <w:rPr>
      <w:rFonts w:ascii="Arial" w:hAnsi="Arial"/>
      <w:b/>
      <w:sz w:val="24"/>
      <w:lang w:eastAsia="fr-FR"/>
    </w:rPr>
  </w:style>
  <w:style w:type="character" w:styleId="Marquedecommentaire">
    <w:name w:val="annotation reference"/>
    <w:basedOn w:val="Policepardfaut"/>
    <w:uiPriority w:val="99"/>
    <w:semiHidden/>
    <w:unhideWhenUsed/>
    <w:rsid w:val="00132308"/>
    <w:rPr>
      <w:sz w:val="16"/>
      <w:szCs w:val="16"/>
    </w:rPr>
  </w:style>
  <w:style w:type="paragraph" w:styleId="Commentaire">
    <w:name w:val="annotation text"/>
    <w:basedOn w:val="Normal"/>
    <w:link w:val="CommentaireCar"/>
    <w:uiPriority w:val="99"/>
    <w:semiHidden/>
    <w:unhideWhenUsed/>
    <w:rsid w:val="00132308"/>
    <w:pPr>
      <w:spacing w:line="240" w:lineRule="auto"/>
    </w:pPr>
    <w:rPr>
      <w:sz w:val="20"/>
    </w:rPr>
  </w:style>
  <w:style w:type="character" w:customStyle="1" w:styleId="CommentaireCar">
    <w:name w:val="Commentaire Car"/>
    <w:basedOn w:val="Policepardfaut"/>
    <w:link w:val="Commentaire"/>
    <w:uiPriority w:val="99"/>
    <w:semiHidden/>
    <w:rsid w:val="00132308"/>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132308"/>
    <w:rPr>
      <w:b/>
      <w:bCs/>
    </w:rPr>
  </w:style>
  <w:style w:type="character" w:customStyle="1" w:styleId="ObjetducommentaireCar">
    <w:name w:val="Objet du commentaire Car"/>
    <w:basedOn w:val="CommentaireCar"/>
    <w:link w:val="Objetducommentaire"/>
    <w:uiPriority w:val="99"/>
    <w:semiHidden/>
    <w:rsid w:val="00132308"/>
    <w:rPr>
      <w:rFonts w:ascii="Arial" w:hAnsi="Arial"/>
      <w:b/>
      <w:bCs/>
      <w:lang w:eastAsia="fr-FR"/>
    </w:rPr>
  </w:style>
  <w:style w:type="paragraph" w:styleId="Rvision">
    <w:name w:val="Revision"/>
    <w:hidden/>
    <w:uiPriority w:val="99"/>
    <w:semiHidden/>
    <w:rsid w:val="0001228E"/>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E4CE-E4B6-4808-B288-09C6D1DE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5609</Words>
  <Characters>30850</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2022-05-10T14:07:00Z</dcterms:created>
  <dcterms:modified xsi:type="dcterms:W3CDTF">2022-05-11T11:13:00Z</dcterms:modified>
</cp:coreProperties>
</file>