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FDBE" w14:textId="4DB8B63F" w:rsidR="00D76132" w:rsidRPr="000A3539" w:rsidRDefault="00D76132">
      <w:pPr>
        <w:rPr>
          <w:lang w:val="en-CA"/>
        </w:rPr>
      </w:pPr>
      <w:r w:rsidRPr="000A3539">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7D4F81" w:rsidRPr="0048686D" w14:paraId="0AD23AD1" w14:textId="77777777" w:rsidTr="00352837">
        <w:trPr>
          <w:trHeight w:val="248"/>
        </w:trPr>
        <w:tc>
          <w:tcPr>
            <w:tcW w:w="7372" w:type="dxa"/>
            <w:gridSpan w:val="5"/>
          </w:tcPr>
          <w:p w14:paraId="23CAB155" w14:textId="07BF5B12" w:rsidR="007D4F81" w:rsidRPr="000A3539" w:rsidRDefault="007D4F81" w:rsidP="007D4F81">
            <w:pPr>
              <w:pStyle w:val="zSoquijdatRepertorie"/>
              <w:rPr>
                <w:lang w:val="en-CA"/>
              </w:rPr>
            </w:pPr>
            <w:r>
              <w:rPr>
                <w:rFonts w:cs="Arial"/>
              </w:rPr>
              <w:t xml:space="preserve">Aluminerie de Bécancour </w:t>
            </w:r>
            <w:proofErr w:type="spellStart"/>
            <w:r>
              <w:rPr>
                <w:rFonts w:cs="Arial"/>
              </w:rPr>
              <w:t>inc.</w:t>
            </w:r>
            <w:proofErr w:type="spellEnd"/>
            <w:r>
              <w:rPr>
                <w:rFonts w:cs="Arial"/>
              </w:rPr>
              <w:t xml:space="preserve"> c. Commission des droits de la personne et des droits de la jeunesse (Beaudry et autres)</w:t>
            </w:r>
          </w:p>
        </w:tc>
        <w:tc>
          <w:tcPr>
            <w:tcW w:w="1988" w:type="dxa"/>
          </w:tcPr>
          <w:p w14:paraId="3201D196" w14:textId="53157636" w:rsidR="007D4F81" w:rsidRPr="000A3539" w:rsidRDefault="007D4F81" w:rsidP="007D4F81">
            <w:pPr>
              <w:pStyle w:val="zSoquijdatRefNeutre"/>
              <w:jc w:val="right"/>
              <w:rPr>
                <w:lang w:val="en-CA"/>
              </w:rPr>
            </w:pPr>
            <w:r w:rsidRPr="00FF21BC">
              <w:rPr>
                <w:rFonts w:cs="Arial"/>
              </w:rPr>
              <w:t>2021 QCCA 989</w:t>
            </w:r>
            <w:bookmarkStart w:id="0" w:name="_GoBack"/>
            <w:bookmarkEnd w:id="0"/>
          </w:p>
        </w:tc>
      </w:tr>
      <w:tr w:rsidR="005C73F6" w:rsidRPr="000A3539" w14:paraId="7CA29D1F" w14:textId="77777777" w:rsidTr="00352837">
        <w:trPr>
          <w:trHeight w:val="247"/>
        </w:trPr>
        <w:tc>
          <w:tcPr>
            <w:tcW w:w="9360" w:type="dxa"/>
            <w:gridSpan w:val="6"/>
          </w:tcPr>
          <w:p w14:paraId="3E2716CD" w14:textId="7177332D" w:rsidR="00352837" w:rsidRPr="000A3539" w:rsidRDefault="009F0CAE">
            <w:pPr>
              <w:pStyle w:val="zSoquijlblCour"/>
              <w:rPr>
                <w:lang w:val="en-CA"/>
              </w:rPr>
            </w:pPr>
            <w:r w:rsidRPr="000A3539">
              <w:rPr>
                <w:lang w:val="en-CA"/>
              </w:rPr>
              <w:t>COURT OF APPEAL</w:t>
            </w:r>
          </w:p>
        </w:tc>
      </w:tr>
      <w:tr w:rsidR="005C73F6" w:rsidRPr="000A3539" w14:paraId="1ABBA711" w14:textId="77777777" w:rsidTr="00352837">
        <w:trPr>
          <w:trHeight w:val="540"/>
        </w:trPr>
        <w:tc>
          <w:tcPr>
            <w:tcW w:w="9360" w:type="dxa"/>
            <w:gridSpan w:val="6"/>
          </w:tcPr>
          <w:p w14:paraId="0572A8A0" w14:textId="77777777" w:rsidR="00352837" w:rsidRPr="000A3539" w:rsidRDefault="00352837">
            <w:pPr>
              <w:pStyle w:val="zSoquijdatDivision"/>
              <w:rPr>
                <w:lang w:val="en-CA"/>
              </w:rPr>
            </w:pPr>
          </w:p>
        </w:tc>
      </w:tr>
      <w:tr w:rsidR="005C73F6" w:rsidRPr="000A3539" w14:paraId="56D29600" w14:textId="77777777" w:rsidTr="00352837">
        <w:tc>
          <w:tcPr>
            <w:tcW w:w="9360" w:type="dxa"/>
            <w:gridSpan w:val="6"/>
          </w:tcPr>
          <w:p w14:paraId="2C04FFB5" w14:textId="77777777" w:rsidR="00352837" w:rsidRPr="000A3539" w:rsidRDefault="00D76132">
            <w:pPr>
              <w:pStyle w:val="zSoquijlblPays"/>
              <w:rPr>
                <w:lang w:val="en-CA"/>
              </w:rPr>
            </w:pPr>
            <w:r w:rsidRPr="000A3539">
              <w:rPr>
                <w:lang w:val="en-CA"/>
              </w:rPr>
              <w:t>CANADA</w:t>
            </w:r>
          </w:p>
        </w:tc>
      </w:tr>
      <w:tr w:rsidR="005C73F6" w:rsidRPr="000A3539" w14:paraId="640151D6" w14:textId="77777777" w:rsidTr="00352837">
        <w:tc>
          <w:tcPr>
            <w:tcW w:w="9360" w:type="dxa"/>
            <w:gridSpan w:val="6"/>
          </w:tcPr>
          <w:p w14:paraId="67D15045" w14:textId="0092887F" w:rsidR="00352837" w:rsidRPr="000A3539" w:rsidRDefault="009F0CAE">
            <w:pPr>
              <w:pStyle w:val="zSoquijlblProvince"/>
              <w:rPr>
                <w:lang w:val="en-CA"/>
              </w:rPr>
            </w:pPr>
            <w:r w:rsidRPr="000A3539">
              <w:rPr>
                <w:lang w:val="en-CA"/>
              </w:rPr>
              <w:t>PROVINCE OF QUEBEC</w:t>
            </w:r>
          </w:p>
        </w:tc>
      </w:tr>
      <w:tr w:rsidR="005C73F6" w:rsidRPr="000A3539" w14:paraId="7175C57F" w14:textId="77777777" w:rsidTr="009F0CAE">
        <w:tc>
          <w:tcPr>
            <w:tcW w:w="1701" w:type="dxa"/>
            <w:gridSpan w:val="3"/>
          </w:tcPr>
          <w:p w14:paraId="21AD78BA" w14:textId="471E15F9" w:rsidR="00352837" w:rsidRPr="000A3539" w:rsidRDefault="009F0CAE">
            <w:pPr>
              <w:pStyle w:val="zSoquijlblGreffe"/>
              <w:rPr>
                <w:lang w:val="en-CA"/>
              </w:rPr>
            </w:pPr>
            <w:r w:rsidRPr="000A3539">
              <w:rPr>
                <w:lang w:val="en-CA"/>
              </w:rPr>
              <w:t>REGISTRY OF</w:t>
            </w:r>
          </w:p>
          <w:p w14:paraId="16FD4653" w14:textId="77777777" w:rsidR="00352837" w:rsidRPr="000A3539" w:rsidRDefault="00352837">
            <w:pPr>
              <w:pStyle w:val="zSoquijlblGreffe"/>
              <w:rPr>
                <w:lang w:val="en-CA"/>
              </w:rPr>
            </w:pPr>
          </w:p>
        </w:tc>
        <w:tc>
          <w:tcPr>
            <w:tcW w:w="7659" w:type="dxa"/>
            <w:gridSpan w:val="3"/>
          </w:tcPr>
          <w:p w14:paraId="0D7F8DF6" w14:textId="77777777" w:rsidR="00352837" w:rsidRPr="000A3539" w:rsidRDefault="00D76132">
            <w:pPr>
              <w:pStyle w:val="zSoquijdatGreffe"/>
              <w:rPr>
                <w:lang w:val="en-CA"/>
              </w:rPr>
            </w:pPr>
            <w:bookmarkStart w:id="1" w:name="NomGreffe"/>
            <w:r w:rsidRPr="000A3539">
              <w:rPr>
                <w:lang w:val="en-CA"/>
              </w:rPr>
              <w:t>QUÉBEC</w:t>
            </w:r>
            <w:bookmarkEnd w:id="1"/>
          </w:p>
        </w:tc>
      </w:tr>
      <w:tr w:rsidR="005C73F6" w:rsidRPr="000A3539" w14:paraId="50E8C10F" w14:textId="77777777" w:rsidTr="00352837">
        <w:tc>
          <w:tcPr>
            <w:tcW w:w="1030" w:type="dxa"/>
          </w:tcPr>
          <w:p w14:paraId="4E267CA4" w14:textId="746CC23A" w:rsidR="00352837" w:rsidRPr="000A3539" w:rsidRDefault="00D76132" w:rsidP="009F0CAE">
            <w:pPr>
              <w:pStyle w:val="zSoquijlblNoDossier"/>
              <w:rPr>
                <w:lang w:val="en-CA"/>
              </w:rPr>
            </w:pPr>
            <w:r w:rsidRPr="000A3539">
              <w:rPr>
                <w:lang w:val="en-CA"/>
              </w:rPr>
              <w:t>N</w:t>
            </w:r>
            <w:r w:rsidR="009F0CAE" w:rsidRPr="000A3539">
              <w:rPr>
                <w:lang w:val="en-CA"/>
              </w:rPr>
              <w:t>o.</w:t>
            </w:r>
            <w:r w:rsidRPr="000A3539">
              <w:rPr>
                <w:lang w:val="en-CA"/>
              </w:rPr>
              <w:t>:</w:t>
            </w:r>
          </w:p>
        </w:tc>
        <w:tc>
          <w:tcPr>
            <w:tcW w:w="8330" w:type="dxa"/>
            <w:gridSpan w:val="5"/>
          </w:tcPr>
          <w:p w14:paraId="358881CF" w14:textId="77777777" w:rsidR="00352837" w:rsidRPr="000A3539" w:rsidRDefault="00D76132">
            <w:pPr>
              <w:pStyle w:val="zSoquijdatNoDossier"/>
              <w:rPr>
                <w:lang w:val="en-CA"/>
              </w:rPr>
            </w:pPr>
            <w:bookmarkStart w:id="2" w:name="NoDossier"/>
            <w:r w:rsidRPr="000A3539">
              <w:rPr>
                <w:lang w:val="en-CA"/>
              </w:rPr>
              <w:t>200-09-009796-183</w:t>
            </w:r>
            <w:bookmarkEnd w:id="2"/>
          </w:p>
        </w:tc>
      </w:tr>
      <w:tr w:rsidR="005C73F6" w:rsidRPr="000A3539" w14:paraId="09474967" w14:textId="77777777" w:rsidTr="00352837">
        <w:tc>
          <w:tcPr>
            <w:tcW w:w="9360" w:type="dxa"/>
            <w:gridSpan w:val="6"/>
          </w:tcPr>
          <w:p w14:paraId="0C4334A5" w14:textId="77777777" w:rsidR="00352837" w:rsidRPr="000A3539" w:rsidRDefault="00D76132" w:rsidP="00352837">
            <w:pPr>
              <w:pStyle w:val="zSoquijdatNoDossierAnt"/>
              <w:rPr>
                <w:lang w:val="en-CA"/>
              </w:rPr>
            </w:pPr>
            <w:r w:rsidRPr="000A3539">
              <w:rPr>
                <w:lang w:val="en-CA"/>
              </w:rPr>
              <w:t>(400-53-000019-159)</w:t>
            </w:r>
          </w:p>
        </w:tc>
      </w:tr>
      <w:tr w:rsidR="005C73F6" w:rsidRPr="000A3539" w14:paraId="04563697" w14:textId="77777777" w:rsidTr="00352837">
        <w:tc>
          <w:tcPr>
            <w:tcW w:w="9360" w:type="dxa"/>
            <w:gridSpan w:val="6"/>
          </w:tcPr>
          <w:p w14:paraId="0ED7B562" w14:textId="77777777" w:rsidR="00352837" w:rsidRPr="000A3539" w:rsidRDefault="00352837">
            <w:pPr>
              <w:rPr>
                <w:lang w:val="en-CA"/>
              </w:rPr>
            </w:pPr>
          </w:p>
        </w:tc>
      </w:tr>
      <w:tr w:rsidR="005C73F6" w:rsidRPr="000A3539" w14:paraId="1328F214" w14:textId="77777777" w:rsidTr="00352837">
        <w:tc>
          <w:tcPr>
            <w:tcW w:w="1030" w:type="dxa"/>
          </w:tcPr>
          <w:p w14:paraId="7A78E4FE" w14:textId="6CDEE2BB" w:rsidR="00352837" w:rsidRPr="000A3539" w:rsidRDefault="009F0CAE">
            <w:pPr>
              <w:pStyle w:val="zSoquijlblDateJugement"/>
              <w:rPr>
                <w:lang w:val="en-CA"/>
              </w:rPr>
            </w:pPr>
            <w:r w:rsidRPr="000A3539">
              <w:rPr>
                <w:lang w:val="en-CA"/>
              </w:rPr>
              <w:t>DATE:</w:t>
            </w:r>
          </w:p>
        </w:tc>
        <w:tc>
          <w:tcPr>
            <w:tcW w:w="8330" w:type="dxa"/>
            <w:gridSpan w:val="5"/>
          </w:tcPr>
          <w:p w14:paraId="0AF5CF93" w14:textId="36073861" w:rsidR="00352837" w:rsidRPr="000A3539" w:rsidRDefault="009F0CAE" w:rsidP="00352837">
            <w:pPr>
              <w:pStyle w:val="zSoquijdatDateJugement"/>
              <w:rPr>
                <w:lang w:val="en-CA"/>
              </w:rPr>
            </w:pPr>
            <w:r w:rsidRPr="000A3539">
              <w:rPr>
                <w:lang w:val="en-CA"/>
              </w:rPr>
              <w:t>June 16, 2021</w:t>
            </w:r>
          </w:p>
        </w:tc>
      </w:tr>
      <w:tr w:rsidR="005C73F6" w:rsidRPr="000A3539" w14:paraId="17DC996A" w14:textId="77777777" w:rsidTr="00352837">
        <w:tc>
          <w:tcPr>
            <w:tcW w:w="9360" w:type="dxa"/>
            <w:gridSpan w:val="6"/>
            <w:tcBorders>
              <w:bottom w:val="single" w:sz="8" w:space="0" w:color="auto"/>
            </w:tcBorders>
          </w:tcPr>
          <w:p w14:paraId="24DB9B2B" w14:textId="77777777" w:rsidR="00352837" w:rsidRPr="000A3539" w:rsidRDefault="00352837">
            <w:pPr>
              <w:rPr>
                <w:lang w:val="en-CA"/>
              </w:rPr>
            </w:pPr>
          </w:p>
        </w:tc>
      </w:tr>
      <w:tr w:rsidR="005C73F6" w:rsidRPr="000A3539" w14:paraId="7443270D" w14:textId="77777777" w:rsidTr="00352837">
        <w:tc>
          <w:tcPr>
            <w:tcW w:w="9360" w:type="dxa"/>
            <w:gridSpan w:val="6"/>
            <w:tcBorders>
              <w:top w:val="single" w:sz="8" w:space="0" w:color="auto"/>
            </w:tcBorders>
          </w:tcPr>
          <w:p w14:paraId="04F6345B" w14:textId="77777777" w:rsidR="00352837" w:rsidRPr="000A3539" w:rsidRDefault="00352837">
            <w:pPr>
              <w:rPr>
                <w:lang w:val="en-CA"/>
              </w:rPr>
            </w:pPr>
          </w:p>
        </w:tc>
      </w:tr>
      <w:tr w:rsidR="005C73F6" w:rsidRPr="000A3539" w14:paraId="47517613" w14:textId="77777777" w:rsidTr="00352837">
        <w:tc>
          <w:tcPr>
            <w:tcW w:w="1620" w:type="dxa"/>
            <w:gridSpan w:val="2"/>
          </w:tcPr>
          <w:p w14:paraId="4F3E0D11" w14:textId="0D7E1704" w:rsidR="00352837" w:rsidRPr="000A3539" w:rsidRDefault="009F0CAE" w:rsidP="00352837">
            <w:pPr>
              <w:pStyle w:val="zSoquijlblJuge"/>
              <w:ind w:right="-142"/>
              <w:rPr>
                <w:lang w:val="en-CA"/>
              </w:rPr>
            </w:pPr>
            <w:r w:rsidRPr="000A3539">
              <w:rPr>
                <w:lang w:val="en-CA"/>
              </w:rPr>
              <w:t>CORAM:</w:t>
            </w:r>
          </w:p>
        </w:tc>
        <w:tc>
          <w:tcPr>
            <w:tcW w:w="2350" w:type="dxa"/>
            <w:gridSpan w:val="2"/>
          </w:tcPr>
          <w:p w14:paraId="1A881C05" w14:textId="439820FB" w:rsidR="00352837" w:rsidRPr="000A3539" w:rsidRDefault="009F0CAE">
            <w:pPr>
              <w:pStyle w:val="zSoquijdatQteJuge"/>
              <w:rPr>
                <w:lang w:val="en-CA"/>
              </w:rPr>
            </w:pPr>
            <w:r w:rsidRPr="000A3539">
              <w:rPr>
                <w:lang w:val="en-CA"/>
              </w:rPr>
              <w:t>THE HONOURABLE</w:t>
            </w:r>
          </w:p>
        </w:tc>
        <w:tc>
          <w:tcPr>
            <w:tcW w:w="5390" w:type="dxa"/>
            <w:gridSpan w:val="2"/>
          </w:tcPr>
          <w:p w14:paraId="72A7B34C" w14:textId="7C17A656" w:rsidR="00352837" w:rsidRPr="00877FA5" w:rsidRDefault="00D76132">
            <w:pPr>
              <w:pStyle w:val="zSoquijdatJuge"/>
            </w:pPr>
            <w:bookmarkStart w:id="3" w:name="NomJuge1"/>
            <w:r w:rsidRPr="00877FA5">
              <w:t>FRANCE THIBAULT, J.A.</w:t>
            </w:r>
            <w:bookmarkEnd w:id="3"/>
          </w:p>
          <w:p w14:paraId="26964F64" w14:textId="33F795A5" w:rsidR="00352837" w:rsidRPr="00877FA5" w:rsidRDefault="00D76132">
            <w:pPr>
              <w:pStyle w:val="zSoquijdatJuge"/>
            </w:pPr>
            <w:bookmarkStart w:id="4" w:name="NomJuge2"/>
            <w:r w:rsidRPr="00877FA5">
              <w:t>JACQUES J. LEVESQUE, J.A.</w:t>
            </w:r>
            <w:bookmarkEnd w:id="4"/>
          </w:p>
          <w:p w14:paraId="6F706EA4" w14:textId="0F181506" w:rsidR="00352837" w:rsidRPr="00877FA5" w:rsidRDefault="00D76132" w:rsidP="009F0CAE">
            <w:pPr>
              <w:pStyle w:val="zSoquijdatJuge"/>
            </w:pPr>
            <w:bookmarkStart w:id="5" w:name="_Hlt520513784"/>
            <w:bookmarkStart w:id="6" w:name="NomJuge3"/>
            <w:bookmarkEnd w:id="5"/>
            <w:r w:rsidRPr="00877FA5">
              <w:t>MARIE-JOSÉE HOGUE, J.A.</w:t>
            </w:r>
            <w:bookmarkEnd w:id="6"/>
          </w:p>
        </w:tc>
      </w:tr>
      <w:tr w:rsidR="005C73F6" w:rsidRPr="000A3539" w14:paraId="717399A8" w14:textId="77777777" w:rsidTr="00352837">
        <w:tc>
          <w:tcPr>
            <w:tcW w:w="9360" w:type="dxa"/>
            <w:gridSpan w:val="6"/>
            <w:tcBorders>
              <w:bottom w:val="single" w:sz="8" w:space="0" w:color="auto"/>
            </w:tcBorders>
          </w:tcPr>
          <w:p w14:paraId="1B2B9158" w14:textId="77777777" w:rsidR="00352837" w:rsidRPr="00877FA5" w:rsidRDefault="00352837"/>
        </w:tc>
      </w:tr>
      <w:tr w:rsidR="005C73F6" w:rsidRPr="000A3539" w14:paraId="36180102" w14:textId="77777777" w:rsidTr="00352837">
        <w:tc>
          <w:tcPr>
            <w:tcW w:w="9360" w:type="dxa"/>
            <w:gridSpan w:val="6"/>
          </w:tcPr>
          <w:p w14:paraId="7ADAC72D" w14:textId="77777777" w:rsidR="00352837" w:rsidRPr="00877FA5" w:rsidRDefault="00352837">
            <w:pPr>
              <w:pStyle w:val="zSoquijlblTitrePartie"/>
            </w:pPr>
          </w:p>
        </w:tc>
      </w:tr>
      <w:tr w:rsidR="005C73F6" w:rsidRPr="000A3539" w14:paraId="539BDDEA" w14:textId="77777777" w:rsidTr="00352837">
        <w:tc>
          <w:tcPr>
            <w:tcW w:w="9360" w:type="dxa"/>
            <w:gridSpan w:val="6"/>
          </w:tcPr>
          <w:p w14:paraId="51EB86B6" w14:textId="708099FC" w:rsidR="00352837" w:rsidRPr="000A3539" w:rsidRDefault="00D76132">
            <w:pPr>
              <w:pStyle w:val="zSoquijdatNomPartieDem"/>
              <w:rPr>
                <w:lang w:val="en-CA"/>
              </w:rPr>
            </w:pPr>
            <w:r w:rsidRPr="000A3539">
              <w:rPr>
                <w:lang w:val="en-CA"/>
              </w:rPr>
              <w:t>ALUMINERIE DE BÉCANCOUR INC.</w:t>
            </w:r>
          </w:p>
        </w:tc>
      </w:tr>
      <w:tr w:rsidR="005C73F6" w:rsidRPr="000A3539" w14:paraId="35983DF3" w14:textId="77777777" w:rsidTr="00352837">
        <w:tc>
          <w:tcPr>
            <w:tcW w:w="9360" w:type="dxa"/>
            <w:gridSpan w:val="6"/>
          </w:tcPr>
          <w:p w14:paraId="1D9D4622" w14:textId="11371553" w:rsidR="00352837" w:rsidRPr="000A3539" w:rsidRDefault="009F0CAE" w:rsidP="008D12E2">
            <w:pPr>
              <w:pStyle w:val="zSoquijdatQtePartieDem"/>
              <w:rPr>
                <w:lang w:val="en-CA"/>
              </w:rPr>
            </w:pPr>
            <w:r w:rsidRPr="000A3539">
              <w:rPr>
                <w:lang w:val="en-CA"/>
              </w:rPr>
              <w:t xml:space="preserve">APPELLANT – </w:t>
            </w:r>
            <w:r w:rsidR="008D12E2">
              <w:rPr>
                <w:lang w:val="en-CA"/>
              </w:rPr>
              <w:t>D</w:t>
            </w:r>
            <w:r w:rsidRPr="000A3539">
              <w:rPr>
                <w:lang w:val="en-CA"/>
              </w:rPr>
              <w:t>efendant</w:t>
            </w:r>
            <w:r w:rsidR="00D76132" w:rsidRPr="000A3539">
              <w:rPr>
                <w:lang w:val="en-CA"/>
              </w:rPr>
              <w:t xml:space="preserve"> </w:t>
            </w:r>
          </w:p>
        </w:tc>
      </w:tr>
      <w:tr w:rsidR="005C73F6" w:rsidRPr="000A3539" w14:paraId="47583850" w14:textId="77777777" w:rsidTr="00352837">
        <w:tc>
          <w:tcPr>
            <w:tcW w:w="9360" w:type="dxa"/>
            <w:gridSpan w:val="6"/>
          </w:tcPr>
          <w:p w14:paraId="2C8D6493" w14:textId="460763FC" w:rsidR="00352837" w:rsidRPr="000A3539" w:rsidRDefault="009F0CAE">
            <w:pPr>
              <w:pStyle w:val="zSoquijlblLienParties"/>
              <w:rPr>
                <w:lang w:val="en-CA"/>
              </w:rPr>
            </w:pPr>
            <w:r w:rsidRPr="000A3539">
              <w:rPr>
                <w:lang w:val="en-CA"/>
              </w:rPr>
              <w:t>v.</w:t>
            </w:r>
          </w:p>
        </w:tc>
      </w:tr>
      <w:tr w:rsidR="005C73F6" w:rsidRPr="000A3539" w14:paraId="11EE1613" w14:textId="77777777" w:rsidTr="00352837">
        <w:tc>
          <w:tcPr>
            <w:tcW w:w="9360" w:type="dxa"/>
            <w:gridSpan w:val="6"/>
          </w:tcPr>
          <w:p w14:paraId="1E7537E5" w14:textId="77777777" w:rsidR="00352837" w:rsidRPr="000A3539" w:rsidRDefault="00352837">
            <w:pPr>
              <w:rPr>
                <w:lang w:val="en-CA"/>
              </w:rPr>
            </w:pPr>
          </w:p>
        </w:tc>
      </w:tr>
      <w:tr w:rsidR="005C73F6" w:rsidRPr="000A3539" w14:paraId="03463673" w14:textId="77777777" w:rsidTr="00352837">
        <w:tc>
          <w:tcPr>
            <w:tcW w:w="9360" w:type="dxa"/>
            <w:gridSpan w:val="6"/>
          </w:tcPr>
          <w:p w14:paraId="75D18E1F" w14:textId="4ECCD353" w:rsidR="00352837" w:rsidRPr="00877FA5" w:rsidRDefault="009F0CAE">
            <w:pPr>
              <w:pStyle w:val="zSoquijdatNomPartieDef"/>
            </w:pPr>
            <w:r w:rsidRPr="00877FA5">
              <w:t>COMMISSION DES DROITS DE LA PERSONNE ET DES DROITS DE LA JEUNESSE</w:t>
            </w:r>
          </w:p>
        </w:tc>
      </w:tr>
      <w:tr w:rsidR="005C73F6" w:rsidRPr="000A3539" w14:paraId="163B61A3" w14:textId="77777777" w:rsidTr="00352837">
        <w:tc>
          <w:tcPr>
            <w:tcW w:w="9360" w:type="dxa"/>
            <w:gridSpan w:val="6"/>
          </w:tcPr>
          <w:p w14:paraId="37A37E91" w14:textId="0939D351" w:rsidR="00352837" w:rsidRPr="000A3539" w:rsidRDefault="009F0CAE" w:rsidP="008D12E2">
            <w:pPr>
              <w:pStyle w:val="zSoquijdatQtePartieDef"/>
              <w:rPr>
                <w:lang w:val="en-CA"/>
              </w:rPr>
            </w:pPr>
            <w:r w:rsidRPr="000A3539">
              <w:rPr>
                <w:lang w:val="en-CA"/>
              </w:rPr>
              <w:t xml:space="preserve">RESPONDENT – </w:t>
            </w:r>
            <w:r w:rsidR="008D12E2">
              <w:rPr>
                <w:lang w:val="en-CA"/>
              </w:rPr>
              <w:t>P</w:t>
            </w:r>
            <w:r w:rsidRPr="000A3539">
              <w:rPr>
                <w:lang w:val="en-CA"/>
              </w:rPr>
              <w:t>laintiff</w:t>
            </w:r>
          </w:p>
        </w:tc>
      </w:tr>
      <w:tr w:rsidR="005C73F6" w:rsidRPr="000A3539" w14:paraId="2851D66D" w14:textId="77777777" w:rsidTr="00352837">
        <w:tc>
          <w:tcPr>
            <w:tcW w:w="9360" w:type="dxa"/>
            <w:gridSpan w:val="6"/>
          </w:tcPr>
          <w:p w14:paraId="7F1D7657" w14:textId="44582B11" w:rsidR="00352837" w:rsidRPr="000A3539" w:rsidRDefault="009F0CAE" w:rsidP="00352837">
            <w:pPr>
              <w:rPr>
                <w:lang w:val="en-CA"/>
              </w:rPr>
            </w:pPr>
            <w:r w:rsidRPr="000A3539">
              <w:rPr>
                <w:lang w:val="en-CA"/>
              </w:rPr>
              <w:t>and</w:t>
            </w:r>
          </w:p>
        </w:tc>
      </w:tr>
      <w:tr w:rsidR="005C73F6" w:rsidRPr="000A3539" w14:paraId="519B357E" w14:textId="77777777" w:rsidTr="00352837">
        <w:tc>
          <w:tcPr>
            <w:tcW w:w="9360" w:type="dxa"/>
            <w:gridSpan w:val="6"/>
          </w:tcPr>
          <w:p w14:paraId="669BDFF3" w14:textId="7686F112" w:rsidR="00352837" w:rsidRPr="00877FA5" w:rsidRDefault="00D76132" w:rsidP="00352837">
            <w:pPr>
              <w:pStyle w:val="zSoquijdatNomPartieDef"/>
            </w:pPr>
            <w:r w:rsidRPr="00877FA5">
              <w:t>SYNDICAT DES MÉTALLOS LOCAL 9700</w:t>
            </w:r>
          </w:p>
          <w:p w14:paraId="04EB4AA4" w14:textId="77777777" w:rsidR="00352837" w:rsidRPr="00877FA5" w:rsidRDefault="00D76132" w:rsidP="00352837">
            <w:pPr>
              <w:pStyle w:val="zSoquijdatNomPartieDef"/>
            </w:pPr>
            <w:r w:rsidRPr="00877FA5">
              <w:t>(Aluminerie de Bécancour)</w:t>
            </w:r>
          </w:p>
        </w:tc>
      </w:tr>
      <w:tr w:rsidR="005C73F6" w:rsidRPr="000A3539" w14:paraId="5F11C8B7" w14:textId="77777777" w:rsidTr="00352837">
        <w:tc>
          <w:tcPr>
            <w:tcW w:w="9360" w:type="dxa"/>
            <w:gridSpan w:val="6"/>
          </w:tcPr>
          <w:p w14:paraId="4A5FFA4A" w14:textId="0A6C8CD1" w:rsidR="00352837" w:rsidRPr="000A3539" w:rsidRDefault="009F0CAE" w:rsidP="000C6AFE">
            <w:pPr>
              <w:pStyle w:val="zSoquijdatQtePartieDef"/>
              <w:rPr>
                <w:lang w:val="en-CA"/>
              </w:rPr>
            </w:pPr>
            <w:r w:rsidRPr="000A3539">
              <w:rPr>
                <w:lang w:val="en-CA"/>
              </w:rPr>
              <w:t xml:space="preserve">IMPLEADED PARTY – </w:t>
            </w:r>
            <w:r w:rsidR="000C6AFE">
              <w:rPr>
                <w:lang w:val="en-CA"/>
              </w:rPr>
              <w:t>C</w:t>
            </w:r>
            <w:r w:rsidRPr="000A3539">
              <w:rPr>
                <w:lang w:val="en-CA"/>
              </w:rPr>
              <w:t>omplainant</w:t>
            </w:r>
            <w:r w:rsidR="00D76132" w:rsidRPr="000A3539">
              <w:rPr>
                <w:lang w:val="en-CA"/>
              </w:rPr>
              <w:t xml:space="preserve"> </w:t>
            </w:r>
          </w:p>
        </w:tc>
      </w:tr>
      <w:tr w:rsidR="005C73F6" w:rsidRPr="000A3539" w14:paraId="72911C61" w14:textId="77777777" w:rsidTr="00352837">
        <w:tc>
          <w:tcPr>
            <w:tcW w:w="9360" w:type="dxa"/>
            <w:gridSpan w:val="6"/>
          </w:tcPr>
          <w:p w14:paraId="484DFA88" w14:textId="77777777" w:rsidR="00352837" w:rsidRPr="000A3539" w:rsidRDefault="00352837">
            <w:pPr>
              <w:rPr>
                <w:lang w:val="en-CA"/>
              </w:rPr>
            </w:pPr>
          </w:p>
        </w:tc>
      </w:tr>
      <w:tr w:rsidR="005C73F6" w:rsidRPr="000A3539" w14:paraId="01100442" w14:textId="77777777" w:rsidTr="00352837">
        <w:tc>
          <w:tcPr>
            <w:tcW w:w="9360" w:type="dxa"/>
            <w:gridSpan w:val="6"/>
            <w:tcBorders>
              <w:top w:val="single" w:sz="8" w:space="0" w:color="auto"/>
            </w:tcBorders>
          </w:tcPr>
          <w:p w14:paraId="43FAA16F" w14:textId="77777777" w:rsidR="00352837" w:rsidRPr="000A3539" w:rsidRDefault="00352837">
            <w:pPr>
              <w:rPr>
                <w:lang w:val="en-CA"/>
              </w:rPr>
            </w:pPr>
            <w:bookmarkStart w:id="7" w:name="Arret"/>
          </w:p>
        </w:tc>
      </w:tr>
      <w:tr w:rsidR="005C73F6" w:rsidRPr="000A3539" w14:paraId="6F5E68AB" w14:textId="77777777" w:rsidTr="00352837">
        <w:tc>
          <w:tcPr>
            <w:tcW w:w="9360" w:type="dxa"/>
            <w:gridSpan w:val="6"/>
          </w:tcPr>
          <w:p w14:paraId="5E7FFECA" w14:textId="14F4E907" w:rsidR="00352837" w:rsidRPr="000A3539" w:rsidRDefault="009F0CAE">
            <w:pPr>
              <w:pStyle w:val="zSoquijlblTypeDocument"/>
              <w:rPr>
                <w:lang w:val="en-CA"/>
              </w:rPr>
            </w:pPr>
            <w:r w:rsidRPr="000A3539">
              <w:rPr>
                <w:lang w:val="en-CA"/>
              </w:rPr>
              <w:t>JUDGMENT</w:t>
            </w:r>
          </w:p>
        </w:tc>
      </w:tr>
      <w:tr w:rsidR="005C73F6" w:rsidRPr="000A3539" w14:paraId="6C92EEE2" w14:textId="77777777" w:rsidTr="00352837">
        <w:tc>
          <w:tcPr>
            <w:tcW w:w="9360" w:type="dxa"/>
            <w:gridSpan w:val="6"/>
            <w:tcBorders>
              <w:bottom w:val="single" w:sz="8" w:space="0" w:color="auto"/>
            </w:tcBorders>
          </w:tcPr>
          <w:p w14:paraId="13E252E6" w14:textId="77777777" w:rsidR="00352837" w:rsidRPr="000A3539" w:rsidRDefault="00352837">
            <w:pPr>
              <w:rPr>
                <w:lang w:val="en-CA"/>
              </w:rPr>
            </w:pPr>
          </w:p>
        </w:tc>
      </w:tr>
      <w:tr w:rsidR="005C73F6" w:rsidRPr="000A3539" w14:paraId="3A87ED1F" w14:textId="77777777" w:rsidTr="00352837">
        <w:tc>
          <w:tcPr>
            <w:tcW w:w="9360" w:type="dxa"/>
            <w:gridSpan w:val="6"/>
            <w:tcBorders>
              <w:top w:val="single" w:sz="8" w:space="0" w:color="auto"/>
            </w:tcBorders>
          </w:tcPr>
          <w:p w14:paraId="5BE3502E" w14:textId="77777777" w:rsidR="00352837" w:rsidRPr="000A3539" w:rsidRDefault="00352837">
            <w:pPr>
              <w:rPr>
                <w:lang w:val="en-CA"/>
              </w:rPr>
            </w:pPr>
          </w:p>
        </w:tc>
      </w:tr>
    </w:tbl>
    <w:p w14:paraId="0BA09422" w14:textId="1D9D997D" w:rsidR="00352837" w:rsidRPr="000A3539" w:rsidRDefault="000D2D8F" w:rsidP="00352837">
      <w:pPr>
        <w:pStyle w:val="Paragraphe"/>
        <w:rPr>
          <w:lang w:val="en-CA"/>
        </w:rPr>
      </w:pPr>
      <w:r w:rsidRPr="00877FA5">
        <w:t xml:space="preserve">The </w:t>
      </w:r>
      <w:r w:rsidR="00D76132" w:rsidRPr="00877FA5">
        <w:t xml:space="preserve">Aluminerie de Bécancour </w:t>
      </w:r>
      <w:proofErr w:type="spellStart"/>
      <w:r w:rsidR="00D76132" w:rsidRPr="00877FA5">
        <w:t>inc.</w:t>
      </w:r>
      <w:proofErr w:type="spellEnd"/>
      <w:r w:rsidR="00D76132" w:rsidRPr="00877FA5">
        <w:t xml:space="preserve"> </w:t>
      </w:r>
      <w:r w:rsidR="00D76132" w:rsidRPr="000A3539">
        <w:rPr>
          <w:lang w:val="en-CA"/>
        </w:rPr>
        <w:t>(</w:t>
      </w:r>
      <w:r w:rsidRPr="000A3539">
        <w:rPr>
          <w:lang w:val="en-CA"/>
        </w:rPr>
        <w:t>the “</w:t>
      </w:r>
      <w:r w:rsidR="00D76132" w:rsidRPr="000A3539">
        <w:rPr>
          <w:lang w:val="en-CA"/>
        </w:rPr>
        <w:t>appel</w:t>
      </w:r>
      <w:r w:rsidRPr="000A3539">
        <w:rPr>
          <w:lang w:val="en-CA"/>
        </w:rPr>
        <w:t>l</w:t>
      </w:r>
      <w:r w:rsidR="00D76132" w:rsidRPr="000A3539">
        <w:rPr>
          <w:lang w:val="en-CA"/>
        </w:rPr>
        <w:t>ant</w:t>
      </w:r>
      <w:r w:rsidRPr="000A3539">
        <w:rPr>
          <w:lang w:val="en-CA"/>
        </w:rPr>
        <w:t>”</w:t>
      </w:r>
      <w:r w:rsidR="00D76132" w:rsidRPr="000A3539">
        <w:rPr>
          <w:lang w:val="en-CA"/>
        </w:rPr>
        <w:t xml:space="preserve">) </w:t>
      </w:r>
      <w:r w:rsidRPr="000A3539">
        <w:rPr>
          <w:lang w:val="en-CA"/>
        </w:rPr>
        <w:t xml:space="preserve">appeals from a </w:t>
      </w:r>
      <w:r w:rsidR="00D76132" w:rsidRPr="000A3539">
        <w:rPr>
          <w:lang w:val="en-CA"/>
        </w:rPr>
        <w:t>judgment</w:t>
      </w:r>
      <w:r w:rsidRPr="000A3539">
        <w:rPr>
          <w:lang w:val="en-CA"/>
        </w:rPr>
        <w:t xml:space="preserve"> </w:t>
      </w:r>
      <w:r w:rsidR="00D76132" w:rsidRPr="000A3539">
        <w:rPr>
          <w:lang w:val="en-CA"/>
        </w:rPr>
        <w:t xml:space="preserve">rendered </w:t>
      </w:r>
      <w:r w:rsidRPr="000A3539">
        <w:rPr>
          <w:lang w:val="en-CA"/>
        </w:rPr>
        <w:t xml:space="preserve">on </w:t>
      </w:r>
      <w:r w:rsidR="00D76132" w:rsidRPr="000A3539">
        <w:rPr>
          <w:lang w:val="en-CA"/>
        </w:rPr>
        <w:t>May</w:t>
      </w:r>
      <w:r w:rsidRPr="000A3539">
        <w:rPr>
          <w:lang w:val="en-CA"/>
        </w:rPr>
        <w:t xml:space="preserve"> 11,</w:t>
      </w:r>
      <w:r w:rsidR="00D76132" w:rsidRPr="000A3539">
        <w:rPr>
          <w:lang w:val="en-CA"/>
        </w:rPr>
        <w:t> 2018</w:t>
      </w:r>
      <w:r w:rsidRPr="000A3539">
        <w:rPr>
          <w:lang w:val="en-CA"/>
        </w:rPr>
        <w:t xml:space="preserve">, by the Human Rights </w:t>
      </w:r>
      <w:r w:rsidR="00D76132" w:rsidRPr="000A3539">
        <w:rPr>
          <w:lang w:val="en-CA"/>
        </w:rPr>
        <w:t>Tribunal (</w:t>
      </w:r>
      <w:r w:rsidRPr="000A3539">
        <w:rPr>
          <w:lang w:val="en-CA"/>
        </w:rPr>
        <w:t>the “</w:t>
      </w:r>
      <w:r w:rsidR="00D76132" w:rsidRPr="000A3539">
        <w:rPr>
          <w:lang w:val="en-CA"/>
        </w:rPr>
        <w:t>Tribunal</w:t>
      </w:r>
      <w:r w:rsidRPr="000A3539">
        <w:rPr>
          <w:lang w:val="en-CA"/>
        </w:rPr>
        <w:t>”</w:t>
      </w:r>
      <w:r w:rsidR="00D76132" w:rsidRPr="000A3539">
        <w:rPr>
          <w:lang w:val="en-CA"/>
        </w:rPr>
        <w:t xml:space="preserve">), </w:t>
      </w:r>
      <w:r w:rsidRPr="000A3539">
        <w:rPr>
          <w:lang w:val="en-CA"/>
        </w:rPr>
        <w:t>D</w:t>
      </w:r>
      <w:r w:rsidR="00D76132" w:rsidRPr="000A3539">
        <w:rPr>
          <w:lang w:val="en-CA"/>
        </w:rPr>
        <w:t xml:space="preserve">istrict </w:t>
      </w:r>
      <w:r w:rsidRPr="000A3539">
        <w:rPr>
          <w:lang w:val="en-CA"/>
        </w:rPr>
        <w:t>of</w:t>
      </w:r>
      <w:r w:rsidR="00D76132" w:rsidRPr="000A3539">
        <w:rPr>
          <w:lang w:val="en-CA"/>
        </w:rPr>
        <w:t xml:space="preserve"> </w:t>
      </w:r>
      <w:proofErr w:type="spellStart"/>
      <w:r w:rsidR="00D76132" w:rsidRPr="000A3539">
        <w:rPr>
          <w:lang w:val="en-CA"/>
        </w:rPr>
        <w:t>Trois-Rivières</w:t>
      </w:r>
      <w:proofErr w:type="spellEnd"/>
      <w:r w:rsidR="00D76132" w:rsidRPr="000A3539">
        <w:rPr>
          <w:lang w:val="en-CA"/>
        </w:rPr>
        <w:t xml:space="preserve"> (</w:t>
      </w:r>
      <w:r w:rsidRPr="000A3539">
        <w:rPr>
          <w:lang w:val="en-CA"/>
        </w:rPr>
        <w:t>the H</w:t>
      </w:r>
      <w:r w:rsidR="00D76132" w:rsidRPr="000A3539">
        <w:rPr>
          <w:lang w:val="en-CA"/>
        </w:rPr>
        <w:t xml:space="preserve">onourable </w:t>
      </w:r>
      <w:proofErr w:type="spellStart"/>
      <w:r w:rsidR="00D76132" w:rsidRPr="000A3539">
        <w:rPr>
          <w:lang w:val="en-CA"/>
        </w:rPr>
        <w:t>Magali</w:t>
      </w:r>
      <w:proofErr w:type="spellEnd"/>
      <w:r w:rsidR="00D76132" w:rsidRPr="000A3539">
        <w:rPr>
          <w:lang w:val="en-CA"/>
        </w:rPr>
        <w:t xml:space="preserve"> Lewis), </w:t>
      </w:r>
      <w:r w:rsidR="00FA32C3">
        <w:rPr>
          <w:lang w:val="en-CA"/>
        </w:rPr>
        <w:t>granting</w:t>
      </w:r>
      <w:r w:rsidR="00FA32C3" w:rsidRPr="000A3539">
        <w:rPr>
          <w:lang w:val="en-CA"/>
        </w:rPr>
        <w:t xml:space="preserve"> </w:t>
      </w:r>
      <w:r w:rsidR="00211EBC" w:rsidRPr="000A3539">
        <w:rPr>
          <w:lang w:val="en-CA"/>
        </w:rPr>
        <w:t xml:space="preserve">an </w:t>
      </w:r>
      <w:r w:rsidR="00D76132" w:rsidRPr="000A3539">
        <w:rPr>
          <w:lang w:val="en-CA"/>
        </w:rPr>
        <w:t xml:space="preserve">action </w:t>
      </w:r>
      <w:r w:rsidR="00211EBC" w:rsidRPr="000A3539">
        <w:rPr>
          <w:lang w:val="en-CA"/>
        </w:rPr>
        <w:t xml:space="preserve">for </w:t>
      </w:r>
      <w:r w:rsidR="00D76132" w:rsidRPr="000A3539">
        <w:rPr>
          <w:lang w:val="en-CA"/>
        </w:rPr>
        <w:t>d</w:t>
      </w:r>
      <w:r w:rsidR="00211EBC" w:rsidRPr="000A3539">
        <w:rPr>
          <w:lang w:val="en-CA"/>
        </w:rPr>
        <w:t>a</w:t>
      </w:r>
      <w:r w:rsidR="00D76132" w:rsidRPr="000A3539">
        <w:rPr>
          <w:lang w:val="en-CA"/>
        </w:rPr>
        <w:t>mages</w:t>
      </w:r>
      <w:r w:rsidR="00211EBC" w:rsidRPr="000A3539">
        <w:rPr>
          <w:lang w:val="en-CA"/>
        </w:rPr>
        <w:t xml:space="preserve"> instituted by the </w:t>
      </w:r>
      <w:r w:rsidR="00D76132" w:rsidRPr="000A3539">
        <w:rPr>
          <w:lang w:val="en-CA"/>
        </w:rPr>
        <w:t>Commission</w:t>
      </w:r>
      <w:r w:rsidR="00211EBC" w:rsidRPr="000A3539">
        <w:rPr>
          <w:lang w:val="en-CA"/>
        </w:rPr>
        <w:t xml:space="preserve"> </w:t>
      </w:r>
      <w:r w:rsidR="00D76132" w:rsidRPr="000A3539">
        <w:rPr>
          <w:lang w:val="en-CA"/>
        </w:rPr>
        <w:t>des</w:t>
      </w:r>
      <w:r w:rsidR="00211EBC" w:rsidRPr="000A3539">
        <w:rPr>
          <w:lang w:val="en-CA"/>
        </w:rPr>
        <w:t xml:space="preserve"> </w:t>
      </w:r>
      <w:r w:rsidR="00D76132" w:rsidRPr="000A3539">
        <w:rPr>
          <w:lang w:val="en-CA"/>
        </w:rPr>
        <w:t>droits</w:t>
      </w:r>
      <w:r w:rsidR="00211EBC" w:rsidRPr="000A3539">
        <w:rPr>
          <w:lang w:val="en-CA"/>
        </w:rPr>
        <w:t xml:space="preserve"> </w:t>
      </w:r>
      <w:r w:rsidR="00D76132" w:rsidRPr="000A3539">
        <w:rPr>
          <w:lang w:val="en-CA"/>
        </w:rPr>
        <w:t>de</w:t>
      </w:r>
      <w:r w:rsidR="00211EBC" w:rsidRPr="000A3539">
        <w:rPr>
          <w:lang w:val="en-CA"/>
        </w:rPr>
        <w:t xml:space="preserve"> </w:t>
      </w:r>
      <w:r w:rsidR="00D76132" w:rsidRPr="000A3539">
        <w:rPr>
          <w:lang w:val="en-CA"/>
        </w:rPr>
        <w:t>la</w:t>
      </w:r>
      <w:r w:rsidR="00211EBC" w:rsidRPr="000A3539">
        <w:rPr>
          <w:lang w:val="en-CA"/>
        </w:rPr>
        <w:t xml:space="preserve"> </w:t>
      </w:r>
      <w:r w:rsidR="00D76132" w:rsidRPr="000A3539">
        <w:rPr>
          <w:lang w:val="en-CA"/>
        </w:rPr>
        <w:t>personne et des droits</w:t>
      </w:r>
      <w:r w:rsidR="00211EBC" w:rsidRPr="000A3539">
        <w:rPr>
          <w:lang w:val="en-CA"/>
        </w:rPr>
        <w:t xml:space="preserve"> </w:t>
      </w:r>
      <w:r w:rsidR="00D76132" w:rsidRPr="000A3539">
        <w:rPr>
          <w:lang w:val="en-CA"/>
        </w:rPr>
        <w:t xml:space="preserve">de la </w:t>
      </w:r>
      <w:proofErr w:type="spellStart"/>
      <w:r w:rsidR="00D76132" w:rsidRPr="000A3539">
        <w:rPr>
          <w:lang w:val="en-CA"/>
        </w:rPr>
        <w:t>jeunesse</w:t>
      </w:r>
      <w:proofErr w:type="spellEnd"/>
      <w:r w:rsidR="00D76132" w:rsidRPr="000A3539">
        <w:rPr>
          <w:lang w:val="en-CA"/>
        </w:rPr>
        <w:t xml:space="preserve"> (</w:t>
      </w:r>
      <w:r w:rsidR="00211EBC" w:rsidRPr="000A3539">
        <w:rPr>
          <w:lang w:val="en-CA"/>
        </w:rPr>
        <w:t xml:space="preserve">the </w:t>
      </w:r>
      <w:r w:rsidR="00211EBC" w:rsidRPr="000A3539">
        <w:rPr>
          <w:lang w:val="en-CA"/>
        </w:rPr>
        <w:lastRenderedPageBreak/>
        <w:t>“</w:t>
      </w:r>
      <w:r w:rsidR="00D76132" w:rsidRPr="000A3539">
        <w:rPr>
          <w:lang w:val="en-CA"/>
        </w:rPr>
        <w:t>respondent</w:t>
      </w:r>
      <w:r w:rsidR="00211EBC" w:rsidRPr="000A3539">
        <w:rPr>
          <w:lang w:val="en-CA"/>
        </w:rPr>
        <w:t>”</w:t>
      </w:r>
      <w:r w:rsidR="003C623C" w:rsidRPr="000A3539">
        <w:rPr>
          <w:lang w:val="en-CA"/>
        </w:rPr>
        <w:t>)</w:t>
      </w:r>
      <w:r w:rsidR="00211EBC" w:rsidRPr="000A3539">
        <w:rPr>
          <w:lang w:val="en-CA"/>
        </w:rPr>
        <w:t xml:space="preserve"> and condemning </w:t>
      </w:r>
      <w:r w:rsidR="00EB0364">
        <w:rPr>
          <w:lang w:val="en-CA"/>
        </w:rPr>
        <w:t xml:space="preserve">the appellant </w:t>
      </w:r>
      <w:r w:rsidR="00211EBC" w:rsidRPr="000A3539">
        <w:rPr>
          <w:lang w:val="en-CA"/>
        </w:rPr>
        <w:t xml:space="preserve">to pay </w:t>
      </w:r>
      <w:r w:rsidR="00F22757" w:rsidRPr="000A3539">
        <w:rPr>
          <w:lang w:val="en-CA"/>
        </w:rPr>
        <w:t>material</w:t>
      </w:r>
      <w:r w:rsidR="00211EBC" w:rsidRPr="000A3539">
        <w:rPr>
          <w:lang w:val="en-CA"/>
        </w:rPr>
        <w:t xml:space="preserve"> and moral damages to the </w:t>
      </w:r>
      <w:r w:rsidR="00D76132" w:rsidRPr="000A3539">
        <w:rPr>
          <w:lang w:val="en-CA"/>
        </w:rPr>
        <w:t>victims</w:t>
      </w:r>
      <w:r w:rsidR="00211EBC" w:rsidRPr="000A3539">
        <w:rPr>
          <w:lang w:val="en-CA"/>
        </w:rPr>
        <w:t>.</w:t>
      </w:r>
      <w:r w:rsidR="00D76132" w:rsidRPr="000A3539">
        <w:rPr>
          <w:rStyle w:val="Appelnotedebasdep"/>
          <w:lang w:val="en-CA"/>
        </w:rPr>
        <w:footnoteReference w:id="1"/>
      </w:r>
    </w:p>
    <w:p w14:paraId="2A5F95F9" w14:textId="78CE5195" w:rsidR="00352837" w:rsidRPr="000A3539" w:rsidRDefault="00C31940" w:rsidP="00352837">
      <w:pPr>
        <w:pStyle w:val="Paragraphe"/>
        <w:rPr>
          <w:lang w:val="en-CA"/>
        </w:rPr>
      </w:pPr>
      <w:r w:rsidRPr="000A3539">
        <w:rPr>
          <w:rFonts w:cs="Arial"/>
          <w:lang w:val="en-CA"/>
        </w:rPr>
        <w:t xml:space="preserve">The </w:t>
      </w:r>
      <w:r w:rsidR="00D76132" w:rsidRPr="000A3539">
        <w:rPr>
          <w:rFonts w:cs="Arial"/>
          <w:lang w:val="en-CA"/>
        </w:rPr>
        <w:t>respondent</w:t>
      </w:r>
      <w:r w:rsidRPr="000A3539">
        <w:rPr>
          <w:rFonts w:cs="Arial"/>
          <w:lang w:val="en-CA"/>
        </w:rPr>
        <w:t xml:space="preserve"> accepted the </w:t>
      </w:r>
      <w:r w:rsidR="00D76132" w:rsidRPr="000A3539">
        <w:rPr>
          <w:rFonts w:cs="Arial"/>
          <w:lang w:val="en-CA"/>
        </w:rPr>
        <w:t>complaint</w:t>
      </w:r>
      <w:r w:rsidRPr="000A3539">
        <w:rPr>
          <w:rFonts w:cs="Arial"/>
          <w:lang w:val="en-CA"/>
        </w:rPr>
        <w:t xml:space="preserve"> filed by the </w:t>
      </w:r>
      <w:proofErr w:type="spellStart"/>
      <w:r w:rsidR="00D76132" w:rsidRPr="000A3539">
        <w:rPr>
          <w:rFonts w:cs="Arial"/>
          <w:lang w:val="en-CA"/>
        </w:rPr>
        <w:t>Syndicat</w:t>
      </w:r>
      <w:proofErr w:type="spellEnd"/>
      <w:r w:rsidRPr="000A3539">
        <w:rPr>
          <w:rFonts w:cs="Arial"/>
          <w:lang w:val="en-CA"/>
        </w:rPr>
        <w:t xml:space="preserve"> </w:t>
      </w:r>
      <w:r w:rsidR="00D76132" w:rsidRPr="000A3539">
        <w:rPr>
          <w:rFonts w:cs="Arial"/>
          <w:lang w:val="en-CA"/>
        </w:rPr>
        <w:t xml:space="preserve">des </w:t>
      </w:r>
      <w:proofErr w:type="spellStart"/>
      <w:r w:rsidR="00D76132" w:rsidRPr="000A3539">
        <w:rPr>
          <w:rFonts w:cs="Arial"/>
          <w:lang w:val="en-CA"/>
        </w:rPr>
        <w:t>Métallos</w:t>
      </w:r>
      <w:proofErr w:type="spellEnd"/>
      <w:r w:rsidRPr="000A3539">
        <w:rPr>
          <w:rFonts w:cs="Arial"/>
          <w:lang w:val="en-CA"/>
        </w:rPr>
        <w:t>,</w:t>
      </w:r>
      <w:r w:rsidR="00D76132" w:rsidRPr="000A3539">
        <w:rPr>
          <w:rFonts w:cs="Arial"/>
          <w:lang w:val="en-CA"/>
        </w:rPr>
        <w:t xml:space="preserve"> Local 9700 (</w:t>
      </w:r>
      <w:r w:rsidRPr="000A3539">
        <w:rPr>
          <w:rFonts w:cs="Arial"/>
          <w:lang w:val="en-CA"/>
        </w:rPr>
        <w:t>the “</w:t>
      </w:r>
      <w:r w:rsidR="00D76132" w:rsidRPr="000A3539">
        <w:rPr>
          <w:rFonts w:cs="Arial"/>
          <w:lang w:val="en-CA"/>
        </w:rPr>
        <w:t>impleaded</w:t>
      </w:r>
      <w:r w:rsidRPr="000A3539">
        <w:rPr>
          <w:rFonts w:cs="Arial"/>
          <w:lang w:val="en-CA"/>
        </w:rPr>
        <w:t xml:space="preserve"> </w:t>
      </w:r>
      <w:r w:rsidR="00D76132" w:rsidRPr="000A3539">
        <w:rPr>
          <w:rFonts w:cs="Arial"/>
          <w:lang w:val="en-CA"/>
        </w:rPr>
        <w:t>party</w:t>
      </w:r>
      <w:r w:rsidRPr="000A3539">
        <w:rPr>
          <w:rFonts w:cs="Arial"/>
          <w:lang w:val="en-CA"/>
        </w:rPr>
        <w:t>”</w:t>
      </w:r>
      <w:r w:rsidR="00D76132" w:rsidRPr="000A3539">
        <w:rPr>
          <w:rFonts w:cs="Arial"/>
          <w:lang w:val="en-CA"/>
        </w:rPr>
        <w:t xml:space="preserve">) </w:t>
      </w:r>
      <w:r w:rsidRPr="000A3539">
        <w:rPr>
          <w:rFonts w:cs="Arial"/>
          <w:lang w:val="en-CA"/>
        </w:rPr>
        <w:t xml:space="preserve">and instituted an </w:t>
      </w:r>
      <w:r w:rsidR="00D76132" w:rsidRPr="000A3539">
        <w:rPr>
          <w:rFonts w:cs="Arial"/>
          <w:lang w:val="en-CA"/>
        </w:rPr>
        <w:t>action</w:t>
      </w:r>
      <w:r w:rsidRPr="000A3539">
        <w:rPr>
          <w:rFonts w:cs="Arial"/>
          <w:lang w:val="en-CA"/>
        </w:rPr>
        <w:t xml:space="preserve"> </w:t>
      </w:r>
      <w:r w:rsidR="00D76132" w:rsidRPr="000A3539">
        <w:rPr>
          <w:rFonts w:cs="Arial"/>
          <w:lang w:val="en-CA"/>
        </w:rPr>
        <w:t>for</w:t>
      </w:r>
      <w:r w:rsidRPr="000A3539">
        <w:rPr>
          <w:rFonts w:cs="Arial"/>
          <w:lang w:val="en-CA"/>
        </w:rPr>
        <w:t xml:space="preserve"> </w:t>
      </w:r>
      <w:r w:rsidR="00D76132" w:rsidRPr="000A3539">
        <w:rPr>
          <w:rFonts w:cs="Arial"/>
          <w:lang w:val="en-CA"/>
        </w:rPr>
        <w:t>damages</w:t>
      </w:r>
      <w:r w:rsidRPr="000A3539">
        <w:rPr>
          <w:rFonts w:cs="Arial"/>
          <w:lang w:val="en-CA"/>
        </w:rPr>
        <w:t xml:space="preserve"> before the </w:t>
      </w:r>
      <w:r w:rsidR="00D76132" w:rsidRPr="000A3539">
        <w:rPr>
          <w:rFonts w:cs="Arial"/>
          <w:lang w:val="en-CA"/>
        </w:rPr>
        <w:t xml:space="preserve">Tribunal. </w:t>
      </w:r>
      <w:r w:rsidRPr="000A3539">
        <w:rPr>
          <w:rFonts w:cs="Arial"/>
          <w:lang w:val="en-CA"/>
        </w:rPr>
        <w:t xml:space="preserve">It alleges that </w:t>
      </w:r>
      <w:r w:rsidR="00710E83" w:rsidRPr="000A3539">
        <w:rPr>
          <w:rFonts w:cs="Arial"/>
          <w:lang w:val="en-CA"/>
        </w:rPr>
        <w:t>[</w:t>
      </w:r>
      <w:r w:rsidR="00710E83" w:rsidRPr="000A3539">
        <w:rPr>
          <w:rFonts w:cs="Arial"/>
          <w:smallCaps/>
          <w:lang w:val="en-CA"/>
        </w:rPr>
        <w:t>translation</w:t>
      </w:r>
      <w:r w:rsidR="00710E83" w:rsidRPr="000A3539">
        <w:rPr>
          <w:rFonts w:cs="Arial"/>
          <w:lang w:val="en-CA"/>
        </w:rPr>
        <w:t>] “</w:t>
      </w:r>
      <w:r w:rsidR="00710E83" w:rsidRPr="000A3539">
        <w:rPr>
          <w:rFonts w:cs="Arial"/>
          <w:color w:val="000000"/>
          <w:lang w:val="en-CA"/>
        </w:rPr>
        <w:t>students are the lowest paid employees at ABI and that this disadvantage is based on their age and social condition, since they perform the same work as the employees who receive a higher wage”.</w:t>
      </w:r>
      <w:r w:rsidR="00D76132" w:rsidRPr="000A3539">
        <w:rPr>
          <w:rStyle w:val="Appelnotedebasdep"/>
          <w:rFonts w:cs="Arial"/>
          <w:lang w:val="en-CA"/>
        </w:rPr>
        <w:footnoteReference w:id="2"/>
      </w:r>
      <w:r w:rsidR="00D76132" w:rsidRPr="000A3539">
        <w:rPr>
          <w:lang w:val="en-CA"/>
        </w:rPr>
        <w:t xml:space="preserve"> </w:t>
      </w:r>
      <w:r w:rsidR="00710E83" w:rsidRPr="000A3539">
        <w:rPr>
          <w:lang w:val="en-CA"/>
        </w:rPr>
        <w:t xml:space="preserve">It asked the Tribunal to order the appellant to reimburse each of the </w:t>
      </w:r>
      <w:r w:rsidR="00D76132" w:rsidRPr="000A3539">
        <w:rPr>
          <w:lang w:val="en-CA"/>
        </w:rPr>
        <w:t>victims</w:t>
      </w:r>
      <w:r w:rsidR="00672DDA" w:rsidRPr="000A3539">
        <w:rPr>
          <w:lang w:val="en-CA"/>
        </w:rPr>
        <w:t xml:space="preserve"> the amounts required to compensate the losses suffered</w:t>
      </w:r>
      <w:r w:rsidR="00D76132" w:rsidRPr="000A3539">
        <w:rPr>
          <w:lang w:val="en-CA"/>
        </w:rPr>
        <w:t xml:space="preserve"> </w:t>
      </w:r>
      <w:r w:rsidR="00672DDA" w:rsidRPr="000A3539">
        <w:rPr>
          <w:lang w:val="en-CA"/>
        </w:rPr>
        <w:t>as a result of the different wage conditions</w:t>
      </w:r>
      <w:r w:rsidR="00663262" w:rsidRPr="000A3539">
        <w:rPr>
          <w:lang w:val="en-CA"/>
        </w:rPr>
        <w:t xml:space="preserve"> and</w:t>
      </w:r>
      <w:r w:rsidR="00D76132" w:rsidRPr="000A3539">
        <w:rPr>
          <w:lang w:val="en-CA"/>
        </w:rPr>
        <w:t xml:space="preserve"> </w:t>
      </w:r>
      <w:r w:rsidR="00672DDA" w:rsidRPr="000A3539">
        <w:rPr>
          <w:lang w:val="en-CA"/>
        </w:rPr>
        <w:t>to pay them $</w:t>
      </w:r>
      <w:r w:rsidR="00D76132" w:rsidRPr="000A3539">
        <w:rPr>
          <w:lang w:val="en-CA"/>
        </w:rPr>
        <w:t>2</w:t>
      </w:r>
      <w:r w:rsidR="00672DDA" w:rsidRPr="000A3539">
        <w:rPr>
          <w:lang w:val="en-CA"/>
        </w:rPr>
        <w:t>,</w:t>
      </w:r>
      <w:r w:rsidR="00D76132" w:rsidRPr="000A3539">
        <w:rPr>
          <w:lang w:val="en-CA"/>
        </w:rPr>
        <w:t>000 </w:t>
      </w:r>
      <w:r w:rsidR="00672DDA" w:rsidRPr="000A3539">
        <w:rPr>
          <w:lang w:val="en-CA"/>
        </w:rPr>
        <w:t>in moral damages, a</w:t>
      </w:r>
      <w:r w:rsidR="00663262" w:rsidRPr="000A3539">
        <w:rPr>
          <w:lang w:val="en-CA"/>
        </w:rPr>
        <w:t xml:space="preserve">s well as interest and the </w:t>
      </w:r>
      <w:r w:rsidR="00D76132" w:rsidRPr="000A3539">
        <w:rPr>
          <w:lang w:val="en-CA"/>
        </w:rPr>
        <w:t>additional</w:t>
      </w:r>
      <w:r w:rsidR="00663262" w:rsidRPr="000A3539">
        <w:rPr>
          <w:lang w:val="en-CA"/>
        </w:rPr>
        <w:t xml:space="preserve"> </w:t>
      </w:r>
      <w:r w:rsidR="00D76132" w:rsidRPr="000A3539">
        <w:rPr>
          <w:lang w:val="en-CA"/>
        </w:rPr>
        <w:t>indemnity.</w:t>
      </w:r>
    </w:p>
    <w:p w14:paraId="30093F16" w14:textId="02B83AAC" w:rsidR="00352837" w:rsidRPr="000A3539" w:rsidRDefault="00195C2C" w:rsidP="00352837">
      <w:pPr>
        <w:pStyle w:val="Paragraphe"/>
        <w:rPr>
          <w:lang w:val="en-CA"/>
        </w:rPr>
      </w:pPr>
      <w:r w:rsidRPr="000A3539">
        <w:rPr>
          <w:lang w:val="en-CA"/>
        </w:rPr>
        <w:t xml:space="preserve">The Commission’s </w:t>
      </w:r>
      <w:r w:rsidR="00D76132" w:rsidRPr="000A3539">
        <w:rPr>
          <w:lang w:val="en-CA"/>
        </w:rPr>
        <w:t>originating</w:t>
      </w:r>
      <w:r w:rsidRPr="000A3539">
        <w:rPr>
          <w:lang w:val="en-CA"/>
        </w:rPr>
        <w:t xml:space="preserve"> </w:t>
      </w:r>
      <w:r w:rsidR="00D76132" w:rsidRPr="000A3539">
        <w:rPr>
          <w:lang w:val="en-CA"/>
        </w:rPr>
        <w:t>application</w:t>
      </w:r>
      <w:r w:rsidR="0048686D">
        <w:rPr>
          <w:lang w:val="en-CA"/>
        </w:rPr>
        <w:t xml:space="preserve"> describes</w:t>
      </w:r>
      <w:r w:rsidRPr="000A3539">
        <w:rPr>
          <w:lang w:val="en-CA"/>
        </w:rPr>
        <w:t xml:space="preserve"> the </w:t>
      </w:r>
      <w:r w:rsidR="00D76132" w:rsidRPr="000A3539">
        <w:rPr>
          <w:lang w:val="en-CA"/>
        </w:rPr>
        <w:t xml:space="preserve">nature </w:t>
      </w:r>
      <w:r w:rsidRPr="000A3539">
        <w:rPr>
          <w:lang w:val="en-CA"/>
        </w:rPr>
        <w:t xml:space="preserve">of the </w:t>
      </w:r>
      <w:r w:rsidR="0007668E" w:rsidRPr="000A3539">
        <w:rPr>
          <w:lang w:val="en-CA"/>
        </w:rPr>
        <w:t>infringement</w:t>
      </w:r>
      <w:r w:rsidRPr="000A3539">
        <w:rPr>
          <w:lang w:val="en-CA"/>
        </w:rPr>
        <w:t xml:space="preserve"> suffered by the </w:t>
      </w:r>
      <w:r w:rsidR="00D76132" w:rsidRPr="000A3539">
        <w:rPr>
          <w:lang w:val="en-CA"/>
        </w:rPr>
        <w:t>victims</w:t>
      </w:r>
      <w:r w:rsidRPr="000A3539">
        <w:rPr>
          <w:lang w:val="en-CA"/>
        </w:rPr>
        <w:t xml:space="preserve"> as follows</w:t>
      </w:r>
      <w:r w:rsidR="00D76132" w:rsidRPr="000A3539">
        <w:rPr>
          <w:lang w:val="en-CA"/>
        </w:rPr>
        <w:t>:</w:t>
      </w:r>
    </w:p>
    <w:p w14:paraId="1726AAD4" w14:textId="5704C995" w:rsidR="00195C2C" w:rsidRPr="000A3539" w:rsidRDefault="00195C2C" w:rsidP="00352837">
      <w:pPr>
        <w:pStyle w:val="Citationenretrait"/>
        <w:rPr>
          <w:szCs w:val="22"/>
          <w:lang w:val="en-CA" w:eastAsia="fr-CA"/>
        </w:rPr>
      </w:pPr>
      <w:r w:rsidRPr="000A3539">
        <w:rPr>
          <w:szCs w:val="22"/>
          <w:lang w:val="en-CA" w:eastAsia="fr-CA"/>
        </w:rPr>
        <w:t>[</w:t>
      </w:r>
      <w:r w:rsidR="000F2DA5" w:rsidRPr="000A3539">
        <w:rPr>
          <w:smallCaps/>
          <w:szCs w:val="22"/>
          <w:lang w:val="en-CA" w:eastAsia="fr-CA"/>
        </w:rPr>
        <w:t>translation</w:t>
      </w:r>
      <w:r w:rsidR="000F2DA5" w:rsidRPr="000A3539">
        <w:rPr>
          <w:szCs w:val="22"/>
          <w:lang w:val="en-CA" w:eastAsia="fr-CA"/>
        </w:rPr>
        <w:t>]</w:t>
      </w:r>
    </w:p>
    <w:p w14:paraId="6DC5E95C" w14:textId="6F496419" w:rsidR="00352837" w:rsidRPr="000A3539" w:rsidRDefault="00D76132" w:rsidP="00352837">
      <w:pPr>
        <w:pStyle w:val="Citationenretrait"/>
        <w:rPr>
          <w:rFonts w:ascii="Times New Roman" w:hAnsi="Times New Roman"/>
          <w:lang w:val="en-CA" w:eastAsia="fr-CA"/>
        </w:rPr>
      </w:pPr>
      <w:r w:rsidRPr="000A3539">
        <w:rPr>
          <w:szCs w:val="22"/>
          <w:lang w:val="en-CA" w:eastAsia="fr-CA"/>
        </w:rPr>
        <w:t>1.  </w:t>
      </w:r>
      <w:r w:rsidR="000F2DA5" w:rsidRPr="000A3539">
        <w:rPr>
          <w:szCs w:val="22"/>
          <w:lang w:val="en-CA" w:eastAsia="fr-CA"/>
        </w:rPr>
        <w:t xml:space="preserve">In </w:t>
      </w:r>
      <w:proofErr w:type="spellStart"/>
      <w:r w:rsidRPr="000A3539">
        <w:rPr>
          <w:rFonts w:cs="Arial"/>
          <w:szCs w:val="22"/>
          <w:lang w:val="en-CA" w:eastAsia="fr-CA"/>
        </w:rPr>
        <w:t>Bécancour</w:t>
      </w:r>
      <w:proofErr w:type="spellEnd"/>
      <w:r w:rsidRPr="000A3539">
        <w:rPr>
          <w:rFonts w:cs="Arial"/>
          <w:szCs w:val="22"/>
          <w:lang w:val="en-CA" w:eastAsia="fr-CA"/>
        </w:rPr>
        <w:t xml:space="preserve">, </w:t>
      </w:r>
      <w:r w:rsidR="000F2DA5" w:rsidRPr="000A3539">
        <w:rPr>
          <w:rFonts w:cs="Arial"/>
          <w:szCs w:val="22"/>
          <w:lang w:val="en-CA" w:eastAsia="fr-CA"/>
        </w:rPr>
        <w:t>since the summer of</w:t>
      </w:r>
      <w:r w:rsidRPr="000A3539">
        <w:rPr>
          <w:rFonts w:cs="Arial"/>
          <w:szCs w:val="22"/>
          <w:lang w:val="en-CA" w:eastAsia="fr-CA"/>
        </w:rPr>
        <w:t xml:space="preserve"> 2007, </w:t>
      </w:r>
      <w:r w:rsidR="000F2DA5" w:rsidRPr="000A3539">
        <w:rPr>
          <w:rFonts w:cs="Arial"/>
          <w:szCs w:val="22"/>
          <w:lang w:val="en-CA" w:eastAsia="fr-CA"/>
        </w:rPr>
        <w:t xml:space="preserve">the </w:t>
      </w:r>
      <w:r w:rsidRPr="000A3539">
        <w:rPr>
          <w:rFonts w:cs="Arial"/>
          <w:szCs w:val="22"/>
          <w:lang w:val="en-CA" w:eastAsia="fr-CA"/>
        </w:rPr>
        <w:t>defendant,</w:t>
      </w:r>
      <w:r w:rsidR="0007668E" w:rsidRPr="000A3539">
        <w:rPr>
          <w:rFonts w:cs="Arial"/>
          <w:szCs w:val="22"/>
          <w:lang w:val="en-CA" w:eastAsia="fr-CA"/>
        </w:rPr>
        <w:t xml:space="preserve"> </w:t>
      </w:r>
      <w:proofErr w:type="spellStart"/>
      <w:r w:rsidR="0007668E" w:rsidRPr="000A3539">
        <w:rPr>
          <w:rFonts w:cs="Arial"/>
          <w:szCs w:val="22"/>
          <w:lang w:val="en-CA" w:eastAsia="fr-CA"/>
        </w:rPr>
        <w:t>Aluminerie</w:t>
      </w:r>
      <w:proofErr w:type="spellEnd"/>
      <w:r w:rsidR="0007668E" w:rsidRPr="000A3539">
        <w:rPr>
          <w:rFonts w:cs="Arial"/>
          <w:szCs w:val="22"/>
          <w:lang w:val="en-CA" w:eastAsia="fr-CA"/>
        </w:rPr>
        <w:t xml:space="preserve"> de </w:t>
      </w:r>
      <w:proofErr w:type="spellStart"/>
      <w:r w:rsidR="0007668E" w:rsidRPr="000A3539">
        <w:rPr>
          <w:rFonts w:cs="Arial"/>
          <w:szCs w:val="22"/>
          <w:lang w:val="en-CA" w:eastAsia="fr-CA"/>
        </w:rPr>
        <w:t>Bécancour</w:t>
      </w:r>
      <w:proofErr w:type="spellEnd"/>
      <w:r w:rsidR="0007668E" w:rsidRPr="000A3539">
        <w:rPr>
          <w:rFonts w:cs="Arial"/>
          <w:szCs w:val="22"/>
          <w:lang w:val="en-CA" w:eastAsia="fr-CA"/>
        </w:rPr>
        <w:t xml:space="preserve"> Inc., </w:t>
      </w:r>
      <w:r w:rsidR="0036378D">
        <w:rPr>
          <w:rFonts w:cs="Arial"/>
          <w:szCs w:val="22"/>
          <w:lang w:val="en-CA" w:eastAsia="fr-CA"/>
        </w:rPr>
        <w:t xml:space="preserve">has </w:t>
      </w:r>
      <w:r w:rsidR="0007668E" w:rsidRPr="000A3539">
        <w:rPr>
          <w:rFonts w:cs="Arial"/>
          <w:szCs w:val="22"/>
          <w:lang w:val="en-CA" w:eastAsia="fr-CA"/>
        </w:rPr>
        <w:t xml:space="preserve">infringed </w:t>
      </w:r>
      <w:r w:rsidR="00C85C6D">
        <w:rPr>
          <w:rFonts w:cs="Arial"/>
          <w:szCs w:val="22"/>
          <w:lang w:val="en-CA" w:eastAsia="fr-CA"/>
        </w:rPr>
        <w:t xml:space="preserve">the right to </w:t>
      </w:r>
      <w:r w:rsidR="0007668E" w:rsidRPr="000A3539">
        <w:rPr>
          <w:rFonts w:cs="Arial"/>
          <w:color w:val="000000"/>
          <w:lang w:val="en-CA"/>
        </w:rPr>
        <w:t>full and equal recognition of the rights and freedoms</w:t>
      </w:r>
      <w:r w:rsidR="0007668E" w:rsidRPr="000A3539">
        <w:rPr>
          <w:rFonts w:cs="Arial"/>
          <w:szCs w:val="22"/>
          <w:lang w:val="en-CA" w:eastAsia="fr-CA"/>
        </w:rPr>
        <w:t xml:space="preserve"> of the </w:t>
      </w:r>
      <w:r w:rsidRPr="000A3539">
        <w:rPr>
          <w:rFonts w:cs="Arial"/>
          <w:szCs w:val="22"/>
          <w:lang w:val="en-CA" w:eastAsia="fr-CA"/>
        </w:rPr>
        <w:t>160 victims</w:t>
      </w:r>
      <w:r w:rsidR="00C85C6D">
        <w:rPr>
          <w:rFonts w:cs="Arial"/>
          <w:szCs w:val="22"/>
          <w:lang w:val="en-CA" w:eastAsia="fr-CA"/>
        </w:rPr>
        <w:t>,</w:t>
      </w:r>
      <w:r w:rsidRPr="000A3539">
        <w:rPr>
          <w:lang w:val="en-CA" w:eastAsia="fr-CA"/>
        </w:rPr>
        <w:t xml:space="preserve"> </w:t>
      </w:r>
      <w:r w:rsidR="0007668E" w:rsidRPr="000A3539">
        <w:rPr>
          <w:rFonts w:cs="Arial"/>
          <w:color w:val="000000"/>
          <w:lang w:val="en-CA"/>
        </w:rPr>
        <w:t xml:space="preserve">without distinction or exclusion based on their social condition </w:t>
      </w:r>
      <w:r w:rsidR="00C85C6D">
        <w:rPr>
          <w:rFonts w:cs="Arial"/>
          <w:color w:val="000000"/>
          <w:lang w:val="en-CA"/>
        </w:rPr>
        <w:t>and/</w:t>
      </w:r>
      <w:r w:rsidR="0007668E" w:rsidRPr="000A3539">
        <w:rPr>
          <w:rFonts w:cs="Arial"/>
          <w:color w:val="000000"/>
          <w:lang w:val="en-CA"/>
        </w:rPr>
        <w:t>or age</w:t>
      </w:r>
      <w:r w:rsidR="00C85C6D">
        <w:rPr>
          <w:rFonts w:cs="Arial"/>
          <w:color w:val="000000"/>
          <w:lang w:val="en-CA"/>
        </w:rPr>
        <w:t>,</w:t>
      </w:r>
      <w:r w:rsidR="0007668E" w:rsidRPr="000A3539">
        <w:rPr>
          <w:lang w:val="en-CA" w:eastAsia="fr-CA"/>
        </w:rPr>
        <w:t xml:space="preserve"> </w:t>
      </w:r>
      <w:r w:rsidR="00D229DA" w:rsidRPr="000A3539">
        <w:rPr>
          <w:lang w:val="en-CA" w:eastAsia="fr-CA"/>
        </w:rPr>
        <w:t xml:space="preserve">by paying them a lower wage than that paid to other employees </w:t>
      </w:r>
      <w:r w:rsidR="00D229DA" w:rsidRPr="000A3539">
        <w:rPr>
          <w:rFonts w:cs="Arial"/>
          <w:color w:val="000000"/>
          <w:szCs w:val="22"/>
          <w:lang w:val="en-CA"/>
        </w:rPr>
        <w:t>based on their student status</w:t>
      </w:r>
      <w:r w:rsidRPr="000A3539">
        <w:rPr>
          <w:lang w:val="en-CA" w:eastAsia="fr-CA"/>
        </w:rPr>
        <w:t xml:space="preserve">, </w:t>
      </w:r>
      <w:r w:rsidR="0036378D">
        <w:rPr>
          <w:rFonts w:cs="Arial"/>
          <w:color w:val="000000"/>
          <w:lang w:val="en-CA"/>
        </w:rPr>
        <w:t>thereby violating</w:t>
      </w:r>
      <w:r w:rsidR="0007668E" w:rsidRPr="000A3539">
        <w:rPr>
          <w:rFonts w:cs="Arial"/>
          <w:color w:val="000000"/>
          <w:lang w:val="en-CA"/>
        </w:rPr>
        <w:t> </w:t>
      </w:r>
      <w:r w:rsidR="0007668E" w:rsidRPr="000A3539">
        <w:rPr>
          <w:rStyle w:val="reflex2-link"/>
          <w:rFonts w:cs="Arial"/>
          <w:color w:val="000000"/>
          <w:lang w:val="en-CA"/>
        </w:rPr>
        <w:t>sections </w:t>
      </w:r>
      <w:r w:rsidRPr="000A3539">
        <w:rPr>
          <w:lang w:val="en-CA" w:eastAsia="fr-CA"/>
        </w:rPr>
        <w:t> 10, 19</w:t>
      </w:r>
      <w:r w:rsidR="0007668E" w:rsidRPr="000A3539">
        <w:rPr>
          <w:lang w:val="en-CA" w:eastAsia="fr-CA"/>
        </w:rPr>
        <w:t>, and</w:t>
      </w:r>
      <w:r w:rsidRPr="000A3539">
        <w:rPr>
          <w:lang w:val="en-CA" w:eastAsia="fr-CA"/>
        </w:rPr>
        <w:t xml:space="preserve"> 46 </w:t>
      </w:r>
      <w:r w:rsidR="0007668E" w:rsidRPr="000A3539">
        <w:rPr>
          <w:lang w:val="en-CA" w:eastAsia="fr-CA"/>
        </w:rPr>
        <w:t xml:space="preserve">of the </w:t>
      </w:r>
      <w:r w:rsidRPr="000A3539">
        <w:rPr>
          <w:i/>
          <w:iCs/>
          <w:lang w:val="en-CA" w:eastAsia="fr-CA"/>
        </w:rPr>
        <w:t>Charter</w:t>
      </w:r>
      <w:r w:rsidR="0007668E" w:rsidRPr="000A3539">
        <w:rPr>
          <w:i/>
          <w:iCs/>
          <w:lang w:val="en-CA" w:eastAsia="fr-CA"/>
        </w:rPr>
        <w:t xml:space="preserve"> </w:t>
      </w:r>
      <w:r w:rsidRPr="000A3539">
        <w:rPr>
          <w:i/>
          <w:iCs/>
          <w:lang w:val="en-CA" w:eastAsia="fr-CA"/>
        </w:rPr>
        <w:t>of</w:t>
      </w:r>
      <w:r w:rsidR="0007668E" w:rsidRPr="000A3539">
        <w:rPr>
          <w:i/>
          <w:iCs/>
          <w:lang w:val="en-CA" w:eastAsia="fr-CA"/>
        </w:rPr>
        <w:t xml:space="preserve"> </w:t>
      </w:r>
      <w:r w:rsidR="00C85C6D">
        <w:rPr>
          <w:i/>
          <w:iCs/>
          <w:lang w:val="en-CA" w:eastAsia="fr-CA"/>
        </w:rPr>
        <w:t>H</w:t>
      </w:r>
      <w:r w:rsidRPr="000A3539">
        <w:rPr>
          <w:i/>
          <w:iCs/>
          <w:lang w:val="en-CA" w:eastAsia="fr-CA"/>
        </w:rPr>
        <w:t>uman</w:t>
      </w:r>
      <w:r w:rsidR="0007668E" w:rsidRPr="000A3539">
        <w:rPr>
          <w:i/>
          <w:iCs/>
          <w:lang w:val="en-CA" w:eastAsia="fr-CA"/>
        </w:rPr>
        <w:t xml:space="preserve"> </w:t>
      </w:r>
      <w:r w:rsidR="00C85C6D">
        <w:rPr>
          <w:i/>
          <w:iCs/>
          <w:lang w:val="en-CA" w:eastAsia="fr-CA"/>
        </w:rPr>
        <w:t>R</w:t>
      </w:r>
      <w:r w:rsidRPr="000A3539">
        <w:rPr>
          <w:i/>
          <w:iCs/>
          <w:lang w:val="en-CA" w:eastAsia="fr-CA"/>
        </w:rPr>
        <w:t>ights</w:t>
      </w:r>
      <w:r w:rsidR="0007668E" w:rsidRPr="000A3539">
        <w:rPr>
          <w:i/>
          <w:iCs/>
          <w:lang w:val="en-CA" w:eastAsia="fr-CA"/>
        </w:rPr>
        <w:t xml:space="preserve"> </w:t>
      </w:r>
      <w:r w:rsidRPr="000A3539">
        <w:rPr>
          <w:i/>
          <w:iCs/>
          <w:lang w:val="en-CA" w:eastAsia="fr-CA"/>
        </w:rPr>
        <w:t>and</w:t>
      </w:r>
      <w:r w:rsidR="0007668E" w:rsidRPr="000A3539">
        <w:rPr>
          <w:i/>
          <w:iCs/>
          <w:lang w:val="en-CA" w:eastAsia="fr-CA"/>
        </w:rPr>
        <w:t xml:space="preserve"> </w:t>
      </w:r>
      <w:r w:rsidR="00C85C6D">
        <w:rPr>
          <w:i/>
          <w:iCs/>
          <w:lang w:val="en-CA" w:eastAsia="fr-CA"/>
        </w:rPr>
        <w:t>F</w:t>
      </w:r>
      <w:r w:rsidRPr="000A3539">
        <w:rPr>
          <w:i/>
          <w:iCs/>
          <w:lang w:val="en-CA" w:eastAsia="fr-CA"/>
        </w:rPr>
        <w:t xml:space="preserve">reedoms </w:t>
      </w:r>
      <w:r w:rsidRPr="000A3539">
        <w:rPr>
          <w:lang w:val="en-CA" w:eastAsia="fr-CA"/>
        </w:rPr>
        <w:t>(CQLR, c. C-12) (hereinafter</w:t>
      </w:r>
      <w:r w:rsidR="0007668E" w:rsidRPr="000A3539">
        <w:rPr>
          <w:lang w:val="en-CA" w:eastAsia="fr-CA"/>
        </w:rPr>
        <w:t xml:space="preserve"> the “</w:t>
      </w:r>
      <w:r w:rsidRPr="000A3539">
        <w:rPr>
          <w:i/>
          <w:iCs/>
          <w:lang w:val="en-CA" w:eastAsia="fr-CA"/>
        </w:rPr>
        <w:t>Charter</w:t>
      </w:r>
      <w:r w:rsidR="0007668E" w:rsidRPr="000A3539">
        <w:rPr>
          <w:iCs/>
          <w:lang w:val="en-CA" w:eastAsia="fr-CA"/>
        </w:rPr>
        <w:t>”</w:t>
      </w:r>
      <w:r w:rsidRPr="000A3539">
        <w:rPr>
          <w:rFonts w:ascii="Times New Roman" w:hAnsi="Times New Roman"/>
          <w:lang w:val="en-CA" w:eastAsia="fr-CA"/>
        </w:rPr>
        <w:t>);</w:t>
      </w:r>
    </w:p>
    <w:p w14:paraId="5C965B5E" w14:textId="222B480E" w:rsidR="00352837" w:rsidRPr="000A3539" w:rsidRDefault="00D76132" w:rsidP="00352837">
      <w:pPr>
        <w:pStyle w:val="Citationenretrait"/>
        <w:rPr>
          <w:i/>
          <w:iCs/>
          <w:lang w:val="en-CA" w:eastAsia="fr-CA"/>
        </w:rPr>
      </w:pPr>
      <w:r w:rsidRPr="000A3539">
        <w:rPr>
          <w:lang w:val="en-CA" w:eastAsia="fr-CA"/>
        </w:rPr>
        <w:t>2.  </w:t>
      </w:r>
      <w:r w:rsidR="00306C99" w:rsidRPr="000A3539">
        <w:rPr>
          <w:lang w:val="en-CA" w:eastAsia="fr-CA"/>
        </w:rPr>
        <w:t xml:space="preserve">In the same </w:t>
      </w:r>
      <w:r w:rsidRPr="000A3539">
        <w:rPr>
          <w:lang w:val="en-CA" w:eastAsia="fr-CA"/>
        </w:rPr>
        <w:t>circumstances,</w:t>
      </w:r>
      <w:r w:rsidR="00306C99" w:rsidRPr="000A3539">
        <w:rPr>
          <w:lang w:val="en-CA" w:eastAsia="fr-CA"/>
        </w:rPr>
        <w:t xml:space="preserve"> the d</w:t>
      </w:r>
      <w:r w:rsidRPr="000A3539">
        <w:rPr>
          <w:lang w:val="en-CA" w:eastAsia="fr-CA"/>
        </w:rPr>
        <w:t xml:space="preserve">efendant </w:t>
      </w:r>
      <w:r w:rsidR="00306C99" w:rsidRPr="000A3539">
        <w:rPr>
          <w:lang w:val="en-CA" w:eastAsia="fr-CA"/>
        </w:rPr>
        <w:t>also infringed the victims</w:t>
      </w:r>
      <w:r w:rsidR="0036378D">
        <w:rPr>
          <w:lang w:val="en-CA" w:eastAsia="fr-CA"/>
        </w:rPr>
        <w:t>’</w:t>
      </w:r>
      <w:r w:rsidR="00306C99" w:rsidRPr="000A3539">
        <w:rPr>
          <w:lang w:val="en-CA" w:eastAsia="fr-CA"/>
        </w:rPr>
        <w:t xml:space="preserve"> right to dignity in a discriminatory manner, in breach of </w:t>
      </w:r>
      <w:r w:rsidRPr="000A3539">
        <w:rPr>
          <w:lang w:val="en-CA" w:eastAsia="fr-CA"/>
        </w:rPr>
        <w:t xml:space="preserve">sections 4 </w:t>
      </w:r>
      <w:r w:rsidR="00306C99" w:rsidRPr="000A3539">
        <w:rPr>
          <w:lang w:val="en-CA" w:eastAsia="fr-CA"/>
        </w:rPr>
        <w:t xml:space="preserve">and </w:t>
      </w:r>
      <w:r w:rsidRPr="000A3539">
        <w:rPr>
          <w:lang w:val="en-CA" w:eastAsia="fr-CA"/>
        </w:rPr>
        <w:t xml:space="preserve">10 </w:t>
      </w:r>
      <w:r w:rsidR="00306C99" w:rsidRPr="000A3539">
        <w:rPr>
          <w:lang w:val="en-CA" w:eastAsia="fr-CA"/>
        </w:rPr>
        <w:t xml:space="preserve">of the </w:t>
      </w:r>
      <w:r w:rsidRPr="000A3539">
        <w:rPr>
          <w:i/>
          <w:iCs/>
          <w:lang w:val="en-CA" w:eastAsia="fr-CA"/>
        </w:rPr>
        <w:t>Charter</w:t>
      </w:r>
      <w:r w:rsidRPr="000A3539">
        <w:rPr>
          <w:iCs/>
          <w:lang w:val="en-CA" w:eastAsia="fr-CA"/>
        </w:rPr>
        <w:t>;</w:t>
      </w:r>
    </w:p>
    <w:p w14:paraId="0F3C0330" w14:textId="0C2F5C8B" w:rsidR="00352837" w:rsidRPr="000A3539" w:rsidRDefault="00306C99" w:rsidP="00352837">
      <w:pPr>
        <w:pStyle w:val="Paragraphe"/>
        <w:rPr>
          <w:lang w:val="en-CA" w:eastAsia="fr-CA"/>
        </w:rPr>
      </w:pPr>
      <w:r w:rsidRPr="000A3539">
        <w:rPr>
          <w:lang w:val="en-CA" w:eastAsia="fr-CA"/>
        </w:rPr>
        <w:t xml:space="preserve">The </w:t>
      </w:r>
      <w:r w:rsidR="00D76132" w:rsidRPr="000A3539">
        <w:rPr>
          <w:lang w:val="en-CA" w:eastAsia="fr-CA"/>
        </w:rPr>
        <w:t>Tribunal</w:t>
      </w:r>
      <w:r w:rsidRPr="000A3539">
        <w:rPr>
          <w:lang w:val="en-CA" w:eastAsia="fr-CA"/>
        </w:rPr>
        <w:t xml:space="preserve"> held hearings over </w:t>
      </w:r>
      <w:r w:rsidR="00D76132" w:rsidRPr="000A3539">
        <w:rPr>
          <w:lang w:val="en-CA" w:eastAsia="fr-CA"/>
        </w:rPr>
        <w:t>16 </w:t>
      </w:r>
      <w:r w:rsidRPr="000A3539">
        <w:rPr>
          <w:lang w:val="en-CA" w:eastAsia="fr-CA"/>
        </w:rPr>
        <w:t xml:space="preserve">days, further to which it concluded that there was a </w:t>
      </w:r>
      <w:r w:rsidR="00D76132" w:rsidRPr="000A3539">
        <w:rPr>
          <w:lang w:val="en-CA" w:eastAsia="fr-CA"/>
        </w:rPr>
        <w:t xml:space="preserve">distinction </w:t>
      </w:r>
      <w:r w:rsidRPr="000A3539">
        <w:rPr>
          <w:lang w:val="en-CA" w:eastAsia="fr-CA"/>
        </w:rPr>
        <w:t xml:space="preserve">based on prohibited </w:t>
      </w:r>
      <w:r w:rsidR="00D76132" w:rsidRPr="000A3539">
        <w:rPr>
          <w:lang w:val="en-CA" w:eastAsia="fr-CA"/>
        </w:rPr>
        <w:t xml:space="preserve">grounds – </w:t>
      </w:r>
      <w:r w:rsidRPr="000A3539">
        <w:rPr>
          <w:lang w:val="en-CA" w:eastAsia="fr-CA"/>
        </w:rPr>
        <w:t xml:space="preserve">social </w:t>
      </w:r>
      <w:r w:rsidR="00D76132" w:rsidRPr="000A3539">
        <w:rPr>
          <w:lang w:val="en-CA" w:eastAsia="fr-CA"/>
        </w:rPr>
        <w:t xml:space="preserve">condition </w:t>
      </w:r>
      <w:r w:rsidRPr="000A3539">
        <w:rPr>
          <w:lang w:val="en-CA" w:eastAsia="fr-CA"/>
        </w:rPr>
        <w:t>and a</w:t>
      </w:r>
      <w:r w:rsidR="00D76132" w:rsidRPr="000A3539">
        <w:rPr>
          <w:lang w:val="en-CA" w:eastAsia="fr-CA"/>
        </w:rPr>
        <w:t xml:space="preserve">ge – </w:t>
      </w:r>
      <w:r w:rsidRPr="000A3539">
        <w:rPr>
          <w:lang w:val="en-CA" w:eastAsia="fr-CA"/>
        </w:rPr>
        <w:t>w</w:t>
      </w:r>
      <w:r w:rsidR="00A33985" w:rsidRPr="000A3539">
        <w:rPr>
          <w:lang w:val="en-CA" w:eastAsia="fr-CA"/>
        </w:rPr>
        <w:t xml:space="preserve">hich </w:t>
      </w:r>
      <w:r w:rsidR="00982CFA" w:rsidRPr="000A3539">
        <w:rPr>
          <w:lang w:val="en-CA" w:eastAsia="fr-CA"/>
        </w:rPr>
        <w:t>impaired</w:t>
      </w:r>
      <w:r w:rsidR="00A33985" w:rsidRPr="000A3539">
        <w:rPr>
          <w:lang w:val="en-CA" w:eastAsia="fr-CA"/>
        </w:rPr>
        <w:t xml:space="preserve"> the victims’ right to equal wages for equivalent work</w:t>
      </w:r>
      <w:r w:rsidR="00D76132" w:rsidRPr="000A3539">
        <w:rPr>
          <w:lang w:val="en-CA" w:eastAsia="fr-CA"/>
        </w:rPr>
        <w:t>.</w:t>
      </w:r>
      <w:r w:rsidR="00A33985" w:rsidRPr="000A3539">
        <w:rPr>
          <w:lang w:val="en-CA" w:eastAsia="fr-CA"/>
        </w:rPr>
        <w:t xml:space="preserve"> It dismissed the appellant’s arguments</w:t>
      </w:r>
      <w:r w:rsidR="00D76132" w:rsidRPr="000A3539">
        <w:rPr>
          <w:lang w:val="en-CA" w:eastAsia="fr-CA"/>
        </w:rPr>
        <w:t xml:space="preserve"> (</w:t>
      </w:r>
      <w:proofErr w:type="spellStart"/>
      <w:r w:rsidR="00D76132" w:rsidRPr="000A3539">
        <w:rPr>
          <w:lang w:val="en-CA" w:eastAsia="fr-CA"/>
        </w:rPr>
        <w:t>i</w:t>
      </w:r>
      <w:proofErr w:type="spellEnd"/>
      <w:r w:rsidR="00D76132" w:rsidRPr="000A3539">
        <w:rPr>
          <w:lang w:val="en-CA" w:eastAsia="fr-CA"/>
        </w:rPr>
        <w:t xml:space="preserve">) </w:t>
      </w:r>
      <w:r w:rsidR="00A33985" w:rsidRPr="000A3539">
        <w:rPr>
          <w:lang w:val="en-CA" w:eastAsia="fr-CA"/>
        </w:rPr>
        <w:t>that the student employees did not perform equivalent work to that of regular and casual employees</w:t>
      </w:r>
      <w:r w:rsidR="00D76132" w:rsidRPr="000A3539">
        <w:rPr>
          <w:lang w:val="en-CA" w:eastAsia="fr-CA"/>
        </w:rPr>
        <w:t xml:space="preserve">; (ii) </w:t>
      </w:r>
      <w:r w:rsidR="00A33985" w:rsidRPr="000A3539">
        <w:rPr>
          <w:lang w:val="en-CA" w:eastAsia="fr-CA"/>
        </w:rPr>
        <w:t xml:space="preserve">that the different wages were </w:t>
      </w:r>
      <w:r w:rsidR="006851D6" w:rsidRPr="000A3539">
        <w:rPr>
          <w:lang w:val="en-CA" w:eastAsia="fr-CA"/>
        </w:rPr>
        <w:t xml:space="preserve">based on </w:t>
      </w:r>
      <w:r w:rsidR="006851D6" w:rsidRPr="000A3539">
        <w:rPr>
          <w:rFonts w:cs="Arial"/>
          <w:color w:val="000000"/>
          <w:lang w:val="en-CA"/>
        </w:rPr>
        <w:t>“years of service”, which it likened to a “</w:t>
      </w:r>
      <w:r w:rsidR="00D76132" w:rsidRPr="000A3539">
        <w:rPr>
          <w:lang w:val="en-CA" w:eastAsia="fr-CA"/>
        </w:rPr>
        <w:t>fixed-term</w:t>
      </w:r>
      <w:r w:rsidR="006851D6" w:rsidRPr="000A3539">
        <w:rPr>
          <w:lang w:val="en-CA" w:eastAsia="fr-CA"/>
        </w:rPr>
        <w:t xml:space="preserve"> </w:t>
      </w:r>
      <w:r w:rsidR="00D76132" w:rsidRPr="000A3539">
        <w:rPr>
          <w:lang w:val="en-CA" w:eastAsia="fr-CA"/>
        </w:rPr>
        <w:t>contract</w:t>
      </w:r>
      <w:r w:rsidR="006851D6" w:rsidRPr="000A3539">
        <w:rPr>
          <w:lang w:val="en-CA" w:eastAsia="fr-CA"/>
        </w:rPr>
        <w:t>”</w:t>
      </w:r>
      <w:r w:rsidR="00D76132" w:rsidRPr="000A3539">
        <w:rPr>
          <w:lang w:val="en-CA" w:eastAsia="fr-CA"/>
        </w:rPr>
        <w:t xml:space="preserve">; </w:t>
      </w:r>
      <w:r w:rsidR="006851D6" w:rsidRPr="000A3539">
        <w:rPr>
          <w:lang w:val="en-CA" w:eastAsia="fr-CA"/>
        </w:rPr>
        <w:t>and</w:t>
      </w:r>
      <w:r w:rsidR="00D76132" w:rsidRPr="000A3539">
        <w:rPr>
          <w:lang w:val="en-CA" w:eastAsia="fr-CA"/>
        </w:rPr>
        <w:t xml:space="preserve"> (iii) </w:t>
      </w:r>
      <w:r w:rsidR="006851D6" w:rsidRPr="000A3539">
        <w:rPr>
          <w:lang w:val="en-CA" w:eastAsia="fr-CA"/>
        </w:rPr>
        <w:t xml:space="preserve">that the </w:t>
      </w:r>
      <w:r w:rsidR="00D76132" w:rsidRPr="000A3539">
        <w:rPr>
          <w:lang w:val="en-CA" w:eastAsia="fr-CA"/>
        </w:rPr>
        <w:t xml:space="preserve">distinction </w:t>
      </w:r>
      <w:r w:rsidR="006851D6" w:rsidRPr="000A3539">
        <w:rPr>
          <w:lang w:val="en-CA" w:eastAsia="fr-CA"/>
        </w:rPr>
        <w:t>was not based on on</w:t>
      </w:r>
      <w:r w:rsidR="00EE75CE" w:rsidRPr="000A3539">
        <w:rPr>
          <w:lang w:val="en-CA" w:eastAsia="fr-CA"/>
        </w:rPr>
        <w:t>e</w:t>
      </w:r>
      <w:r w:rsidR="006851D6" w:rsidRPr="000A3539">
        <w:rPr>
          <w:lang w:val="en-CA" w:eastAsia="fr-CA"/>
        </w:rPr>
        <w:t xml:space="preserve"> o</w:t>
      </w:r>
      <w:r w:rsidR="00EE75CE" w:rsidRPr="000A3539">
        <w:rPr>
          <w:lang w:val="en-CA" w:eastAsia="fr-CA"/>
        </w:rPr>
        <w:t>f</w:t>
      </w:r>
      <w:r w:rsidR="006851D6" w:rsidRPr="000A3539">
        <w:rPr>
          <w:lang w:val="en-CA" w:eastAsia="fr-CA"/>
        </w:rPr>
        <w:t xml:space="preserve"> the </w:t>
      </w:r>
      <w:r w:rsidR="00D76132" w:rsidRPr="000A3539">
        <w:rPr>
          <w:lang w:val="en-CA" w:eastAsia="fr-CA"/>
        </w:rPr>
        <w:t>grounds</w:t>
      </w:r>
      <w:r w:rsidR="006851D6" w:rsidRPr="000A3539">
        <w:rPr>
          <w:lang w:val="en-CA" w:eastAsia="fr-CA"/>
        </w:rPr>
        <w:t xml:space="preserve"> </w:t>
      </w:r>
      <w:r w:rsidR="00D76132" w:rsidRPr="000A3539">
        <w:rPr>
          <w:lang w:val="en-CA" w:eastAsia="fr-CA"/>
        </w:rPr>
        <w:t>of</w:t>
      </w:r>
      <w:r w:rsidR="006851D6" w:rsidRPr="000A3539">
        <w:rPr>
          <w:lang w:val="en-CA" w:eastAsia="fr-CA"/>
        </w:rPr>
        <w:t xml:space="preserve"> </w:t>
      </w:r>
      <w:r w:rsidR="00D76132" w:rsidRPr="000A3539">
        <w:rPr>
          <w:lang w:val="en-CA" w:eastAsia="fr-CA"/>
        </w:rPr>
        <w:t>discrimination</w:t>
      </w:r>
      <w:r w:rsidR="006851D6" w:rsidRPr="000A3539">
        <w:rPr>
          <w:lang w:val="en-CA" w:eastAsia="fr-CA"/>
        </w:rPr>
        <w:t xml:space="preserve"> set out in </w:t>
      </w:r>
      <w:r w:rsidR="00D76132" w:rsidRPr="000A3539">
        <w:rPr>
          <w:lang w:val="en-CA" w:eastAsia="fr-CA"/>
        </w:rPr>
        <w:t xml:space="preserve">section 10 </w:t>
      </w:r>
      <w:r w:rsidR="006851D6" w:rsidRPr="000A3539">
        <w:rPr>
          <w:lang w:val="en-CA" w:eastAsia="fr-CA"/>
        </w:rPr>
        <w:t xml:space="preserve">of the </w:t>
      </w:r>
      <w:r w:rsidR="00D76132" w:rsidRPr="000A3539">
        <w:rPr>
          <w:i/>
          <w:lang w:val="en-CA" w:eastAsia="fr-CA"/>
        </w:rPr>
        <w:t>Charter</w:t>
      </w:r>
      <w:r w:rsidR="006851D6" w:rsidRPr="000A3539">
        <w:rPr>
          <w:i/>
          <w:lang w:val="en-CA" w:eastAsia="fr-CA"/>
        </w:rPr>
        <w:t xml:space="preserve"> </w:t>
      </w:r>
      <w:r w:rsidR="00D76132" w:rsidRPr="000A3539">
        <w:rPr>
          <w:i/>
          <w:lang w:val="en-CA" w:eastAsia="fr-CA"/>
        </w:rPr>
        <w:t>of</w:t>
      </w:r>
      <w:r w:rsidR="006851D6" w:rsidRPr="000A3539">
        <w:rPr>
          <w:i/>
          <w:lang w:val="en-CA" w:eastAsia="fr-CA"/>
        </w:rPr>
        <w:t xml:space="preserve"> </w:t>
      </w:r>
      <w:r w:rsidR="005A37DD">
        <w:rPr>
          <w:i/>
          <w:lang w:val="en-CA" w:eastAsia="fr-CA"/>
        </w:rPr>
        <w:t>H</w:t>
      </w:r>
      <w:r w:rsidR="00D76132" w:rsidRPr="000A3539">
        <w:rPr>
          <w:i/>
          <w:lang w:val="en-CA" w:eastAsia="fr-CA"/>
        </w:rPr>
        <w:t>uman</w:t>
      </w:r>
      <w:r w:rsidR="006851D6" w:rsidRPr="000A3539">
        <w:rPr>
          <w:i/>
          <w:lang w:val="en-CA" w:eastAsia="fr-CA"/>
        </w:rPr>
        <w:t xml:space="preserve"> </w:t>
      </w:r>
      <w:r w:rsidR="005A37DD">
        <w:rPr>
          <w:i/>
          <w:lang w:val="en-CA" w:eastAsia="fr-CA"/>
        </w:rPr>
        <w:t>R</w:t>
      </w:r>
      <w:r w:rsidR="00D76132" w:rsidRPr="000A3539">
        <w:rPr>
          <w:i/>
          <w:lang w:val="en-CA" w:eastAsia="fr-CA"/>
        </w:rPr>
        <w:t>ights</w:t>
      </w:r>
      <w:r w:rsidR="006851D6" w:rsidRPr="000A3539">
        <w:rPr>
          <w:i/>
          <w:lang w:val="en-CA" w:eastAsia="fr-CA"/>
        </w:rPr>
        <w:t xml:space="preserve"> </w:t>
      </w:r>
      <w:r w:rsidR="00D76132" w:rsidRPr="000A3539">
        <w:rPr>
          <w:i/>
          <w:lang w:val="en-CA" w:eastAsia="fr-CA"/>
        </w:rPr>
        <w:t>and</w:t>
      </w:r>
      <w:r w:rsidR="006851D6" w:rsidRPr="000A3539">
        <w:rPr>
          <w:i/>
          <w:lang w:val="en-CA" w:eastAsia="fr-CA"/>
        </w:rPr>
        <w:t xml:space="preserve"> </w:t>
      </w:r>
      <w:r w:rsidR="005A37DD">
        <w:rPr>
          <w:i/>
          <w:lang w:val="en-CA" w:eastAsia="fr-CA"/>
        </w:rPr>
        <w:t>F</w:t>
      </w:r>
      <w:r w:rsidR="00D76132" w:rsidRPr="000A3539">
        <w:rPr>
          <w:i/>
          <w:lang w:val="en-CA" w:eastAsia="fr-CA"/>
        </w:rPr>
        <w:t>reedoms</w:t>
      </w:r>
      <w:bookmarkStart w:id="8" w:name="_Ref71291631"/>
      <w:r w:rsidR="00D76132" w:rsidRPr="000A3539">
        <w:rPr>
          <w:rStyle w:val="Appelnotedebasdep"/>
          <w:lang w:val="en-CA" w:eastAsia="fr-CA"/>
        </w:rPr>
        <w:footnoteReference w:id="3"/>
      </w:r>
      <w:bookmarkEnd w:id="8"/>
      <w:r w:rsidR="00D76132" w:rsidRPr="000A3539">
        <w:rPr>
          <w:lang w:val="en-CA" w:eastAsia="fr-CA"/>
        </w:rPr>
        <w:t xml:space="preserve"> (</w:t>
      </w:r>
      <w:r w:rsidR="006851D6" w:rsidRPr="000A3539">
        <w:rPr>
          <w:lang w:val="en-CA" w:eastAsia="fr-CA"/>
        </w:rPr>
        <w:t>the “</w:t>
      </w:r>
      <w:r w:rsidR="00D76132" w:rsidRPr="00FD1FB8">
        <w:rPr>
          <w:i/>
          <w:lang w:val="en-CA" w:eastAsia="fr-CA"/>
        </w:rPr>
        <w:t>Quebec</w:t>
      </w:r>
      <w:r w:rsidR="006851D6" w:rsidRPr="000A3539">
        <w:rPr>
          <w:i/>
          <w:lang w:val="en-CA" w:eastAsia="fr-CA"/>
        </w:rPr>
        <w:t xml:space="preserve"> </w:t>
      </w:r>
      <w:r w:rsidR="00D76132" w:rsidRPr="000A3539">
        <w:rPr>
          <w:i/>
          <w:lang w:val="en-CA" w:eastAsia="fr-CA"/>
        </w:rPr>
        <w:t>Charter</w:t>
      </w:r>
      <w:r w:rsidR="006851D6" w:rsidRPr="000A3539">
        <w:rPr>
          <w:lang w:val="en-CA" w:eastAsia="fr-CA"/>
        </w:rPr>
        <w:t>”</w:t>
      </w:r>
      <w:r w:rsidR="00D76132" w:rsidRPr="000A3539">
        <w:rPr>
          <w:lang w:val="en-CA" w:eastAsia="fr-CA"/>
        </w:rPr>
        <w:t>)</w:t>
      </w:r>
      <w:r w:rsidR="00D76132" w:rsidRPr="000A3539">
        <w:rPr>
          <w:lang w:val="en-CA"/>
        </w:rPr>
        <w:t xml:space="preserve">. </w:t>
      </w:r>
      <w:r w:rsidR="006851D6" w:rsidRPr="000A3539">
        <w:rPr>
          <w:lang w:val="en-CA"/>
        </w:rPr>
        <w:t xml:space="preserve">Accordingly, the </w:t>
      </w:r>
      <w:r w:rsidR="00D76132" w:rsidRPr="000A3539">
        <w:rPr>
          <w:lang w:val="en-CA"/>
        </w:rPr>
        <w:t>appel</w:t>
      </w:r>
      <w:r w:rsidR="006851D6" w:rsidRPr="000A3539">
        <w:rPr>
          <w:lang w:val="en-CA"/>
        </w:rPr>
        <w:t>l</w:t>
      </w:r>
      <w:r w:rsidR="00D76132" w:rsidRPr="000A3539">
        <w:rPr>
          <w:lang w:val="en-CA"/>
        </w:rPr>
        <w:t xml:space="preserve">ant </w:t>
      </w:r>
      <w:r w:rsidR="006851D6" w:rsidRPr="000A3539">
        <w:rPr>
          <w:lang w:val="en-CA"/>
        </w:rPr>
        <w:t xml:space="preserve">was ordered to </w:t>
      </w:r>
      <w:r w:rsidR="00E00065" w:rsidRPr="000A3539">
        <w:rPr>
          <w:lang w:val="en-CA"/>
        </w:rPr>
        <w:t>pay</w:t>
      </w:r>
      <w:r w:rsidR="006851D6" w:rsidRPr="000A3539">
        <w:rPr>
          <w:lang w:val="en-CA"/>
        </w:rPr>
        <w:t xml:space="preserve"> the students the wages </w:t>
      </w:r>
      <w:r w:rsidR="00D76132" w:rsidRPr="000A3539">
        <w:rPr>
          <w:lang w:val="en-CA"/>
        </w:rPr>
        <w:t>a</w:t>
      </w:r>
      <w:r w:rsidR="006851D6" w:rsidRPr="000A3539">
        <w:rPr>
          <w:lang w:val="en-CA"/>
        </w:rPr>
        <w:t>nd benefits</w:t>
      </w:r>
      <w:r w:rsidR="00E00065" w:rsidRPr="000A3539">
        <w:rPr>
          <w:lang w:val="en-CA"/>
        </w:rPr>
        <w:t xml:space="preserve"> they were deprived of,</w:t>
      </w:r>
      <w:r w:rsidR="00D76132" w:rsidRPr="000A3539">
        <w:rPr>
          <w:lang w:val="en-CA"/>
        </w:rPr>
        <w:t xml:space="preserve"> </w:t>
      </w:r>
      <w:r w:rsidR="00E00065" w:rsidRPr="000A3539">
        <w:rPr>
          <w:lang w:val="en-CA"/>
        </w:rPr>
        <w:t>as well as moral damages</w:t>
      </w:r>
      <w:r w:rsidR="00D76132" w:rsidRPr="000A3539">
        <w:rPr>
          <w:lang w:val="en-CA"/>
        </w:rPr>
        <w:t xml:space="preserve">. </w:t>
      </w:r>
    </w:p>
    <w:p w14:paraId="0C52FA58" w14:textId="3F629322" w:rsidR="00352837" w:rsidRPr="000A3539" w:rsidRDefault="009F0CAE" w:rsidP="00352837">
      <w:pPr>
        <w:pStyle w:val="Style1premiertitre"/>
        <w:keepNext/>
        <w:spacing w:line="280" w:lineRule="exact"/>
        <w:rPr>
          <w:lang w:val="en-CA"/>
        </w:rPr>
      </w:pPr>
      <w:r w:rsidRPr="000A3539">
        <w:rPr>
          <w:lang w:val="en-CA"/>
        </w:rPr>
        <w:lastRenderedPageBreak/>
        <w:t>Background</w:t>
      </w:r>
    </w:p>
    <w:p w14:paraId="665AB465" w14:textId="3FA48D7C" w:rsidR="00352837" w:rsidRPr="000A3539" w:rsidRDefault="00E00065" w:rsidP="00352837">
      <w:pPr>
        <w:pStyle w:val="Paragraphe"/>
        <w:rPr>
          <w:lang w:val="en-CA"/>
        </w:rPr>
      </w:pPr>
      <w:r w:rsidRPr="000A3539">
        <w:rPr>
          <w:lang w:val="en-CA"/>
        </w:rPr>
        <w:t xml:space="preserve">The </w:t>
      </w:r>
      <w:r w:rsidR="00D76132" w:rsidRPr="000A3539">
        <w:rPr>
          <w:lang w:val="en-CA"/>
        </w:rPr>
        <w:t>appel</w:t>
      </w:r>
      <w:r w:rsidRPr="000A3539">
        <w:rPr>
          <w:lang w:val="en-CA"/>
        </w:rPr>
        <w:t>l</w:t>
      </w:r>
      <w:r w:rsidR="00D76132" w:rsidRPr="000A3539">
        <w:rPr>
          <w:lang w:val="en-CA"/>
        </w:rPr>
        <w:t>ant</w:t>
      </w:r>
      <w:r w:rsidRPr="000A3539">
        <w:rPr>
          <w:lang w:val="en-CA"/>
        </w:rPr>
        <w:t xml:space="preserve"> </w:t>
      </w:r>
      <w:r w:rsidR="00D76132" w:rsidRPr="000A3539">
        <w:rPr>
          <w:lang w:val="en-CA"/>
        </w:rPr>
        <w:t>operates</w:t>
      </w:r>
      <w:r w:rsidRPr="000A3539">
        <w:rPr>
          <w:lang w:val="en-CA"/>
        </w:rPr>
        <w:t xml:space="preserve"> a</w:t>
      </w:r>
      <w:r w:rsidR="00EE4180" w:rsidRPr="000A3539">
        <w:rPr>
          <w:lang w:val="en-CA"/>
        </w:rPr>
        <w:t>n</w:t>
      </w:r>
      <w:r w:rsidRPr="000A3539">
        <w:rPr>
          <w:lang w:val="en-CA"/>
        </w:rPr>
        <w:t xml:space="preserve"> [</w:t>
      </w:r>
      <w:r w:rsidR="00EE4180" w:rsidRPr="000A3539">
        <w:rPr>
          <w:smallCaps/>
          <w:lang w:val="en-CA"/>
        </w:rPr>
        <w:t>translation</w:t>
      </w:r>
      <w:r w:rsidR="00EE4180" w:rsidRPr="000A3539">
        <w:rPr>
          <w:lang w:val="en-CA"/>
        </w:rPr>
        <w:t>] “</w:t>
      </w:r>
      <w:r w:rsidR="00EE4180" w:rsidRPr="000A3539">
        <w:rPr>
          <w:rFonts w:cs="Arial"/>
          <w:color w:val="000000"/>
          <w:lang w:val="en-CA"/>
        </w:rPr>
        <w:t>aluminum production and processing plant and metal foundry”</w:t>
      </w:r>
      <w:r w:rsidR="00EE4180" w:rsidRPr="000A3539">
        <w:rPr>
          <w:lang w:val="en-CA"/>
        </w:rPr>
        <w:t>.</w:t>
      </w:r>
      <w:r w:rsidR="00D76132" w:rsidRPr="000A3539">
        <w:rPr>
          <w:rStyle w:val="Appelnotedebasdep"/>
          <w:rFonts w:cs="Arial"/>
          <w:color w:val="000000"/>
          <w:shd w:val="clear" w:color="auto" w:fill="FFFFFF"/>
          <w:lang w:val="en-CA"/>
        </w:rPr>
        <w:footnoteReference w:id="4"/>
      </w:r>
      <w:r w:rsidR="00D76132" w:rsidRPr="000A3539">
        <w:rPr>
          <w:shd w:val="clear" w:color="auto" w:fill="FFFFFF"/>
          <w:lang w:val="en-CA"/>
        </w:rPr>
        <w:t xml:space="preserve"> </w:t>
      </w:r>
      <w:r w:rsidR="00942151" w:rsidRPr="000A3539">
        <w:rPr>
          <w:shd w:val="clear" w:color="auto" w:fill="FFFFFF"/>
          <w:lang w:val="en-CA"/>
        </w:rPr>
        <w:t>It hires students to replace the other employees during their vacation</w:t>
      </w:r>
      <w:r w:rsidR="00D76132" w:rsidRPr="000A3539">
        <w:rPr>
          <w:shd w:val="clear" w:color="auto" w:fill="FFFFFF"/>
          <w:lang w:val="en-CA"/>
        </w:rPr>
        <w:t xml:space="preserve"> – </w:t>
      </w:r>
      <w:r w:rsidR="00942151" w:rsidRPr="000A3539">
        <w:rPr>
          <w:shd w:val="clear" w:color="auto" w:fill="FFFFFF"/>
          <w:lang w:val="en-CA"/>
        </w:rPr>
        <w:t xml:space="preserve">i.e., during the summer and </w:t>
      </w:r>
      <w:r w:rsidR="00942151" w:rsidRPr="000A3539">
        <w:rPr>
          <w:rFonts w:cs="Arial"/>
          <w:color w:val="000000"/>
          <w:lang w:val="en-CA"/>
        </w:rPr>
        <w:t>year-end holidays</w:t>
      </w:r>
      <w:r w:rsidR="00942151" w:rsidRPr="000A3539">
        <w:rPr>
          <w:shd w:val="clear" w:color="auto" w:fill="FFFFFF"/>
          <w:lang w:val="en-CA"/>
        </w:rPr>
        <w:t>.</w:t>
      </w:r>
      <w:r w:rsidR="00D76132" w:rsidRPr="000A3539">
        <w:rPr>
          <w:rStyle w:val="Appelnotedebasdep"/>
          <w:rFonts w:cs="Arial"/>
          <w:color w:val="000000"/>
          <w:shd w:val="clear" w:color="auto" w:fill="FFFFFF"/>
          <w:lang w:val="en-CA"/>
        </w:rPr>
        <w:footnoteReference w:id="5"/>
      </w:r>
    </w:p>
    <w:p w14:paraId="40C769E6" w14:textId="37A062C7" w:rsidR="00352837" w:rsidRPr="000A3539" w:rsidRDefault="00400FA0" w:rsidP="00352837">
      <w:pPr>
        <w:pStyle w:val="Paragraphe"/>
        <w:rPr>
          <w:lang w:val="en-CA"/>
        </w:rPr>
      </w:pPr>
      <w:r w:rsidRPr="000A3539">
        <w:rPr>
          <w:shd w:val="clear" w:color="auto" w:fill="FFFFFF"/>
          <w:lang w:val="en-CA"/>
        </w:rPr>
        <w:t>Unionized</w:t>
      </w:r>
      <w:r w:rsidR="00C67736" w:rsidRPr="000A3539">
        <w:rPr>
          <w:shd w:val="clear" w:color="auto" w:fill="FFFFFF"/>
          <w:lang w:val="en-CA"/>
        </w:rPr>
        <w:t xml:space="preserve"> employees who work </w:t>
      </w:r>
      <w:r w:rsidR="004D63FE">
        <w:rPr>
          <w:shd w:val="clear" w:color="auto" w:fill="FFFFFF"/>
          <w:lang w:val="en-CA"/>
        </w:rPr>
        <w:t xml:space="preserve">for the appellant </w:t>
      </w:r>
      <w:r w:rsidR="00C67736" w:rsidRPr="000A3539">
        <w:rPr>
          <w:shd w:val="clear" w:color="auto" w:fill="FFFFFF"/>
          <w:lang w:val="en-CA"/>
        </w:rPr>
        <w:t>fall into three categories</w:t>
      </w:r>
      <w:r w:rsidR="00D76132" w:rsidRPr="000A3539">
        <w:rPr>
          <w:shd w:val="clear" w:color="auto" w:fill="FFFFFF"/>
          <w:lang w:val="en-CA"/>
        </w:rPr>
        <w:t xml:space="preserve">: </w:t>
      </w:r>
      <w:r w:rsidR="00C67736" w:rsidRPr="000A3539">
        <w:rPr>
          <w:shd w:val="clear" w:color="auto" w:fill="FFFFFF"/>
          <w:lang w:val="en-CA"/>
        </w:rPr>
        <w:t>regular employees</w:t>
      </w:r>
      <w:r w:rsidR="00D76132" w:rsidRPr="000A3539">
        <w:rPr>
          <w:shd w:val="clear" w:color="auto" w:fill="FFFFFF"/>
          <w:lang w:val="en-CA"/>
        </w:rPr>
        <w:t xml:space="preserve"> (</w:t>
      </w:r>
      <w:r w:rsidR="00C67736" w:rsidRPr="000A3539">
        <w:rPr>
          <w:shd w:val="clear" w:color="auto" w:fill="FFFFFF"/>
          <w:lang w:val="en-CA"/>
        </w:rPr>
        <w:t>“</w:t>
      </w:r>
      <w:r w:rsidR="00D76132" w:rsidRPr="000A3539">
        <w:rPr>
          <w:shd w:val="clear" w:color="auto" w:fill="FFFFFF"/>
          <w:lang w:val="en-CA"/>
        </w:rPr>
        <w:t>r</w:t>
      </w:r>
      <w:r w:rsidR="00C67736" w:rsidRPr="000A3539">
        <w:rPr>
          <w:shd w:val="clear" w:color="auto" w:fill="FFFFFF"/>
          <w:lang w:val="en-CA"/>
        </w:rPr>
        <w:t>e</w:t>
      </w:r>
      <w:r w:rsidR="00D76132" w:rsidRPr="000A3539">
        <w:rPr>
          <w:shd w:val="clear" w:color="auto" w:fill="FFFFFF"/>
          <w:lang w:val="en-CA"/>
        </w:rPr>
        <w:t>gul</w:t>
      </w:r>
      <w:r w:rsidR="00C67736" w:rsidRPr="000A3539">
        <w:rPr>
          <w:shd w:val="clear" w:color="auto" w:fill="FFFFFF"/>
          <w:lang w:val="en-CA"/>
        </w:rPr>
        <w:t>a</w:t>
      </w:r>
      <w:r w:rsidR="00D76132" w:rsidRPr="000A3539">
        <w:rPr>
          <w:shd w:val="clear" w:color="auto" w:fill="FFFFFF"/>
          <w:lang w:val="en-CA"/>
        </w:rPr>
        <w:t>rs</w:t>
      </w:r>
      <w:r w:rsidR="00C67736" w:rsidRPr="000A3539">
        <w:rPr>
          <w:shd w:val="clear" w:color="auto" w:fill="FFFFFF"/>
          <w:lang w:val="en-CA"/>
        </w:rPr>
        <w:t>”</w:t>
      </w:r>
      <w:r w:rsidR="00D76132" w:rsidRPr="000A3539">
        <w:rPr>
          <w:shd w:val="clear" w:color="auto" w:fill="FFFFFF"/>
          <w:lang w:val="en-CA"/>
        </w:rPr>
        <w:t>), casual</w:t>
      </w:r>
      <w:r w:rsidR="00C67736" w:rsidRPr="000A3539">
        <w:rPr>
          <w:shd w:val="clear" w:color="auto" w:fill="FFFFFF"/>
          <w:lang w:val="en-CA"/>
        </w:rPr>
        <w:t xml:space="preserve"> </w:t>
      </w:r>
      <w:r w:rsidR="00D76132" w:rsidRPr="000A3539">
        <w:rPr>
          <w:shd w:val="clear" w:color="auto" w:fill="FFFFFF"/>
          <w:lang w:val="en-CA"/>
        </w:rPr>
        <w:t>employees (</w:t>
      </w:r>
      <w:r w:rsidR="00C67736" w:rsidRPr="000A3539">
        <w:rPr>
          <w:shd w:val="clear" w:color="auto" w:fill="FFFFFF"/>
          <w:lang w:val="en-CA"/>
        </w:rPr>
        <w:t>“casuals”</w:t>
      </w:r>
      <w:r w:rsidR="00D76132" w:rsidRPr="000A3539">
        <w:rPr>
          <w:shd w:val="clear" w:color="auto" w:fill="FFFFFF"/>
          <w:lang w:val="en-CA"/>
        </w:rPr>
        <w:t>)</w:t>
      </w:r>
      <w:r w:rsidR="00C67736" w:rsidRPr="000A3539">
        <w:rPr>
          <w:shd w:val="clear" w:color="auto" w:fill="FFFFFF"/>
          <w:lang w:val="en-CA"/>
        </w:rPr>
        <w:t>, and student employees</w:t>
      </w:r>
      <w:r w:rsidR="00D76132" w:rsidRPr="000A3539">
        <w:rPr>
          <w:shd w:val="clear" w:color="auto" w:fill="FFFFFF"/>
          <w:lang w:val="en-CA"/>
        </w:rPr>
        <w:t xml:space="preserve"> (</w:t>
      </w:r>
      <w:r w:rsidR="00C67736" w:rsidRPr="000A3539">
        <w:rPr>
          <w:shd w:val="clear" w:color="auto" w:fill="FFFFFF"/>
          <w:lang w:val="en-CA"/>
        </w:rPr>
        <w:t>“students”</w:t>
      </w:r>
      <w:r w:rsidR="00D76132" w:rsidRPr="000A3539">
        <w:rPr>
          <w:shd w:val="clear" w:color="auto" w:fill="FFFFFF"/>
          <w:lang w:val="en-CA"/>
        </w:rPr>
        <w:t>)</w:t>
      </w:r>
      <w:r w:rsidR="00C67736" w:rsidRPr="000A3539">
        <w:rPr>
          <w:shd w:val="clear" w:color="auto" w:fill="FFFFFF"/>
          <w:lang w:val="en-CA"/>
        </w:rPr>
        <w:t>.</w:t>
      </w:r>
      <w:r w:rsidR="00D76132" w:rsidRPr="000A3539">
        <w:rPr>
          <w:rStyle w:val="Appelnotedebasdep"/>
          <w:rFonts w:cs="Arial"/>
          <w:color w:val="000000"/>
          <w:shd w:val="clear" w:color="auto" w:fill="FFFFFF"/>
          <w:lang w:val="en-CA"/>
        </w:rPr>
        <w:footnoteReference w:id="6"/>
      </w:r>
      <w:r w:rsidR="00D76132" w:rsidRPr="000A3539">
        <w:rPr>
          <w:shd w:val="clear" w:color="auto" w:fill="FFFFFF"/>
          <w:lang w:val="en-CA"/>
        </w:rPr>
        <w:t xml:space="preserve"> </w:t>
      </w:r>
      <w:r w:rsidR="00C67736" w:rsidRPr="000A3539">
        <w:rPr>
          <w:shd w:val="clear" w:color="auto" w:fill="FFFFFF"/>
          <w:lang w:val="en-CA"/>
        </w:rPr>
        <w:t xml:space="preserve">Three </w:t>
      </w:r>
      <w:r w:rsidR="00D76132" w:rsidRPr="000A3539">
        <w:rPr>
          <w:shd w:val="clear" w:color="auto" w:fill="FFFFFF"/>
          <w:lang w:val="en-CA"/>
        </w:rPr>
        <w:t>collective</w:t>
      </w:r>
      <w:r w:rsidR="00C67736" w:rsidRPr="000A3539">
        <w:rPr>
          <w:shd w:val="clear" w:color="auto" w:fill="FFFFFF"/>
          <w:lang w:val="en-CA"/>
        </w:rPr>
        <w:t xml:space="preserve"> </w:t>
      </w:r>
      <w:r w:rsidR="00D76132" w:rsidRPr="000A3539">
        <w:rPr>
          <w:shd w:val="clear" w:color="auto" w:fill="FFFFFF"/>
          <w:lang w:val="en-CA"/>
        </w:rPr>
        <w:t>agreements</w:t>
      </w:r>
      <w:r w:rsidR="00C8341A" w:rsidRPr="000A3539">
        <w:rPr>
          <w:shd w:val="clear" w:color="auto" w:fill="FFFFFF"/>
          <w:lang w:val="en-CA"/>
        </w:rPr>
        <w:t xml:space="preserve"> govern the </w:t>
      </w:r>
      <w:r w:rsidR="00D76132" w:rsidRPr="000A3539">
        <w:rPr>
          <w:shd w:val="clear" w:color="auto" w:fill="FFFFFF"/>
          <w:lang w:val="en-CA"/>
        </w:rPr>
        <w:t>working</w:t>
      </w:r>
      <w:r w:rsidR="00C8341A" w:rsidRPr="000A3539">
        <w:rPr>
          <w:shd w:val="clear" w:color="auto" w:fill="FFFFFF"/>
          <w:lang w:val="en-CA"/>
        </w:rPr>
        <w:t xml:space="preserve"> </w:t>
      </w:r>
      <w:r w:rsidR="00D76132" w:rsidRPr="000A3539">
        <w:rPr>
          <w:shd w:val="clear" w:color="auto" w:fill="FFFFFF"/>
          <w:lang w:val="en-CA"/>
        </w:rPr>
        <w:t>conditions</w:t>
      </w:r>
      <w:r w:rsidR="007F20E5" w:rsidRPr="000A3539">
        <w:rPr>
          <w:shd w:val="clear" w:color="auto" w:fill="FFFFFF"/>
          <w:lang w:val="en-CA"/>
        </w:rPr>
        <w:t xml:space="preserve"> of the unionized employees</w:t>
      </w:r>
      <w:r w:rsidR="00D76132" w:rsidRPr="000A3539">
        <w:rPr>
          <w:shd w:val="clear" w:color="auto" w:fill="FFFFFF"/>
          <w:lang w:val="en-CA"/>
        </w:rPr>
        <w:t xml:space="preserve">: </w:t>
      </w:r>
      <w:r w:rsidR="00F0234C">
        <w:rPr>
          <w:shd w:val="clear" w:color="auto" w:fill="FFFFFF"/>
          <w:lang w:val="en-CA"/>
        </w:rPr>
        <w:t>one for</w:t>
      </w:r>
      <w:r w:rsidR="007F20E5" w:rsidRPr="000A3539">
        <w:rPr>
          <w:shd w:val="clear" w:color="auto" w:fill="FFFFFF"/>
          <w:lang w:val="en-CA"/>
        </w:rPr>
        <w:t xml:space="preserve"> the </w:t>
      </w:r>
      <w:r w:rsidR="007F20E5" w:rsidRPr="000A3539">
        <w:rPr>
          <w:rFonts w:cs="Arial"/>
          <w:color w:val="000000"/>
          <w:lang w:val="en-CA"/>
        </w:rPr>
        <w:t>operations and maintenance</w:t>
      </w:r>
      <w:r w:rsidR="009D523D" w:rsidRPr="000A3539">
        <w:rPr>
          <w:rFonts w:cs="Arial"/>
          <w:color w:val="000000"/>
          <w:lang w:val="en-CA"/>
        </w:rPr>
        <w:t xml:space="preserve"> </w:t>
      </w:r>
      <w:r w:rsidR="009D523D" w:rsidRPr="000A3539">
        <w:rPr>
          <w:shd w:val="clear" w:color="auto" w:fill="FFFFFF"/>
          <w:lang w:val="en-CA"/>
        </w:rPr>
        <w:t>employees</w:t>
      </w:r>
      <w:r w:rsidR="007F20E5" w:rsidRPr="000A3539">
        <w:rPr>
          <w:rFonts w:cs="Arial"/>
          <w:color w:val="000000"/>
          <w:lang w:val="en-CA"/>
        </w:rPr>
        <w:t xml:space="preserve">, </w:t>
      </w:r>
      <w:r w:rsidR="00F0234C">
        <w:rPr>
          <w:rFonts w:cs="Arial"/>
          <w:color w:val="000000"/>
          <w:lang w:val="en-CA"/>
        </w:rPr>
        <w:t>one for</w:t>
      </w:r>
      <w:r w:rsidR="007F20E5" w:rsidRPr="000A3539">
        <w:rPr>
          <w:rFonts w:cs="Arial"/>
          <w:color w:val="000000"/>
          <w:lang w:val="en-CA"/>
        </w:rPr>
        <w:t xml:space="preserve"> the</w:t>
      </w:r>
      <w:r w:rsidR="007F20E5" w:rsidRPr="000A3539">
        <w:rPr>
          <w:shd w:val="clear" w:color="auto" w:fill="FFFFFF"/>
          <w:lang w:val="en-CA"/>
        </w:rPr>
        <w:t xml:space="preserve"> </w:t>
      </w:r>
      <w:r w:rsidR="009D523D" w:rsidRPr="000A3539">
        <w:rPr>
          <w:shd w:val="clear" w:color="auto" w:fill="FFFFFF"/>
          <w:lang w:val="en-CA"/>
        </w:rPr>
        <w:t xml:space="preserve">laboratory and environment sector employees, and </w:t>
      </w:r>
      <w:r w:rsidR="00F0234C">
        <w:rPr>
          <w:shd w:val="clear" w:color="auto" w:fill="FFFFFF"/>
          <w:lang w:val="en-CA"/>
        </w:rPr>
        <w:t>one for</w:t>
      </w:r>
      <w:r w:rsidR="009D523D" w:rsidRPr="000A3539">
        <w:rPr>
          <w:shd w:val="clear" w:color="auto" w:fill="FFFFFF"/>
          <w:lang w:val="en-CA"/>
        </w:rPr>
        <w:t xml:space="preserve"> the office and technical </w:t>
      </w:r>
      <w:r w:rsidR="007F20E5" w:rsidRPr="000A3539">
        <w:rPr>
          <w:shd w:val="clear" w:color="auto" w:fill="FFFFFF"/>
          <w:lang w:val="en-CA"/>
        </w:rPr>
        <w:t>employees</w:t>
      </w:r>
      <w:r w:rsidR="00D76132" w:rsidRPr="000A3539">
        <w:rPr>
          <w:shd w:val="clear" w:color="auto" w:fill="FFFFFF"/>
          <w:lang w:val="en-CA"/>
        </w:rPr>
        <w:t xml:space="preserve">. </w:t>
      </w:r>
      <w:r w:rsidR="00EA1D58" w:rsidRPr="000A3539">
        <w:rPr>
          <w:shd w:val="clear" w:color="auto" w:fill="FFFFFF"/>
          <w:lang w:val="en-CA"/>
        </w:rPr>
        <w:t xml:space="preserve">The vast </w:t>
      </w:r>
      <w:r w:rsidR="00D76132" w:rsidRPr="000A3539">
        <w:rPr>
          <w:shd w:val="clear" w:color="auto" w:fill="FFFFFF"/>
          <w:lang w:val="en-CA"/>
        </w:rPr>
        <w:t>majority</w:t>
      </w:r>
      <w:r w:rsidR="00EA1D58" w:rsidRPr="000A3539">
        <w:rPr>
          <w:shd w:val="clear" w:color="auto" w:fill="FFFFFF"/>
          <w:lang w:val="en-CA"/>
        </w:rPr>
        <w:t xml:space="preserve"> of unionized </w:t>
      </w:r>
      <w:r w:rsidR="00D76132" w:rsidRPr="000A3539">
        <w:rPr>
          <w:shd w:val="clear" w:color="auto" w:fill="FFFFFF"/>
          <w:lang w:val="en-CA"/>
        </w:rPr>
        <w:t>employ</w:t>
      </w:r>
      <w:r w:rsidR="00EA1D58" w:rsidRPr="000A3539">
        <w:rPr>
          <w:shd w:val="clear" w:color="auto" w:fill="FFFFFF"/>
          <w:lang w:val="en-CA"/>
        </w:rPr>
        <w:t xml:space="preserve">ees are assigned to </w:t>
      </w:r>
      <w:r w:rsidR="00D76132" w:rsidRPr="000A3539">
        <w:rPr>
          <w:shd w:val="clear" w:color="auto" w:fill="FFFFFF"/>
          <w:lang w:val="en-CA"/>
        </w:rPr>
        <w:t>op</w:t>
      </w:r>
      <w:r w:rsidR="00EA1D58" w:rsidRPr="000A3539">
        <w:rPr>
          <w:shd w:val="clear" w:color="auto" w:fill="FFFFFF"/>
          <w:lang w:val="en-CA"/>
        </w:rPr>
        <w:t>e</w:t>
      </w:r>
      <w:r w:rsidR="00D76132" w:rsidRPr="000A3539">
        <w:rPr>
          <w:shd w:val="clear" w:color="auto" w:fill="FFFFFF"/>
          <w:lang w:val="en-CA"/>
        </w:rPr>
        <w:t xml:space="preserve">rations </w:t>
      </w:r>
      <w:r w:rsidR="00EA1D58" w:rsidRPr="000A3539">
        <w:rPr>
          <w:shd w:val="clear" w:color="auto" w:fill="FFFFFF"/>
          <w:lang w:val="en-CA"/>
        </w:rPr>
        <w:t>and maintenance.</w:t>
      </w:r>
      <w:r w:rsidR="00D76132" w:rsidRPr="000A3539">
        <w:rPr>
          <w:rStyle w:val="Appelnotedebasdep"/>
          <w:rFonts w:cs="Arial"/>
          <w:color w:val="000000"/>
          <w:shd w:val="clear" w:color="auto" w:fill="FFFFFF"/>
          <w:lang w:val="en-CA"/>
        </w:rPr>
        <w:footnoteReference w:id="7"/>
      </w:r>
      <w:r w:rsidR="00D76132" w:rsidRPr="000A3539">
        <w:rPr>
          <w:shd w:val="clear" w:color="auto" w:fill="FFFFFF"/>
          <w:lang w:val="en-CA"/>
        </w:rPr>
        <w:t xml:space="preserve"> </w:t>
      </w:r>
      <w:r w:rsidR="00EA1D58" w:rsidRPr="000A3539">
        <w:rPr>
          <w:shd w:val="clear" w:color="auto" w:fill="FFFFFF"/>
          <w:lang w:val="en-CA"/>
        </w:rPr>
        <w:t xml:space="preserve">Every position </w:t>
      </w:r>
      <w:r w:rsidR="00EF663D" w:rsidRPr="000A3539">
        <w:rPr>
          <w:shd w:val="clear" w:color="auto" w:fill="FFFFFF"/>
          <w:lang w:val="en-CA"/>
        </w:rPr>
        <w:t>in the plant calls for the performance of different tasks.</w:t>
      </w:r>
      <w:r w:rsidR="00D76132" w:rsidRPr="000A3539">
        <w:rPr>
          <w:rStyle w:val="Appelnotedebasdep"/>
          <w:rFonts w:cs="Arial"/>
          <w:color w:val="000000"/>
          <w:shd w:val="clear" w:color="auto" w:fill="FFFFFF"/>
          <w:lang w:val="en-CA"/>
        </w:rPr>
        <w:footnoteReference w:id="8"/>
      </w:r>
    </w:p>
    <w:p w14:paraId="3D3662EA" w14:textId="59DDB942" w:rsidR="00352837" w:rsidRPr="000A3539" w:rsidRDefault="00CC16D5" w:rsidP="00352837">
      <w:pPr>
        <w:pStyle w:val="Paragraphe"/>
        <w:rPr>
          <w:lang w:val="en-CA"/>
        </w:rPr>
      </w:pPr>
      <w:r w:rsidRPr="000A3539">
        <w:rPr>
          <w:u w:val="single"/>
          <w:lang w:val="en-CA"/>
        </w:rPr>
        <w:t xml:space="preserve">Before </w:t>
      </w:r>
      <w:r w:rsidR="00D76132" w:rsidRPr="00AD2204">
        <w:rPr>
          <w:u w:val="single"/>
          <w:lang w:val="en-CA"/>
        </w:rPr>
        <w:t>January</w:t>
      </w:r>
      <w:r w:rsidRPr="00AD2204">
        <w:rPr>
          <w:u w:val="single"/>
          <w:lang w:val="en-CA"/>
        </w:rPr>
        <w:t xml:space="preserve"> 1,</w:t>
      </w:r>
      <w:r w:rsidR="00D76132" w:rsidRPr="000A3539">
        <w:rPr>
          <w:u w:val="single"/>
          <w:lang w:val="en-CA"/>
        </w:rPr>
        <w:t> 1995</w:t>
      </w:r>
      <w:r w:rsidR="00D76132" w:rsidRPr="000A3539">
        <w:rPr>
          <w:rFonts w:cs="Arial"/>
          <w:lang w:val="en-CA"/>
        </w:rPr>
        <w:t xml:space="preserve">, </w:t>
      </w:r>
      <w:r w:rsidRPr="000A3539">
        <w:rPr>
          <w:rFonts w:cs="Arial"/>
          <w:lang w:val="en-CA"/>
        </w:rPr>
        <w:t>students were paid the same wages as the other employees.</w:t>
      </w:r>
      <w:r w:rsidR="00D76132" w:rsidRPr="000A3539">
        <w:rPr>
          <w:rStyle w:val="Appelnotedebasdep"/>
          <w:rFonts w:cs="Arial"/>
          <w:lang w:val="en-CA"/>
        </w:rPr>
        <w:footnoteReference w:id="9"/>
      </w:r>
      <w:r w:rsidR="00D76132" w:rsidRPr="000A3539">
        <w:rPr>
          <w:lang w:val="en-CA"/>
        </w:rPr>
        <w:t xml:space="preserve"> </w:t>
      </w:r>
      <w:r w:rsidRPr="000A3539">
        <w:rPr>
          <w:u w:val="single"/>
          <w:lang w:val="en-CA"/>
        </w:rPr>
        <w:t xml:space="preserve">As of </w:t>
      </w:r>
      <w:r w:rsidR="00D76132" w:rsidRPr="00AD2204">
        <w:rPr>
          <w:u w:val="single"/>
          <w:lang w:val="en-CA"/>
        </w:rPr>
        <w:t>January</w:t>
      </w:r>
      <w:r w:rsidR="00D76132" w:rsidRPr="000A3539">
        <w:rPr>
          <w:u w:val="single"/>
          <w:lang w:val="en-CA"/>
        </w:rPr>
        <w:t> 1995</w:t>
      </w:r>
      <w:r w:rsidR="00D76132" w:rsidRPr="000A3539">
        <w:rPr>
          <w:lang w:val="en-CA"/>
        </w:rPr>
        <w:t xml:space="preserve">, </w:t>
      </w:r>
      <w:r w:rsidRPr="000A3539">
        <w:rPr>
          <w:lang w:val="en-CA"/>
        </w:rPr>
        <w:t xml:space="preserve">students’ wages were reduced to </w:t>
      </w:r>
      <w:r w:rsidR="00D76132" w:rsidRPr="000A3539">
        <w:rPr>
          <w:lang w:val="en-CA"/>
        </w:rPr>
        <w:t xml:space="preserve">85% </w:t>
      </w:r>
      <w:r w:rsidRPr="000A3539">
        <w:rPr>
          <w:lang w:val="en-CA"/>
        </w:rPr>
        <w:t>of Index</w:t>
      </w:r>
      <w:r w:rsidR="00D76132" w:rsidRPr="000A3539">
        <w:rPr>
          <w:lang w:val="en-CA"/>
        </w:rPr>
        <w:t> 7</w:t>
      </w:r>
      <w:r w:rsidRPr="000A3539">
        <w:rPr>
          <w:lang w:val="en-CA"/>
        </w:rPr>
        <w:t>,</w:t>
      </w:r>
      <w:r w:rsidR="00D76132" w:rsidRPr="000A3539">
        <w:rPr>
          <w:rStyle w:val="Appelnotedebasdep"/>
          <w:lang w:val="en-CA"/>
        </w:rPr>
        <w:footnoteReference w:id="10"/>
      </w:r>
      <w:r w:rsidRPr="000A3539">
        <w:rPr>
          <w:lang w:val="en-CA"/>
        </w:rPr>
        <w:t xml:space="preserve"> </w:t>
      </w:r>
      <w:r w:rsidR="00AD2204">
        <w:rPr>
          <w:lang w:val="en-CA"/>
        </w:rPr>
        <w:t xml:space="preserve">which </w:t>
      </w:r>
      <w:r w:rsidRPr="000A3539">
        <w:rPr>
          <w:lang w:val="en-CA"/>
        </w:rPr>
        <w:t>is the lowest wage index.</w:t>
      </w:r>
      <w:r w:rsidR="00D76132" w:rsidRPr="000A3539">
        <w:rPr>
          <w:rStyle w:val="Appelnotedebasdep"/>
          <w:lang w:val="en-CA"/>
        </w:rPr>
        <w:footnoteReference w:id="11"/>
      </w:r>
      <w:r w:rsidRPr="000A3539">
        <w:rPr>
          <w:lang w:val="en-CA"/>
        </w:rPr>
        <w:t xml:space="preserve"> </w:t>
      </w:r>
      <w:r w:rsidR="00F0234C">
        <w:rPr>
          <w:lang w:val="en-CA"/>
        </w:rPr>
        <w:t>One of the</w:t>
      </w:r>
      <w:r w:rsidR="00F0234C" w:rsidRPr="000A3539">
        <w:rPr>
          <w:lang w:val="en-CA"/>
        </w:rPr>
        <w:t xml:space="preserve"> </w:t>
      </w:r>
      <w:r w:rsidRPr="000A3539">
        <w:rPr>
          <w:rFonts w:cs="Arial"/>
          <w:lang w:val="en-CA"/>
        </w:rPr>
        <w:t xml:space="preserve">respondent’s </w:t>
      </w:r>
      <w:r w:rsidR="00D76132" w:rsidRPr="000A3539">
        <w:rPr>
          <w:rFonts w:cs="Arial"/>
          <w:lang w:val="en-CA"/>
        </w:rPr>
        <w:t>witness</w:t>
      </w:r>
      <w:r w:rsidR="00F0234C">
        <w:rPr>
          <w:rFonts w:cs="Arial"/>
          <w:lang w:val="en-CA"/>
        </w:rPr>
        <w:t>es,</w:t>
      </w:r>
      <w:r w:rsidRPr="000A3539">
        <w:rPr>
          <w:rFonts w:cs="Arial"/>
          <w:lang w:val="en-CA"/>
        </w:rPr>
        <w:t xml:space="preserve"> </w:t>
      </w:r>
      <w:r w:rsidR="00D76132" w:rsidRPr="000A3539">
        <w:rPr>
          <w:rFonts w:cs="Arial"/>
          <w:lang w:val="en-CA"/>
        </w:rPr>
        <w:t>Clément Masse</w:t>
      </w:r>
      <w:r w:rsidR="00F0234C">
        <w:rPr>
          <w:rFonts w:cs="Arial"/>
          <w:lang w:val="en-CA"/>
        </w:rPr>
        <w:t>,</w:t>
      </w:r>
      <w:r w:rsidRPr="000A3539">
        <w:rPr>
          <w:rFonts w:cs="Arial"/>
          <w:lang w:val="en-CA"/>
        </w:rPr>
        <w:t xml:space="preserve"> stated that the </w:t>
      </w:r>
      <w:r w:rsidR="00D76132" w:rsidRPr="000A3539">
        <w:rPr>
          <w:rFonts w:cs="Arial"/>
          <w:lang w:val="en-CA"/>
        </w:rPr>
        <w:t>appel</w:t>
      </w:r>
      <w:r w:rsidRPr="000A3539">
        <w:rPr>
          <w:rFonts w:cs="Arial"/>
          <w:lang w:val="en-CA"/>
        </w:rPr>
        <w:t>l</w:t>
      </w:r>
      <w:r w:rsidR="00D76132" w:rsidRPr="000A3539">
        <w:rPr>
          <w:rFonts w:cs="Arial"/>
          <w:lang w:val="en-CA"/>
        </w:rPr>
        <w:t>ant</w:t>
      </w:r>
      <w:r w:rsidRPr="000A3539">
        <w:rPr>
          <w:rFonts w:cs="Arial"/>
          <w:lang w:val="en-CA"/>
        </w:rPr>
        <w:t xml:space="preserve"> decided at that time</w:t>
      </w:r>
      <w:r w:rsidR="00D76132" w:rsidRPr="000A3539">
        <w:rPr>
          <w:rFonts w:cs="Arial"/>
          <w:lang w:val="en-CA"/>
        </w:rPr>
        <w:t xml:space="preserve"> </w:t>
      </w:r>
      <w:r w:rsidRPr="000A3539">
        <w:rPr>
          <w:rFonts w:cs="Arial"/>
          <w:lang w:val="en-CA"/>
        </w:rPr>
        <w:t>[</w:t>
      </w:r>
      <w:r w:rsidRPr="000A3539">
        <w:rPr>
          <w:rFonts w:cs="Arial"/>
          <w:smallCaps/>
          <w:lang w:val="en-CA"/>
        </w:rPr>
        <w:t>translation</w:t>
      </w:r>
      <w:r w:rsidRPr="000A3539">
        <w:rPr>
          <w:rFonts w:cs="Arial"/>
          <w:lang w:val="en-CA"/>
        </w:rPr>
        <w:t>] “to</w:t>
      </w:r>
      <w:r w:rsidR="00616759" w:rsidRPr="000A3539">
        <w:rPr>
          <w:rFonts w:cs="Arial"/>
          <w:lang w:val="en-CA"/>
        </w:rPr>
        <w:t xml:space="preserve"> reduce students’ wages through the final offer”.</w:t>
      </w:r>
      <w:r w:rsidR="00D76132" w:rsidRPr="000A3539">
        <w:rPr>
          <w:rStyle w:val="Appelnotedebasdep"/>
          <w:rFonts w:cs="Arial"/>
          <w:lang w:val="en-CA"/>
        </w:rPr>
        <w:footnoteReference w:id="12"/>
      </w:r>
      <w:r w:rsidR="00D76132" w:rsidRPr="000A3539">
        <w:rPr>
          <w:lang w:val="en-CA"/>
        </w:rPr>
        <w:t xml:space="preserve"> </w:t>
      </w:r>
      <w:r w:rsidR="00F0234C">
        <w:rPr>
          <w:lang w:val="en-CA"/>
        </w:rPr>
        <w:t>One of t</w:t>
      </w:r>
      <w:r w:rsidR="00616759" w:rsidRPr="000A3539">
        <w:rPr>
          <w:lang w:val="en-CA"/>
        </w:rPr>
        <w:t xml:space="preserve">he appellant’s </w:t>
      </w:r>
      <w:r w:rsidR="00D76132" w:rsidRPr="000A3539">
        <w:rPr>
          <w:lang w:val="en-CA"/>
        </w:rPr>
        <w:t>witness</w:t>
      </w:r>
      <w:r w:rsidR="00F0234C">
        <w:rPr>
          <w:lang w:val="en-CA"/>
        </w:rPr>
        <w:t>es,</w:t>
      </w:r>
      <w:r w:rsidR="00D76132" w:rsidRPr="000A3539">
        <w:rPr>
          <w:lang w:val="en-CA"/>
        </w:rPr>
        <w:t> Pierre Champagne</w:t>
      </w:r>
      <w:r w:rsidR="00F0234C">
        <w:rPr>
          <w:lang w:val="en-CA"/>
        </w:rPr>
        <w:t>,</w:t>
      </w:r>
      <w:r w:rsidR="00D76132" w:rsidRPr="000A3539">
        <w:rPr>
          <w:lang w:val="en-CA"/>
        </w:rPr>
        <w:t xml:space="preserve"> </w:t>
      </w:r>
      <w:r w:rsidR="00616759" w:rsidRPr="000A3539">
        <w:rPr>
          <w:lang w:val="en-CA"/>
        </w:rPr>
        <w:t>state</w:t>
      </w:r>
      <w:r w:rsidR="00AD2204">
        <w:rPr>
          <w:lang w:val="en-CA"/>
        </w:rPr>
        <w:t>d</w:t>
      </w:r>
      <w:r w:rsidR="00616759" w:rsidRPr="000A3539">
        <w:rPr>
          <w:lang w:val="en-CA"/>
        </w:rPr>
        <w:t xml:space="preserve"> instead that after discussion with the s</w:t>
      </w:r>
      <w:r w:rsidR="00D76132" w:rsidRPr="000A3539">
        <w:rPr>
          <w:lang w:val="en-CA"/>
        </w:rPr>
        <w:t>upervis</w:t>
      </w:r>
      <w:r w:rsidR="00616759" w:rsidRPr="000A3539">
        <w:rPr>
          <w:lang w:val="en-CA"/>
        </w:rPr>
        <w:t>or</w:t>
      </w:r>
      <w:r w:rsidR="00D76132" w:rsidRPr="000A3539">
        <w:rPr>
          <w:lang w:val="en-CA"/>
        </w:rPr>
        <w:t xml:space="preserve">s, </w:t>
      </w:r>
      <w:r w:rsidR="00616759" w:rsidRPr="000A3539">
        <w:rPr>
          <w:lang w:val="en-CA"/>
        </w:rPr>
        <w:t xml:space="preserve">they noted that students did </w:t>
      </w:r>
      <w:r w:rsidR="00D76132" w:rsidRPr="000A3539">
        <w:rPr>
          <w:lang w:val="en-CA"/>
        </w:rPr>
        <w:t xml:space="preserve">85% </w:t>
      </w:r>
      <w:r w:rsidR="00616759" w:rsidRPr="000A3539">
        <w:rPr>
          <w:lang w:val="en-CA"/>
        </w:rPr>
        <w:t>of tasks</w:t>
      </w:r>
      <w:r w:rsidR="00D76132" w:rsidRPr="000A3539">
        <w:rPr>
          <w:lang w:val="en-CA"/>
        </w:rPr>
        <w:t xml:space="preserve"> – </w:t>
      </w:r>
      <w:r w:rsidR="00616759" w:rsidRPr="000A3539">
        <w:rPr>
          <w:lang w:val="en-CA"/>
        </w:rPr>
        <w:t>which explains the appellant’s offer.</w:t>
      </w:r>
      <w:r w:rsidR="00D76132" w:rsidRPr="000A3539">
        <w:rPr>
          <w:rStyle w:val="Appelnotedebasdep"/>
          <w:lang w:val="en-CA"/>
        </w:rPr>
        <w:footnoteReference w:id="13"/>
      </w:r>
      <w:r w:rsidR="00946174" w:rsidRPr="000A3539">
        <w:rPr>
          <w:lang w:val="en-CA"/>
        </w:rPr>
        <w:t xml:space="preserve"> He does not remember whether he gave the impleaded party that explanation at the time.</w:t>
      </w:r>
      <w:r w:rsidR="00D76132" w:rsidRPr="000A3539">
        <w:rPr>
          <w:rStyle w:val="Appelnotedebasdep"/>
          <w:lang w:val="en-CA"/>
        </w:rPr>
        <w:footnoteReference w:id="14"/>
      </w:r>
      <w:r w:rsidR="00946174" w:rsidRPr="000A3539">
        <w:rPr>
          <w:lang w:val="en-CA"/>
        </w:rPr>
        <w:t xml:space="preserve"> The </w:t>
      </w:r>
      <w:r w:rsidR="00D76132" w:rsidRPr="000A3539">
        <w:rPr>
          <w:lang w:val="en-CA"/>
        </w:rPr>
        <w:t>Tribunal</w:t>
      </w:r>
      <w:r w:rsidR="00946174" w:rsidRPr="000A3539">
        <w:rPr>
          <w:lang w:val="en-CA"/>
        </w:rPr>
        <w:t xml:space="preserve">, however, set aside that </w:t>
      </w:r>
      <w:r w:rsidR="00D76132" w:rsidRPr="000A3539">
        <w:rPr>
          <w:lang w:val="en-CA"/>
        </w:rPr>
        <w:t>justification</w:t>
      </w:r>
      <w:r w:rsidR="00946174" w:rsidRPr="000A3539">
        <w:rPr>
          <w:lang w:val="en-CA"/>
        </w:rPr>
        <w:t>.</w:t>
      </w:r>
      <w:r w:rsidR="00D76132" w:rsidRPr="000A3539">
        <w:rPr>
          <w:rStyle w:val="Appelnotedebasdep"/>
          <w:lang w:val="en-CA"/>
        </w:rPr>
        <w:footnoteReference w:id="15"/>
      </w:r>
    </w:p>
    <w:p w14:paraId="6A7D73FC" w14:textId="25D7E68C" w:rsidR="00352837" w:rsidRPr="000A3539" w:rsidRDefault="00946174" w:rsidP="00352837">
      <w:pPr>
        <w:pStyle w:val="Paragraphe"/>
        <w:rPr>
          <w:lang w:val="en-CA"/>
        </w:rPr>
      </w:pPr>
      <w:r w:rsidRPr="000A3539">
        <w:rPr>
          <w:lang w:val="en-CA"/>
        </w:rPr>
        <w:lastRenderedPageBreak/>
        <w:t>In the</w:t>
      </w:r>
      <w:r w:rsidR="00D76132" w:rsidRPr="000A3539">
        <w:rPr>
          <w:lang w:val="en-CA"/>
        </w:rPr>
        <w:t> 2000</w:t>
      </w:r>
      <w:r w:rsidRPr="000A3539">
        <w:rPr>
          <w:lang w:val="en-CA"/>
        </w:rPr>
        <w:t>–</w:t>
      </w:r>
      <w:r w:rsidR="00D76132" w:rsidRPr="000A3539">
        <w:rPr>
          <w:lang w:val="en-CA"/>
        </w:rPr>
        <w:t>2004</w:t>
      </w:r>
      <w:r w:rsidRPr="000A3539">
        <w:rPr>
          <w:lang w:val="en-CA"/>
        </w:rPr>
        <w:t xml:space="preserve"> collective agreement</w:t>
      </w:r>
      <w:r w:rsidR="00D76132" w:rsidRPr="000A3539">
        <w:rPr>
          <w:lang w:val="en-CA"/>
        </w:rPr>
        <w:t xml:space="preserve">, </w:t>
      </w:r>
      <w:r w:rsidR="000A3539" w:rsidRPr="000A3539">
        <w:rPr>
          <w:lang w:val="en-CA"/>
        </w:rPr>
        <w:t>students’</w:t>
      </w:r>
      <w:r w:rsidRPr="000A3539">
        <w:rPr>
          <w:lang w:val="en-CA"/>
        </w:rPr>
        <w:t xml:space="preserve"> wages </w:t>
      </w:r>
      <w:r w:rsidR="00AD2204">
        <w:rPr>
          <w:lang w:val="en-CA"/>
        </w:rPr>
        <w:t>we</w:t>
      </w:r>
      <w:r w:rsidRPr="000A3539">
        <w:rPr>
          <w:lang w:val="en-CA"/>
        </w:rPr>
        <w:t xml:space="preserve">re maintained at </w:t>
      </w:r>
      <w:r w:rsidR="00D76132" w:rsidRPr="000A3539">
        <w:rPr>
          <w:lang w:val="en-CA"/>
        </w:rPr>
        <w:t xml:space="preserve">85% </w:t>
      </w:r>
      <w:r w:rsidRPr="000A3539">
        <w:rPr>
          <w:lang w:val="en-CA"/>
        </w:rPr>
        <w:t xml:space="preserve">of Index </w:t>
      </w:r>
      <w:r w:rsidR="00D76132" w:rsidRPr="000A3539">
        <w:rPr>
          <w:lang w:val="en-CA"/>
        </w:rPr>
        <w:t>7</w:t>
      </w:r>
      <w:r w:rsidRPr="000A3539">
        <w:rPr>
          <w:lang w:val="en-CA"/>
        </w:rPr>
        <w:t>.</w:t>
      </w:r>
      <w:r w:rsidR="00D76132" w:rsidRPr="000A3539">
        <w:rPr>
          <w:rStyle w:val="Appelnotedebasdep"/>
          <w:lang w:val="en-CA"/>
        </w:rPr>
        <w:footnoteReference w:id="16"/>
      </w:r>
      <w:r w:rsidR="00D76132" w:rsidRPr="000A3539">
        <w:rPr>
          <w:lang w:val="en-CA"/>
        </w:rPr>
        <w:t xml:space="preserve"> </w:t>
      </w:r>
      <w:r w:rsidRPr="000A3539">
        <w:rPr>
          <w:lang w:val="en-CA"/>
        </w:rPr>
        <w:t>That did not change during the 2004 negotiations.</w:t>
      </w:r>
      <w:r w:rsidR="00D76132" w:rsidRPr="000A3539">
        <w:rPr>
          <w:rStyle w:val="Appelnotedebasdep"/>
          <w:lang w:val="en-CA"/>
        </w:rPr>
        <w:footnoteReference w:id="17"/>
      </w:r>
      <w:r w:rsidR="00D76132" w:rsidRPr="000A3539">
        <w:rPr>
          <w:lang w:val="en-CA"/>
        </w:rPr>
        <w:t xml:space="preserve"> </w:t>
      </w:r>
      <w:r w:rsidR="00535A26" w:rsidRPr="000A3539">
        <w:rPr>
          <w:lang w:val="en-CA"/>
        </w:rPr>
        <w:t xml:space="preserve">In </w:t>
      </w:r>
      <w:r w:rsidR="00D76132" w:rsidRPr="000A3539">
        <w:rPr>
          <w:lang w:val="en-CA"/>
        </w:rPr>
        <w:t xml:space="preserve">2009, </w:t>
      </w:r>
      <w:r w:rsidR="00535A26" w:rsidRPr="000A3539">
        <w:rPr>
          <w:lang w:val="en-CA"/>
        </w:rPr>
        <w:t xml:space="preserve">a new </w:t>
      </w:r>
      <w:r w:rsidR="00D76132" w:rsidRPr="000A3539">
        <w:rPr>
          <w:lang w:val="en-CA"/>
        </w:rPr>
        <w:t>collective</w:t>
      </w:r>
      <w:r w:rsidR="00535A26" w:rsidRPr="000A3539">
        <w:rPr>
          <w:lang w:val="en-CA"/>
        </w:rPr>
        <w:t xml:space="preserve"> </w:t>
      </w:r>
      <w:r w:rsidR="00D76132" w:rsidRPr="000A3539">
        <w:rPr>
          <w:lang w:val="en-CA"/>
        </w:rPr>
        <w:t>agreement</w:t>
      </w:r>
      <w:r w:rsidR="00535A26" w:rsidRPr="000A3539">
        <w:rPr>
          <w:lang w:val="en-CA"/>
        </w:rPr>
        <w:t xml:space="preserve"> came into force</w:t>
      </w:r>
      <w:r w:rsidR="00D76132" w:rsidRPr="000A3539">
        <w:rPr>
          <w:lang w:val="en-CA"/>
        </w:rPr>
        <w:t xml:space="preserve">. </w:t>
      </w:r>
      <w:r w:rsidRPr="000A3539">
        <w:rPr>
          <w:lang w:val="en-CA"/>
        </w:rPr>
        <w:t xml:space="preserve">The wage indexes were reduced from </w:t>
      </w:r>
      <w:r w:rsidR="00D76132" w:rsidRPr="000A3539">
        <w:rPr>
          <w:lang w:val="en-CA"/>
        </w:rPr>
        <w:t>7 </w:t>
      </w:r>
      <w:r w:rsidRPr="000A3539">
        <w:rPr>
          <w:lang w:val="en-CA"/>
        </w:rPr>
        <w:t>to</w:t>
      </w:r>
      <w:r w:rsidR="00D76132" w:rsidRPr="000A3539">
        <w:rPr>
          <w:lang w:val="en-CA"/>
        </w:rPr>
        <w:t xml:space="preserve"> 5 </w:t>
      </w:r>
      <w:r w:rsidRPr="000A3539">
        <w:rPr>
          <w:lang w:val="en-CA"/>
        </w:rPr>
        <w:t>and were renamed by the</w:t>
      </w:r>
      <w:r w:rsidR="00AC1998" w:rsidRPr="000A3539">
        <w:rPr>
          <w:lang w:val="en-CA"/>
        </w:rPr>
        <w:t xml:space="preserve"> letters</w:t>
      </w:r>
      <w:r w:rsidRPr="000A3539">
        <w:rPr>
          <w:lang w:val="en-CA"/>
        </w:rPr>
        <w:t xml:space="preserve"> </w:t>
      </w:r>
      <w:r w:rsidR="00D76132" w:rsidRPr="000A3539">
        <w:rPr>
          <w:lang w:val="en-CA"/>
        </w:rPr>
        <w:t>A </w:t>
      </w:r>
      <w:r w:rsidRPr="000A3539">
        <w:rPr>
          <w:lang w:val="en-CA"/>
        </w:rPr>
        <w:t>to</w:t>
      </w:r>
      <w:r w:rsidR="00D76132" w:rsidRPr="000A3539">
        <w:rPr>
          <w:lang w:val="en-CA"/>
        </w:rPr>
        <w:t> E</w:t>
      </w:r>
      <w:r w:rsidRPr="000A3539">
        <w:rPr>
          <w:lang w:val="en-CA"/>
        </w:rPr>
        <w:t xml:space="preserve"> – Index </w:t>
      </w:r>
      <w:r w:rsidR="00D76132" w:rsidRPr="000A3539">
        <w:rPr>
          <w:lang w:val="en-CA"/>
        </w:rPr>
        <w:t xml:space="preserve">E </w:t>
      </w:r>
      <w:r w:rsidRPr="000A3539">
        <w:rPr>
          <w:lang w:val="en-CA"/>
        </w:rPr>
        <w:t>being reserved for students.</w:t>
      </w:r>
      <w:r w:rsidR="00D76132" w:rsidRPr="000A3539">
        <w:rPr>
          <w:rStyle w:val="Appelnotedebasdep"/>
          <w:lang w:val="en-CA"/>
        </w:rPr>
        <w:footnoteReference w:id="18"/>
      </w:r>
      <w:r w:rsidR="00D76132" w:rsidRPr="000A3539">
        <w:rPr>
          <w:lang w:val="en-CA"/>
        </w:rPr>
        <w:t xml:space="preserve"> </w:t>
      </w:r>
      <w:r w:rsidR="00AC1998" w:rsidRPr="000A3539">
        <w:rPr>
          <w:lang w:val="en-CA"/>
        </w:rPr>
        <w:t>The difference between the students’ wages and that of the other employees was then increased.</w:t>
      </w:r>
      <w:r w:rsidR="00D76132" w:rsidRPr="000A3539">
        <w:rPr>
          <w:rStyle w:val="Appelnotedebasdep"/>
          <w:lang w:val="en-CA"/>
        </w:rPr>
        <w:footnoteReference w:id="19"/>
      </w:r>
      <w:r w:rsidR="00D76132" w:rsidRPr="000A3539">
        <w:rPr>
          <w:lang w:val="en-CA"/>
        </w:rPr>
        <w:t xml:space="preserve"> </w:t>
      </w:r>
      <w:r w:rsidR="00AC1998" w:rsidRPr="000A3539">
        <w:rPr>
          <w:lang w:val="en-CA"/>
        </w:rPr>
        <w:t xml:space="preserve">These </w:t>
      </w:r>
      <w:r w:rsidR="00D76132" w:rsidRPr="000A3539">
        <w:rPr>
          <w:lang w:val="en-CA"/>
        </w:rPr>
        <w:t>cat</w:t>
      </w:r>
      <w:r w:rsidR="00AC1998" w:rsidRPr="000A3539">
        <w:rPr>
          <w:lang w:val="en-CA"/>
        </w:rPr>
        <w:t>e</w:t>
      </w:r>
      <w:r w:rsidR="00D76132" w:rsidRPr="000A3539">
        <w:rPr>
          <w:lang w:val="en-CA"/>
        </w:rPr>
        <w:t xml:space="preserve">gories </w:t>
      </w:r>
      <w:r w:rsidR="00AC1998" w:rsidRPr="000A3539">
        <w:rPr>
          <w:lang w:val="en-CA"/>
        </w:rPr>
        <w:t xml:space="preserve">were maintained in the 2012–2017 </w:t>
      </w:r>
      <w:r w:rsidR="00D76132" w:rsidRPr="000A3539">
        <w:rPr>
          <w:lang w:val="en-CA"/>
        </w:rPr>
        <w:t>collective</w:t>
      </w:r>
      <w:r w:rsidR="00AC1998" w:rsidRPr="000A3539">
        <w:rPr>
          <w:lang w:val="en-CA"/>
        </w:rPr>
        <w:t xml:space="preserve"> </w:t>
      </w:r>
      <w:r w:rsidR="00D76132" w:rsidRPr="000A3539">
        <w:rPr>
          <w:lang w:val="en-CA"/>
        </w:rPr>
        <w:t>agreement</w:t>
      </w:r>
      <w:r w:rsidR="00AC1998" w:rsidRPr="000A3539">
        <w:rPr>
          <w:lang w:val="en-CA"/>
        </w:rPr>
        <w:t>.</w:t>
      </w:r>
      <w:r w:rsidR="00D76132" w:rsidRPr="000A3539">
        <w:rPr>
          <w:rStyle w:val="Appelnotedebasdep"/>
          <w:lang w:val="en-CA"/>
        </w:rPr>
        <w:footnoteReference w:id="20"/>
      </w:r>
    </w:p>
    <w:p w14:paraId="69D7879A" w14:textId="638F5E86" w:rsidR="00352837" w:rsidRPr="000A3539" w:rsidRDefault="00535A26" w:rsidP="00352837">
      <w:pPr>
        <w:pStyle w:val="Style1premiertitre"/>
        <w:spacing w:line="280" w:lineRule="exact"/>
        <w:rPr>
          <w:lang w:val="en-CA"/>
        </w:rPr>
      </w:pPr>
      <w:r w:rsidRPr="000A3539">
        <w:rPr>
          <w:lang w:val="en-CA"/>
        </w:rPr>
        <w:t>The judgment under appeal</w:t>
      </w:r>
    </w:p>
    <w:p w14:paraId="0C79FEDB" w14:textId="5C21D8A7" w:rsidR="00352837" w:rsidRPr="000A3539" w:rsidRDefault="004C75C5" w:rsidP="00352837">
      <w:pPr>
        <w:pStyle w:val="Paragraphe"/>
        <w:rPr>
          <w:lang w:val="en-CA"/>
        </w:rPr>
      </w:pPr>
      <w:r w:rsidRPr="000A3539">
        <w:rPr>
          <w:lang w:val="en-CA"/>
        </w:rPr>
        <w:t>The</w:t>
      </w:r>
      <w:r w:rsidR="00D76132" w:rsidRPr="000A3539">
        <w:rPr>
          <w:lang w:val="en-CA"/>
        </w:rPr>
        <w:t xml:space="preserve"> Tribunal</w:t>
      </w:r>
      <w:r w:rsidR="00611D03" w:rsidRPr="000A3539">
        <w:rPr>
          <w:lang w:val="en-CA"/>
        </w:rPr>
        <w:t>’s decision is set out in remarkable detail</w:t>
      </w:r>
      <w:r w:rsidR="00D76132" w:rsidRPr="000A3539">
        <w:rPr>
          <w:lang w:val="en-CA"/>
        </w:rPr>
        <w:t xml:space="preserve"> (579 paragraphs </w:t>
      </w:r>
      <w:r w:rsidR="00611D03" w:rsidRPr="000A3539">
        <w:rPr>
          <w:lang w:val="en-CA"/>
        </w:rPr>
        <w:t xml:space="preserve">spanning </w:t>
      </w:r>
      <w:r w:rsidR="00D76132" w:rsidRPr="000A3539">
        <w:rPr>
          <w:lang w:val="en-CA"/>
        </w:rPr>
        <w:t xml:space="preserve">97 pages). </w:t>
      </w:r>
    </w:p>
    <w:p w14:paraId="3F32DE37" w14:textId="7AEDD140" w:rsidR="00352837" w:rsidRPr="000A3539" w:rsidRDefault="00F45F86" w:rsidP="00352837">
      <w:pPr>
        <w:pStyle w:val="Paragraphe"/>
        <w:rPr>
          <w:lang w:val="en-CA"/>
        </w:rPr>
      </w:pPr>
      <w:r w:rsidRPr="000A3539">
        <w:rPr>
          <w:lang w:val="en-CA"/>
        </w:rPr>
        <w:t xml:space="preserve">After </w:t>
      </w:r>
      <w:r w:rsidR="00872790">
        <w:rPr>
          <w:lang w:val="en-CA"/>
        </w:rPr>
        <w:t xml:space="preserve">describing </w:t>
      </w:r>
      <w:r w:rsidRPr="000A3539">
        <w:rPr>
          <w:lang w:val="en-CA"/>
        </w:rPr>
        <w:t>the plant, its various sectors</w:t>
      </w:r>
      <w:r w:rsidR="00D76132" w:rsidRPr="000A3539">
        <w:rPr>
          <w:lang w:val="en-CA"/>
        </w:rPr>
        <w:t xml:space="preserve">, </w:t>
      </w:r>
      <w:r w:rsidR="00C55351" w:rsidRPr="000A3539">
        <w:rPr>
          <w:lang w:val="en-CA"/>
        </w:rPr>
        <w:t>its o</w:t>
      </w:r>
      <w:r w:rsidR="00D76132" w:rsidRPr="000A3539">
        <w:rPr>
          <w:lang w:val="en-CA"/>
        </w:rPr>
        <w:t>p</w:t>
      </w:r>
      <w:r w:rsidR="00C55351" w:rsidRPr="000A3539">
        <w:rPr>
          <w:lang w:val="en-CA"/>
        </w:rPr>
        <w:t>e</w:t>
      </w:r>
      <w:r w:rsidR="00D76132" w:rsidRPr="000A3539">
        <w:rPr>
          <w:lang w:val="en-CA"/>
        </w:rPr>
        <w:t>rations divi</w:t>
      </w:r>
      <w:r w:rsidR="00C55351" w:rsidRPr="000A3539">
        <w:rPr>
          <w:lang w:val="en-CA"/>
        </w:rPr>
        <w:t xml:space="preserve">ded </w:t>
      </w:r>
      <w:r w:rsidR="000A3539" w:rsidRPr="000A3539">
        <w:rPr>
          <w:lang w:val="en-CA"/>
        </w:rPr>
        <w:t>into</w:t>
      </w:r>
      <w:r w:rsidR="00C55351" w:rsidRPr="000A3539">
        <w:rPr>
          <w:lang w:val="en-CA"/>
        </w:rPr>
        <w:t xml:space="preserve"> positions </w:t>
      </w:r>
      <w:r w:rsidR="00E76CA1">
        <w:rPr>
          <w:lang w:val="en-CA"/>
        </w:rPr>
        <w:t>that include</w:t>
      </w:r>
      <w:r w:rsidR="00E76CA1" w:rsidRPr="000A3539">
        <w:rPr>
          <w:lang w:val="en-CA"/>
        </w:rPr>
        <w:t xml:space="preserve"> </w:t>
      </w:r>
      <w:r w:rsidR="00C55351" w:rsidRPr="000A3539">
        <w:rPr>
          <w:lang w:val="en-CA"/>
        </w:rPr>
        <w:t>a certain number of tasks, the training require</w:t>
      </w:r>
      <w:r w:rsidR="00AD2204">
        <w:rPr>
          <w:lang w:val="en-CA"/>
        </w:rPr>
        <w:t>d</w:t>
      </w:r>
      <w:r w:rsidR="00C55351" w:rsidRPr="000A3539">
        <w:rPr>
          <w:lang w:val="en-CA"/>
        </w:rPr>
        <w:t xml:space="preserve"> to perform a task, the existing </w:t>
      </w:r>
      <w:r w:rsidR="00D76132" w:rsidRPr="000A3539">
        <w:rPr>
          <w:lang w:val="en-CA"/>
        </w:rPr>
        <w:t>collective</w:t>
      </w:r>
      <w:r w:rsidR="006720A1" w:rsidRPr="000A3539">
        <w:rPr>
          <w:lang w:val="en-CA"/>
        </w:rPr>
        <w:t xml:space="preserve"> </w:t>
      </w:r>
      <w:r w:rsidR="00D76132" w:rsidRPr="000A3539">
        <w:rPr>
          <w:lang w:val="en-CA"/>
        </w:rPr>
        <w:t xml:space="preserve">agreements, </w:t>
      </w:r>
      <w:r w:rsidR="006720A1" w:rsidRPr="000A3539">
        <w:rPr>
          <w:lang w:val="en-CA"/>
        </w:rPr>
        <w:t xml:space="preserve">students’ </w:t>
      </w:r>
      <w:r w:rsidR="00D76132" w:rsidRPr="000A3539">
        <w:rPr>
          <w:lang w:val="en-CA"/>
        </w:rPr>
        <w:t xml:space="preserve">conditions </w:t>
      </w:r>
      <w:r w:rsidR="006720A1" w:rsidRPr="000A3539">
        <w:rPr>
          <w:lang w:val="en-CA"/>
        </w:rPr>
        <w:t>of employment</w:t>
      </w:r>
      <w:r w:rsidR="00D76132" w:rsidRPr="000A3539">
        <w:rPr>
          <w:lang w:val="en-CA"/>
        </w:rPr>
        <w:t xml:space="preserve"> (para</w:t>
      </w:r>
      <w:r w:rsidR="006720A1" w:rsidRPr="000A3539">
        <w:rPr>
          <w:lang w:val="en-CA"/>
        </w:rPr>
        <w:t>s</w:t>
      </w:r>
      <w:r w:rsidR="00D76132" w:rsidRPr="000A3539">
        <w:rPr>
          <w:lang w:val="en-CA"/>
        </w:rPr>
        <w:t xml:space="preserve">. 20 </w:t>
      </w:r>
      <w:r w:rsidR="006720A1" w:rsidRPr="000A3539">
        <w:rPr>
          <w:lang w:val="en-CA"/>
        </w:rPr>
        <w:t>to</w:t>
      </w:r>
      <w:r w:rsidR="00D76132" w:rsidRPr="000A3539">
        <w:rPr>
          <w:lang w:val="en-CA"/>
        </w:rPr>
        <w:t xml:space="preserve"> 50), </w:t>
      </w:r>
      <w:r w:rsidR="006720A1" w:rsidRPr="000A3539">
        <w:rPr>
          <w:lang w:val="en-CA"/>
        </w:rPr>
        <w:t xml:space="preserve">the </w:t>
      </w:r>
      <w:r w:rsidR="00D76132" w:rsidRPr="000A3539">
        <w:rPr>
          <w:lang w:val="en-CA"/>
        </w:rPr>
        <w:t>Tribunal</w:t>
      </w:r>
      <w:r w:rsidR="006720A1" w:rsidRPr="000A3539">
        <w:rPr>
          <w:lang w:val="en-CA"/>
        </w:rPr>
        <w:t xml:space="preserve"> set out in a specific and detailed manner the terms of remuneration paid to employees over the yea</w:t>
      </w:r>
      <w:r w:rsidR="00393A9C" w:rsidRPr="000A3539">
        <w:rPr>
          <w:lang w:val="en-CA"/>
        </w:rPr>
        <w:t>r</w:t>
      </w:r>
      <w:r w:rsidR="006720A1" w:rsidRPr="000A3539">
        <w:rPr>
          <w:lang w:val="en-CA"/>
        </w:rPr>
        <w:t>s</w:t>
      </w:r>
      <w:r w:rsidR="00D76132" w:rsidRPr="000A3539">
        <w:rPr>
          <w:lang w:val="en-CA"/>
        </w:rPr>
        <w:t xml:space="preserve"> </w:t>
      </w:r>
      <w:r w:rsidR="00393A9C" w:rsidRPr="000A3539">
        <w:rPr>
          <w:lang w:val="en-CA"/>
        </w:rPr>
        <w:t xml:space="preserve">under the aegis of the various </w:t>
      </w:r>
      <w:r w:rsidR="00D76132" w:rsidRPr="000A3539">
        <w:rPr>
          <w:lang w:val="en-CA"/>
        </w:rPr>
        <w:t>collective</w:t>
      </w:r>
      <w:r w:rsidR="00393A9C" w:rsidRPr="000A3539">
        <w:rPr>
          <w:lang w:val="en-CA"/>
        </w:rPr>
        <w:t xml:space="preserve"> </w:t>
      </w:r>
      <w:r w:rsidR="00D76132" w:rsidRPr="000A3539">
        <w:rPr>
          <w:lang w:val="en-CA"/>
        </w:rPr>
        <w:t>agreements</w:t>
      </w:r>
      <w:r w:rsidR="00393A9C" w:rsidRPr="000A3539">
        <w:rPr>
          <w:lang w:val="en-CA"/>
        </w:rPr>
        <w:t xml:space="preserve"> and analyzed the </w:t>
      </w:r>
      <w:r w:rsidR="00D76132" w:rsidRPr="000A3539">
        <w:rPr>
          <w:lang w:val="en-CA"/>
        </w:rPr>
        <w:t xml:space="preserve">situation </w:t>
      </w:r>
      <w:r w:rsidR="00393A9C" w:rsidRPr="000A3539">
        <w:rPr>
          <w:lang w:val="en-CA"/>
        </w:rPr>
        <w:t>of each of the plant’s sectors:</w:t>
      </w:r>
      <w:r w:rsidR="00D76132" w:rsidRPr="000A3539">
        <w:rPr>
          <w:lang w:val="en-CA"/>
        </w:rPr>
        <w:t xml:space="preserve"> (1) Carbon</w:t>
      </w:r>
      <w:r w:rsidR="00393A9C" w:rsidRPr="000A3539">
        <w:rPr>
          <w:lang w:val="en-CA"/>
        </w:rPr>
        <w:t>,</w:t>
      </w:r>
      <w:r w:rsidR="00D76132" w:rsidRPr="000A3539">
        <w:rPr>
          <w:rStyle w:val="Appelnotedebasdep"/>
          <w:lang w:val="en-CA"/>
        </w:rPr>
        <w:footnoteReference w:id="21"/>
      </w:r>
      <w:r w:rsidR="00D76132" w:rsidRPr="000A3539">
        <w:rPr>
          <w:lang w:val="en-CA"/>
        </w:rPr>
        <w:t xml:space="preserve"> (2) </w:t>
      </w:r>
      <w:r w:rsidR="00393A9C" w:rsidRPr="000A3539">
        <w:rPr>
          <w:lang w:val="en-CA"/>
        </w:rPr>
        <w:t>E</w:t>
      </w:r>
      <w:r w:rsidR="00D76132" w:rsidRPr="000A3539">
        <w:rPr>
          <w:lang w:val="en-CA"/>
        </w:rPr>
        <w:t>lectrolys</w:t>
      </w:r>
      <w:r w:rsidR="00393A9C" w:rsidRPr="000A3539">
        <w:rPr>
          <w:lang w:val="en-CA"/>
        </w:rPr>
        <w:t>is,</w:t>
      </w:r>
      <w:r w:rsidR="00D76132" w:rsidRPr="000A3539">
        <w:rPr>
          <w:rStyle w:val="Appelnotedebasdep"/>
          <w:lang w:val="en-CA"/>
        </w:rPr>
        <w:footnoteReference w:id="22"/>
      </w:r>
      <w:r w:rsidR="00D76132" w:rsidRPr="000A3539">
        <w:rPr>
          <w:lang w:val="en-CA"/>
        </w:rPr>
        <w:t xml:space="preserve"> (3) Fo</w:t>
      </w:r>
      <w:r w:rsidR="00393A9C" w:rsidRPr="000A3539">
        <w:rPr>
          <w:lang w:val="en-CA"/>
        </w:rPr>
        <w:t>u</w:t>
      </w:r>
      <w:r w:rsidR="00D76132" w:rsidRPr="000A3539">
        <w:rPr>
          <w:lang w:val="en-CA"/>
        </w:rPr>
        <w:t>nd</w:t>
      </w:r>
      <w:r w:rsidR="00393A9C" w:rsidRPr="000A3539">
        <w:rPr>
          <w:lang w:val="en-CA"/>
        </w:rPr>
        <w:t>ry,</w:t>
      </w:r>
      <w:r w:rsidR="00D76132" w:rsidRPr="000A3539">
        <w:rPr>
          <w:rStyle w:val="Appelnotedebasdep"/>
          <w:lang w:val="en-CA"/>
        </w:rPr>
        <w:footnoteReference w:id="23"/>
      </w:r>
      <w:r w:rsidR="00393A9C" w:rsidRPr="000A3539">
        <w:rPr>
          <w:lang w:val="en-CA"/>
        </w:rPr>
        <w:t xml:space="preserve"> (4) Laborato</w:t>
      </w:r>
      <w:r w:rsidR="00D76132" w:rsidRPr="000A3539">
        <w:rPr>
          <w:lang w:val="en-CA"/>
        </w:rPr>
        <w:t>r</w:t>
      </w:r>
      <w:r w:rsidR="00393A9C" w:rsidRPr="000A3539">
        <w:rPr>
          <w:lang w:val="en-CA"/>
        </w:rPr>
        <w:t>y,</w:t>
      </w:r>
      <w:r w:rsidR="00D76132" w:rsidRPr="000A3539">
        <w:rPr>
          <w:rStyle w:val="Appelnotedebasdep"/>
          <w:lang w:val="en-CA"/>
        </w:rPr>
        <w:footnoteReference w:id="24"/>
      </w:r>
      <w:r w:rsidR="00D76132" w:rsidRPr="000A3539">
        <w:rPr>
          <w:lang w:val="en-CA"/>
        </w:rPr>
        <w:t xml:space="preserve"> (5) </w:t>
      </w:r>
      <w:r w:rsidR="00393A9C" w:rsidRPr="000A3539">
        <w:rPr>
          <w:lang w:val="en-CA"/>
        </w:rPr>
        <w:t>Handling</w:t>
      </w:r>
      <w:r w:rsidR="00D76132" w:rsidRPr="000A3539">
        <w:rPr>
          <w:lang w:val="en-CA"/>
        </w:rPr>
        <w:t xml:space="preserve"> – Transport</w:t>
      </w:r>
      <w:r w:rsidR="00393A9C" w:rsidRPr="000A3539">
        <w:rPr>
          <w:lang w:val="en-CA"/>
        </w:rPr>
        <w:t>,</w:t>
      </w:r>
      <w:r w:rsidR="00D76132" w:rsidRPr="000A3539">
        <w:rPr>
          <w:rStyle w:val="Appelnotedebasdep"/>
          <w:lang w:val="en-CA"/>
        </w:rPr>
        <w:footnoteReference w:id="25"/>
      </w:r>
      <w:r w:rsidR="00D76132" w:rsidRPr="000A3539">
        <w:rPr>
          <w:lang w:val="en-CA"/>
        </w:rPr>
        <w:t xml:space="preserve"> (6) Ca</w:t>
      </w:r>
      <w:r w:rsidR="00393A9C" w:rsidRPr="000A3539">
        <w:rPr>
          <w:lang w:val="en-CA"/>
        </w:rPr>
        <w:t>tchment,</w:t>
      </w:r>
      <w:r w:rsidR="00D76132" w:rsidRPr="000A3539">
        <w:rPr>
          <w:rStyle w:val="Appelnotedebasdep"/>
          <w:lang w:val="en-CA"/>
        </w:rPr>
        <w:footnoteReference w:id="26"/>
      </w:r>
      <w:r w:rsidR="00D76132" w:rsidRPr="000A3539">
        <w:rPr>
          <w:lang w:val="en-CA"/>
        </w:rPr>
        <w:t xml:space="preserve"> (7) </w:t>
      </w:r>
      <w:r w:rsidR="00393A9C" w:rsidRPr="000A3539">
        <w:rPr>
          <w:lang w:val="en-CA"/>
        </w:rPr>
        <w:t>Engineering,</w:t>
      </w:r>
      <w:r w:rsidR="00D76132" w:rsidRPr="000A3539">
        <w:rPr>
          <w:rStyle w:val="Appelnotedebasdep"/>
          <w:lang w:val="en-CA"/>
        </w:rPr>
        <w:footnoteReference w:id="27"/>
      </w:r>
      <w:r w:rsidR="00D76132" w:rsidRPr="000A3539">
        <w:rPr>
          <w:lang w:val="en-CA"/>
        </w:rPr>
        <w:t xml:space="preserve"> (8) </w:t>
      </w:r>
      <w:r w:rsidR="00393A9C" w:rsidRPr="000A3539">
        <w:rPr>
          <w:lang w:val="en-CA"/>
        </w:rPr>
        <w:t>Procurement,</w:t>
      </w:r>
      <w:r w:rsidR="00D76132" w:rsidRPr="000A3539">
        <w:rPr>
          <w:rStyle w:val="Appelnotedebasdep"/>
          <w:lang w:val="en-CA"/>
        </w:rPr>
        <w:footnoteReference w:id="28"/>
      </w:r>
      <w:r w:rsidR="00393A9C" w:rsidRPr="000A3539">
        <w:rPr>
          <w:lang w:val="en-CA"/>
        </w:rPr>
        <w:t xml:space="preserve"> and </w:t>
      </w:r>
      <w:r w:rsidR="00D76132" w:rsidRPr="000A3539">
        <w:rPr>
          <w:lang w:val="en-CA"/>
        </w:rPr>
        <w:t>(9) </w:t>
      </w:r>
      <w:r w:rsidR="00393A9C" w:rsidRPr="000A3539">
        <w:rPr>
          <w:lang w:val="en-CA"/>
        </w:rPr>
        <w:t>Maintenance</w:t>
      </w:r>
      <w:r w:rsidR="00D76132" w:rsidRPr="000A3539">
        <w:rPr>
          <w:rStyle w:val="Appelnotedebasdep"/>
          <w:lang w:val="en-CA"/>
        </w:rPr>
        <w:footnoteReference w:id="29"/>
      </w:r>
      <w:r w:rsidR="00393A9C" w:rsidRPr="000A3539">
        <w:rPr>
          <w:lang w:val="en-CA"/>
        </w:rPr>
        <w:t xml:space="preserve"> to </w:t>
      </w:r>
      <w:r w:rsidR="00D76132" w:rsidRPr="000A3539">
        <w:rPr>
          <w:lang w:val="en-CA"/>
        </w:rPr>
        <w:t>d</w:t>
      </w:r>
      <w:r w:rsidR="00393A9C" w:rsidRPr="000A3539">
        <w:rPr>
          <w:lang w:val="en-CA"/>
        </w:rPr>
        <w:t>e</w:t>
      </w:r>
      <w:r w:rsidR="00D76132" w:rsidRPr="000A3539">
        <w:rPr>
          <w:lang w:val="en-CA"/>
        </w:rPr>
        <w:t>termine</w:t>
      </w:r>
      <w:r w:rsidR="00393A9C" w:rsidRPr="000A3539">
        <w:rPr>
          <w:lang w:val="en-CA"/>
        </w:rPr>
        <w:t xml:space="preserve"> whether the students </w:t>
      </w:r>
      <w:r w:rsidR="000A3539" w:rsidRPr="000A3539">
        <w:rPr>
          <w:lang w:val="en-CA"/>
        </w:rPr>
        <w:t>perform</w:t>
      </w:r>
      <w:r w:rsidR="00393A9C" w:rsidRPr="000A3539">
        <w:rPr>
          <w:lang w:val="en-CA"/>
        </w:rPr>
        <w:t xml:space="preserve"> work that is equivalent to that of the regular or casual employees</w:t>
      </w:r>
      <w:r w:rsidR="00D76132" w:rsidRPr="000A3539">
        <w:rPr>
          <w:lang w:val="en-CA"/>
        </w:rPr>
        <w:t xml:space="preserve"> (para</w:t>
      </w:r>
      <w:r w:rsidR="00393A9C" w:rsidRPr="000A3539">
        <w:rPr>
          <w:lang w:val="en-CA"/>
        </w:rPr>
        <w:t>s</w:t>
      </w:r>
      <w:r w:rsidR="00D76132" w:rsidRPr="000A3539">
        <w:rPr>
          <w:lang w:val="en-CA"/>
        </w:rPr>
        <w:t xml:space="preserve">. 51 </w:t>
      </w:r>
      <w:r w:rsidR="00393A9C" w:rsidRPr="000A3539">
        <w:rPr>
          <w:lang w:val="en-CA"/>
        </w:rPr>
        <w:t>to</w:t>
      </w:r>
      <w:r w:rsidR="00D76132" w:rsidRPr="000A3539">
        <w:rPr>
          <w:lang w:val="en-CA"/>
        </w:rPr>
        <w:t xml:space="preserve"> 215). </w:t>
      </w:r>
    </w:p>
    <w:p w14:paraId="1D83C8D6" w14:textId="1D59FE99" w:rsidR="00352837" w:rsidRPr="000A3539" w:rsidRDefault="00393A9C" w:rsidP="00352837">
      <w:pPr>
        <w:pStyle w:val="Paragraphe"/>
        <w:rPr>
          <w:lang w:val="en-CA"/>
        </w:rPr>
      </w:pPr>
      <w:r w:rsidRPr="000A3539">
        <w:rPr>
          <w:lang w:val="en-CA"/>
        </w:rPr>
        <w:t xml:space="preserve">It explained </w:t>
      </w:r>
      <w:r w:rsidR="00636F75" w:rsidRPr="000A3539">
        <w:rPr>
          <w:lang w:val="en-CA"/>
        </w:rPr>
        <w:t>how the plant functions in fact by describing the tasks performed by the students</w:t>
      </w:r>
      <w:r w:rsidR="00D76132" w:rsidRPr="000A3539">
        <w:rPr>
          <w:lang w:val="en-CA"/>
        </w:rPr>
        <w:t>,</w:t>
      </w:r>
      <w:r w:rsidR="00636F75" w:rsidRPr="000A3539">
        <w:rPr>
          <w:lang w:val="en-CA"/>
        </w:rPr>
        <w:t xml:space="preserve"> casuals, and regular employees, as well as the history of their training</w:t>
      </w:r>
      <w:r w:rsidR="00D76132" w:rsidRPr="000A3539">
        <w:rPr>
          <w:lang w:val="en-CA"/>
        </w:rPr>
        <w:t xml:space="preserve"> (para</w:t>
      </w:r>
      <w:r w:rsidR="00636F75" w:rsidRPr="000A3539">
        <w:rPr>
          <w:lang w:val="en-CA"/>
        </w:rPr>
        <w:t>s</w:t>
      </w:r>
      <w:r w:rsidR="00D76132" w:rsidRPr="000A3539">
        <w:rPr>
          <w:lang w:val="en-CA"/>
        </w:rPr>
        <w:t xml:space="preserve">. 215 </w:t>
      </w:r>
      <w:r w:rsidR="00636F75" w:rsidRPr="000A3539">
        <w:rPr>
          <w:lang w:val="en-CA"/>
        </w:rPr>
        <w:t>to</w:t>
      </w:r>
      <w:r w:rsidR="00D76132" w:rsidRPr="000A3539">
        <w:rPr>
          <w:lang w:val="en-CA"/>
        </w:rPr>
        <w:t xml:space="preserve"> 307).</w:t>
      </w:r>
    </w:p>
    <w:p w14:paraId="63BC7FF3" w14:textId="50B82ADC" w:rsidR="00352837" w:rsidRPr="000A3539" w:rsidRDefault="00256509" w:rsidP="00352837">
      <w:pPr>
        <w:pStyle w:val="Paragraphe"/>
        <w:rPr>
          <w:shd w:val="clear" w:color="auto" w:fill="FFFFFF"/>
          <w:lang w:val="en-CA"/>
        </w:rPr>
      </w:pPr>
      <w:r w:rsidRPr="000A3539">
        <w:rPr>
          <w:lang w:val="en-CA"/>
        </w:rPr>
        <w:t xml:space="preserve">The </w:t>
      </w:r>
      <w:r w:rsidR="00D76132" w:rsidRPr="000A3539">
        <w:rPr>
          <w:lang w:val="en-CA"/>
        </w:rPr>
        <w:t>Tribunal</w:t>
      </w:r>
      <w:r w:rsidRPr="000A3539">
        <w:rPr>
          <w:lang w:val="en-CA"/>
        </w:rPr>
        <w:t xml:space="preserve"> noted that the </w:t>
      </w:r>
      <w:r w:rsidR="00187D53" w:rsidRPr="000A3539">
        <w:rPr>
          <w:lang w:val="en-CA"/>
        </w:rPr>
        <w:t xml:space="preserve">difference </w:t>
      </w:r>
      <w:r w:rsidR="00D76132" w:rsidRPr="000A3539">
        <w:rPr>
          <w:lang w:val="en-CA"/>
        </w:rPr>
        <w:t>(</w:t>
      </w:r>
      <w:r w:rsidR="00187D53" w:rsidRPr="000A3539">
        <w:rPr>
          <w:lang w:val="en-CA"/>
        </w:rPr>
        <w:t xml:space="preserve">which has existed since </w:t>
      </w:r>
      <w:r w:rsidR="00D76132" w:rsidRPr="000A3539">
        <w:rPr>
          <w:lang w:val="en-CA"/>
        </w:rPr>
        <w:t>January</w:t>
      </w:r>
      <w:r w:rsidR="00187D53" w:rsidRPr="000A3539">
        <w:rPr>
          <w:lang w:val="en-CA"/>
        </w:rPr>
        <w:t xml:space="preserve"> 1,</w:t>
      </w:r>
      <w:r w:rsidR="00D76132" w:rsidRPr="000A3539">
        <w:rPr>
          <w:lang w:val="en-CA"/>
        </w:rPr>
        <w:t xml:space="preserve"> 1995) </w:t>
      </w:r>
      <w:r w:rsidR="00187D53" w:rsidRPr="000A3539">
        <w:rPr>
          <w:lang w:val="en-CA"/>
        </w:rPr>
        <w:t xml:space="preserve">in students’ wages and that of casual and regular employees </w:t>
      </w:r>
      <w:r w:rsidR="00FA1803">
        <w:rPr>
          <w:lang w:val="en-CA"/>
        </w:rPr>
        <w:t>wa</w:t>
      </w:r>
      <w:r w:rsidR="00187D53" w:rsidRPr="000A3539">
        <w:rPr>
          <w:lang w:val="en-CA"/>
        </w:rPr>
        <w:t xml:space="preserve">s not </w:t>
      </w:r>
      <w:r w:rsidR="00D76132" w:rsidRPr="000A3539">
        <w:rPr>
          <w:lang w:val="en-CA"/>
        </w:rPr>
        <w:t>contest</w:t>
      </w:r>
      <w:r w:rsidR="00187D53" w:rsidRPr="000A3539">
        <w:rPr>
          <w:lang w:val="en-CA"/>
        </w:rPr>
        <w:t xml:space="preserve">ed and that </w:t>
      </w:r>
      <w:r w:rsidR="00187D53" w:rsidRPr="000A3539">
        <w:rPr>
          <w:lang w:val="en-CA"/>
        </w:rPr>
        <w:lastRenderedPageBreak/>
        <w:t>it is even clearly</w:t>
      </w:r>
      <w:r w:rsidR="00D76132" w:rsidRPr="000A3539">
        <w:rPr>
          <w:lang w:val="en-CA"/>
        </w:rPr>
        <w:t xml:space="preserve"> </w:t>
      </w:r>
      <w:r w:rsidR="00187D53" w:rsidRPr="000A3539">
        <w:rPr>
          <w:lang w:val="en-CA"/>
        </w:rPr>
        <w:t xml:space="preserve">set out in the </w:t>
      </w:r>
      <w:r w:rsidR="00D76132" w:rsidRPr="000A3539">
        <w:rPr>
          <w:lang w:val="en-CA"/>
        </w:rPr>
        <w:t>collective</w:t>
      </w:r>
      <w:r w:rsidR="00187D53" w:rsidRPr="000A3539">
        <w:rPr>
          <w:lang w:val="en-CA"/>
        </w:rPr>
        <w:t xml:space="preserve"> </w:t>
      </w:r>
      <w:r w:rsidR="00D76132" w:rsidRPr="000A3539">
        <w:rPr>
          <w:lang w:val="en-CA"/>
        </w:rPr>
        <w:t xml:space="preserve">agreements. </w:t>
      </w:r>
      <w:r w:rsidR="00187D53" w:rsidRPr="000A3539">
        <w:rPr>
          <w:lang w:val="en-CA"/>
        </w:rPr>
        <w:t xml:space="preserve">It then found that this </w:t>
      </w:r>
      <w:r w:rsidR="00D76132" w:rsidRPr="000A3539">
        <w:rPr>
          <w:lang w:val="en-CA"/>
        </w:rPr>
        <w:t xml:space="preserve">distinction </w:t>
      </w:r>
      <w:r w:rsidR="00187D53" w:rsidRPr="000A3539">
        <w:rPr>
          <w:lang w:val="en-CA"/>
        </w:rPr>
        <w:t xml:space="preserve">is based on their social condition </w:t>
      </w:r>
      <w:r w:rsidR="00982CFA" w:rsidRPr="000A3539">
        <w:rPr>
          <w:lang w:val="en-CA"/>
        </w:rPr>
        <w:t>or their age</w:t>
      </w:r>
      <w:r w:rsidR="00D76132" w:rsidRPr="000A3539">
        <w:rPr>
          <w:rStyle w:val="Appelnotedebasdep"/>
          <w:rFonts w:cs="Arial"/>
          <w:lang w:val="en-CA"/>
        </w:rPr>
        <w:footnoteReference w:id="30"/>
      </w:r>
      <w:r w:rsidR="00D76132" w:rsidRPr="000A3539">
        <w:rPr>
          <w:lang w:val="en-CA"/>
        </w:rPr>
        <w:t xml:space="preserve"> (para</w:t>
      </w:r>
      <w:r w:rsidR="00982CFA" w:rsidRPr="000A3539">
        <w:rPr>
          <w:lang w:val="en-CA"/>
        </w:rPr>
        <w:t>s</w:t>
      </w:r>
      <w:r w:rsidR="00D76132" w:rsidRPr="000A3539">
        <w:rPr>
          <w:lang w:val="en-CA"/>
        </w:rPr>
        <w:t xml:space="preserve">. 308 </w:t>
      </w:r>
      <w:r w:rsidR="00982CFA" w:rsidRPr="000A3539">
        <w:rPr>
          <w:lang w:val="en-CA"/>
        </w:rPr>
        <w:t>to</w:t>
      </w:r>
      <w:r w:rsidR="00D76132" w:rsidRPr="000A3539">
        <w:rPr>
          <w:lang w:val="en-CA"/>
        </w:rPr>
        <w:t xml:space="preserve"> 351).</w:t>
      </w:r>
      <w:r w:rsidR="00D76132" w:rsidRPr="000A3539">
        <w:rPr>
          <w:shd w:val="clear" w:color="auto" w:fill="FFFFFF"/>
          <w:lang w:val="en-CA"/>
        </w:rPr>
        <w:t xml:space="preserve"> </w:t>
      </w:r>
      <w:r w:rsidR="00982CFA" w:rsidRPr="000A3539">
        <w:rPr>
          <w:shd w:val="clear" w:color="auto" w:fill="FFFFFF"/>
          <w:lang w:val="en-CA"/>
        </w:rPr>
        <w:t>I</w:t>
      </w:r>
      <w:r w:rsidR="005A1A58">
        <w:rPr>
          <w:shd w:val="clear" w:color="auto" w:fill="FFFFFF"/>
          <w:lang w:val="en-CA"/>
        </w:rPr>
        <w:t>t</w:t>
      </w:r>
      <w:r w:rsidR="00982CFA" w:rsidRPr="000A3539">
        <w:rPr>
          <w:shd w:val="clear" w:color="auto" w:fill="FFFFFF"/>
          <w:lang w:val="en-CA"/>
        </w:rPr>
        <w:t xml:space="preserve"> </w:t>
      </w:r>
      <w:r w:rsidR="00D76132" w:rsidRPr="000A3539">
        <w:rPr>
          <w:lang w:val="en-CA"/>
        </w:rPr>
        <w:t>conclu</w:t>
      </w:r>
      <w:r w:rsidR="00982CFA" w:rsidRPr="000A3539">
        <w:rPr>
          <w:lang w:val="en-CA"/>
        </w:rPr>
        <w:t>ded that this</w:t>
      </w:r>
      <w:r w:rsidR="00D76132" w:rsidRPr="000A3539">
        <w:rPr>
          <w:lang w:val="en-CA"/>
        </w:rPr>
        <w:t xml:space="preserve"> distinction </w:t>
      </w:r>
      <w:r w:rsidR="00982CFA" w:rsidRPr="000A3539">
        <w:rPr>
          <w:lang w:val="en-CA"/>
        </w:rPr>
        <w:t>impaired the students’ right to receive equal wages for equivalent work</w:t>
      </w:r>
      <w:r w:rsidR="00D76132" w:rsidRPr="000A3539">
        <w:rPr>
          <w:lang w:val="en-CA"/>
        </w:rPr>
        <w:t xml:space="preserve"> (para</w:t>
      </w:r>
      <w:r w:rsidR="00982CFA" w:rsidRPr="000A3539">
        <w:rPr>
          <w:lang w:val="en-CA"/>
        </w:rPr>
        <w:t>s</w:t>
      </w:r>
      <w:r w:rsidR="00D76132" w:rsidRPr="000A3539">
        <w:rPr>
          <w:lang w:val="en-CA"/>
        </w:rPr>
        <w:t xml:space="preserve">. 352 </w:t>
      </w:r>
      <w:r w:rsidR="00982CFA" w:rsidRPr="000A3539">
        <w:rPr>
          <w:lang w:val="en-CA"/>
        </w:rPr>
        <w:t>to</w:t>
      </w:r>
      <w:r w:rsidR="00D76132" w:rsidRPr="000A3539">
        <w:rPr>
          <w:lang w:val="en-CA"/>
        </w:rPr>
        <w:t xml:space="preserve"> 357).</w:t>
      </w:r>
    </w:p>
    <w:p w14:paraId="51856EAF" w14:textId="01A6CACC" w:rsidR="00352837" w:rsidRPr="000A3539" w:rsidRDefault="00871145" w:rsidP="00352837">
      <w:pPr>
        <w:pStyle w:val="Paragraphe"/>
        <w:rPr>
          <w:lang w:val="en-CA"/>
        </w:rPr>
      </w:pPr>
      <w:r w:rsidRPr="000A3539">
        <w:rPr>
          <w:lang w:val="en-CA"/>
        </w:rPr>
        <w:t xml:space="preserve">The </w:t>
      </w:r>
      <w:r w:rsidR="00D76132" w:rsidRPr="000A3539">
        <w:rPr>
          <w:lang w:val="en-CA"/>
        </w:rPr>
        <w:t>Tribunal</w:t>
      </w:r>
      <w:r w:rsidR="00DF2900" w:rsidRPr="000A3539">
        <w:rPr>
          <w:lang w:val="en-CA"/>
        </w:rPr>
        <w:t xml:space="preserve"> also found that the </w:t>
      </w:r>
      <w:r w:rsidR="00D76132" w:rsidRPr="000A3539">
        <w:rPr>
          <w:lang w:val="en-CA"/>
        </w:rPr>
        <w:t xml:space="preserve">distinction </w:t>
      </w:r>
      <w:r w:rsidR="00DF2900" w:rsidRPr="000A3539">
        <w:rPr>
          <w:lang w:val="en-CA"/>
        </w:rPr>
        <w:t xml:space="preserve">is not </w:t>
      </w:r>
      <w:r w:rsidR="00D76132" w:rsidRPr="000A3539">
        <w:rPr>
          <w:lang w:val="en-CA"/>
        </w:rPr>
        <w:t>justifi</w:t>
      </w:r>
      <w:r w:rsidR="00DF2900" w:rsidRPr="000A3539">
        <w:rPr>
          <w:lang w:val="en-CA"/>
        </w:rPr>
        <w:t xml:space="preserve">ed </w:t>
      </w:r>
      <w:r w:rsidR="00D76132" w:rsidRPr="000A3539">
        <w:rPr>
          <w:lang w:val="en-CA"/>
        </w:rPr>
        <w:t>within</w:t>
      </w:r>
      <w:r w:rsidR="00DF2900" w:rsidRPr="000A3539">
        <w:rPr>
          <w:lang w:val="en-CA"/>
        </w:rPr>
        <w:t xml:space="preserve"> </w:t>
      </w:r>
      <w:r w:rsidR="00D76132" w:rsidRPr="000A3539">
        <w:rPr>
          <w:lang w:val="en-CA"/>
        </w:rPr>
        <w:t>the</w:t>
      </w:r>
      <w:r w:rsidR="00DF2900" w:rsidRPr="000A3539">
        <w:rPr>
          <w:lang w:val="en-CA"/>
        </w:rPr>
        <w:t xml:space="preserve"> </w:t>
      </w:r>
      <w:r w:rsidR="00D76132" w:rsidRPr="000A3539">
        <w:rPr>
          <w:lang w:val="en-CA"/>
        </w:rPr>
        <w:t>meaning</w:t>
      </w:r>
      <w:r w:rsidR="00DF2900" w:rsidRPr="000A3539">
        <w:rPr>
          <w:lang w:val="en-CA"/>
        </w:rPr>
        <w:t xml:space="preserve"> </w:t>
      </w:r>
      <w:r w:rsidR="00D76132" w:rsidRPr="000A3539">
        <w:rPr>
          <w:lang w:val="en-CA"/>
        </w:rPr>
        <w:t>of</w:t>
      </w:r>
      <w:r w:rsidR="00DF2900" w:rsidRPr="000A3539">
        <w:rPr>
          <w:lang w:val="en-CA"/>
        </w:rPr>
        <w:t xml:space="preserve"> </w:t>
      </w:r>
      <w:r w:rsidR="00D76132" w:rsidRPr="000A3539">
        <w:rPr>
          <w:lang w:val="en-CA"/>
        </w:rPr>
        <w:t xml:space="preserve">section 19 </w:t>
      </w:r>
      <w:r w:rsidR="00DF2900" w:rsidRPr="000A3539">
        <w:rPr>
          <w:lang w:val="en-CA"/>
        </w:rPr>
        <w:t xml:space="preserve">of the </w:t>
      </w:r>
      <w:r w:rsidR="00D76132" w:rsidRPr="00FD1FB8">
        <w:rPr>
          <w:i/>
          <w:lang w:val="en-CA"/>
        </w:rPr>
        <w:t>Quebec</w:t>
      </w:r>
      <w:r w:rsidR="00DF2900" w:rsidRPr="000A3539">
        <w:rPr>
          <w:i/>
          <w:lang w:val="en-CA"/>
        </w:rPr>
        <w:t xml:space="preserve"> </w:t>
      </w:r>
      <w:r w:rsidR="00D76132" w:rsidRPr="000A3539">
        <w:rPr>
          <w:i/>
          <w:lang w:val="en-CA"/>
        </w:rPr>
        <w:t>Charter</w:t>
      </w:r>
      <w:r w:rsidR="00D76132" w:rsidRPr="000A3539">
        <w:rPr>
          <w:lang w:val="en-CA"/>
        </w:rPr>
        <w:t xml:space="preserve">. </w:t>
      </w:r>
      <w:r w:rsidR="007224CA" w:rsidRPr="000A3539">
        <w:rPr>
          <w:lang w:val="en-CA"/>
        </w:rPr>
        <w:t xml:space="preserve">According to its assessment of the </w:t>
      </w:r>
      <w:r w:rsidR="00D76132" w:rsidRPr="000A3539">
        <w:rPr>
          <w:lang w:val="en-CA"/>
        </w:rPr>
        <w:t xml:space="preserve">evidence, </w:t>
      </w:r>
      <w:r w:rsidR="00036C07" w:rsidRPr="000A3539">
        <w:rPr>
          <w:lang w:val="en-CA"/>
        </w:rPr>
        <w:t xml:space="preserve">which it set out with </w:t>
      </w:r>
      <w:r w:rsidR="00A32F95">
        <w:rPr>
          <w:lang w:val="en-CA"/>
        </w:rPr>
        <w:t>precision</w:t>
      </w:r>
      <w:r w:rsidR="00036C07" w:rsidRPr="000A3539">
        <w:rPr>
          <w:lang w:val="en-CA"/>
        </w:rPr>
        <w:t>, students perform work that is equivalent to that of casual and regular employees</w:t>
      </w:r>
      <w:r w:rsidR="00D76132" w:rsidRPr="000A3539">
        <w:rPr>
          <w:lang w:val="en-CA"/>
        </w:rPr>
        <w:t xml:space="preserve"> (para</w:t>
      </w:r>
      <w:r w:rsidR="00DA694F" w:rsidRPr="000A3539">
        <w:rPr>
          <w:lang w:val="en-CA"/>
        </w:rPr>
        <w:t>s</w:t>
      </w:r>
      <w:r w:rsidR="00D76132" w:rsidRPr="000A3539">
        <w:rPr>
          <w:lang w:val="en-CA"/>
        </w:rPr>
        <w:t xml:space="preserve">. 358 </w:t>
      </w:r>
      <w:r w:rsidR="00036C07" w:rsidRPr="000A3539">
        <w:rPr>
          <w:lang w:val="en-CA"/>
        </w:rPr>
        <w:t>to</w:t>
      </w:r>
      <w:r w:rsidR="00D76132" w:rsidRPr="000A3539">
        <w:rPr>
          <w:lang w:val="en-CA"/>
        </w:rPr>
        <w:t xml:space="preserve"> 395). </w:t>
      </w:r>
      <w:r w:rsidR="00036C07" w:rsidRPr="000A3539">
        <w:rPr>
          <w:lang w:val="en-CA"/>
        </w:rPr>
        <w:t xml:space="preserve">Relying again on its </w:t>
      </w:r>
      <w:r w:rsidR="00D76132" w:rsidRPr="000A3539">
        <w:rPr>
          <w:lang w:val="en-CA"/>
        </w:rPr>
        <w:t>analys</w:t>
      </w:r>
      <w:r w:rsidR="00036C07" w:rsidRPr="000A3539">
        <w:rPr>
          <w:lang w:val="en-CA"/>
        </w:rPr>
        <w:t xml:space="preserve">is of the </w:t>
      </w:r>
      <w:r w:rsidR="00D76132" w:rsidRPr="000A3539">
        <w:rPr>
          <w:lang w:val="en-CA"/>
        </w:rPr>
        <w:t xml:space="preserve">evidence, </w:t>
      </w:r>
      <w:r w:rsidR="00036C07" w:rsidRPr="000A3539">
        <w:rPr>
          <w:lang w:val="en-CA"/>
        </w:rPr>
        <w:t xml:space="preserve">it also rejected the appellant’s </w:t>
      </w:r>
      <w:r w:rsidR="00D76132" w:rsidRPr="000A3539">
        <w:rPr>
          <w:lang w:val="en-CA"/>
        </w:rPr>
        <w:t xml:space="preserve">argument </w:t>
      </w:r>
      <w:r w:rsidR="00036C07" w:rsidRPr="000A3539">
        <w:rPr>
          <w:lang w:val="en-CA"/>
        </w:rPr>
        <w:t xml:space="preserve">that the </w:t>
      </w:r>
      <w:r w:rsidR="00D76132" w:rsidRPr="000A3539">
        <w:rPr>
          <w:lang w:val="en-CA"/>
        </w:rPr>
        <w:t>differential</w:t>
      </w:r>
      <w:r w:rsidR="00036C07" w:rsidRPr="000A3539">
        <w:rPr>
          <w:lang w:val="en-CA"/>
        </w:rPr>
        <w:t xml:space="preserve"> </w:t>
      </w:r>
      <w:r w:rsidR="00D76132" w:rsidRPr="000A3539">
        <w:rPr>
          <w:lang w:val="en-CA"/>
        </w:rPr>
        <w:t>treatment</w:t>
      </w:r>
      <w:r w:rsidR="00036C07" w:rsidRPr="000A3539">
        <w:rPr>
          <w:lang w:val="en-CA"/>
        </w:rPr>
        <w:t xml:space="preserve"> </w:t>
      </w:r>
      <w:r w:rsidR="00A32F95">
        <w:rPr>
          <w:lang w:val="en-CA"/>
        </w:rPr>
        <w:t>arises</w:t>
      </w:r>
      <w:r w:rsidR="00A32F95" w:rsidRPr="000A3539">
        <w:rPr>
          <w:lang w:val="en-CA"/>
        </w:rPr>
        <w:t xml:space="preserve"> </w:t>
      </w:r>
      <w:r w:rsidR="00036C07" w:rsidRPr="000A3539">
        <w:rPr>
          <w:lang w:val="en-CA"/>
        </w:rPr>
        <w:t xml:space="preserve">from the fact that students have a </w:t>
      </w:r>
      <w:r w:rsidR="00D76132" w:rsidRPr="000A3539">
        <w:rPr>
          <w:lang w:val="en-CA"/>
        </w:rPr>
        <w:t>fixed-term</w:t>
      </w:r>
      <w:r w:rsidR="00036C07" w:rsidRPr="000A3539">
        <w:rPr>
          <w:lang w:val="en-CA"/>
        </w:rPr>
        <w:t xml:space="preserve"> </w:t>
      </w:r>
      <w:r w:rsidR="00D76132" w:rsidRPr="000A3539">
        <w:rPr>
          <w:lang w:val="en-CA"/>
        </w:rPr>
        <w:t>contract</w:t>
      </w:r>
      <w:r w:rsidR="00036C07" w:rsidRPr="000A3539">
        <w:rPr>
          <w:lang w:val="en-CA"/>
        </w:rPr>
        <w:t xml:space="preserve"> and t</w:t>
      </w:r>
      <w:r w:rsidR="00DA694F" w:rsidRPr="000A3539">
        <w:rPr>
          <w:lang w:val="en-CA"/>
        </w:rPr>
        <w:t xml:space="preserve">hat the </w:t>
      </w:r>
      <w:r w:rsidR="00D76132" w:rsidRPr="000A3539">
        <w:rPr>
          <w:lang w:val="en-CA"/>
        </w:rPr>
        <w:t xml:space="preserve">distinction </w:t>
      </w:r>
      <w:r w:rsidR="00DA694F" w:rsidRPr="000A3539">
        <w:rPr>
          <w:lang w:val="en-CA"/>
        </w:rPr>
        <w:t xml:space="preserve">is therefore based on the </w:t>
      </w:r>
      <w:r w:rsidR="00D76132" w:rsidRPr="000A3539">
        <w:rPr>
          <w:lang w:val="en-CA"/>
        </w:rPr>
        <w:t xml:space="preserve">exception </w:t>
      </w:r>
      <w:r w:rsidR="00EE75CE" w:rsidRPr="000A3539">
        <w:rPr>
          <w:lang w:val="en-CA"/>
        </w:rPr>
        <w:t xml:space="preserve">of “years of </w:t>
      </w:r>
      <w:r w:rsidR="00D76132" w:rsidRPr="000A3539">
        <w:rPr>
          <w:lang w:val="en-CA"/>
        </w:rPr>
        <w:t>service</w:t>
      </w:r>
      <w:r w:rsidR="00EE75CE" w:rsidRPr="000A3539">
        <w:rPr>
          <w:lang w:val="en-CA"/>
        </w:rPr>
        <w:t xml:space="preserve">” set out in the second paragraph of </w:t>
      </w:r>
      <w:r w:rsidR="00D76132" w:rsidRPr="000A3539">
        <w:rPr>
          <w:lang w:val="en-CA"/>
        </w:rPr>
        <w:t>section 19 </w:t>
      </w:r>
      <w:r w:rsidR="00EE75CE" w:rsidRPr="000A3539">
        <w:rPr>
          <w:lang w:val="en-CA"/>
        </w:rPr>
        <w:t xml:space="preserve">of the </w:t>
      </w:r>
      <w:r w:rsidR="00D76132" w:rsidRPr="00FD1FB8">
        <w:rPr>
          <w:i/>
          <w:lang w:val="en-CA"/>
        </w:rPr>
        <w:t>Quebec</w:t>
      </w:r>
      <w:r w:rsidR="00EE75CE" w:rsidRPr="000A3539">
        <w:rPr>
          <w:i/>
          <w:lang w:val="en-CA"/>
        </w:rPr>
        <w:t xml:space="preserve"> </w:t>
      </w:r>
      <w:r w:rsidR="00D76132" w:rsidRPr="000A3539">
        <w:rPr>
          <w:i/>
          <w:lang w:val="en-CA"/>
        </w:rPr>
        <w:t xml:space="preserve">Charter. </w:t>
      </w:r>
      <w:r w:rsidR="00EE75CE" w:rsidRPr="000A3539">
        <w:rPr>
          <w:lang w:val="en-CA"/>
        </w:rPr>
        <w:t xml:space="preserve">According to the </w:t>
      </w:r>
      <w:r w:rsidR="00D76132" w:rsidRPr="000A3539">
        <w:rPr>
          <w:lang w:val="en-CA"/>
        </w:rPr>
        <w:t>Tribunal,</w:t>
      </w:r>
      <w:r w:rsidR="00EE75CE" w:rsidRPr="000A3539">
        <w:rPr>
          <w:lang w:val="en-CA"/>
        </w:rPr>
        <w:t xml:space="preserve"> the reasons given by the appellant to </w:t>
      </w:r>
      <w:r w:rsidR="00D76132" w:rsidRPr="000A3539">
        <w:rPr>
          <w:lang w:val="en-CA"/>
        </w:rPr>
        <w:t>justif</w:t>
      </w:r>
      <w:r w:rsidR="00EE75CE" w:rsidRPr="000A3539">
        <w:rPr>
          <w:lang w:val="en-CA"/>
        </w:rPr>
        <w:t>y the</w:t>
      </w:r>
      <w:r w:rsidR="00D76132" w:rsidRPr="000A3539">
        <w:rPr>
          <w:lang w:val="en-CA"/>
        </w:rPr>
        <w:t xml:space="preserve"> distinction </w:t>
      </w:r>
      <w:r w:rsidR="00EE75CE" w:rsidRPr="000A3539">
        <w:rPr>
          <w:lang w:val="en-CA"/>
        </w:rPr>
        <w:t xml:space="preserve">are </w:t>
      </w:r>
      <w:r w:rsidR="0060022A">
        <w:rPr>
          <w:lang w:val="en-CA"/>
        </w:rPr>
        <w:t xml:space="preserve">a </w:t>
      </w:r>
      <w:r w:rsidR="00EE75CE" w:rsidRPr="000A3539">
        <w:rPr>
          <w:lang w:val="en-CA"/>
        </w:rPr>
        <w:t>mere pretext</w:t>
      </w:r>
      <w:r w:rsidR="00D76132" w:rsidRPr="000A3539">
        <w:rPr>
          <w:lang w:val="en-CA"/>
        </w:rPr>
        <w:t xml:space="preserve"> (para</w:t>
      </w:r>
      <w:r w:rsidR="00EE75CE" w:rsidRPr="000A3539">
        <w:rPr>
          <w:lang w:val="en-CA"/>
        </w:rPr>
        <w:t>s</w:t>
      </w:r>
      <w:r w:rsidR="00D76132" w:rsidRPr="000A3539">
        <w:rPr>
          <w:lang w:val="en-CA"/>
        </w:rPr>
        <w:t xml:space="preserve">. 358 </w:t>
      </w:r>
      <w:r w:rsidR="00EE75CE" w:rsidRPr="000A3539">
        <w:rPr>
          <w:lang w:val="en-CA"/>
        </w:rPr>
        <w:t>to</w:t>
      </w:r>
      <w:r w:rsidR="00D76132" w:rsidRPr="000A3539">
        <w:rPr>
          <w:lang w:val="en-CA"/>
        </w:rPr>
        <w:t xml:space="preserve"> 418).</w:t>
      </w:r>
    </w:p>
    <w:p w14:paraId="06F40E83" w14:textId="6679C3F3" w:rsidR="00352837" w:rsidRPr="000A3539" w:rsidRDefault="007B6110"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found that the </w:t>
      </w:r>
      <w:r w:rsidR="00D76132" w:rsidRPr="000A3539">
        <w:rPr>
          <w:lang w:val="en-CA"/>
        </w:rPr>
        <w:t xml:space="preserve">distinction </w:t>
      </w:r>
      <w:r w:rsidRPr="000A3539">
        <w:rPr>
          <w:lang w:val="en-CA"/>
        </w:rPr>
        <w:t xml:space="preserve">infringed the students’ </w:t>
      </w:r>
      <w:r w:rsidR="00D76132" w:rsidRPr="000A3539">
        <w:rPr>
          <w:shd w:val="clear" w:color="auto" w:fill="FFFFFF"/>
          <w:lang w:val="en-CA"/>
        </w:rPr>
        <w:t>dignit</w:t>
      </w:r>
      <w:r w:rsidRPr="000A3539">
        <w:rPr>
          <w:shd w:val="clear" w:color="auto" w:fill="FFFFFF"/>
          <w:lang w:val="en-CA"/>
        </w:rPr>
        <w:t>y by failing to r</w:t>
      </w:r>
      <w:r w:rsidR="00D76132" w:rsidRPr="000A3539">
        <w:rPr>
          <w:shd w:val="clear" w:color="auto" w:fill="FFFFFF"/>
          <w:lang w:val="en-CA"/>
        </w:rPr>
        <w:t>espect</w:t>
      </w:r>
      <w:r w:rsidRPr="000A3539">
        <w:rPr>
          <w:shd w:val="clear" w:color="auto" w:fill="FFFFFF"/>
          <w:lang w:val="en-CA"/>
        </w:rPr>
        <w:t xml:space="preserve"> their </w:t>
      </w:r>
      <w:r w:rsidR="00D76132" w:rsidRPr="000A3539">
        <w:rPr>
          <w:shd w:val="clear" w:color="auto" w:fill="FFFFFF"/>
          <w:lang w:val="en-CA"/>
        </w:rPr>
        <w:t>right</w:t>
      </w:r>
      <w:r w:rsidRPr="000A3539">
        <w:rPr>
          <w:shd w:val="clear" w:color="auto" w:fill="FFFFFF"/>
          <w:lang w:val="en-CA"/>
        </w:rPr>
        <w:t xml:space="preserve"> to equal wages for equivalent work</w:t>
      </w:r>
      <w:r w:rsidR="00D76132" w:rsidRPr="000A3539">
        <w:rPr>
          <w:rStyle w:val="Appelnotedebasdep"/>
          <w:rFonts w:cs="Arial"/>
          <w:lang w:val="en-CA"/>
        </w:rPr>
        <w:footnoteReference w:id="31"/>
      </w:r>
      <w:r w:rsidR="00D76132" w:rsidRPr="000A3539">
        <w:rPr>
          <w:lang w:val="en-CA"/>
        </w:rPr>
        <w:t xml:space="preserve"> (para</w:t>
      </w:r>
      <w:r w:rsidRPr="000A3539">
        <w:rPr>
          <w:lang w:val="en-CA"/>
        </w:rPr>
        <w:t>s</w:t>
      </w:r>
      <w:r w:rsidR="00D76132" w:rsidRPr="000A3539">
        <w:rPr>
          <w:lang w:val="en-CA"/>
        </w:rPr>
        <w:t>. 419 </w:t>
      </w:r>
      <w:r w:rsidRPr="000A3539">
        <w:rPr>
          <w:lang w:val="en-CA"/>
        </w:rPr>
        <w:t>to</w:t>
      </w:r>
      <w:r w:rsidR="00D76132" w:rsidRPr="000A3539">
        <w:rPr>
          <w:lang w:val="en-CA"/>
        </w:rPr>
        <w:t xml:space="preserve"> 423).</w:t>
      </w:r>
    </w:p>
    <w:p w14:paraId="5BDD7062" w14:textId="73C4F62C" w:rsidR="00352837" w:rsidRPr="000A3539" w:rsidRDefault="007B6110"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w:t>
      </w:r>
      <w:r w:rsidR="00D76132" w:rsidRPr="000A3539">
        <w:rPr>
          <w:lang w:val="en-CA"/>
        </w:rPr>
        <w:t>note</w:t>
      </w:r>
      <w:r w:rsidRPr="000A3539">
        <w:rPr>
          <w:lang w:val="en-CA"/>
        </w:rPr>
        <w:t xml:space="preserve">d that the appellant and the </w:t>
      </w:r>
      <w:r w:rsidR="00D76132" w:rsidRPr="000A3539">
        <w:rPr>
          <w:lang w:val="en-CA"/>
        </w:rPr>
        <w:t>respondent</w:t>
      </w:r>
      <w:r w:rsidRPr="000A3539">
        <w:rPr>
          <w:lang w:val="en-CA"/>
        </w:rPr>
        <w:t xml:space="preserve"> </w:t>
      </w:r>
      <w:r w:rsidR="00917969">
        <w:rPr>
          <w:lang w:val="en-CA"/>
        </w:rPr>
        <w:t xml:space="preserve">each </w:t>
      </w:r>
      <w:r w:rsidRPr="000A3539">
        <w:rPr>
          <w:lang w:val="en-CA"/>
        </w:rPr>
        <w:t xml:space="preserve">submitted a table setting out the amounts due to the </w:t>
      </w:r>
      <w:r w:rsidR="00D76132" w:rsidRPr="000A3539">
        <w:rPr>
          <w:lang w:val="en-CA"/>
        </w:rPr>
        <w:t>victims</w:t>
      </w:r>
      <w:r w:rsidRPr="000A3539">
        <w:rPr>
          <w:lang w:val="en-CA"/>
        </w:rPr>
        <w:t xml:space="preserve"> as </w:t>
      </w:r>
      <w:r w:rsidR="00D76132" w:rsidRPr="000A3539">
        <w:rPr>
          <w:lang w:val="en-CA"/>
        </w:rPr>
        <w:t>pecuniary</w:t>
      </w:r>
      <w:r w:rsidRPr="000A3539">
        <w:rPr>
          <w:lang w:val="en-CA"/>
        </w:rPr>
        <w:t xml:space="preserve"> </w:t>
      </w:r>
      <w:r w:rsidR="00D76132" w:rsidRPr="000A3539">
        <w:rPr>
          <w:lang w:val="en-CA"/>
        </w:rPr>
        <w:t>damages</w:t>
      </w:r>
      <w:r w:rsidRPr="000A3539">
        <w:rPr>
          <w:lang w:val="en-CA"/>
        </w:rPr>
        <w:t xml:space="preserve"> in accordance with their </w:t>
      </w:r>
      <w:r w:rsidR="00917969">
        <w:rPr>
          <w:lang w:val="en-CA"/>
        </w:rPr>
        <w:t xml:space="preserve">respective </w:t>
      </w:r>
      <w:r w:rsidRPr="000A3539">
        <w:rPr>
          <w:lang w:val="en-CA"/>
        </w:rPr>
        <w:t>position</w:t>
      </w:r>
      <w:r w:rsidR="00917969">
        <w:rPr>
          <w:lang w:val="en-CA"/>
        </w:rPr>
        <w:t>s</w:t>
      </w:r>
      <w:r w:rsidRPr="000A3539">
        <w:rPr>
          <w:lang w:val="en-CA"/>
        </w:rPr>
        <w:t xml:space="preserve"> on the issue of </w:t>
      </w:r>
      <w:r w:rsidR="00D76132" w:rsidRPr="000A3539">
        <w:rPr>
          <w:lang w:val="en-CA"/>
        </w:rPr>
        <w:t>prescription</w:t>
      </w:r>
      <w:r w:rsidR="00D76132" w:rsidRPr="000A3539">
        <w:rPr>
          <w:rStyle w:val="Appelnotedebasdep"/>
          <w:lang w:val="en-CA"/>
        </w:rPr>
        <w:footnoteReference w:id="32"/>
      </w:r>
      <w:r w:rsidRPr="000A3539">
        <w:rPr>
          <w:lang w:val="en-CA"/>
        </w:rPr>
        <w:t xml:space="preserve"> and that the appellant agreed </w:t>
      </w:r>
      <w:r w:rsidR="00444D0C" w:rsidRPr="000A3539">
        <w:rPr>
          <w:lang w:val="en-CA"/>
        </w:rPr>
        <w:t>to</w:t>
      </w:r>
      <w:r w:rsidRPr="000A3539">
        <w:rPr>
          <w:lang w:val="en-CA"/>
        </w:rPr>
        <w:t xml:space="preserve"> the same moral damages </w:t>
      </w:r>
      <w:r w:rsidR="00444D0C" w:rsidRPr="000A3539">
        <w:rPr>
          <w:lang w:val="en-CA"/>
        </w:rPr>
        <w:t>being awarded to the students who did not t</w:t>
      </w:r>
      <w:r w:rsidR="00D76132" w:rsidRPr="000A3539">
        <w:rPr>
          <w:lang w:val="en-CA"/>
        </w:rPr>
        <w:t>estif</w:t>
      </w:r>
      <w:r w:rsidR="00444D0C" w:rsidRPr="000A3539">
        <w:rPr>
          <w:lang w:val="en-CA"/>
        </w:rPr>
        <w:t>y</w:t>
      </w:r>
      <w:r w:rsidR="00D76132" w:rsidRPr="000A3539">
        <w:rPr>
          <w:rStyle w:val="Appelnotedebasdep"/>
          <w:lang w:val="en-CA"/>
        </w:rPr>
        <w:footnoteReference w:id="33"/>
      </w:r>
      <w:r w:rsidR="00D76132" w:rsidRPr="000A3539">
        <w:rPr>
          <w:lang w:val="en-CA"/>
        </w:rPr>
        <w:t xml:space="preserve"> (para</w:t>
      </w:r>
      <w:r w:rsidR="00444D0C" w:rsidRPr="000A3539">
        <w:rPr>
          <w:lang w:val="en-CA"/>
        </w:rPr>
        <w:t>s</w:t>
      </w:r>
      <w:r w:rsidR="00D76132" w:rsidRPr="000A3539">
        <w:rPr>
          <w:lang w:val="en-CA"/>
        </w:rPr>
        <w:t xml:space="preserve">. 424 </w:t>
      </w:r>
      <w:r w:rsidR="00444D0C" w:rsidRPr="000A3539">
        <w:rPr>
          <w:lang w:val="en-CA"/>
        </w:rPr>
        <w:t>to</w:t>
      </w:r>
      <w:r w:rsidR="00D76132" w:rsidRPr="000A3539">
        <w:rPr>
          <w:lang w:val="en-CA"/>
        </w:rPr>
        <w:t xml:space="preserve"> 427).</w:t>
      </w:r>
    </w:p>
    <w:p w14:paraId="592D53AA" w14:textId="03C0AE85" w:rsidR="00352837" w:rsidRPr="000A3539" w:rsidRDefault="00444D0C" w:rsidP="00352837">
      <w:pPr>
        <w:pStyle w:val="Paragraphe"/>
        <w:rPr>
          <w:lang w:val="en-CA"/>
        </w:rPr>
      </w:pPr>
      <w:r w:rsidRPr="000A3539">
        <w:rPr>
          <w:lang w:val="en-CA"/>
        </w:rPr>
        <w:t xml:space="preserve">It summarized the state of the law on the issue of moral damages for infringement of a right </w:t>
      </w:r>
      <w:r w:rsidR="00D76132" w:rsidRPr="000A3539">
        <w:rPr>
          <w:lang w:val="en-CA"/>
        </w:rPr>
        <w:t>guaranteed</w:t>
      </w:r>
      <w:r w:rsidRPr="000A3539">
        <w:rPr>
          <w:lang w:val="en-CA"/>
        </w:rPr>
        <w:t xml:space="preserve"> by the </w:t>
      </w:r>
      <w:r w:rsidR="00D76132" w:rsidRPr="00FD1FB8">
        <w:rPr>
          <w:i/>
          <w:lang w:val="en-CA"/>
        </w:rPr>
        <w:t>Quebec</w:t>
      </w:r>
      <w:r w:rsidRPr="000A3539">
        <w:rPr>
          <w:lang w:val="en-CA"/>
        </w:rPr>
        <w:t xml:space="preserve"> </w:t>
      </w:r>
      <w:r w:rsidR="00D76132" w:rsidRPr="000A3539">
        <w:rPr>
          <w:i/>
          <w:lang w:val="en-CA"/>
        </w:rPr>
        <w:t>Charter</w:t>
      </w:r>
      <w:r w:rsidRPr="000A3539">
        <w:rPr>
          <w:lang w:val="en-CA"/>
        </w:rPr>
        <w:t>.</w:t>
      </w:r>
      <w:r w:rsidR="00D76132" w:rsidRPr="000A3539">
        <w:rPr>
          <w:rStyle w:val="Appelnotedebasdep"/>
          <w:lang w:val="en-CA"/>
        </w:rPr>
        <w:footnoteReference w:id="34"/>
      </w:r>
      <w:r w:rsidR="00D76132" w:rsidRPr="000A3539">
        <w:rPr>
          <w:lang w:val="en-CA"/>
        </w:rPr>
        <w:t xml:space="preserve"> </w:t>
      </w:r>
      <w:r w:rsidR="006D407C" w:rsidRPr="000A3539">
        <w:rPr>
          <w:lang w:val="en-CA"/>
        </w:rPr>
        <w:t xml:space="preserve">It recounted the content of the testimony of the seven witnesses heard on this aspect of the </w:t>
      </w:r>
      <w:r w:rsidR="00917969">
        <w:rPr>
          <w:lang w:val="en-CA"/>
        </w:rPr>
        <w:t>case</w:t>
      </w:r>
      <w:r w:rsidR="006D407C" w:rsidRPr="000A3539">
        <w:rPr>
          <w:lang w:val="en-CA"/>
        </w:rPr>
        <w:t xml:space="preserve"> and fixed the </w:t>
      </w:r>
      <w:r w:rsidR="00D76132" w:rsidRPr="000A3539">
        <w:rPr>
          <w:lang w:val="en-CA"/>
        </w:rPr>
        <w:t>indemnity payable</w:t>
      </w:r>
      <w:r w:rsidR="006D407C" w:rsidRPr="000A3539">
        <w:rPr>
          <w:lang w:val="en-CA"/>
        </w:rPr>
        <w:t xml:space="preserve"> to each </w:t>
      </w:r>
      <w:r w:rsidR="00D76132" w:rsidRPr="000A3539">
        <w:rPr>
          <w:lang w:val="en-CA"/>
        </w:rPr>
        <w:t>victim</w:t>
      </w:r>
      <w:r w:rsidR="006D407C" w:rsidRPr="000A3539">
        <w:rPr>
          <w:lang w:val="en-CA"/>
        </w:rPr>
        <w:t xml:space="preserve"> in this regard at $1,000</w:t>
      </w:r>
      <w:r w:rsidR="00D76132" w:rsidRPr="000A3539">
        <w:rPr>
          <w:rStyle w:val="Appelnotedebasdep"/>
          <w:lang w:val="en-CA"/>
        </w:rPr>
        <w:footnoteReference w:id="35"/>
      </w:r>
      <w:r w:rsidR="00D76132" w:rsidRPr="000A3539">
        <w:rPr>
          <w:lang w:val="en-CA"/>
        </w:rPr>
        <w:t xml:space="preserve"> (para</w:t>
      </w:r>
      <w:r w:rsidR="006D407C" w:rsidRPr="000A3539">
        <w:rPr>
          <w:lang w:val="en-CA"/>
        </w:rPr>
        <w:t>s</w:t>
      </w:r>
      <w:r w:rsidR="00D76132" w:rsidRPr="000A3539">
        <w:rPr>
          <w:lang w:val="en-CA"/>
        </w:rPr>
        <w:t xml:space="preserve">. 428 </w:t>
      </w:r>
      <w:r w:rsidR="006D407C" w:rsidRPr="000A3539">
        <w:rPr>
          <w:lang w:val="en-CA"/>
        </w:rPr>
        <w:t>to</w:t>
      </w:r>
      <w:r w:rsidR="00D76132" w:rsidRPr="000A3539">
        <w:rPr>
          <w:lang w:val="en-CA"/>
        </w:rPr>
        <w:t xml:space="preserve"> 447). </w:t>
      </w:r>
    </w:p>
    <w:p w14:paraId="3AEF8876" w14:textId="5290C12D" w:rsidR="00352837" w:rsidRPr="000A3539" w:rsidRDefault="00FE2679"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dismissed the </w:t>
      </w:r>
      <w:r w:rsidR="00990DDC" w:rsidRPr="000A3539">
        <w:rPr>
          <w:lang w:val="en-CA"/>
        </w:rPr>
        <w:t xml:space="preserve">appellant’s action in </w:t>
      </w:r>
      <w:r w:rsidR="00D76132" w:rsidRPr="000A3539">
        <w:rPr>
          <w:lang w:val="en-CA"/>
        </w:rPr>
        <w:t>warranty</w:t>
      </w:r>
      <w:r w:rsidR="00990DDC" w:rsidRPr="000A3539">
        <w:rPr>
          <w:lang w:val="en-CA"/>
        </w:rPr>
        <w:t xml:space="preserve"> against the </w:t>
      </w:r>
      <w:r w:rsidR="00D76132" w:rsidRPr="000A3539">
        <w:rPr>
          <w:lang w:val="en-CA"/>
        </w:rPr>
        <w:t>impleaded</w:t>
      </w:r>
      <w:r w:rsidR="00990DDC" w:rsidRPr="000A3539">
        <w:rPr>
          <w:lang w:val="en-CA"/>
        </w:rPr>
        <w:t xml:space="preserve"> </w:t>
      </w:r>
      <w:r w:rsidR="00D76132" w:rsidRPr="000A3539">
        <w:rPr>
          <w:lang w:val="en-CA"/>
        </w:rPr>
        <w:t>party.</w:t>
      </w:r>
      <w:r w:rsidR="00990DDC" w:rsidRPr="000A3539">
        <w:rPr>
          <w:lang w:val="en-CA"/>
        </w:rPr>
        <w:t xml:space="preserve"> According to its assessment of the </w:t>
      </w:r>
      <w:r w:rsidR="00D76132" w:rsidRPr="000A3539">
        <w:rPr>
          <w:lang w:val="en-CA"/>
        </w:rPr>
        <w:t>evidence,</w:t>
      </w:r>
      <w:r w:rsidR="00990DDC" w:rsidRPr="000A3539">
        <w:rPr>
          <w:lang w:val="en-CA"/>
        </w:rPr>
        <w:t xml:space="preserve"> the </w:t>
      </w:r>
      <w:r w:rsidR="00D76132" w:rsidRPr="000A3539">
        <w:rPr>
          <w:lang w:val="en-CA"/>
        </w:rPr>
        <w:t>impleaded</w:t>
      </w:r>
      <w:r w:rsidR="00990DDC" w:rsidRPr="000A3539">
        <w:rPr>
          <w:lang w:val="en-CA"/>
        </w:rPr>
        <w:t xml:space="preserve"> </w:t>
      </w:r>
      <w:r w:rsidR="00D76132" w:rsidRPr="000A3539">
        <w:rPr>
          <w:lang w:val="en-CA"/>
        </w:rPr>
        <w:t>party</w:t>
      </w:r>
      <w:r w:rsidR="00990DDC" w:rsidRPr="000A3539">
        <w:rPr>
          <w:lang w:val="en-CA"/>
        </w:rPr>
        <w:t xml:space="preserve"> is not responsible for the discriminatory situation experienced by the students</w:t>
      </w:r>
      <w:r w:rsidR="00D76132" w:rsidRPr="000A3539">
        <w:rPr>
          <w:lang w:val="en-CA"/>
        </w:rPr>
        <w:t xml:space="preserve"> (para</w:t>
      </w:r>
      <w:r w:rsidR="00990DDC" w:rsidRPr="000A3539">
        <w:rPr>
          <w:lang w:val="en-CA"/>
        </w:rPr>
        <w:t>s</w:t>
      </w:r>
      <w:r w:rsidR="00D76132" w:rsidRPr="000A3539">
        <w:rPr>
          <w:lang w:val="en-CA"/>
        </w:rPr>
        <w:t xml:space="preserve">. 448 </w:t>
      </w:r>
      <w:r w:rsidR="00990DDC" w:rsidRPr="000A3539">
        <w:rPr>
          <w:lang w:val="en-CA"/>
        </w:rPr>
        <w:t>to</w:t>
      </w:r>
      <w:r w:rsidR="00D76132" w:rsidRPr="000A3539">
        <w:rPr>
          <w:lang w:val="en-CA"/>
        </w:rPr>
        <w:t xml:space="preserve"> 504). </w:t>
      </w:r>
    </w:p>
    <w:p w14:paraId="1252D955" w14:textId="3844B786" w:rsidR="00352837" w:rsidRPr="000A3539" w:rsidRDefault="00990DDC" w:rsidP="00352837">
      <w:pPr>
        <w:pStyle w:val="Paragraphe"/>
        <w:rPr>
          <w:lang w:val="en-CA"/>
        </w:rPr>
      </w:pPr>
      <w:r w:rsidRPr="000A3539">
        <w:rPr>
          <w:lang w:val="en-CA"/>
        </w:rPr>
        <w:t xml:space="preserve">It is not necessary to address the portion of the Tribunal’s </w:t>
      </w:r>
      <w:r w:rsidR="00D76132" w:rsidRPr="000A3539">
        <w:rPr>
          <w:lang w:val="en-CA"/>
        </w:rPr>
        <w:t>decision</w:t>
      </w:r>
      <w:r w:rsidRPr="000A3539">
        <w:rPr>
          <w:lang w:val="en-CA"/>
        </w:rPr>
        <w:t xml:space="preserve"> dealing with the </w:t>
      </w:r>
      <w:r w:rsidR="00D76132" w:rsidRPr="000A3539">
        <w:rPr>
          <w:lang w:val="en-CA"/>
        </w:rPr>
        <w:t>prescription</w:t>
      </w:r>
      <w:r w:rsidRPr="000A3539">
        <w:rPr>
          <w:lang w:val="en-CA"/>
        </w:rPr>
        <w:t xml:space="preserve"> of the claim</w:t>
      </w:r>
      <w:r w:rsidR="00D76132" w:rsidRPr="000A3539">
        <w:rPr>
          <w:lang w:val="en-CA"/>
        </w:rPr>
        <w:t xml:space="preserve"> (para</w:t>
      </w:r>
      <w:r w:rsidR="00535A26" w:rsidRPr="000A3539">
        <w:rPr>
          <w:lang w:val="en-CA"/>
        </w:rPr>
        <w:t>s</w:t>
      </w:r>
      <w:r w:rsidR="00D76132" w:rsidRPr="000A3539">
        <w:rPr>
          <w:lang w:val="en-CA"/>
        </w:rPr>
        <w:t xml:space="preserve">. 505 </w:t>
      </w:r>
      <w:r w:rsidR="00535A26" w:rsidRPr="000A3539">
        <w:rPr>
          <w:lang w:val="en-CA"/>
        </w:rPr>
        <w:t>to</w:t>
      </w:r>
      <w:r w:rsidR="00D76132" w:rsidRPr="000A3539">
        <w:rPr>
          <w:lang w:val="en-CA"/>
        </w:rPr>
        <w:t xml:space="preserve"> 569) </w:t>
      </w:r>
      <w:r w:rsidR="00535A26" w:rsidRPr="000A3539">
        <w:rPr>
          <w:lang w:val="en-CA"/>
        </w:rPr>
        <w:t>because th</w:t>
      </w:r>
      <w:r w:rsidRPr="000A3539">
        <w:rPr>
          <w:lang w:val="en-CA"/>
        </w:rPr>
        <w:t>at</w:t>
      </w:r>
      <w:r w:rsidR="00535A26" w:rsidRPr="000A3539">
        <w:rPr>
          <w:lang w:val="en-CA"/>
        </w:rPr>
        <w:t xml:space="preserve"> issue was not challenged on </w:t>
      </w:r>
      <w:r w:rsidR="00D76132" w:rsidRPr="000A3539">
        <w:rPr>
          <w:lang w:val="en-CA"/>
        </w:rPr>
        <w:t xml:space="preserve">appeal. </w:t>
      </w:r>
    </w:p>
    <w:p w14:paraId="0F6849C7" w14:textId="19012778" w:rsidR="00352837" w:rsidRPr="000A3539" w:rsidRDefault="00535A26" w:rsidP="00352837">
      <w:pPr>
        <w:pStyle w:val="Style1premiertitre"/>
        <w:spacing w:line="280" w:lineRule="exact"/>
        <w:rPr>
          <w:lang w:val="en-CA"/>
        </w:rPr>
      </w:pPr>
      <w:r w:rsidRPr="000A3539">
        <w:rPr>
          <w:lang w:val="en-CA"/>
        </w:rPr>
        <w:lastRenderedPageBreak/>
        <w:t>Issues</w:t>
      </w:r>
    </w:p>
    <w:p w14:paraId="2EE31E1A" w14:textId="16E58F21" w:rsidR="00352837" w:rsidRPr="000A3539" w:rsidRDefault="00D65D9C" w:rsidP="00352837">
      <w:pPr>
        <w:pStyle w:val="Paragraphe"/>
        <w:rPr>
          <w:lang w:val="en-CA" w:eastAsia="fr-CA"/>
        </w:rPr>
      </w:pPr>
      <w:r w:rsidRPr="000A3539">
        <w:rPr>
          <w:lang w:val="en-CA" w:eastAsia="fr-CA"/>
        </w:rPr>
        <w:t xml:space="preserve">The </w:t>
      </w:r>
      <w:r w:rsidR="00D76132" w:rsidRPr="000A3539">
        <w:rPr>
          <w:lang w:val="en-CA" w:eastAsia="fr-CA"/>
        </w:rPr>
        <w:t>appel</w:t>
      </w:r>
      <w:r w:rsidRPr="000A3539">
        <w:rPr>
          <w:lang w:val="en-CA" w:eastAsia="fr-CA"/>
        </w:rPr>
        <w:t>l</w:t>
      </w:r>
      <w:r w:rsidR="00D76132" w:rsidRPr="000A3539">
        <w:rPr>
          <w:lang w:val="en-CA" w:eastAsia="fr-CA"/>
        </w:rPr>
        <w:t>ant</w:t>
      </w:r>
      <w:r w:rsidRPr="000A3539">
        <w:rPr>
          <w:lang w:val="en-CA" w:eastAsia="fr-CA"/>
        </w:rPr>
        <w:t xml:space="preserve"> was granted leave to appeal the Tribunal’s </w:t>
      </w:r>
      <w:r w:rsidR="00D76132" w:rsidRPr="000A3539">
        <w:rPr>
          <w:lang w:val="en-CA" w:eastAsia="fr-CA"/>
        </w:rPr>
        <w:t xml:space="preserve">decision. </w:t>
      </w:r>
      <w:r w:rsidR="00522747" w:rsidRPr="000A3539">
        <w:rPr>
          <w:lang w:val="en-CA" w:eastAsia="fr-CA"/>
        </w:rPr>
        <w:t>It submitted several grounds, which may be reformulated as follows</w:t>
      </w:r>
      <w:r w:rsidR="00D76132" w:rsidRPr="000A3539">
        <w:rPr>
          <w:lang w:val="en-CA" w:eastAsia="fr-CA"/>
        </w:rPr>
        <w:t>:</w:t>
      </w:r>
    </w:p>
    <w:p w14:paraId="5A0697DF" w14:textId="1510F79A" w:rsidR="00352837" w:rsidRPr="000A3539" w:rsidRDefault="00522747" w:rsidP="00352837">
      <w:pPr>
        <w:pStyle w:val="Paragraphe"/>
        <w:numPr>
          <w:ilvl w:val="0"/>
          <w:numId w:val="19"/>
        </w:numPr>
        <w:ind w:left="1077" w:hanging="357"/>
        <w:rPr>
          <w:bCs/>
          <w:kern w:val="24"/>
          <w:szCs w:val="24"/>
          <w:lang w:val="en-CA" w:eastAsia="fr-CA"/>
        </w:rPr>
      </w:pPr>
      <w:r w:rsidRPr="000A3539">
        <w:rPr>
          <w:bCs/>
          <w:kern w:val="24"/>
          <w:szCs w:val="24"/>
          <w:lang w:val="en-CA" w:eastAsia="fr-CA"/>
        </w:rPr>
        <w:t xml:space="preserve">Did the </w:t>
      </w:r>
      <w:r w:rsidR="00D76132" w:rsidRPr="000A3539">
        <w:rPr>
          <w:bCs/>
          <w:kern w:val="24"/>
          <w:szCs w:val="24"/>
          <w:lang w:val="en-CA" w:eastAsia="fr-CA"/>
        </w:rPr>
        <w:t>Tribunal</w:t>
      </w:r>
      <w:r w:rsidRPr="000A3539">
        <w:rPr>
          <w:bCs/>
          <w:kern w:val="24"/>
          <w:szCs w:val="24"/>
          <w:lang w:val="en-CA" w:eastAsia="fr-CA"/>
        </w:rPr>
        <w:t xml:space="preserve"> err in finding that student status is a social </w:t>
      </w:r>
      <w:r w:rsidR="00D76132" w:rsidRPr="000A3539">
        <w:rPr>
          <w:bCs/>
          <w:kern w:val="24"/>
          <w:szCs w:val="24"/>
          <w:lang w:val="en-CA" w:eastAsia="fr-CA"/>
        </w:rPr>
        <w:t>condition?</w:t>
      </w:r>
    </w:p>
    <w:p w14:paraId="49FD2A57" w14:textId="6F6C3AC2" w:rsidR="00352837" w:rsidRPr="000A3539" w:rsidRDefault="00522747" w:rsidP="00352837">
      <w:pPr>
        <w:pStyle w:val="Paragraphe"/>
        <w:numPr>
          <w:ilvl w:val="0"/>
          <w:numId w:val="19"/>
        </w:numPr>
        <w:ind w:left="1077" w:hanging="357"/>
        <w:rPr>
          <w:bCs/>
          <w:kern w:val="24"/>
          <w:szCs w:val="24"/>
          <w:lang w:val="en-CA" w:eastAsia="fr-CA"/>
        </w:rPr>
      </w:pPr>
      <w:r w:rsidRPr="000A3539">
        <w:rPr>
          <w:bCs/>
          <w:kern w:val="24"/>
          <w:szCs w:val="24"/>
          <w:lang w:val="en-CA" w:eastAsia="fr-CA"/>
        </w:rPr>
        <w:t xml:space="preserve">Did the Tribunal err in finding that there was a </w:t>
      </w:r>
      <w:r w:rsidR="00D76132" w:rsidRPr="000A3539">
        <w:rPr>
          <w:bCs/>
          <w:kern w:val="24"/>
          <w:szCs w:val="24"/>
          <w:lang w:val="en-CA" w:eastAsia="fr-CA"/>
        </w:rPr>
        <w:t xml:space="preserve">distinction </w:t>
      </w:r>
      <w:r w:rsidRPr="000A3539">
        <w:rPr>
          <w:bCs/>
          <w:kern w:val="24"/>
          <w:szCs w:val="24"/>
          <w:lang w:val="en-CA" w:eastAsia="fr-CA"/>
        </w:rPr>
        <w:t>based on age</w:t>
      </w:r>
      <w:r w:rsidR="00D76132" w:rsidRPr="000A3539">
        <w:rPr>
          <w:bCs/>
          <w:kern w:val="24"/>
          <w:szCs w:val="24"/>
          <w:lang w:val="en-CA" w:eastAsia="fr-CA"/>
        </w:rPr>
        <w:t>?</w:t>
      </w:r>
    </w:p>
    <w:p w14:paraId="104E2DC4" w14:textId="7F863D73" w:rsidR="00352837" w:rsidRPr="000A3539" w:rsidRDefault="00522747" w:rsidP="00352837">
      <w:pPr>
        <w:pStyle w:val="Paragraphe"/>
        <w:numPr>
          <w:ilvl w:val="0"/>
          <w:numId w:val="19"/>
        </w:numPr>
        <w:ind w:left="1077" w:hanging="357"/>
        <w:rPr>
          <w:bCs/>
          <w:kern w:val="24"/>
          <w:szCs w:val="24"/>
          <w:lang w:val="en-CA" w:eastAsia="fr-CA"/>
        </w:rPr>
      </w:pPr>
      <w:r w:rsidRPr="000A3539">
        <w:rPr>
          <w:bCs/>
          <w:kern w:val="24"/>
          <w:szCs w:val="24"/>
          <w:lang w:val="en-CA" w:eastAsia="fr-CA"/>
        </w:rPr>
        <w:t xml:space="preserve">Did the Tribunal err in the </w:t>
      </w:r>
      <w:r w:rsidR="00D76132" w:rsidRPr="000A3539">
        <w:rPr>
          <w:bCs/>
          <w:kern w:val="24"/>
          <w:szCs w:val="24"/>
          <w:lang w:val="en-CA" w:eastAsia="fr-CA"/>
        </w:rPr>
        <w:t>interpretation</w:t>
      </w:r>
      <w:r w:rsidRPr="000A3539">
        <w:rPr>
          <w:bCs/>
          <w:kern w:val="24"/>
          <w:szCs w:val="24"/>
          <w:lang w:val="en-CA" w:eastAsia="fr-CA"/>
        </w:rPr>
        <w:t xml:space="preserve"> and </w:t>
      </w:r>
      <w:r w:rsidR="00D76132" w:rsidRPr="000A3539">
        <w:rPr>
          <w:bCs/>
          <w:kern w:val="24"/>
          <w:szCs w:val="24"/>
          <w:lang w:val="en-CA" w:eastAsia="fr-CA"/>
        </w:rPr>
        <w:t xml:space="preserve">application </w:t>
      </w:r>
      <w:r w:rsidRPr="000A3539">
        <w:rPr>
          <w:bCs/>
          <w:kern w:val="24"/>
          <w:szCs w:val="24"/>
          <w:lang w:val="en-CA" w:eastAsia="fr-CA"/>
        </w:rPr>
        <w:t xml:space="preserve">of the </w:t>
      </w:r>
      <w:r w:rsidR="00B34B1E" w:rsidRPr="000A3539">
        <w:rPr>
          <w:bCs/>
          <w:kern w:val="24"/>
          <w:szCs w:val="24"/>
          <w:lang w:val="en-CA" w:eastAsia="fr-CA"/>
        </w:rPr>
        <w:t xml:space="preserve">concept of </w:t>
      </w:r>
      <w:r w:rsidR="00B34B1E" w:rsidRPr="000A3539">
        <w:rPr>
          <w:bCs/>
          <w:i/>
          <w:kern w:val="24"/>
          <w:szCs w:val="24"/>
          <w:lang w:val="en-CA" w:eastAsia="fr-CA"/>
        </w:rPr>
        <w:t>equivalent work</w:t>
      </w:r>
      <w:r w:rsidR="00E50DE0" w:rsidRPr="000A3539">
        <w:rPr>
          <w:bCs/>
          <w:kern w:val="24"/>
          <w:szCs w:val="24"/>
          <w:lang w:val="en-CA" w:eastAsia="fr-CA"/>
        </w:rPr>
        <w:t xml:space="preserve"> set out in section </w:t>
      </w:r>
      <w:r w:rsidR="00D76132" w:rsidRPr="000A3539">
        <w:rPr>
          <w:bCs/>
          <w:kern w:val="24"/>
          <w:szCs w:val="24"/>
          <w:lang w:val="en-CA" w:eastAsia="fr-CA"/>
        </w:rPr>
        <w:t xml:space="preserve">19 </w:t>
      </w:r>
      <w:r w:rsidR="00E50DE0" w:rsidRPr="000A3539">
        <w:rPr>
          <w:bCs/>
          <w:kern w:val="24"/>
          <w:szCs w:val="24"/>
          <w:lang w:val="en-CA" w:eastAsia="fr-CA"/>
        </w:rPr>
        <w:t xml:space="preserve">of the </w:t>
      </w:r>
      <w:r w:rsidR="00D76132" w:rsidRPr="00FD1FB8">
        <w:rPr>
          <w:bCs/>
          <w:i/>
          <w:kern w:val="24"/>
          <w:szCs w:val="24"/>
          <w:lang w:val="en-CA" w:eastAsia="fr-CA"/>
        </w:rPr>
        <w:t>Quebec</w:t>
      </w:r>
      <w:r w:rsidR="00E50DE0" w:rsidRPr="000A3539">
        <w:rPr>
          <w:bCs/>
          <w:i/>
          <w:kern w:val="24"/>
          <w:szCs w:val="24"/>
          <w:lang w:val="en-CA" w:eastAsia="fr-CA"/>
        </w:rPr>
        <w:t xml:space="preserve"> </w:t>
      </w:r>
      <w:r w:rsidR="00D76132" w:rsidRPr="000A3539">
        <w:rPr>
          <w:bCs/>
          <w:i/>
          <w:kern w:val="24"/>
          <w:szCs w:val="24"/>
          <w:lang w:val="en-CA" w:eastAsia="fr-CA"/>
        </w:rPr>
        <w:t>Charter</w:t>
      </w:r>
      <w:r w:rsidR="00D76132" w:rsidRPr="000A3539">
        <w:rPr>
          <w:bCs/>
          <w:kern w:val="24"/>
          <w:szCs w:val="24"/>
          <w:lang w:val="en-CA" w:eastAsia="fr-CA"/>
        </w:rPr>
        <w:t>?</w:t>
      </w:r>
    </w:p>
    <w:p w14:paraId="223E69BC" w14:textId="02F3DBB3" w:rsidR="00352837" w:rsidRPr="000A3539" w:rsidRDefault="00522747" w:rsidP="00352837">
      <w:pPr>
        <w:pStyle w:val="Paragraphe"/>
        <w:numPr>
          <w:ilvl w:val="0"/>
          <w:numId w:val="19"/>
        </w:numPr>
        <w:ind w:left="1077" w:hanging="357"/>
        <w:rPr>
          <w:bCs/>
          <w:kern w:val="24"/>
          <w:szCs w:val="24"/>
          <w:lang w:val="en-CA" w:eastAsia="fr-CA"/>
        </w:rPr>
      </w:pPr>
      <w:r w:rsidRPr="000A3539">
        <w:rPr>
          <w:bCs/>
          <w:kern w:val="24"/>
          <w:szCs w:val="24"/>
          <w:lang w:val="en-CA" w:eastAsia="fr-CA"/>
        </w:rPr>
        <w:t>Did the Tribunal err</w:t>
      </w:r>
      <w:r w:rsidR="00E50DE0" w:rsidRPr="000A3539">
        <w:rPr>
          <w:bCs/>
          <w:kern w:val="24"/>
          <w:szCs w:val="24"/>
          <w:lang w:val="en-CA" w:eastAsia="fr-CA"/>
        </w:rPr>
        <w:t xml:space="preserve"> in the </w:t>
      </w:r>
      <w:r w:rsidR="00D76132" w:rsidRPr="000A3539">
        <w:rPr>
          <w:bCs/>
          <w:kern w:val="24"/>
          <w:szCs w:val="24"/>
          <w:lang w:val="en-CA" w:eastAsia="fr-CA"/>
        </w:rPr>
        <w:t>interpretation</w:t>
      </w:r>
      <w:r w:rsidR="00E50DE0" w:rsidRPr="000A3539">
        <w:rPr>
          <w:bCs/>
          <w:kern w:val="24"/>
          <w:szCs w:val="24"/>
          <w:lang w:val="en-CA" w:eastAsia="fr-CA"/>
        </w:rPr>
        <w:t xml:space="preserve"> and </w:t>
      </w:r>
      <w:r w:rsidR="00D76132" w:rsidRPr="000A3539">
        <w:rPr>
          <w:bCs/>
          <w:kern w:val="24"/>
          <w:szCs w:val="24"/>
          <w:lang w:val="en-CA" w:eastAsia="fr-CA"/>
        </w:rPr>
        <w:t xml:space="preserve">application </w:t>
      </w:r>
      <w:r w:rsidR="009960F0" w:rsidRPr="000A3539">
        <w:rPr>
          <w:bCs/>
          <w:kern w:val="24"/>
          <w:szCs w:val="24"/>
          <w:lang w:val="en-CA" w:eastAsia="fr-CA"/>
        </w:rPr>
        <w:t xml:space="preserve">of the concept of </w:t>
      </w:r>
      <w:r w:rsidR="009960F0" w:rsidRPr="000A3539">
        <w:rPr>
          <w:bCs/>
          <w:i/>
          <w:kern w:val="24"/>
          <w:szCs w:val="24"/>
          <w:lang w:val="en-CA" w:eastAsia="fr-CA"/>
        </w:rPr>
        <w:t xml:space="preserve">years of </w:t>
      </w:r>
      <w:r w:rsidR="00D76132" w:rsidRPr="000A3539">
        <w:rPr>
          <w:bCs/>
          <w:i/>
          <w:kern w:val="24"/>
          <w:szCs w:val="24"/>
          <w:lang w:val="en-CA" w:eastAsia="fr-CA"/>
        </w:rPr>
        <w:t>service</w:t>
      </w:r>
      <w:r w:rsidR="00D76132" w:rsidRPr="000A3539">
        <w:rPr>
          <w:bCs/>
          <w:kern w:val="24"/>
          <w:szCs w:val="24"/>
          <w:lang w:val="en-CA" w:eastAsia="fr-CA"/>
        </w:rPr>
        <w:t xml:space="preserve"> </w:t>
      </w:r>
      <w:r w:rsidR="009960F0" w:rsidRPr="000A3539">
        <w:rPr>
          <w:bCs/>
          <w:kern w:val="24"/>
          <w:szCs w:val="24"/>
          <w:lang w:val="en-CA" w:eastAsia="fr-CA"/>
        </w:rPr>
        <w:t xml:space="preserve">set out in section </w:t>
      </w:r>
      <w:r w:rsidR="00D76132" w:rsidRPr="000A3539">
        <w:rPr>
          <w:bCs/>
          <w:kern w:val="24"/>
          <w:szCs w:val="24"/>
          <w:lang w:val="en-CA" w:eastAsia="fr-CA"/>
        </w:rPr>
        <w:t xml:space="preserve">19 </w:t>
      </w:r>
      <w:r w:rsidR="009960F0" w:rsidRPr="000A3539">
        <w:rPr>
          <w:bCs/>
          <w:kern w:val="24"/>
          <w:szCs w:val="24"/>
          <w:lang w:val="en-CA" w:eastAsia="fr-CA"/>
        </w:rPr>
        <w:t xml:space="preserve">of the </w:t>
      </w:r>
      <w:r w:rsidR="00D76132" w:rsidRPr="00FD1FB8">
        <w:rPr>
          <w:bCs/>
          <w:i/>
          <w:kern w:val="24"/>
          <w:szCs w:val="24"/>
          <w:lang w:val="en-CA" w:eastAsia="fr-CA"/>
        </w:rPr>
        <w:t>Quebec</w:t>
      </w:r>
      <w:r w:rsidR="009960F0" w:rsidRPr="000A3539">
        <w:rPr>
          <w:bCs/>
          <w:i/>
          <w:kern w:val="24"/>
          <w:szCs w:val="24"/>
          <w:lang w:val="en-CA" w:eastAsia="fr-CA"/>
        </w:rPr>
        <w:t xml:space="preserve"> </w:t>
      </w:r>
      <w:r w:rsidR="00D76132" w:rsidRPr="000A3539">
        <w:rPr>
          <w:bCs/>
          <w:i/>
          <w:kern w:val="24"/>
          <w:szCs w:val="24"/>
          <w:lang w:val="en-CA" w:eastAsia="fr-CA"/>
        </w:rPr>
        <w:t>Charter</w:t>
      </w:r>
      <w:r w:rsidR="00D76132" w:rsidRPr="000A3539">
        <w:rPr>
          <w:bCs/>
          <w:kern w:val="24"/>
          <w:szCs w:val="24"/>
          <w:lang w:val="en-CA" w:eastAsia="fr-CA"/>
        </w:rPr>
        <w:t>?</w:t>
      </w:r>
    </w:p>
    <w:p w14:paraId="4F6B073F" w14:textId="77FC343F" w:rsidR="00352837" w:rsidRPr="000A3539" w:rsidRDefault="00522747" w:rsidP="00352837">
      <w:pPr>
        <w:pStyle w:val="Paragraphe"/>
        <w:numPr>
          <w:ilvl w:val="0"/>
          <w:numId w:val="19"/>
        </w:numPr>
        <w:ind w:left="1077" w:hanging="357"/>
        <w:rPr>
          <w:bCs/>
          <w:kern w:val="24"/>
          <w:szCs w:val="24"/>
          <w:lang w:val="en-CA" w:eastAsia="fr-CA"/>
        </w:rPr>
      </w:pPr>
      <w:r w:rsidRPr="000A3539">
        <w:rPr>
          <w:bCs/>
          <w:kern w:val="24"/>
          <w:szCs w:val="24"/>
          <w:lang w:val="en-CA" w:eastAsia="fr-CA"/>
        </w:rPr>
        <w:t xml:space="preserve">Did the Tribunal err </w:t>
      </w:r>
      <w:r w:rsidR="00535A26" w:rsidRPr="000A3539">
        <w:rPr>
          <w:bCs/>
          <w:kern w:val="24"/>
          <w:szCs w:val="24"/>
          <w:lang w:val="en-CA" w:eastAsia="fr-CA"/>
        </w:rPr>
        <w:t>in awarding moral damages</w:t>
      </w:r>
      <w:r w:rsidR="00D76132" w:rsidRPr="000A3539">
        <w:rPr>
          <w:bCs/>
          <w:kern w:val="24"/>
          <w:szCs w:val="24"/>
          <w:lang w:val="en-CA" w:eastAsia="fr-CA"/>
        </w:rPr>
        <w:t>?</w:t>
      </w:r>
    </w:p>
    <w:p w14:paraId="5801CD55" w14:textId="205C64FF" w:rsidR="00352837" w:rsidRPr="000A3539" w:rsidRDefault="00522747" w:rsidP="00352837">
      <w:pPr>
        <w:pStyle w:val="Paragraphe"/>
        <w:numPr>
          <w:ilvl w:val="0"/>
          <w:numId w:val="19"/>
        </w:numPr>
        <w:ind w:left="1077" w:hanging="357"/>
        <w:rPr>
          <w:lang w:val="en-CA"/>
        </w:rPr>
      </w:pPr>
      <w:r w:rsidRPr="000A3539">
        <w:rPr>
          <w:bCs/>
          <w:kern w:val="24"/>
          <w:szCs w:val="24"/>
          <w:lang w:val="en-CA" w:eastAsia="fr-CA"/>
        </w:rPr>
        <w:t>Did the Tribunal err</w:t>
      </w:r>
      <w:r w:rsidR="009960F0" w:rsidRPr="000A3539">
        <w:rPr>
          <w:bCs/>
          <w:kern w:val="24"/>
          <w:szCs w:val="24"/>
          <w:lang w:val="en-CA" w:eastAsia="fr-CA"/>
        </w:rPr>
        <w:t xml:space="preserve"> in refusing to recognize the solidary liability of the </w:t>
      </w:r>
      <w:r w:rsidR="00D76132" w:rsidRPr="000A3539">
        <w:rPr>
          <w:bCs/>
          <w:kern w:val="24"/>
          <w:szCs w:val="24"/>
          <w:lang w:val="en-CA" w:eastAsia="fr-CA"/>
        </w:rPr>
        <w:t>impleaded</w:t>
      </w:r>
      <w:r w:rsidR="009960F0" w:rsidRPr="000A3539">
        <w:rPr>
          <w:bCs/>
          <w:kern w:val="24"/>
          <w:szCs w:val="24"/>
          <w:lang w:val="en-CA" w:eastAsia="fr-CA"/>
        </w:rPr>
        <w:t xml:space="preserve"> </w:t>
      </w:r>
      <w:r w:rsidR="00D76132" w:rsidRPr="000A3539">
        <w:rPr>
          <w:bCs/>
          <w:kern w:val="24"/>
          <w:szCs w:val="24"/>
          <w:lang w:val="en-CA" w:eastAsia="fr-CA"/>
        </w:rPr>
        <w:t>party?</w:t>
      </w:r>
    </w:p>
    <w:p w14:paraId="582F20BA" w14:textId="7E560E11" w:rsidR="00352837" w:rsidRPr="000A3539" w:rsidRDefault="00535A26" w:rsidP="00352837">
      <w:pPr>
        <w:pStyle w:val="Style1premiertitre"/>
        <w:spacing w:line="280" w:lineRule="exact"/>
        <w:rPr>
          <w:lang w:val="en-CA"/>
        </w:rPr>
      </w:pPr>
      <w:r w:rsidRPr="000A3539">
        <w:rPr>
          <w:lang w:val="en-CA"/>
        </w:rPr>
        <w:t>Analysis</w:t>
      </w:r>
    </w:p>
    <w:p w14:paraId="23075A29" w14:textId="47347D7C" w:rsidR="00352837" w:rsidRPr="00D84744" w:rsidRDefault="00535A26" w:rsidP="00352837">
      <w:pPr>
        <w:pStyle w:val="Paragraphe"/>
        <w:numPr>
          <w:ilvl w:val="0"/>
          <w:numId w:val="0"/>
        </w:numPr>
        <w:rPr>
          <w:u w:val="single"/>
          <w:lang w:val="en-CA"/>
        </w:rPr>
      </w:pPr>
      <w:r w:rsidRPr="00053B23">
        <w:rPr>
          <w:u w:val="single"/>
          <w:lang w:val="en-CA"/>
        </w:rPr>
        <w:t>Preliminary observations</w:t>
      </w:r>
    </w:p>
    <w:p w14:paraId="6C1AA185" w14:textId="6BEF1246" w:rsidR="00352837" w:rsidRPr="000A3539" w:rsidRDefault="00726450" w:rsidP="00352837">
      <w:pPr>
        <w:pStyle w:val="Paragraphe"/>
        <w:rPr>
          <w:lang w:val="en-CA"/>
        </w:rPr>
      </w:pPr>
      <w:r w:rsidRPr="000A3539">
        <w:rPr>
          <w:lang w:val="en-CA"/>
        </w:rPr>
        <w:t xml:space="preserve">It is useful here to reproduce the </w:t>
      </w:r>
      <w:r w:rsidR="00D76132" w:rsidRPr="000A3539">
        <w:rPr>
          <w:lang w:val="en-CA"/>
        </w:rPr>
        <w:t>provisions</w:t>
      </w:r>
      <w:r w:rsidRPr="000A3539">
        <w:rPr>
          <w:lang w:val="en-CA"/>
        </w:rPr>
        <w:t xml:space="preserve"> of the </w:t>
      </w:r>
      <w:r w:rsidR="00D76132" w:rsidRPr="00FD1FB8">
        <w:rPr>
          <w:i/>
          <w:lang w:val="en-CA"/>
        </w:rPr>
        <w:t>Quebec</w:t>
      </w:r>
      <w:r w:rsidRPr="000A3539">
        <w:rPr>
          <w:i/>
          <w:lang w:val="en-CA"/>
        </w:rPr>
        <w:t xml:space="preserve"> </w:t>
      </w:r>
      <w:r w:rsidR="00D76132" w:rsidRPr="000A3539">
        <w:rPr>
          <w:i/>
          <w:lang w:val="en-CA"/>
        </w:rPr>
        <w:t>Charter</w:t>
      </w:r>
      <w:r w:rsidR="00065675" w:rsidRPr="000A3539">
        <w:rPr>
          <w:i/>
          <w:lang w:val="en-CA"/>
        </w:rPr>
        <w:t xml:space="preserve"> </w:t>
      </w:r>
      <w:r w:rsidR="00065675" w:rsidRPr="000A3539">
        <w:rPr>
          <w:lang w:val="en-CA"/>
        </w:rPr>
        <w:t xml:space="preserve">relevant to the </w:t>
      </w:r>
      <w:r w:rsidR="00D76132" w:rsidRPr="000A3539">
        <w:rPr>
          <w:lang w:val="en-CA"/>
        </w:rPr>
        <w:t>analys</w:t>
      </w:r>
      <w:r w:rsidR="00065675" w:rsidRPr="000A3539">
        <w:rPr>
          <w:lang w:val="en-CA"/>
        </w:rPr>
        <w:t>is:</w:t>
      </w:r>
      <w:r w:rsidR="00D76132" w:rsidRPr="000A3539">
        <w:rPr>
          <w:rStyle w:val="Appelnotedebasdep"/>
          <w:lang w:val="en-CA"/>
        </w:rPr>
        <w:footnoteReference w:id="36"/>
      </w:r>
    </w:p>
    <w:tbl>
      <w:tblPr>
        <w:tblW w:w="0" w:type="auto"/>
        <w:tblCellMar>
          <w:left w:w="70" w:type="dxa"/>
          <w:right w:w="70" w:type="dxa"/>
        </w:tblCellMar>
        <w:tblLook w:val="0000" w:firstRow="0" w:lastRow="0" w:firstColumn="0" w:lastColumn="0" w:noHBand="0" w:noVBand="0"/>
      </w:tblPr>
      <w:tblGrid>
        <w:gridCol w:w="4683"/>
        <w:gridCol w:w="4679"/>
      </w:tblGrid>
      <w:tr w:rsidR="005C73F6" w:rsidRPr="000A3539" w14:paraId="70B3A613" w14:textId="77777777" w:rsidTr="00352837">
        <w:tc>
          <w:tcPr>
            <w:tcW w:w="4683" w:type="dxa"/>
          </w:tcPr>
          <w:p w14:paraId="54B36839" w14:textId="1101FDA3" w:rsidR="00352837" w:rsidRPr="000A3539" w:rsidRDefault="00D76132" w:rsidP="00352837">
            <w:pPr>
              <w:pStyle w:val="Tableaugauchefranais"/>
              <w:spacing w:before="120" w:after="120"/>
              <w:ind w:right="142"/>
              <w:jc w:val="both"/>
              <w:rPr>
                <w:bCs/>
                <w:lang w:val="en-CA"/>
              </w:rPr>
            </w:pPr>
            <w:r w:rsidRPr="000A3539">
              <w:rPr>
                <w:b/>
                <w:bCs/>
                <w:lang w:val="en-CA"/>
              </w:rPr>
              <w:t>10.  </w:t>
            </w:r>
            <w:r w:rsidR="005D1BBF" w:rsidRPr="000A3539">
              <w:rPr>
                <w:bCs/>
                <w:lang w:val="en-CA"/>
              </w:rPr>
              <w:t xml:space="preserve">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w:t>
            </w:r>
            <w:r w:rsidR="005D1BBF" w:rsidRPr="000A3539">
              <w:rPr>
                <w:bCs/>
                <w:u w:val="single"/>
                <w:lang w:val="en-CA"/>
              </w:rPr>
              <w:t>social condition</w:t>
            </w:r>
            <w:r w:rsidR="005D1BBF" w:rsidRPr="000A3539">
              <w:rPr>
                <w:bCs/>
                <w:lang w:val="en-CA"/>
              </w:rPr>
              <w:t>, a handicap or the use of any means to palliate a handicap.</w:t>
            </w:r>
          </w:p>
          <w:p w14:paraId="14E1EAFD" w14:textId="77777777" w:rsidR="001D58BC" w:rsidRDefault="001D58BC" w:rsidP="00352837">
            <w:pPr>
              <w:pStyle w:val="Tableaugauchefranais"/>
              <w:spacing w:before="120" w:after="120"/>
              <w:ind w:right="142"/>
              <w:jc w:val="both"/>
              <w:rPr>
                <w:bCs/>
                <w:lang w:val="en-CA"/>
              </w:rPr>
            </w:pPr>
          </w:p>
          <w:p w14:paraId="01B224C2" w14:textId="6A5B4626" w:rsidR="00352837" w:rsidRPr="000A3539" w:rsidRDefault="005D1BBF" w:rsidP="00352837">
            <w:pPr>
              <w:pStyle w:val="Tableaugauchefranais"/>
              <w:spacing w:before="120" w:after="120"/>
              <w:ind w:right="142"/>
              <w:jc w:val="both"/>
              <w:rPr>
                <w:bCs/>
                <w:lang w:val="en-CA"/>
              </w:rPr>
            </w:pPr>
            <w:r w:rsidRPr="000A3539">
              <w:rPr>
                <w:bCs/>
                <w:lang w:val="en-CA"/>
              </w:rPr>
              <w:lastRenderedPageBreak/>
              <w:t>Discrimination exists where such a distinction, exclusion or preference has the effect of nullifying or impairing such right.</w:t>
            </w:r>
          </w:p>
          <w:p w14:paraId="2A38D5FC" w14:textId="67ECAF69" w:rsidR="00352837" w:rsidRPr="000A3539" w:rsidRDefault="00D76132" w:rsidP="00352837">
            <w:pPr>
              <w:pStyle w:val="Tableaugauchefranais"/>
              <w:spacing w:before="120" w:after="120"/>
              <w:ind w:right="142"/>
              <w:jc w:val="both"/>
              <w:rPr>
                <w:lang w:val="en-CA"/>
              </w:rPr>
            </w:pPr>
            <w:r w:rsidRPr="000A3539">
              <w:rPr>
                <w:b/>
                <w:bCs/>
                <w:lang w:val="en-CA"/>
              </w:rPr>
              <w:t>19.</w:t>
            </w:r>
            <w:r w:rsidRPr="000A3539">
              <w:rPr>
                <w:lang w:val="en-CA"/>
              </w:rPr>
              <w:t>  </w:t>
            </w:r>
            <w:r w:rsidR="005D1BBF" w:rsidRPr="000A3539">
              <w:rPr>
                <w:lang w:val="en-CA"/>
              </w:rPr>
              <w:t xml:space="preserve">Every employer must, </w:t>
            </w:r>
            <w:r w:rsidR="005D1BBF" w:rsidRPr="000A3539">
              <w:rPr>
                <w:u w:val="single"/>
                <w:lang w:val="en-CA"/>
              </w:rPr>
              <w:t>without discrimination</w:t>
            </w:r>
            <w:r w:rsidR="005D1BBF" w:rsidRPr="000A3539">
              <w:rPr>
                <w:lang w:val="en-CA"/>
              </w:rPr>
              <w:t xml:space="preserve">, grant equal salary or wages to the members of his personnel </w:t>
            </w:r>
            <w:r w:rsidR="005D1BBF" w:rsidRPr="000A3539">
              <w:rPr>
                <w:u w:val="single"/>
                <w:lang w:val="en-CA"/>
              </w:rPr>
              <w:t>who perform equivalent work</w:t>
            </w:r>
            <w:r w:rsidR="005D1BBF" w:rsidRPr="000A3539">
              <w:rPr>
                <w:lang w:val="en-CA"/>
              </w:rPr>
              <w:t xml:space="preserve"> at the same place.</w:t>
            </w:r>
          </w:p>
          <w:p w14:paraId="6175DE2B" w14:textId="1E36526D" w:rsidR="00352837" w:rsidRPr="000A3539" w:rsidRDefault="005D1BBF" w:rsidP="005D1BBF">
            <w:pPr>
              <w:pStyle w:val="Tableaugauchefranais"/>
              <w:spacing w:before="120" w:after="120"/>
              <w:ind w:right="142"/>
              <w:jc w:val="both"/>
              <w:rPr>
                <w:lang w:val="en-CA"/>
              </w:rPr>
            </w:pPr>
            <w:r w:rsidRPr="000A3539">
              <w:rPr>
                <w:lang w:val="en-CA"/>
              </w:rPr>
              <w:t xml:space="preserve">A difference in salary or wages based on experience, seniority, </w:t>
            </w:r>
            <w:r w:rsidRPr="000A3539">
              <w:rPr>
                <w:u w:val="single"/>
                <w:lang w:val="en-CA"/>
              </w:rPr>
              <w:t>years of service</w:t>
            </w:r>
            <w:r w:rsidRPr="000A3539">
              <w:rPr>
                <w:lang w:val="en-CA"/>
              </w:rPr>
              <w:t>, merit, productivity or overtime is not considered discriminatory if such criteria are common to all members of the personnel.</w:t>
            </w:r>
            <w:r w:rsidR="00BD09A8">
              <w:rPr>
                <w:lang w:val="en-CA"/>
              </w:rPr>
              <w:t xml:space="preserve"> </w:t>
            </w:r>
            <w:r w:rsidR="00BD09A8">
              <w:rPr>
                <w:rFonts w:cs="Arial"/>
              </w:rPr>
              <w:t>[…]</w:t>
            </w:r>
            <w:r w:rsidRPr="000A3539">
              <w:rPr>
                <w:lang w:val="en-CA"/>
              </w:rPr>
              <w:t xml:space="preserve"> </w:t>
            </w:r>
          </w:p>
        </w:tc>
        <w:tc>
          <w:tcPr>
            <w:tcW w:w="4679" w:type="dxa"/>
          </w:tcPr>
          <w:p w14:paraId="01D8FC41" w14:textId="7EE38163" w:rsidR="00352837" w:rsidRPr="000A3539" w:rsidRDefault="00D76132" w:rsidP="00352837">
            <w:pPr>
              <w:pStyle w:val="Tableaudroiteanglais"/>
              <w:spacing w:before="120" w:after="120"/>
              <w:rPr>
                <w:bCs/>
                <w:lang w:val="fr-CA"/>
              </w:rPr>
            </w:pPr>
            <w:r w:rsidRPr="00877FA5">
              <w:rPr>
                <w:b/>
                <w:bCs/>
                <w:lang w:val="fr-CA"/>
              </w:rPr>
              <w:lastRenderedPageBreak/>
              <w:t>10.  </w:t>
            </w:r>
            <w:r w:rsidR="005D1BBF" w:rsidRPr="000A3539">
              <w:rPr>
                <w:bCs/>
                <w:lang w:val="fr-CA"/>
              </w:rPr>
              <w:t xml:space="preserve">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w:t>
            </w:r>
            <w:r w:rsidR="005D1BBF" w:rsidRPr="000A3539">
              <w:rPr>
                <w:bCs/>
                <w:u w:val="single"/>
                <w:lang w:val="fr-CA"/>
              </w:rPr>
              <w:t>la condition sociale</w:t>
            </w:r>
            <w:r w:rsidR="005D1BBF" w:rsidRPr="000A3539">
              <w:rPr>
                <w:bCs/>
                <w:lang w:val="fr-CA"/>
              </w:rPr>
              <w:t>, le handicap ou l’utilisation d’un moyen pour pallier ce handicap.</w:t>
            </w:r>
          </w:p>
          <w:p w14:paraId="7013D0C7" w14:textId="6B2F0D65" w:rsidR="00352837" w:rsidRPr="000A3539" w:rsidRDefault="005D1BBF" w:rsidP="00352837">
            <w:pPr>
              <w:pStyle w:val="Tableaudroiteanglais"/>
              <w:spacing w:before="120" w:after="120"/>
              <w:ind w:left="142"/>
              <w:rPr>
                <w:bCs/>
                <w:lang w:val="fr-CA"/>
              </w:rPr>
            </w:pPr>
            <w:r w:rsidRPr="000A3539">
              <w:rPr>
                <w:bCs/>
                <w:lang w:val="fr-CA"/>
              </w:rPr>
              <w:lastRenderedPageBreak/>
              <w:t>Il y a discrimination lorsqu’une telle distinction, exclusion ou préférence a pour effet de détruire ou de compromettre ce droit.</w:t>
            </w:r>
          </w:p>
          <w:p w14:paraId="433D571B" w14:textId="4057E217" w:rsidR="00352837" w:rsidRPr="000A3539" w:rsidRDefault="00D76132" w:rsidP="00352837">
            <w:pPr>
              <w:pStyle w:val="Tableaudroiteanglais"/>
              <w:spacing w:before="120" w:after="120"/>
              <w:ind w:left="142"/>
              <w:rPr>
                <w:lang w:val="fr-CA"/>
              </w:rPr>
            </w:pPr>
            <w:r w:rsidRPr="00877FA5">
              <w:rPr>
                <w:b/>
                <w:bCs/>
                <w:lang w:val="fr-CA"/>
              </w:rPr>
              <w:t>19.</w:t>
            </w:r>
            <w:r w:rsidRPr="00877FA5">
              <w:rPr>
                <w:lang w:val="fr-CA"/>
              </w:rPr>
              <w:t>  </w:t>
            </w:r>
            <w:r w:rsidR="005D1BBF" w:rsidRPr="000A3539">
              <w:rPr>
                <w:lang w:val="fr-CA"/>
              </w:rPr>
              <w:t xml:space="preserve">Tout employeur doit, </w:t>
            </w:r>
            <w:r w:rsidR="005D1BBF" w:rsidRPr="000A3539">
              <w:rPr>
                <w:u w:val="single"/>
                <w:lang w:val="fr-CA"/>
              </w:rPr>
              <w:t>sans discrimination</w:t>
            </w:r>
            <w:r w:rsidR="005D1BBF" w:rsidRPr="000A3539">
              <w:rPr>
                <w:lang w:val="fr-CA"/>
              </w:rPr>
              <w:t xml:space="preserve">, accorder un traitement ou un salaire égal aux membres de son personnel </w:t>
            </w:r>
            <w:r w:rsidR="005D1BBF" w:rsidRPr="000A3539">
              <w:rPr>
                <w:u w:val="single"/>
                <w:lang w:val="fr-CA"/>
              </w:rPr>
              <w:t>qui accomplissent un travail équivalent</w:t>
            </w:r>
            <w:r w:rsidR="005D1BBF" w:rsidRPr="000A3539">
              <w:rPr>
                <w:lang w:val="fr-CA"/>
              </w:rPr>
              <w:t xml:space="preserve"> au même endroit.</w:t>
            </w:r>
          </w:p>
          <w:p w14:paraId="2343878B" w14:textId="6CACB672" w:rsidR="00352837" w:rsidRPr="00877FA5" w:rsidRDefault="005D1BBF" w:rsidP="00352837">
            <w:pPr>
              <w:pStyle w:val="Tableaudroiteanglais"/>
              <w:spacing w:before="120" w:after="120"/>
              <w:ind w:left="142"/>
              <w:rPr>
                <w:lang w:val="fr-CA"/>
              </w:rPr>
            </w:pPr>
            <w:r w:rsidRPr="000A3539">
              <w:rPr>
                <w:lang w:val="fr-CA"/>
              </w:rPr>
              <w:t xml:space="preserve">Il n’y a pas de discrimination si une différence de traitement ou de salaire est fondée sur l’expérience, l’ancienneté, </w:t>
            </w:r>
            <w:r w:rsidRPr="000A3539">
              <w:rPr>
                <w:u w:val="single"/>
                <w:lang w:val="fr-CA"/>
              </w:rPr>
              <w:t>la durée du service</w:t>
            </w:r>
            <w:r w:rsidRPr="000A3539">
              <w:rPr>
                <w:lang w:val="fr-CA"/>
              </w:rPr>
              <w:t>, l’évaluation au mérite, la quantité de production ou le temps supplémentaire, si ces critères sont communs à tous les membres du personnel.</w:t>
            </w:r>
            <w:r w:rsidR="00BD09A8">
              <w:t xml:space="preserve"> </w:t>
            </w:r>
            <w:r w:rsidR="00BD09A8">
              <w:rPr>
                <w:rFonts w:cs="Arial"/>
              </w:rPr>
              <w:t>[…]</w:t>
            </w:r>
          </w:p>
        </w:tc>
      </w:tr>
    </w:tbl>
    <w:p w14:paraId="36F72B27" w14:textId="44511795" w:rsidR="00352837" w:rsidRPr="000A3539" w:rsidRDefault="00535A26" w:rsidP="00352837">
      <w:pPr>
        <w:pStyle w:val="Citationenretrait"/>
        <w:jc w:val="right"/>
        <w:rPr>
          <w:lang w:val="en-CA"/>
        </w:rPr>
      </w:pPr>
      <w:r w:rsidRPr="000A3539">
        <w:rPr>
          <w:lang w:val="en-CA"/>
        </w:rPr>
        <w:lastRenderedPageBreak/>
        <w:t>[Emphasis added]</w:t>
      </w:r>
    </w:p>
    <w:p w14:paraId="433F4192" w14:textId="2A4C00FD" w:rsidR="00352837" w:rsidRPr="000A3539" w:rsidRDefault="00B61B4D" w:rsidP="00352837">
      <w:pPr>
        <w:pStyle w:val="Paragraphe"/>
        <w:rPr>
          <w:lang w:val="en-CA"/>
        </w:rPr>
      </w:pPr>
      <w:r w:rsidRPr="000A3539">
        <w:rPr>
          <w:lang w:val="en-CA" w:eastAsia="fr-CA"/>
        </w:rPr>
        <w:t xml:space="preserve">In </w:t>
      </w:r>
      <w:r w:rsidR="00D76132" w:rsidRPr="000A3539">
        <w:rPr>
          <w:i/>
          <w:lang w:val="en-CA"/>
        </w:rPr>
        <w:t>Ford v. Qu</w:t>
      </w:r>
      <w:r w:rsidR="005A08DA" w:rsidRPr="000A3539">
        <w:rPr>
          <w:i/>
          <w:lang w:val="en-CA"/>
        </w:rPr>
        <w:t>e</w:t>
      </w:r>
      <w:r w:rsidR="00D76132" w:rsidRPr="000A3539">
        <w:rPr>
          <w:i/>
          <w:lang w:val="en-CA"/>
        </w:rPr>
        <w:t>bec (Attorney</w:t>
      </w:r>
      <w:r w:rsidR="005A08DA" w:rsidRPr="000A3539">
        <w:rPr>
          <w:i/>
          <w:lang w:val="en-CA"/>
        </w:rPr>
        <w:t xml:space="preserve"> </w:t>
      </w:r>
      <w:r w:rsidR="00D76132" w:rsidRPr="000A3539">
        <w:rPr>
          <w:i/>
          <w:lang w:val="en-CA"/>
        </w:rPr>
        <w:t>General)</w:t>
      </w:r>
      <w:bookmarkStart w:id="9" w:name="_Ref71290743"/>
      <w:r w:rsidR="005A08DA" w:rsidRPr="000A3539">
        <w:rPr>
          <w:lang w:val="en-CA"/>
        </w:rPr>
        <w:t>,</w:t>
      </w:r>
      <w:r w:rsidR="00D76132" w:rsidRPr="000A3539">
        <w:rPr>
          <w:rStyle w:val="Appelnotedebasdep"/>
          <w:lang w:val="en-CA"/>
        </w:rPr>
        <w:footnoteReference w:id="37"/>
      </w:r>
      <w:bookmarkEnd w:id="9"/>
      <w:r w:rsidR="005A08DA" w:rsidRPr="000A3539">
        <w:rPr>
          <w:lang w:val="en-CA"/>
        </w:rPr>
        <w:t xml:space="preserve"> the </w:t>
      </w:r>
      <w:r w:rsidR="00D76132" w:rsidRPr="000A3539">
        <w:rPr>
          <w:lang w:val="en-CA" w:eastAsia="fr-CA"/>
        </w:rPr>
        <w:t>Supreme</w:t>
      </w:r>
      <w:r w:rsidR="005A08DA" w:rsidRPr="000A3539">
        <w:rPr>
          <w:lang w:val="en-CA" w:eastAsia="fr-CA"/>
        </w:rPr>
        <w:t xml:space="preserve"> </w:t>
      </w:r>
      <w:r w:rsidR="00D76132" w:rsidRPr="000A3539">
        <w:rPr>
          <w:lang w:val="en-CA" w:eastAsia="fr-CA"/>
        </w:rPr>
        <w:t>Court</w:t>
      </w:r>
      <w:r w:rsidR="005A08DA" w:rsidRPr="000A3539">
        <w:rPr>
          <w:lang w:val="en-CA" w:eastAsia="fr-CA"/>
        </w:rPr>
        <w:t xml:space="preserve"> </w:t>
      </w:r>
      <w:r w:rsidR="00D76132" w:rsidRPr="000A3539">
        <w:rPr>
          <w:lang w:val="en-CA" w:eastAsia="fr-CA"/>
        </w:rPr>
        <w:t>of</w:t>
      </w:r>
      <w:r w:rsidR="005A08DA" w:rsidRPr="000A3539">
        <w:rPr>
          <w:lang w:val="en-CA" w:eastAsia="fr-CA"/>
        </w:rPr>
        <w:t xml:space="preserve"> </w:t>
      </w:r>
      <w:r w:rsidR="00D76132" w:rsidRPr="000A3539">
        <w:rPr>
          <w:lang w:val="en-CA" w:eastAsia="fr-CA"/>
        </w:rPr>
        <w:t>Canada</w:t>
      </w:r>
      <w:r w:rsidR="005A08DA" w:rsidRPr="000A3539">
        <w:rPr>
          <w:lang w:val="en-CA" w:eastAsia="fr-CA"/>
        </w:rPr>
        <w:t xml:space="preserve"> set out the </w:t>
      </w:r>
      <w:r w:rsidR="00D76132" w:rsidRPr="000A3539">
        <w:rPr>
          <w:lang w:val="en-CA"/>
        </w:rPr>
        <w:t xml:space="preserve">conditions </w:t>
      </w:r>
      <w:r w:rsidR="005A08DA" w:rsidRPr="000A3539">
        <w:rPr>
          <w:lang w:val="en-CA"/>
        </w:rPr>
        <w:t xml:space="preserve">that must be met for a finding of </w:t>
      </w:r>
      <w:r w:rsidR="00D76132" w:rsidRPr="000A3539">
        <w:rPr>
          <w:lang w:val="en-CA"/>
        </w:rPr>
        <w:t xml:space="preserve">discrimination </w:t>
      </w:r>
      <w:r w:rsidR="005A08DA" w:rsidRPr="000A3539">
        <w:rPr>
          <w:lang w:val="en-CA"/>
        </w:rPr>
        <w:t xml:space="preserve">based on </w:t>
      </w:r>
      <w:r w:rsidR="00D76132" w:rsidRPr="000A3539">
        <w:rPr>
          <w:lang w:val="en-CA"/>
        </w:rPr>
        <w:t xml:space="preserve">section 10 </w:t>
      </w:r>
      <w:r w:rsidR="005A08DA" w:rsidRPr="000A3539">
        <w:rPr>
          <w:lang w:val="en-CA"/>
        </w:rPr>
        <w:t xml:space="preserve">of the </w:t>
      </w:r>
      <w:r w:rsidR="00D76132" w:rsidRPr="00FD1FB8">
        <w:rPr>
          <w:i/>
          <w:lang w:val="en-CA"/>
        </w:rPr>
        <w:t>Quebec</w:t>
      </w:r>
      <w:r w:rsidR="005A08DA" w:rsidRPr="000A3539">
        <w:rPr>
          <w:i/>
          <w:lang w:val="en-CA"/>
        </w:rPr>
        <w:t xml:space="preserve"> </w:t>
      </w:r>
      <w:r w:rsidR="00D76132" w:rsidRPr="000A3539">
        <w:rPr>
          <w:i/>
          <w:lang w:val="en-CA"/>
        </w:rPr>
        <w:t>Charter</w:t>
      </w:r>
      <w:r w:rsidR="00D76132" w:rsidRPr="000A3539">
        <w:rPr>
          <w:lang w:val="en-CA"/>
        </w:rPr>
        <w:t>:</w:t>
      </w:r>
    </w:p>
    <w:p w14:paraId="6CC3660A" w14:textId="7C90E33B" w:rsidR="00352837" w:rsidRPr="000A3539" w:rsidRDefault="005D01EF" w:rsidP="00352837">
      <w:pPr>
        <w:pStyle w:val="Citationenretrait"/>
        <w:rPr>
          <w:lang w:val="en-CA"/>
        </w:rPr>
      </w:pPr>
      <w:r w:rsidRPr="005D01EF">
        <w:rPr>
          <w:shd w:val="clear" w:color="auto" w:fill="FFFFFF"/>
          <w:lang w:val="en-CA"/>
        </w:rPr>
        <w:t xml:space="preserve">[…]  </w:t>
      </w:r>
      <w:r w:rsidR="00D76132" w:rsidRPr="000A3539">
        <w:rPr>
          <w:shd w:val="clear" w:color="auto" w:fill="FFFFFF"/>
          <w:lang w:val="en-CA"/>
        </w:rPr>
        <w:t xml:space="preserve">(1) </w:t>
      </w:r>
      <w:r w:rsidR="005A08DA" w:rsidRPr="000A3539">
        <w:rPr>
          <w:shd w:val="clear" w:color="auto" w:fill="FFFFFF"/>
          <w:lang w:val="en-CA"/>
        </w:rPr>
        <w:t>a "distinction, exclusion or preference", (2) based on one of the grounds listed in the first paragraph, and (3) which "has the effect of nullifying or impairing" the right to full and equal recognition and exercise of a human right or freedom.</w:t>
      </w:r>
      <w:r w:rsidR="00D76132" w:rsidRPr="000A3539">
        <w:rPr>
          <w:rStyle w:val="Appelnotedebasdep"/>
          <w:rFonts w:cs="Arial"/>
          <w:lang w:val="en-CA"/>
        </w:rPr>
        <w:footnoteReference w:id="38"/>
      </w:r>
    </w:p>
    <w:p w14:paraId="1F2E6BF8" w14:textId="76028AEA" w:rsidR="00352837" w:rsidRPr="000A3539" w:rsidRDefault="00B26F68" w:rsidP="00352837">
      <w:pPr>
        <w:pStyle w:val="Paragraphe"/>
        <w:rPr>
          <w:i/>
          <w:lang w:val="en-CA"/>
        </w:rPr>
      </w:pPr>
      <w:r w:rsidRPr="000A3539">
        <w:rPr>
          <w:lang w:val="en-CA" w:eastAsia="fr-CA"/>
        </w:rPr>
        <w:t>A complainant want</w:t>
      </w:r>
      <w:r w:rsidR="00CA33A7">
        <w:rPr>
          <w:lang w:val="en-CA" w:eastAsia="fr-CA"/>
        </w:rPr>
        <w:t>ing</w:t>
      </w:r>
      <w:r w:rsidRPr="000A3539">
        <w:rPr>
          <w:lang w:val="en-CA" w:eastAsia="fr-CA"/>
        </w:rPr>
        <w:t xml:space="preserve"> to establish such discrimination must prove that there is “</w:t>
      </w:r>
      <w:r w:rsidRPr="00FD1FB8">
        <w:rPr>
          <w:i/>
          <w:lang w:val="en-CA" w:eastAsia="fr-CA"/>
        </w:rPr>
        <w:t>prima facie</w:t>
      </w:r>
      <w:r w:rsidRPr="000A3539">
        <w:rPr>
          <w:lang w:val="en-CA" w:eastAsia="fr-CA"/>
        </w:rPr>
        <w:t xml:space="preserve"> </w:t>
      </w:r>
      <w:r w:rsidR="00D76132" w:rsidRPr="000A3539">
        <w:rPr>
          <w:lang w:val="en-CA"/>
        </w:rPr>
        <w:t>discrimination</w:t>
      </w:r>
      <w:r w:rsidRPr="000A3539">
        <w:rPr>
          <w:lang w:val="en-CA"/>
        </w:rPr>
        <w:t>”</w:t>
      </w:r>
      <w:r w:rsidR="00E03603">
        <w:rPr>
          <w:lang w:val="en-CA"/>
        </w:rPr>
        <w:t>,</w:t>
      </w:r>
      <w:r w:rsidRPr="000A3539">
        <w:rPr>
          <w:lang w:val="en-CA"/>
        </w:rPr>
        <w:t xml:space="preserve"> as the </w:t>
      </w:r>
      <w:r w:rsidR="00D76132" w:rsidRPr="000A3539">
        <w:rPr>
          <w:lang w:val="en-CA"/>
        </w:rPr>
        <w:t>Supreme</w:t>
      </w:r>
      <w:r w:rsidRPr="000A3539">
        <w:rPr>
          <w:lang w:val="en-CA"/>
        </w:rPr>
        <w:t xml:space="preserve"> </w:t>
      </w:r>
      <w:r w:rsidR="00D76132" w:rsidRPr="000A3539">
        <w:rPr>
          <w:lang w:val="en-CA"/>
        </w:rPr>
        <w:t>Court</w:t>
      </w:r>
      <w:r w:rsidRPr="000A3539">
        <w:rPr>
          <w:lang w:val="en-CA"/>
        </w:rPr>
        <w:t xml:space="preserve"> </w:t>
      </w:r>
      <w:r w:rsidR="005C330C">
        <w:rPr>
          <w:lang w:val="en-CA"/>
        </w:rPr>
        <w:t xml:space="preserve">explained </w:t>
      </w:r>
      <w:r w:rsidRPr="000A3539">
        <w:rPr>
          <w:lang w:val="en-CA"/>
        </w:rPr>
        <w:t xml:space="preserve">in </w:t>
      </w:r>
      <w:r w:rsidR="00D76132" w:rsidRPr="000A3539">
        <w:rPr>
          <w:i/>
          <w:lang w:val="en-CA"/>
        </w:rPr>
        <w:t>Qu</w:t>
      </w:r>
      <w:r w:rsidRPr="000A3539">
        <w:rPr>
          <w:i/>
          <w:lang w:val="en-CA"/>
        </w:rPr>
        <w:t>e</w:t>
      </w:r>
      <w:r w:rsidR="00D76132" w:rsidRPr="000A3539">
        <w:rPr>
          <w:i/>
          <w:lang w:val="en-CA"/>
        </w:rPr>
        <w:t>bec (Commission</w:t>
      </w:r>
      <w:r w:rsidR="0034612E" w:rsidRPr="000A3539">
        <w:rPr>
          <w:i/>
          <w:lang w:val="en-CA"/>
        </w:rPr>
        <w:t xml:space="preserve"> </w:t>
      </w:r>
      <w:r w:rsidR="00D76132" w:rsidRPr="000A3539">
        <w:rPr>
          <w:i/>
          <w:lang w:val="en-CA"/>
        </w:rPr>
        <w:t>des</w:t>
      </w:r>
      <w:r w:rsidR="0034612E" w:rsidRPr="000A3539">
        <w:rPr>
          <w:i/>
          <w:lang w:val="en-CA"/>
        </w:rPr>
        <w:t xml:space="preserve"> </w:t>
      </w:r>
      <w:r w:rsidR="00D76132" w:rsidRPr="000A3539">
        <w:rPr>
          <w:i/>
          <w:lang w:val="en-CA"/>
        </w:rPr>
        <w:t>droits</w:t>
      </w:r>
      <w:r w:rsidR="0034612E" w:rsidRPr="000A3539">
        <w:rPr>
          <w:i/>
          <w:lang w:val="en-CA"/>
        </w:rPr>
        <w:t xml:space="preserve"> </w:t>
      </w:r>
      <w:r w:rsidR="00D76132" w:rsidRPr="000A3539">
        <w:rPr>
          <w:i/>
          <w:lang w:val="en-CA"/>
        </w:rPr>
        <w:t>de</w:t>
      </w:r>
      <w:r w:rsidR="0034612E" w:rsidRPr="000A3539">
        <w:rPr>
          <w:i/>
          <w:lang w:val="en-CA"/>
        </w:rPr>
        <w:t xml:space="preserve"> </w:t>
      </w:r>
      <w:r w:rsidR="00D76132" w:rsidRPr="000A3539">
        <w:rPr>
          <w:i/>
          <w:lang w:val="en-CA"/>
        </w:rPr>
        <w:t>la</w:t>
      </w:r>
      <w:r w:rsidR="0034612E" w:rsidRPr="000A3539">
        <w:rPr>
          <w:i/>
          <w:lang w:val="en-CA"/>
        </w:rPr>
        <w:t xml:space="preserve"> </w:t>
      </w:r>
      <w:r w:rsidR="00D76132" w:rsidRPr="000A3539">
        <w:rPr>
          <w:i/>
          <w:lang w:val="en-CA"/>
        </w:rPr>
        <w:t xml:space="preserve">personne et des droits de la </w:t>
      </w:r>
      <w:proofErr w:type="spellStart"/>
      <w:r w:rsidR="00D76132" w:rsidRPr="000A3539">
        <w:rPr>
          <w:i/>
          <w:lang w:val="en-CA"/>
        </w:rPr>
        <w:t>jeunesse</w:t>
      </w:r>
      <w:proofErr w:type="spellEnd"/>
      <w:r w:rsidR="00D76132" w:rsidRPr="000A3539">
        <w:rPr>
          <w:i/>
          <w:lang w:val="en-CA"/>
        </w:rPr>
        <w:t>) v. Bombardier Inc. (</w:t>
      </w:r>
      <w:r w:rsidR="0034612E" w:rsidRPr="000A3539">
        <w:rPr>
          <w:i/>
          <w:lang w:val="en-CA"/>
        </w:rPr>
        <w:t>Bombardier Aerospace Training Center</w:t>
      </w:r>
      <w:r w:rsidR="00D76132" w:rsidRPr="000A3539">
        <w:rPr>
          <w:i/>
          <w:lang w:val="en-CA"/>
        </w:rPr>
        <w:t>)</w:t>
      </w:r>
      <w:bookmarkStart w:id="10" w:name="_Ref71292506"/>
      <w:r w:rsidR="0034612E" w:rsidRPr="000A3539">
        <w:rPr>
          <w:lang w:val="en-CA"/>
        </w:rPr>
        <w:t>:</w:t>
      </w:r>
      <w:r w:rsidR="00D76132" w:rsidRPr="000A3539">
        <w:rPr>
          <w:rStyle w:val="Appelnotedebasdep"/>
          <w:lang w:val="en-CA"/>
        </w:rPr>
        <w:footnoteReference w:id="39"/>
      </w:r>
      <w:bookmarkEnd w:id="10"/>
    </w:p>
    <w:p w14:paraId="52F0D6F2" w14:textId="04C8DF80" w:rsidR="00352837" w:rsidRPr="000A3539" w:rsidRDefault="00D76132" w:rsidP="00352837">
      <w:pPr>
        <w:pStyle w:val="Citationenretrait"/>
        <w:rPr>
          <w:shd w:val="clear" w:color="auto" w:fill="FFFFFF"/>
          <w:lang w:val="en-CA"/>
        </w:rPr>
      </w:pPr>
      <w:r w:rsidRPr="000A3539">
        <w:rPr>
          <w:shd w:val="clear" w:color="auto" w:fill="FFFFFF"/>
          <w:lang w:val="en-CA"/>
        </w:rPr>
        <w:t>[</w:t>
      </w:r>
      <w:bookmarkStart w:id="11" w:name="par64"/>
      <w:r w:rsidRPr="000A3539">
        <w:rPr>
          <w:shd w:val="clear" w:color="auto" w:fill="FFFFFF"/>
          <w:lang w:val="en-CA"/>
        </w:rPr>
        <w:t>64</w:t>
      </w:r>
      <w:bookmarkEnd w:id="11"/>
      <w:r w:rsidRPr="000A3539">
        <w:rPr>
          <w:shd w:val="clear" w:color="auto" w:fill="FFFFFF"/>
          <w:lang w:val="en-CA"/>
        </w:rPr>
        <w:t>]  </w:t>
      </w:r>
      <w:r w:rsidR="0034612E" w:rsidRPr="000A3539">
        <w:rPr>
          <w:color w:val="000000"/>
          <w:sz w:val="14"/>
          <w:szCs w:val="14"/>
          <w:lang w:val="en-CA"/>
        </w:rPr>
        <w:t>  </w:t>
      </w:r>
      <w:r w:rsidR="0034612E" w:rsidRPr="000A3539">
        <w:rPr>
          <w:color w:val="000000"/>
          <w:lang w:val="en-CA"/>
        </w:rPr>
        <w:t>This brief review of the case law shows that the use of the expression “</w:t>
      </w:r>
      <w:r w:rsidR="0034612E" w:rsidRPr="000A3539">
        <w:rPr>
          <w:i/>
          <w:iCs/>
          <w:color w:val="000000"/>
          <w:lang w:val="en-CA"/>
        </w:rPr>
        <w:t>prima facie</w:t>
      </w:r>
      <w:r w:rsidR="0034612E" w:rsidRPr="000A3539">
        <w:rPr>
          <w:color w:val="000000"/>
          <w:lang w:val="en-CA"/>
        </w:rPr>
        <w:t xml:space="preserve"> discrimination” can be explained quite simply on the basis of the </w:t>
      </w:r>
      <w:r w:rsidR="0034612E" w:rsidRPr="000A3539">
        <w:rPr>
          <w:color w:val="000000"/>
          <w:lang w:val="en-CA"/>
        </w:rPr>
        <w:lastRenderedPageBreak/>
        <w:t>two</w:t>
      </w:r>
      <w:r w:rsidR="0034612E" w:rsidRPr="000A3539">
        <w:rPr>
          <w:color w:val="000000"/>
          <w:lang w:val="en-CA"/>
        </w:rPr>
        <w:noBreakHyphen/>
        <w:t>step test for complaints of discrimination under the </w:t>
      </w:r>
      <w:r w:rsidR="0034612E" w:rsidRPr="000A3539">
        <w:rPr>
          <w:i/>
          <w:iCs/>
          <w:color w:val="000000"/>
          <w:lang w:val="en-CA"/>
        </w:rPr>
        <w:t>Charter</w:t>
      </w:r>
      <w:r w:rsidR="0034612E" w:rsidRPr="000A3539">
        <w:rPr>
          <w:color w:val="000000"/>
          <w:lang w:val="en-CA"/>
        </w:rPr>
        <w:t xml:space="preserve">. This expression concerns only the three elements that must be proven by the plaintiff at the first step. If no justification is established by the defendant, </w:t>
      </w:r>
      <w:r w:rsidR="0034612E" w:rsidRPr="000A3539">
        <w:rPr>
          <w:color w:val="000000"/>
          <w:u w:val="single"/>
          <w:lang w:val="en-CA"/>
        </w:rPr>
        <w:t>proof of these three elements on a balance of probabilities will be sufficient for the tribunal to find that s. 10 of the </w:t>
      </w:r>
      <w:r w:rsidR="0034612E" w:rsidRPr="000A3539">
        <w:rPr>
          <w:i/>
          <w:iCs/>
          <w:color w:val="000000"/>
          <w:u w:val="single"/>
          <w:lang w:val="en-CA"/>
        </w:rPr>
        <w:t>Charter </w:t>
      </w:r>
      <w:r w:rsidR="0034612E" w:rsidRPr="000A3539">
        <w:rPr>
          <w:color w:val="000000"/>
          <w:u w:val="single"/>
          <w:lang w:val="en-CA"/>
        </w:rPr>
        <w:t>has been violated</w:t>
      </w:r>
      <w:r w:rsidR="0034612E" w:rsidRPr="000A3539">
        <w:rPr>
          <w:color w:val="000000"/>
          <w:lang w:val="en-CA"/>
        </w:rPr>
        <w:t>. If, on the other hand, the defendant succeeds in justifying his or her decision or conduct, there will have been no violation, not even if </w:t>
      </w:r>
      <w:r w:rsidR="0034612E" w:rsidRPr="000A3539">
        <w:rPr>
          <w:i/>
          <w:iCs/>
          <w:color w:val="000000"/>
          <w:lang w:val="en-CA"/>
        </w:rPr>
        <w:t>prima facie</w:t>
      </w:r>
      <w:r w:rsidR="0034612E" w:rsidRPr="000A3539">
        <w:rPr>
          <w:color w:val="000000"/>
          <w:lang w:val="en-CA"/>
        </w:rPr>
        <w:t xml:space="preserve"> discrimination is found to have occurred. In practical terms, </w:t>
      </w:r>
      <w:r w:rsidR="0034612E" w:rsidRPr="000A3539">
        <w:rPr>
          <w:color w:val="000000"/>
          <w:u w:val="single"/>
          <w:lang w:val="en-CA"/>
        </w:rPr>
        <w:t>this means that the defendant can either present evidence to refute the allegation of </w:t>
      </w:r>
      <w:r w:rsidR="0034612E" w:rsidRPr="000A3539">
        <w:rPr>
          <w:i/>
          <w:iCs/>
          <w:color w:val="000000"/>
          <w:u w:val="single"/>
          <w:lang w:val="en-CA"/>
        </w:rPr>
        <w:t>prima facie</w:t>
      </w:r>
      <w:r w:rsidR="0034612E" w:rsidRPr="000A3539">
        <w:rPr>
          <w:color w:val="000000"/>
          <w:u w:val="single"/>
          <w:lang w:val="en-CA"/>
        </w:rPr>
        <w:t> discrimination, put forward a defence justifying the discrimination, or do both</w:t>
      </w:r>
      <w:r w:rsidR="0034612E" w:rsidRPr="000A3539">
        <w:rPr>
          <w:color w:val="000000"/>
          <w:lang w:val="en-CA"/>
        </w:rPr>
        <w:t>.</w:t>
      </w:r>
      <w:r w:rsidRPr="000A3539">
        <w:rPr>
          <w:rStyle w:val="Appelnotedebasdep"/>
          <w:shd w:val="clear" w:color="auto" w:fill="FFFFFF"/>
          <w:lang w:val="en-CA"/>
        </w:rPr>
        <w:footnoteReference w:id="40"/>
      </w:r>
    </w:p>
    <w:p w14:paraId="7C72D12F" w14:textId="5A982067" w:rsidR="00352837" w:rsidRPr="000A3539" w:rsidRDefault="00535A26" w:rsidP="00352837">
      <w:pPr>
        <w:pStyle w:val="Citationenretrait"/>
        <w:jc w:val="right"/>
        <w:rPr>
          <w:lang w:val="en-CA"/>
        </w:rPr>
      </w:pPr>
      <w:r w:rsidRPr="000A3539">
        <w:rPr>
          <w:rFonts w:cs="Arial"/>
          <w:shd w:val="clear" w:color="auto" w:fill="FFFFFF"/>
          <w:lang w:val="en-CA"/>
        </w:rPr>
        <w:t>[Emphasis added]</w:t>
      </w:r>
    </w:p>
    <w:p w14:paraId="5BCFFF05" w14:textId="533500AE" w:rsidR="00352837" w:rsidRPr="000A3539" w:rsidRDefault="0034612E" w:rsidP="00352837">
      <w:pPr>
        <w:pStyle w:val="Paragraphe"/>
        <w:rPr>
          <w:lang w:val="en-CA"/>
        </w:rPr>
      </w:pPr>
      <w:r w:rsidRPr="000A3539">
        <w:rPr>
          <w:lang w:val="en-CA" w:eastAsia="fr-CA"/>
        </w:rPr>
        <w:t xml:space="preserve">In the same case, </w:t>
      </w:r>
      <w:r w:rsidR="00D76132" w:rsidRPr="000A3539">
        <w:rPr>
          <w:lang w:val="en-CA" w:eastAsia="fr-CA"/>
        </w:rPr>
        <w:t>the</w:t>
      </w:r>
      <w:r w:rsidRPr="000A3539">
        <w:rPr>
          <w:lang w:val="en-CA" w:eastAsia="fr-CA"/>
        </w:rPr>
        <w:t xml:space="preserve"> </w:t>
      </w:r>
      <w:r w:rsidR="00D76132" w:rsidRPr="000A3539">
        <w:rPr>
          <w:lang w:val="en-CA" w:eastAsia="fr-CA"/>
        </w:rPr>
        <w:t>Supreme</w:t>
      </w:r>
      <w:r w:rsidRPr="000A3539">
        <w:rPr>
          <w:lang w:val="en-CA" w:eastAsia="fr-CA"/>
        </w:rPr>
        <w:t xml:space="preserve"> </w:t>
      </w:r>
      <w:r w:rsidR="00D76132" w:rsidRPr="000A3539">
        <w:rPr>
          <w:lang w:val="en-CA" w:eastAsia="fr-CA"/>
        </w:rPr>
        <w:t xml:space="preserve">Court </w:t>
      </w:r>
      <w:r w:rsidR="000A174C" w:rsidRPr="000A3539">
        <w:rPr>
          <w:lang w:val="en-CA" w:eastAsia="fr-CA"/>
        </w:rPr>
        <w:t xml:space="preserve">specified the </w:t>
      </w:r>
      <w:r w:rsidR="00D76132" w:rsidRPr="000A3539">
        <w:rPr>
          <w:lang w:val="en-CA" w:eastAsia="fr-CA"/>
        </w:rPr>
        <w:t xml:space="preserve">nature </w:t>
      </w:r>
      <w:r w:rsidR="000A174C" w:rsidRPr="000A3539">
        <w:rPr>
          <w:lang w:val="en-CA" w:eastAsia="fr-CA"/>
        </w:rPr>
        <w:t xml:space="preserve">of the connection necessary between the </w:t>
      </w:r>
      <w:r w:rsidR="00D76132" w:rsidRPr="000A3539">
        <w:rPr>
          <w:lang w:val="en-CA"/>
        </w:rPr>
        <w:t>ground</w:t>
      </w:r>
      <w:r w:rsidR="000A174C" w:rsidRPr="000A3539">
        <w:rPr>
          <w:lang w:val="en-CA"/>
        </w:rPr>
        <w:t xml:space="preserve"> </w:t>
      </w:r>
      <w:r w:rsidR="00D76132" w:rsidRPr="000A3539">
        <w:rPr>
          <w:lang w:val="en-CA"/>
        </w:rPr>
        <w:t>of</w:t>
      </w:r>
      <w:r w:rsidR="000A174C" w:rsidRPr="000A3539">
        <w:rPr>
          <w:lang w:val="en-CA"/>
        </w:rPr>
        <w:t xml:space="preserve"> discrimination and the </w:t>
      </w:r>
      <w:r w:rsidR="00D76132" w:rsidRPr="000A3539">
        <w:rPr>
          <w:lang w:val="en-CA"/>
        </w:rPr>
        <w:t>distinction, exclusion</w:t>
      </w:r>
      <w:r w:rsidR="000A174C" w:rsidRPr="000A3539">
        <w:rPr>
          <w:lang w:val="en-CA"/>
        </w:rPr>
        <w:t xml:space="preserve">, or </w:t>
      </w:r>
      <w:r w:rsidR="00D76132" w:rsidRPr="000A3539">
        <w:rPr>
          <w:lang w:val="en-CA"/>
        </w:rPr>
        <w:t>pr</w:t>
      </w:r>
      <w:r w:rsidR="000A174C" w:rsidRPr="000A3539">
        <w:rPr>
          <w:lang w:val="en-CA"/>
        </w:rPr>
        <w:t xml:space="preserve">eference </w:t>
      </w:r>
      <w:r w:rsidR="003C0909" w:rsidRPr="000A3539">
        <w:rPr>
          <w:lang w:val="en-CA"/>
        </w:rPr>
        <w:t>that the plaintiff complains of</w:t>
      </w:r>
      <w:r w:rsidR="00D76132" w:rsidRPr="000A3539">
        <w:rPr>
          <w:lang w:val="en-CA"/>
        </w:rPr>
        <w:t>:</w:t>
      </w:r>
    </w:p>
    <w:p w14:paraId="557741E6" w14:textId="13721322" w:rsidR="00352837" w:rsidRPr="000A3539" w:rsidRDefault="00D76132" w:rsidP="00352837">
      <w:pPr>
        <w:pStyle w:val="Citationenretrait"/>
        <w:rPr>
          <w:rFonts w:ascii="Times New Roman" w:hAnsi="Times New Roman"/>
          <w:lang w:val="en-CA" w:eastAsia="fr-CA"/>
        </w:rPr>
      </w:pPr>
      <w:r w:rsidRPr="000A3539">
        <w:rPr>
          <w:lang w:val="en-CA"/>
        </w:rPr>
        <w:t>[50]  </w:t>
      </w:r>
      <w:r w:rsidR="003C0909" w:rsidRPr="000A3539">
        <w:rPr>
          <w:color w:val="000000"/>
          <w:lang w:val="en-CA"/>
        </w:rPr>
        <w:t>It is more appropriate to use the terms “connection” and “factor” in relation to discrimination, especially since the expression “</w:t>
      </w:r>
      <w:r w:rsidR="003C0909" w:rsidRPr="000A3539">
        <w:rPr>
          <w:i/>
          <w:iCs/>
          <w:color w:val="000000"/>
          <w:lang w:val="en-CA"/>
        </w:rPr>
        <w:t>lien causal</w:t>
      </w:r>
      <w:r w:rsidR="003C0909" w:rsidRPr="000A3539">
        <w:rPr>
          <w:color w:val="000000"/>
          <w:lang w:val="en-CA"/>
        </w:rPr>
        <w:t xml:space="preserve">” has a specific meaning in the civil law of Quebec. In civil liability matters, the plaintiff must establish on a balance of probabilities that there is a causal relationship between the defendant’s fault and the injury suffered by the plaintiff </w:t>
      </w:r>
      <w:r w:rsidR="00043418">
        <w:rPr>
          <w:color w:val="000000"/>
          <w:lang w:val="en-CA"/>
        </w:rPr>
        <w:t>[</w:t>
      </w:r>
      <w:r w:rsidR="003C0909" w:rsidRPr="000A3539">
        <w:rPr>
          <w:color w:val="000000"/>
          <w:lang w:val="en-CA"/>
        </w:rPr>
        <w:t>…</w:t>
      </w:r>
      <w:r w:rsidR="00043418">
        <w:rPr>
          <w:color w:val="000000"/>
          <w:lang w:val="en-CA"/>
        </w:rPr>
        <w:t>]</w:t>
      </w:r>
      <w:r w:rsidR="003B62C9">
        <w:rPr>
          <w:color w:val="000000"/>
          <w:lang w:val="en-CA"/>
        </w:rPr>
        <w:t>.</w:t>
      </w:r>
      <w:r w:rsidR="00043418">
        <w:rPr>
          <w:color w:val="000000"/>
          <w:lang w:val="en-CA"/>
        </w:rPr>
        <w:t xml:space="preserve"> </w:t>
      </w:r>
      <w:r w:rsidR="003C0909" w:rsidRPr="000A3539">
        <w:rPr>
          <w:color w:val="000000"/>
          <w:lang w:val="en-CA"/>
        </w:rPr>
        <w:t>The Quebec courts have defined this causal relationship as requiring that the damage be a logical, direct and immediate consequence of the fault. This rule therefore means that the cause must have a [</w:t>
      </w:r>
      <w:r w:rsidR="003C0909" w:rsidRPr="000A3539">
        <w:rPr>
          <w:smallCaps/>
          <w:color w:val="000000"/>
          <w:lang w:val="en-CA"/>
        </w:rPr>
        <w:t>translation</w:t>
      </w:r>
      <w:r w:rsidR="003C0909" w:rsidRPr="000A3539">
        <w:rPr>
          <w:color w:val="000000"/>
          <w:lang w:val="en-CA"/>
        </w:rPr>
        <w:t xml:space="preserve">] “close” relationship with the injury suffered by the victim </w:t>
      </w:r>
      <w:r w:rsidR="008D453B">
        <w:rPr>
          <w:color w:val="000000"/>
          <w:lang w:val="en-CA"/>
        </w:rPr>
        <w:t>[</w:t>
      </w:r>
      <w:r w:rsidR="003C0909" w:rsidRPr="000A3539">
        <w:rPr>
          <w:color w:val="000000"/>
          <w:lang w:val="en-CA"/>
        </w:rPr>
        <w:t>…</w:t>
      </w:r>
      <w:r w:rsidR="008D453B">
        <w:rPr>
          <w:color w:val="000000"/>
          <w:lang w:val="en-CA"/>
        </w:rPr>
        <w:t>].</w:t>
      </w:r>
    </w:p>
    <w:p w14:paraId="5B2801A6" w14:textId="73309CD3" w:rsidR="00352837" w:rsidRPr="000A3539" w:rsidRDefault="00D76132" w:rsidP="00352837">
      <w:pPr>
        <w:pStyle w:val="Citationenretrait"/>
        <w:rPr>
          <w:u w:val="single"/>
          <w:lang w:val="en-CA"/>
        </w:rPr>
      </w:pPr>
      <w:r w:rsidRPr="000A3539">
        <w:rPr>
          <w:lang w:val="en-CA"/>
        </w:rPr>
        <w:t>[51]  </w:t>
      </w:r>
      <w:r w:rsidR="003C0909" w:rsidRPr="000A3539">
        <w:rPr>
          <w:color w:val="000000"/>
          <w:u w:val="single"/>
          <w:lang w:val="en-CA"/>
        </w:rPr>
        <w:t>A close relationship is not required in a discrimination case under the </w:t>
      </w:r>
      <w:r w:rsidR="003C0909" w:rsidRPr="000A3539">
        <w:rPr>
          <w:i/>
          <w:iCs/>
          <w:color w:val="000000"/>
          <w:u w:val="single"/>
          <w:lang w:val="en-CA"/>
        </w:rPr>
        <w:t>Charter</w:t>
      </w:r>
      <w:r w:rsidR="003C0909" w:rsidRPr="000A3539">
        <w:rPr>
          <w:color w:val="000000"/>
          <w:u w:val="single"/>
          <w:lang w:val="en-CA"/>
        </w:rPr>
        <w:t>,</w:t>
      </w:r>
      <w:r w:rsidR="003C0909" w:rsidRPr="000A3539">
        <w:rPr>
          <w:i/>
          <w:iCs/>
          <w:color w:val="000000"/>
          <w:u w:val="single"/>
          <w:lang w:val="en-CA"/>
        </w:rPr>
        <w:t> </w:t>
      </w:r>
      <w:r w:rsidR="003C0909" w:rsidRPr="000A3539">
        <w:rPr>
          <w:color w:val="000000"/>
          <w:u w:val="single"/>
          <w:lang w:val="en-CA"/>
        </w:rPr>
        <w:t>however. To hold otherwise would be to disregard the fact that, since there may be many different reasons for a defendant’s acts, proof of such a relationship could impose too heavy a burden on the plaintiff. Some of those reasons may, of course, provide a justification for the defendant’s acts, but the burden is on the defendant to prove this. It is therefore neither appropriate nor accurate to use the expression “causal connection” in the discrimination context</w:t>
      </w:r>
      <w:r w:rsidR="003C0909" w:rsidRPr="000A3539">
        <w:rPr>
          <w:color w:val="000000"/>
          <w:lang w:val="en-CA"/>
        </w:rPr>
        <w:t>.</w:t>
      </w:r>
    </w:p>
    <w:p w14:paraId="28D42921" w14:textId="1C5DDE6E" w:rsidR="00352837" w:rsidRPr="000A3539" w:rsidRDefault="00D76132" w:rsidP="00352837">
      <w:pPr>
        <w:pStyle w:val="Citationenretrait"/>
        <w:rPr>
          <w:rFonts w:cs="Arial"/>
          <w:lang w:val="en-CA"/>
        </w:rPr>
      </w:pPr>
      <w:r w:rsidRPr="000A3539">
        <w:rPr>
          <w:lang w:val="en-CA"/>
        </w:rPr>
        <w:t>[52]  </w:t>
      </w:r>
      <w:r w:rsidR="003C0909" w:rsidRPr="000A3539">
        <w:rPr>
          <w:color w:val="000000"/>
          <w:lang w:val="en-CA"/>
        </w:rPr>
        <w:t>In short, as regards the second element of </w:t>
      </w:r>
      <w:r w:rsidR="003C0909" w:rsidRPr="000A3539">
        <w:rPr>
          <w:i/>
          <w:iCs/>
          <w:color w:val="000000"/>
          <w:lang w:val="en-CA"/>
        </w:rPr>
        <w:t>prima facie</w:t>
      </w:r>
      <w:r w:rsidR="003C0909" w:rsidRPr="000A3539">
        <w:rPr>
          <w:color w:val="000000"/>
          <w:lang w:val="en-CA"/>
        </w:rPr>
        <w:t xml:space="preserve"> discrimination, </w:t>
      </w:r>
      <w:r w:rsidR="003C0909" w:rsidRPr="000A3539">
        <w:rPr>
          <w:color w:val="000000"/>
          <w:u w:val="single"/>
          <w:lang w:val="en-CA"/>
        </w:rPr>
        <w:t>the plaintiff has the burden of showing that there is a </w:t>
      </w:r>
      <w:r w:rsidR="003C0909" w:rsidRPr="000A3539">
        <w:rPr>
          <w:i/>
          <w:iCs/>
          <w:color w:val="000000"/>
          <w:u w:val="single"/>
          <w:lang w:val="en-CA"/>
        </w:rPr>
        <w:t>connection</w:t>
      </w:r>
      <w:r w:rsidR="003C0909" w:rsidRPr="000A3539">
        <w:rPr>
          <w:color w:val="000000"/>
          <w:u w:val="single"/>
          <w:lang w:val="en-CA"/>
        </w:rPr>
        <w:t> between a prohibited ground of discrimination and the distinction, exclusion or preference of which he or she complains or, in other words, that the ground in question was a </w:t>
      </w:r>
      <w:r w:rsidR="003C0909" w:rsidRPr="000A3539">
        <w:rPr>
          <w:i/>
          <w:iCs/>
          <w:color w:val="000000"/>
          <w:u w:val="single"/>
          <w:lang w:val="en-CA"/>
        </w:rPr>
        <w:t>factor</w:t>
      </w:r>
      <w:r w:rsidR="003C0909" w:rsidRPr="000A3539">
        <w:rPr>
          <w:color w:val="000000"/>
          <w:u w:val="single"/>
          <w:lang w:val="en-CA"/>
        </w:rPr>
        <w:t> in the distinction, exclusion or preference</w:t>
      </w:r>
      <w:r w:rsidR="003C0909" w:rsidRPr="000A3539">
        <w:rPr>
          <w:color w:val="000000"/>
          <w:lang w:val="en-CA"/>
        </w:rPr>
        <w:t>.</w:t>
      </w:r>
      <w:r w:rsidR="004F3408" w:rsidRPr="004F3408">
        <w:t xml:space="preserve"> </w:t>
      </w:r>
      <w:r w:rsidR="004F3408" w:rsidRPr="004F3408">
        <w:rPr>
          <w:color w:val="000000"/>
          <w:lang w:val="en-CA"/>
        </w:rPr>
        <w:t>[...]</w:t>
      </w:r>
      <w:r w:rsidRPr="000A3539">
        <w:rPr>
          <w:rStyle w:val="Appelnotedebasdep"/>
          <w:lang w:val="en-CA"/>
        </w:rPr>
        <w:footnoteReference w:id="41"/>
      </w:r>
    </w:p>
    <w:p w14:paraId="6E3A9913" w14:textId="191FF0C1" w:rsidR="00352837" w:rsidRPr="000A3539" w:rsidRDefault="00535A26" w:rsidP="00352837">
      <w:pPr>
        <w:pStyle w:val="Citationenretrait"/>
        <w:spacing w:before="0"/>
        <w:jc w:val="right"/>
        <w:rPr>
          <w:lang w:val="en-CA"/>
        </w:rPr>
      </w:pPr>
      <w:r w:rsidRPr="000A3539">
        <w:rPr>
          <w:rFonts w:cs="Arial"/>
          <w:lang w:val="en-CA"/>
        </w:rPr>
        <w:t>[Underlining added; italics in original]</w:t>
      </w:r>
    </w:p>
    <w:p w14:paraId="590F4FAF" w14:textId="6EB071F4" w:rsidR="00352837" w:rsidRPr="000A3539" w:rsidRDefault="001A1FD9" w:rsidP="00352837">
      <w:pPr>
        <w:pStyle w:val="Paragraphe"/>
        <w:rPr>
          <w:lang w:val="en-CA"/>
        </w:rPr>
      </w:pPr>
      <w:r w:rsidRPr="000A3539">
        <w:rPr>
          <w:lang w:val="en-CA"/>
        </w:rPr>
        <w:lastRenderedPageBreak/>
        <w:t xml:space="preserve">The </w:t>
      </w:r>
      <w:r w:rsidR="00D76132" w:rsidRPr="000A3539">
        <w:rPr>
          <w:lang w:val="en-CA"/>
        </w:rPr>
        <w:t>right</w:t>
      </w:r>
      <w:r w:rsidRPr="000A3539">
        <w:rPr>
          <w:lang w:val="en-CA"/>
        </w:rPr>
        <w:t xml:space="preserve"> enshrined in </w:t>
      </w:r>
      <w:r w:rsidR="00D76132" w:rsidRPr="000A3539">
        <w:rPr>
          <w:lang w:val="en-CA"/>
        </w:rPr>
        <w:t xml:space="preserve">section 19 </w:t>
      </w:r>
      <w:r w:rsidRPr="000A3539">
        <w:rPr>
          <w:lang w:val="en-CA"/>
        </w:rPr>
        <w:t xml:space="preserve">of the </w:t>
      </w:r>
      <w:r w:rsidR="00D76132" w:rsidRPr="00FD1FB8">
        <w:rPr>
          <w:i/>
          <w:lang w:val="en-CA"/>
        </w:rPr>
        <w:t>Quebec</w:t>
      </w:r>
      <w:r w:rsidRPr="000A3539">
        <w:rPr>
          <w:i/>
          <w:lang w:val="en-CA"/>
        </w:rPr>
        <w:t xml:space="preserve"> </w:t>
      </w:r>
      <w:r w:rsidR="00D76132" w:rsidRPr="000A3539">
        <w:rPr>
          <w:i/>
          <w:lang w:val="en-CA"/>
        </w:rPr>
        <w:t>Charter</w:t>
      </w:r>
      <w:r w:rsidRPr="000A3539">
        <w:rPr>
          <w:i/>
          <w:lang w:val="en-CA"/>
        </w:rPr>
        <w:t xml:space="preserve"> </w:t>
      </w:r>
      <w:r w:rsidRPr="000A3539">
        <w:rPr>
          <w:lang w:val="en-CA"/>
        </w:rPr>
        <w:t>[</w:t>
      </w:r>
      <w:r w:rsidRPr="000A3539">
        <w:rPr>
          <w:smallCaps/>
          <w:lang w:val="en-CA"/>
        </w:rPr>
        <w:t>translation</w:t>
      </w:r>
      <w:r w:rsidRPr="000A3539">
        <w:rPr>
          <w:lang w:val="en-CA"/>
        </w:rPr>
        <w:t>] “is part of the</w:t>
      </w:r>
      <w:r w:rsidR="008655E0" w:rsidRPr="000A3539">
        <w:rPr>
          <w:lang w:val="en-CA"/>
        </w:rPr>
        <w:t xml:space="preserve"> </w:t>
      </w:r>
      <w:r w:rsidR="00E8683A">
        <w:rPr>
          <w:lang w:val="en-CA"/>
        </w:rPr>
        <w:t>battle</w:t>
      </w:r>
      <w:r w:rsidR="008655E0" w:rsidRPr="000A3539">
        <w:rPr>
          <w:lang w:val="en-CA"/>
        </w:rPr>
        <w:t xml:space="preserve"> for equal </w:t>
      </w:r>
      <w:r w:rsidR="00D76132" w:rsidRPr="000A3539">
        <w:rPr>
          <w:lang w:val="en-CA"/>
        </w:rPr>
        <w:t>r</w:t>
      </w:r>
      <w:r w:rsidR="008655E0" w:rsidRPr="000A3539">
        <w:rPr>
          <w:lang w:val="en-CA"/>
        </w:rPr>
        <w:t>e</w:t>
      </w:r>
      <w:r w:rsidR="00D76132" w:rsidRPr="000A3539">
        <w:rPr>
          <w:lang w:val="en-CA"/>
        </w:rPr>
        <w:t>mun</w:t>
      </w:r>
      <w:r w:rsidR="008655E0" w:rsidRPr="000A3539">
        <w:rPr>
          <w:lang w:val="en-CA"/>
        </w:rPr>
        <w:t>e</w:t>
      </w:r>
      <w:r w:rsidR="00D76132" w:rsidRPr="000A3539">
        <w:rPr>
          <w:lang w:val="en-CA"/>
        </w:rPr>
        <w:t xml:space="preserve">ration </w:t>
      </w:r>
      <w:r w:rsidR="008655E0" w:rsidRPr="000A3539">
        <w:rPr>
          <w:lang w:val="en-CA"/>
        </w:rPr>
        <w:t xml:space="preserve">at work, which is itself a component of the more general </w:t>
      </w:r>
      <w:r w:rsidR="00E8683A">
        <w:rPr>
          <w:lang w:val="en-CA"/>
        </w:rPr>
        <w:t>battle</w:t>
      </w:r>
      <w:r w:rsidR="008655E0" w:rsidRPr="000A3539">
        <w:rPr>
          <w:lang w:val="en-CA"/>
        </w:rPr>
        <w:t xml:space="preserve"> for</w:t>
      </w:r>
      <w:r w:rsidR="00D76132" w:rsidRPr="000A3539">
        <w:rPr>
          <w:lang w:val="en-CA"/>
        </w:rPr>
        <w:t xml:space="preserve"> social</w:t>
      </w:r>
      <w:r w:rsidR="008655E0" w:rsidRPr="000A3539">
        <w:rPr>
          <w:lang w:val="en-CA"/>
        </w:rPr>
        <w:t xml:space="preserve"> and economic equality”.</w:t>
      </w:r>
      <w:r w:rsidR="00D76132" w:rsidRPr="000A3539">
        <w:rPr>
          <w:rStyle w:val="Appelnotedebasdep"/>
          <w:rFonts w:cs="Arial"/>
          <w:lang w:val="en-CA"/>
        </w:rPr>
        <w:footnoteReference w:id="42"/>
      </w:r>
      <w:r w:rsidR="00D76132" w:rsidRPr="000A3539">
        <w:rPr>
          <w:lang w:val="en-CA"/>
        </w:rPr>
        <w:t xml:space="preserve"> </w:t>
      </w:r>
      <w:r w:rsidR="008655E0" w:rsidRPr="000A3539">
        <w:rPr>
          <w:lang w:val="en-CA"/>
        </w:rPr>
        <w:t xml:space="preserve">The </w:t>
      </w:r>
      <w:r w:rsidR="00D76132" w:rsidRPr="000A3539">
        <w:rPr>
          <w:lang w:val="en-CA"/>
        </w:rPr>
        <w:t>Court</w:t>
      </w:r>
      <w:r w:rsidR="008655E0" w:rsidRPr="000A3539">
        <w:rPr>
          <w:lang w:val="en-CA"/>
        </w:rPr>
        <w:t xml:space="preserve"> teaches that </w:t>
      </w:r>
      <w:r w:rsidR="00D76132" w:rsidRPr="000A3539">
        <w:rPr>
          <w:lang w:val="en-CA"/>
        </w:rPr>
        <w:t xml:space="preserve">section 19 </w:t>
      </w:r>
      <w:r w:rsidR="008655E0" w:rsidRPr="000A3539">
        <w:rPr>
          <w:lang w:val="en-CA"/>
        </w:rPr>
        <w:t xml:space="preserve">of the </w:t>
      </w:r>
      <w:r w:rsidR="00D76132" w:rsidRPr="00FD1FB8">
        <w:rPr>
          <w:i/>
          <w:lang w:val="en-CA"/>
        </w:rPr>
        <w:t>Quebec</w:t>
      </w:r>
      <w:r w:rsidR="008655E0" w:rsidRPr="000A3539">
        <w:rPr>
          <w:i/>
          <w:lang w:val="en-CA"/>
        </w:rPr>
        <w:t xml:space="preserve"> </w:t>
      </w:r>
      <w:r w:rsidR="00D76132" w:rsidRPr="000A3539">
        <w:rPr>
          <w:i/>
          <w:lang w:val="en-CA"/>
        </w:rPr>
        <w:t>Charter</w:t>
      </w:r>
      <w:r w:rsidR="008655E0" w:rsidRPr="000A3539">
        <w:rPr>
          <w:i/>
          <w:lang w:val="en-CA"/>
        </w:rPr>
        <w:t xml:space="preserve"> </w:t>
      </w:r>
      <w:r w:rsidR="008655E0" w:rsidRPr="000A3539">
        <w:rPr>
          <w:lang w:val="en-CA"/>
        </w:rPr>
        <w:t xml:space="preserve">is based on the </w:t>
      </w:r>
      <w:r w:rsidR="00D76132" w:rsidRPr="000A3539">
        <w:rPr>
          <w:lang w:val="en-CA"/>
        </w:rPr>
        <w:t xml:space="preserve">concept </w:t>
      </w:r>
      <w:r w:rsidR="008655E0" w:rsidRPr="000A3539">
        <w:rPr>
          <w:lang w:val="en-CA"/>
        </w:rPr>
        <w:t>of e</w:t>
      </w:r>
      <w:r w:rsidR="00D76132" w:rsidRPr="000A3539">
        <w:rPr>
          <w:lang w:val="en-CA"/>
        </w:rPr>
        <w:t>quivalence:</w:t>
      </w:r>
    </w:p>
    <w:p w14:paraId="20B53F60" w14:textId="3601F09B" w:rsidR="005B08EA" w:rsidRPr="000A3539" w:rsidRDefault="005B08EA" w:rsidP="00352837">
      <w:pPr>
        <w:pStyle w:val="Citationenretrait"/>
        <w:rPr>
          <w:szCs w:val="22"/>
          <w:shd w:val="clear" w:color="auto" w:fill="FFFFFF"/>
          <w:lang w:val="en-CA"/>
        </w:rPr>
      </w:pPr>
      <w:r w:rsidRPr="000A3539">
        <w:rPr>
          <w:szCs w:val="22"/>
          <w:shd w:val="clear" w:color="auto" w:fill="FFFFFF"/>
          <w:lang w:val="en-CA"/>
        </w:rPr>
        <w:t>[</w:t>
      </w:r>
      <w:r w:rsidRPr="000A3539">
        <w:rPr>
          <w:smallCaps/>
          <w:szCs w:val="22"/>
          <w:shd w:val="clear" w:color="auto" w:fill="FFFFFF"/>
          <w:lang w:val="en-CA"/>
        </w:rPr>
        <w:t>translation</w:t>
      </w:r>
      <w:r w:rsidRPr="000A3539">
        <w:rPr>
          <w:szCs w:val="22"/>
          <w:shd w:val="clear" w:color="auto" w:fill="FFFFFF"/>
          <w:lang w:val="en-CA"/>
        </w:rPr>
        <w:t>]</w:t>
      </w:r>
    </w:p>
    <w:p w14:paraId="3B70C810" w14:textId="10786CE9" w:rsidR="00352837" w:rsidRPr="000A3539" w:rsidRDefault="00D76132" w:rsidP="00352837">
      <w:pPr>
        <w:pStyle w:val="Citationenretrait"/>
        <w:rPr>
          <w:shd w:val="clear" w:color="auto" w:fill="FFFFFF"/>
          <w:lang w:val="en-CA"/>
        </w:rPr>
      </w:pPr>
      <w:r w:rsidRPr="000A3539">
        <w:rPr>
          <w:szCs w:val="22"/>
          <w:shd w:val="clear" w:color="auto" w:fill="FFFFFF"/>
          <w:lang w:val="en-CA"/>
        </w:rPr>
        <w:t>[57]  </w:t>
      </w:r>
      <w:r w:rsidR="005B08EA" w:rsidRPr="00E8683A">
        <w:rPr>
          <w:u w:val="single"/>
          <w:shd w:val="clear" w:color="auto" w:fill="FFFFFF"/>
          <w:lang w:val="en-CA"/>
        </w:rPr>
        <w:t>S</w:t>
      </w:r>
      <w:r w:rsidRPr="00E8683A">
        <w:rPr>
          <w:u w:val="single"/>
          <w:shd w:val="clear" w:color="auto" w:fill="FFFFFF"/>
          <w:lang w:val="en-CA"/>
        </w:rPr>
        <w:t>ection 19 </w:t>
      </w:r>
      <w:r w:rsidR="005B08EA" w:rsidRPr="00E8683A">
        <w:rPr>
          <w:u w:val="single"/>
          <w:shd w:val="clear" w:color="auto" w:fill="FFFFFF"/>
          <w:lang w:val="en-CA"/>
        </w:rPr>
        <w:t xml:space="preserve">of the </w:t>
      </w:r>
      <w:r w:rsidRPr="00E8683A">
        <w:rPr>
          <w:i/>
          <w:iCs/>
          <w:u w:val="single"/>
          <w:shd w:val="clear" w:color="auto" w:fill="FFFFFF"/>
          <w:lang w:val="en-CA"/>
        </w:rPr>
        <w:t>Charter</w:t>
      </w:r>
      <w:r w:rsidRPr="000A3539">
        <w:rPr>
          <w:u w:val="single"/>
          <w:shd w:val="clear" w:color="auto" w:fill="FFFFFF"/>
          <w:lang w:val="en-CA"/>
        </w:rPr>
        <w:t xml:space="preserve"> </w:t>
      </w:r>
      <w:r w:rsidR="005B08EA" w:rsidRPr="000A3539">
        <w:rPr>
          <w:u w:val="single"/>
          <w:shd w:val="clear" w:color="auto" w:fill="FFFFFF"/>
          <w:lang w:val="en-CA"/>
        </w:rPr>
        <w:t xml:space="preserve">is based </w:t>
      </w:r>
      <w:r w:rsidR="00400F06" w:rsidRPr="000A3539">
        <w:rPr>
          <w:u w:val="single"/>
          <w:shd w:val="clear" w:color="auto" w:fill="FFFFFF"/>
          <w:lang w:val="en-CA"/>
        </w:rPr>
        <w:t xml:space="preserve">on the </w:t>
      </w:r>
      <w:r w:rsidRPr="000A3539">
        <w:rPr>
          <w:u w:val="single"/>
          <w:shd w:val="clear" w:color="auto" w:fill="FFFFFF"/>
          <w:lang w:val="en-CA"/>
        </w:rPr>
        <w:t xml:space="preserve">concept </w:t>
      </w:r>
      <w:r w:rsidR="00400F06" w:rsidRPr="000A3539">
        <w:rPr>
          <w:u w:val="single"/>
          <w:shd w:val="clear" w:color="auto" w:fill="FFFFFF"/>
          <w:lang w:val="en-CA"/>
        </w:rPr>
        <w:t>of e</w:t>
      </w:r>
      <w:r w:rsidRPr="000A3539">
        <w:rPr>
          <w:u w:val="single"/>
          <w:shd w:val="clear" w:color="auto" w:fill="FFFFFF"/>
          <w:lang w:val="en-CA"/>
        </w:rPr>
        <w:t>quivalence</w:t>
      </w:r>
      <w:r w:rsidRPr="000A3539">
        <w:rPr>
          <w:shd w:val="clear" w:color="auto" w:fill="FFFFFF"/>
          <w:lang w:val="en-CA"/>
        </w:rPr>
        <w:t>. </w:t>
      </w:r>
      <w:r w:rsidR="00400F06" w:rsidRPr="000A3539">
        <w:rPr>
          <w:shd w:val="clear" w:color="auto" w:fill="FFFFFF"/>
          <w:lang w:val="en-CA"/>
        </w:rPr>
        <w:t>This con</w:t>
      </w:r>
      <w:r w:rsidRPr="000A3539">
        <w:rPr>
          <w:shd w:val="clear" w:color="auto" w:fill="FFFFFF"/>
          <w:lang w:val="en-CA"/>
        </w:rPr>
        <w:t xml:space="preserve">cept </w:t>
      </w:r>
      <w:r w:rsidR="00400F06" w:rsidRPr="000A3539">
        <w:rPr>
          <w:shd w:val="clear" w:color="auto" w:fill="FFFFFF"/>
          <w:lang w:val="en-CA"/>
        </w:rPr>
        <w:t xml:space="preserve">is broader than the </w:t>
      </w:r>
      <w:r w:rsidRPr="000A3539">
        <w:rPr>
          <w:shd w:val="clear" w:color="auto" w:fill="FFFFFF"/>
          <w:lang w:val="en-CA"/>
        </w:rPr>
        <w:t>principle</w:t>
      </w:r>
      <w:r w:rsidR="00C64AD5" w:rsidRPr="000A3539">
        <w:rPr>
          <w:shd w:val="clear" w:color="auto" w:fill="FFFFFF"/>
          <w:lang w:val="en-CA"/>
        </w:rPr>
        <w:t xml:space="preserve"> of equal wages for equal work because it permits the </w:t>
      </w:r>
      <w:r w:rsidRPr="000A3539">
        <w:rPr>
          <w:shd w:val="clear" w:color="auto" w:fill="FFFFFF"/>
          <w:lang w:val="en-CA"/>
        </w:rPr>
        <w:t>compar</w:t>
      </w:r>
      <w:r w:rsidR="00C64AD5" w:rsidRPr="000A3539">
        <w:rPr>
          <w:shd w:val="clear" w:color="auto" w:fill="FFFFFF"/>
          <w:lang w:val="en-CA"/>
        </w:rPr>
        <w:t>ison of jobs that are at first glance different, such as</w:t>
      </w:r>
      <w:r w:rsidR="000D02CF">
        <w:rPr>
          <w:shd w:val="clear" w:color="auto" w:fill="FFFFFF"/>
          <w:lang w:val="en-CA"/>
        </w:rPr>
        <w:t>,</w:t>
      </w:r>
      <w:r w:rsidR="00C64AD5" w:rsidRPr="000A3539">
        <w:rPr>
          <w:shd w:val="clear" w:color="auto" w:fill="FFFFFF"/>
          <w:lang w:val="en-CA"/>
        </w:rPr>
        <w:t xml:space="preserve"> in this case, </w:t>
      </w:r>
      <w:r w:rsidR="000D02CF">
        <w:rPr>
          <w:shd w:val="clear" w:color="auto" w:fill="FFFFFF"/>
          <w:lang w:val="en-CA"/>
        </w:rPr>
        <w:t>those</w:t>
      </w:r>
      <w:r w:rsidR="000D02CF" w:rsidRPr="000A3539">
        <w:rPr>
          <w:shd w:val="clear" w:color="auto" w:fill="FFFFFF"/>
          <w:lang w:val="en-CA"/>
        </w:rPr>
        <w:t xml:space="preserve"> </w:t>
      </w:r>
      <w:r w:rsidR="00C64AD5" w:rsidRPr="000A3539">
        <w:rPr>
          <w:shd w:val="clear" w:color="auto" w:fill="FFFFFF"/>
          <w:lang w:val="en-CA"/>
        </w:rPr>
        <w:t xml:space="preserve">of secretary and general maintenance </w:t>
      </w:r>
      <w:r w:rsidR="00334D49" w:rsidRPr="000A3539">
        <w:rPr>
          <w:shd w:val="clear" w:color="auto" w:fill="FFFFFF"/>
          <w:lang w:val="en-CA"/>
        </w:rPr>
        <w:t>worker</w:t>
      </w:r>
      <w:r w:rsidRPr="000A3539">
        <w:rPr>
          <w:shd w:val="clear" w:color="auto" w:fill="FFFFFF"/>
          <w:lang w:val="en-CA"/>
        </w:rPr>
        <w:t>.</w:t>
      </w:r>
      <w:r w:rsidRPr="000A3539">
        <w:rPr>
          <w:rStyle w:val="Appelnotedebasdep"/>
          <w:shd w:val="clear" w:color="auto" w:fill="FFFFFF"/>
          <w:lang w:val="en-CA"/>
        </w:rPr>
        <w:footnoteReference w:id="43"/>
      </w:r>
    </w:p>
    <w:p w14:paraId="70B7DF55" w14:textId="7963CDB6" w:rsidR="00352837" w:rsidRPr="000A3539" w:rsidRDefault="00535A26" w:rsidP="00352837">
      <w:pPr>
        <w:pStyle w:val="Citationenretrait"/>
        <w:jc w:val="right"/>
        <w:rPr>
          <w:lang w:val="en-CA"/>
        </w:rPr>
      </w:pPr>
      <w:r w:rsidRPr="000A3539">
        <w:rPr>
          <w:shd w:val="clear" w:color="auto" w:fill="FFFFFF"/>
          <w:lang w:val="en-CA"/>
        </w:rPr>
        <w:t>[Emphasis added]</w:t>
      </w:r>
    </w:p>
    <w:p w14:paraId="58FFB1B2" w14:textId="2599D98B" w:rsidR="00352837" w:rsidRPr="000A3539" w:rsidRDefault="00E8683A" w:rsidP="00352837">
      <w:pPr>
        <w:pStyle w:val="Paragraphe"/>
        <w:rPr>
          <w:lang w:val="en-CA"/>
        </w:rPr>
      </w:pPr>
      <w:r>
        <w:rPr>
          <w:lang w:val="en-CA"/>
        </w:rPr>
        <w:t>Most</w:t>
      </w:r>
      <w:r w:rsidR="00535A26" w:rsidRPr="000A3539">
        <w:rPr>
          <w:lang w:val="en-CA"/>
        </w:rPr>
        <w:t xml:space="preserve"> commentary is to the same effect</w:t>
      </w:r>
      <w:r w:rsidR="00D76132" w:rsidRPr="000A3539">
        <w:rPr>
          <w:lang w:val="en-CA"/>
        </w:rPr>
        <w:t>:</w:t>
      </w:r>
    </w:p>
    <w:p w14:paraId="6450D034" w14:textId="566EAF67" w:rsidR="00352837" w:rsidRPr="000A3539" w:rsidRDefault="00D76132" w:rsidP="00352837">
      <w:pPr>
        <w:pStyle w:val="Citationenretrait"/>
        <w:rPr>
          <w:b/>
          <w:u w:val="single"/>
          <w:lang w:val="en-CA"/>
        </w:rPr>
      </w:pPr>
      <w:r w:rsidRPr="000A3539">
        <w:rPr>
          <w:b/>
          <w:u w:val="single"/>
          <w:lang w:val="en-CA"/>
        </w:rPr>
        <w:t xml:space="preserve">Henri </w:t>
      </w:r>
      <w:proofErr w:type="spellStart"/>
      <w:r w:rsidRPr="000A3539">
        <w:rPr>
          <w:b/>
          <w:u w:val="single"/>
          <w:lang w:val="en-CA"/>
        </w:rPr>
        <w:t>Brun</w:t>
      </w:r>
      <w:proofErr w:type="spellEnd"/>
      <w:r w:rsidRPr="000A3539">
        <w:rPr>
          <w:b/>
          <w:u w:val="single"/>
          <w:lang w:val="en-CA"/>
        </w:rPr>
        <w:t>, Guy Tremblay</w:t>
      </w:r>
      <w:r w:rsidR="00535A26" w:rsidRPr="000A3539">
        <w:rPr>
          <w:b/>
          <w:u w:val="single"/>
          <w:lang w:val="en-CA"/>
        </w:rPr>
        <w:t>, and</w:t>
      </w:r>
      <w:r w:rsidRPr="000A3539">
        <w:rPr>
          <w:b/>
          <w:u w:val="single"/>
          <w:lang w:val="en-CA"/>
        </w:rPr>
        <w:t xml:space="preserve"> </w:t>
      </w:r>
      <w:proofErr w:type="spellStart"/>
      <w:r w:rsidRPr="000A3539">
        <w:rPr>
          <w:b/>
          <w:u w:val="single"/>
          <w:lang w:val="en-CA"/>
        </w:rPr>
        <w:t>Eugénie</w:t>
      </w:r>
      <w:proofErr w:type="spellEnd"/>
      <w:r w:rsidRPr="000A3539">
        <w:rPr>
          <w:b/>
          <w:u w:val="single"/>
          <w:lang w:val="en-CA"/>
        </w:rPr>
        <w:t xml:space="preserve"> </w:t>
      </w:r>
      <w:proofErr w:type="spellStart"/>
      <w:r w:rsidRPr="000A3539">
        <w:rPr>
          <w:b/>
          <w:u w:val="single"/>
          <w:lang w:val="en-CA"/>
        </w:rPr>
        <w:t>Brouillet</w:t>
      </w:r>
      <w:proofErr w:type="spellEnd"/>
    </w:p>
    <w:p w14:paraId="3C60F23E" w14:textId="5C2CD85E" w:rsidR="00334D49" w:rsidRPr="000A3539" w:rsidRDefault="00334D49" w:rsidP="00352837">
      <w:pPr>
        <w:pStyle w:val="Citationenretrait"/>
        <w:rPr>
          <w:bCs/>
          <w:kern w:val="28"/>
          <w:lang w:val="en-CA"/>
        </w:rPr>
      </w:pPr>
      <w:r w:rsidRPr="000A3539">
        <w:rPr>
          <w:bCs/>
          <w:kern w:val="28"/>
          <w:lang w:val="en-CA"/>
        </w:rPr>
        <w:t>[</w:t>
      </w:r>
      <w:r w:rsidR="009F3C18" w:rsidRPr="000A3539">
        <w:rPr>
          <w:bCs/>
          <w:smallCaps/>
          <w:kern w:val="28"/>
          <w:lang w:val="en-CA"/>
        </w:rPr>
        <w:t>translation</w:t>
      </w:r>
      <w:r w:rsidR="009F3C18" w:rsidRPr="000A3539">
        <w:rPr>
          <w:bCs/>
          <w:kern w:val="28"/>
          <w:lang w:val="en-CA"/>
        </w:rPr>
        <w:t>]</w:t>
      </w:r>
    </w:p>
    <w:p w14:paraId="0B50533B" w14:textId="0709DF2C" w:rsidR="00352837" w:rsidRPr="000A3539" w:rsidRDefault="00D76132" w:rsidP="00352837">
      <w:pPr>
        <w:pStyle w:val="Citationenretrait"/>
        <w:rPr>
          <w:rFonts w:cs="Arial"/>
          <w:lang w:val="en-CA"/>
        </w:rPr>
      </w:pPr>
      <w:r w:rsidRPr="000A3539">
        <w:rPr>
          <w:b/>
          <w:bCs/>
          <w:kern w:val="28"/>
          <w:lang w:val="en-CA"/>
        </w:rPr>
        <w:t>XII-7.103 – </w:t>
      </w:r>
      <w:r w:rsidR="009F3C18" w:rsidRPr="000A3539">
        <w:rPr>
          <w:kern w:val="28"/>
          <w:lang w:val="en-CA"/>
        </w:rPr>
        <w:t xml:space="preserve">Finally, </w:t>
      </w:r>
      <w:r w:rsidRPr="000A3539">
        <w:rPr>
          <w:kern w:val="28"/>
          <w:lang w:val="en-CA"/>
        </w:rPr>
        <w:t>section 19</w:t>
      </w:r>
      <w:r w:rsidR="009F3C18" w:rsidRPr="000A3539">
        <w:rPr>
          <w:kern w:val="28"/>
          <w:lang w:val="en-CA"/>
        </w:rPr>
        <w:t xml:space="preserve"> </w:t>
      </w:r>
      <w:r w:rsidRPr="000A3539">
        <w:rPr>
          <w:kern w:val="28"/>
          <w:lang w:val="en-CA"/>
        </w:rPr>
        <w:t>prohib</w:t>
      </w:r>
      <w:r w:rsidR="009F3C18" w:rsidRPr="000A3539">
        <w:rPr>
          <w:kern w:val="28"/>
          <w:lang w:val="en-CA"/>
        </w:rPr>
        <w:t xml:space="preserve">its </w:t>
      </w:r>
      <w:r w:rsidRPr="000A3539">
        <w:rPr>
          <w:kern w:val="28"/>
          <w:lang w:val="en-CA"/>
        </w:rPr>
        <w:t>discrimination within</w:t>
      </w:r>
      <w:r w:rsidR="009F3C18" w:rsidRPr="000A3539">
        <w:rPr>
          <w:kern w:val="28"/>
          <w:lang w:val="en-CA"/>
        </w:rPr>
        <w:t xml:space="preserve"> </w:t>
      </w:r>
      <w:r w:rsidRPr="000A3539">
        <w:rPr>
          <w:kern w:val="28"/>
          <w:lang w:val="en-CA"/>
        </w:rPr>
        <w:t>the</w:t>
      </w:r>
      <w:r w:rsidR="009F3C18" w:rsidRPr="000A3539">
        <w:rPr>
          <w:kern w:val="28"/>
          <w:lang w:val="en-CA"/>
        </w:rPr>
        <w:t xml:space="preserve"> </w:t>
      </w:r>
      <w:r w:rsidRPr="000A3539">
        <w:rPr>
          <w:kern w:val="28"/>
          <w:lang w:val="en-CA"/>
        </w:rPr>
        <w:t>meaning</w:t>
      </w:r>
      <w:r w:rsidR="009F3C18" w:rsidRPr="000A3539">
        <w:rPr>
          <w:kern w:val="28"/>
          <w:lang w:val="en-CA"/>
        </w:rPr>
        <w:t xml:space="preserve"> </w:t>
      </w:r>
      <w:r w:rsidRPr="000A3539">
        <w:rPr>
          <w:kern w:val="28"/>
          <w:lang w:val="en-CA"/>
        </w:rPr>
        <w:t>of</w:t>
      </w:r>
      <w:r w:rsidR="009F3C18" w:rsidRPr="000A3539">
        <w:rPr>
          <w:kern w:val="28"/>
          <w:lang w:val="en-CA"/>
        </w:rPr>
        <w:t xml:space="preserve"> </w:t>
      </w:r>
      <w:r w:rsidRPr="000A3539">
        <w:rPr>
          <w:kern w:val="28"/>
          <w:lang w:val="en-CA"/>
        </w:rPr>
        <w:t xml:space="preserve">section 10 </w:t>
      </w:r>
      <w:r w:rsidR="009F3C18" w:rsidRPr="000A3539">
        <w:rPr>
          <w:kern w:val="28"/>
          <w:lang w:val="en-CA"/>
        </w:rPr>
        <w:t>in the de</w:t>
      </w:r>
      <w:r w:rsidRPr="000A3539">
        <w:rPr>
          <w:kern w:val="28"/>
          <w:lang w:val="en-CA"/>
        </w:rPr>
        <w:t xml:space="preserve">termination </w:t>
      </w:r>
      <w:r w:rsidR="009F3C18" w:rsidRPr="000A3539">
        <w:rPr>
          <w:kern w:val="28"/>
          <w:lang w:val="en-CA"/>
        </w:rPr>
        <w:t xml:space="preserve">of salary or wages. In particular, it requires </w:t>
      </w:r>
      <w:r w:rsidRPr="000A3539">
        <w:rPr>
          <w:kern w:val="28"/>
          <w:lang w:val="en-CA"/>
        </w:rPr>
        <w:t>employers</w:t>
      </w:r>
      <w:r w:rsidR="009F3C18" w:rsidRPr="000A3539">
        <w:rPr>
          <w:kern w:val="28"/>
          <w:lang w:val="en-CA"/>
        </w:rPr>
        <w:t xml:space="preserve"> to grant, </w:t>
      </w:r>
      <w:r w:rsidR="009F3C18" w:rsidRPr="000A3539">
        <w:rPr>
          <w:rFonts w:cs="Arial"/>
          <w:color w:val="000000"/>
          <w:szCs w:val="22"/>
          <w:lang w:val="en-CA"/>
        </w:rPr>
        <w:t xml:space="preserve">without discrimination, equal wages to </w:t>
      </w:r>
      <w:r w:rsidR="00456473" w:rsidRPr="000A3539">
        <w:rPr>
          <w:rFonts w:cs="Arial"/>
          <w:color w:val="000000"/>
          <w:szCs w:val="22"/>
          <w:lang w:val="en-CA"/>
        </w:rPr>
        <w:t xml:space="preserve">its employees who </w:t>
      </w:r>
      <w:r w:rsidR="009F3C18" w:rsidRPr="000A3539">
        <w:rPr>
          <w:rFonts w:cs="Arial"/>
          <w:color w:val="000000"/>
          <w:szCs w:val="22"/>
          <w:lang w:val="en-CA"/>
        </w:rPr>
        <w:t>perform equivalent work at the same place</w:t>
      </w:r>
      <w:r w:rsidRPr="000A3539">
        <w:rPr>
          <w:kern w:val="28"/>
          <w:lang w:val="en-CA"/>
        </w:rPr>
        <w:t xml:space="preserve">. </w:t>
      </w:r>
      <w:r w:rsidR="009F5F1B" w:rsidRPr="000A3539">
        <w:rPr>
          <w:kern w:val="28"/>
          <w:u w:val="single"/>
          <w:lang w:val="en-CA"/>
        </w:rPr>
        <w:t xml:space="preserve">While the rule applicable to wages </w:t>
      </w:r>
      <w:r w:rsidRPr="000A3539">
        <w:rPr>
          <w:kern w:val="28"/>
          <w:u w:val="single"/>
          <w:lang w:val="en-CA"/>
        </w:rPr>
        <w:t>i</w:t>
      </w:r>
      <w:r w:rsidR="009F5F1B" w:rsidRPr="000A3539">
        <w:rPr>
          <w:kern w:val="28"/>
          <w:u w:val="single"/>
          <w:lang w:val="en-CA"/>
        </w:rPr>
        <w:t>s</w:t>
      </w:r>
      <w:r w:rsidRPr="000A3539">
        <w:rPr>
          <w:kern w:val="28"/>
          <w:u w:val="single"/>
          <w:lang w:val="en-CA"/>
        </w:rPr>
        <w:t xml:space="preserve"> </w:t>
      </w:r>
      <w:r w:rsidR="009F5F1B" w:rsidRPr="000A3539">
        <w:rPr>
          <w:kern w:val="28"/>
          <w:u w:val="single"/>
          <w:lang w:val="en-CA"/>
        </w:rPr>
        <w:t xml:space="preserve">that of </w:t>
      </w:r>
      <w:r w:rsidRPr="00E8683A">
        <w:rPr>
          <w:kern w:val="28"/>
          <w:u w:val="single"/>
          <w:lang w:val="en-CA"/>
        </w:rPr>
        <w:t>equality</w:t>
      </w:r>
      <w:r w:rsidRPr="000A3539">
        <w:rPr>
          <w:kern w:val="28"/>
          <w:u w:val="single"/>
          <w:lang w:val="en-CA"/>
        </w:rPr>
        <w:t>,</w:t>
      </w:r>
      <w:r w:rsidR="009F5F1B" w:rsidRPr="000A3539">
        <w:rPr>
          <w:kern w:val="28"/>
          <w:u w:val="single"/>
          <w:lang w:val="en-CA"/>
        </w:rPr>
        <w:t xml:space="preserve"> the criterion </w:t>
      </w:r>
      <w:r w:rsidR="001B0E52">
        <w:rPr>
          <w:kern w:val="28"/>
          <w:u w:val="single"/>
          <w:lang w:val="en-CA"/>
        </w:rPr>
        <w:t>that applies</w:t>
      </w:r>
      <w:r w:rsidR="001B0E52" w:rsidRPr="000A3539">
        <w:rPr>
          <w:kern w:val="28"/>
          <w:u w:val="single"/>
          <w:lang w:val="en-CA"/>
        </w:rPr>
        <w:t xml:space="preserve"> </w:t>
      </w:r>
      <w:r w:rsidR="009F5F1B" w:rsidRPr="000A3539">
        <w:rPr>
          <w:kern w:val="28"/>
          <w:u w:val="single"/>
          <w:lang w:val="en-CA"/>
        </w:rPr>
        <w:t xml:space="preserve">to the </w:t>
      </w:r>
      <w:r w:rsidRPr="000A3539">
        <w:rPr>
          <w:kern w:val="28"/>
          <w:u w:val="single"/>
          <w:lang w:val="en-CA"/>
        </w:rPr>
        <w:t xml:space="preserve">point </w:t>
      </w:r>
      <w:r w:rsidR="009F5F1B" w:rsidRPr="000A3539">
        <w:rPr>
          <w:kern w:val="28"/>
          <w:u w:val="single"/>
          <w:lang w:val="en-CA"/>
        </w:rPr>
        <w:t>of</w:t>
      </w:r>
      <w:r w:rsidRPr="000A3539">
        <w:rPr>
          <w:kern w:val="28"/>
          <w:u w:val="single"/>
          <w:lang w:val="en-CA"/>
        </w:rPr>
        <w:t xml:space="preserve"> comparison, </w:t>
      </w:r>
      <w:r w:rsidR="009F5F1B" w:rsidRPr="000A3539">
        <w:rPr>
          <w:kern w:val="28"/>
          <w:u w:val="single"/>
          <w:lang w:val="en-CA"/>
        </w:rPr>
        <w:t>work, i</w:t>
      </w:r>
      <w:r w:rsidR="00E8683A">
        <w:rPr>
          <w:kern w:val="28"/>
          <w:u w:val="single"/>
          <w:lang w:val="en-CA"/>
        </w:rPr>
        <w:t>s</w:t>
      </w:r>
      <w:r w:rsidR="009F5F1B" w:rsidRPr="000A3539">
        <w:rPr>
          <w:kern w:val="28"/>
          <w:u w:val="single"/>
          <w:lang w:val="en-CA"/>
        </w:rPr>
        <w:t xml:space="preserve"> that of e</w:t>
      </w:r>
      <w:r w:rsidRPr="000A3539">
        <w:rPr>
          <w:kern w:val="28"/>
          <w:u w:val="single"/>
          <w:lang w:val="en-CA"/>
        </w:rPr>
        <w:t xml:space="preserve">quivalence </w:t>
      </w:r>
      <w:r w:rsidR="009F5F1B" w:rsidRPr="000A3539">
        <w:rPr>
          <w:kern w:val="28"/>
          <w:u w:val="single"/>
          <w:lang w:val="en-CA"/>
        </w:rPr>
        <w:t>only – it need not be the same work or work that is exactly equal</w:t>
      </w:r>
      <w:r w:rsidRPr="000A3539">
        <w:rPr>
          <w:kern w:val="28"/>
          <w:lang w:val="en-CA"/>
        </w:rPr>
        <w:t xml:space="preserve">. </w:t>
      </w:r>
      <w:r w:rsidR="009F5F1B" w:rsidRPr="000A3539">
        <w:rPr>
          <w:kern w:val="28"/>
          <w:lang w:val="en-CA"/>
        </w:rPr>
        <w:t xml:space="preserve">Such equivalence must </w:t>
      </w:r>
      <w:r w:rsidR="000A3539" w:rsidRPr="000A3539">
        <w:rPr>
          <w:kern w:val="28"/>
          <w:lang w:val="en-CA"/>
        </w:rPr>
        <w:t>nevertheless</w:t>
      </w:r>
      <w:r w:rsidR="009F5F1B" w:rsidRPr="000A3539">
        <w:rPr>
          <w:kern w:val="28"/>
          <w:lang w:val="en-CA"/>
        </w:rPr>
        <w:t xml:space="preserve"> be proved by </w:t>
      </w:r>
      <w:r w:rsidR="00940914" w:rsidRPr="000A3539">
        <w:rPr>
          <w:kern w:val="28"/>
          <w:lang w:val="en-CA"/>
        </w:rPr>
        <w:t>the complainant</w:t>
      </w:r>
      <w:r w:rsidRPr="000A3539">
        <w:rPr>
          <w:kern w:val="28"/>
          <w:lang w:val="en-CA"/>
        </w:rPr>
        <w:t xml:space="preserve">: </w:t>
      </w:r>
      <w:r w:rsidRPr="000A3539">
        <w:rPr>
          <w:i/>
          <w:iCs/>
          <w:kern w:val="28"/>
          <w:lang w:val="en-CA"/>
        </w:rPr>
        <w:t>Commission</w:t>
      </w:r>
      <w:r w:rsidR="00940914" w:rsidRPr="000A3539">
        <w:rPr>
          <w:i/>
          <w:iCs/>
          <w:kern w:val="28"/>
          <w:lang w:val="en-CA"/>
        </w:rPr>
        <w:t xml:space="preserve"> </w:t>
      </w:r>
      <w:r w:rsidRPr="000A3539">
        <w:rPr>
          <w:i/>
          <w:iCs/>
          <w:kern w:val="28"/>
          <w:lang w:val="en-CA"/>
        </w:rPr>
        <w:t>des</w:t>
      </w:r>
      <w:r w:rsidR="00940914" w:rsidRPr="000A3539">
        <w:rPr>
          <w:i/>
          <w:iCs/>
          <w:kern w:val="28"/>
          <w:lang w:val="en-CA"/>
        </w:rPr>
        <w:t xml:space="preserve"> </w:t>
      </w:r>
      <w:r w:rsidRPr="000A3539">
        <w:rPr>
          <w:i/>
          <w:iCs/>
          <w:kern w:val="28"/>
          <w:lang w:val="en-CA"/>
        </w:rPr>
        <w:t>droits</w:t>
      </w:r>
      <w:r w:rsidR="00940914" w:rsidRPr="000A3539">
        <w:rPr>
          <w:i/>
          <w:iCs/>
          <w:kern w:val="28"/>
          <w:lang w:val="en-CA"/>
        </w:rPr>
        <w:t xml:space="preserve"> </w:t>
      </w:r>
      <w:r w:rsidRPr="000A3539">
        <w:rPr>
          <w:i/>
          <w:iCs/>
          <w:kern w:val="28"/>
          <w:lang w:val="en-CA"/>
        </w:rPr>
        <w:t>de</w:t>
      </w:r>
      <w:r w:rsidR="00940914" w:rsidRPr="000A3539">
        <w:rPr>
          <w:i/>
          <w:iCs/>
          <w:kern w:val="28"/>
          <w:lang w:val="en-CA"/>
        </w:rPr>
        <w:t xml:space="preserve"> </w:t>
      </w:r>
      <w:r w:rsidRPr="000A3539">
        <w:rPr>
          <w:i/>
          <w:iCs/>
          <w:kern w:val="28"/>
          <w:lang w:val="en-CA"/>
        </w:rPr>
        <w:t>la</w:t>
      </w:r>
      <w:r w:rsidR="00940914" w:rsidRPr="000A3539">
        <w:rPr>
          <w:i/>
          <w:iCs/>
          <w:kern w:val="28"/>
          <w:lang w:val="en-CA"/>
        </w:rPr>
        <w:t xml:space="preserve"> </w:t>
      </w:r>
      <w:r w:rsidRPr="000A3539">
        <w:rPr>
          <w:i/>
          <w:iCs/>
          <w:kern w:val="28"/>
          <w:lang w:val="en-CA"/>
        </w:rPr>
        <w:t>personne</w:t>
      </w:r>
      <w:r w:rsidR="00940914" w:rsidRPr="000A3539">
        <w:rPr>
          <w:i/>
          <w:iCs/>
          <w:kern w:val="28"/>
          <w:lang w:val="en-CA"/>
        </w:rPr>
        <w:t xml:space="preserve"> c</w:t>
      </w:r>
      <w:r w:rsidRPr="000A3539">
        <w:rPr>
          <w:kern w:val="28"/>
          <w:lang w:val="en-CA"/>
        </w:rPr>
        <w:t xml:space="preserve">. </w:t>
      </w:r>
      <w:proofErr w:type="spellStart"/>
      <w:r w:rsidRPr="000A3539">
        <w:rPr>
          <w:i/>
          <w:iCs/>
          <w:kern w:val="28"/>
          <w:lang w:val="en-CA"/>
        </w:rPr>
        <w:t>Pavillon</w:t>
      </w:r>
      <w:proofErr w:type="spellEnd"/>
      <w:r w:rsidRPr="000A3539">
        <w:rPr>
          <w:i/>
          <w:iCs/>
          <w:kern w:val="28"/>
          <w:lang w:val="en-CA"/>
        </w:rPr>
        <w:t xml:space="preserve"> St-Charles de</w:t>
      </w:r>
      <w:r w:rsidRPr="000A3539">
        <w:rPr>
          <w:lang w:val="en-CA"/>
        </w:rPr>
        <w:t xml:space="preserve"> </w:t>
      </w:r>
      <w:r w:rsidRPr="000A3539">
        <w:rPr>
          <w:i/>
          <w:iCs/>
          <w:kern w:val="28"/>
          <w:lang w:val="en-CA"/>
        </w:rPr>
        <w:t>Limoilou</w:t>
      </w:r>
      <w:r w:rsidRPr="000A3539">
        <w:rPr>
          <w:kern w:val="28"/>
          <w:lang w:val="en-CA"/>
        </w:rPr>
        <w:t>, [1983] 4 C.H.R.R. 1284 (</w:t>
      </w:r>
      <w:r w:rsidR="00940914" w:rsidRPr="000A3539">
        <w:rPr>
          <w:kern w:val="28"/>
          <w:lang w:val="en-CA"/>
        </w:rPr>
        <w:t xml:space="preserve">Sup. </w:t>
      </w:r>
      <w:r w:rsidRPr="000A3539">
        <w:rPr>
          <w:kern w:val="28"/>
          <w:lang w:val="en-CA"/>
        </w:rPr>
        <w:t>C</w:t>
      </w:r>
      <w:r w:rsidR="00940914" w:rsidRPr="000A3539">
        <w:rPr>
          <w:kern w:val="28"/>
          <w:lang w:val="en-CA"/>
        </w:rPr>
        <w:t>t</w:t>
      </w:r>
      <w:r w:rsidRPr="000A3539">
        <w:rPr>
          <w:kern w:val="28"/>
          <w:lang w:val="en-CA"/>
        </w:rPr>
        <w:t xml:space="preserve">.). </w:t>
      </w:r>
      <w:r w:rsidR="00940914" w:rsidRPr="000A3539">
        <w:rPr>
          <w:kern w:val="28"/>
          <w:lang w:val="en-CA"/>
        </w:rPr>
        <w:t>The criteria for such eq</w:t>
      </w:r>
      <w:r w:rsidRPr="000A3539">
        <w:rPr>
          <w:kern w:val="28"/>
          <w:lang w:val="en-CA"/>
        </w:rPr>
        <w:t xml:space="preserve">uivalence </w:t>
      </w:r>
      <w:r w:rsidR="00940914" w:rsidRPr="000A3539">
        <w:rPr>
          <w:kern w:val="28"/>
          <w:lang w:val="en-CA"/>
        </w:rPr>
        <w:t xml:space="preserve">are the </w:t>
      </w:r>
      <w:r w:rsidRPr="000A3539">
        <w:rPr>
          <w:kern w:val="28"/>
          <w:lang w:val="en-CA"/>
        </w:rPr>
        <w:t>qualifications</w:t>
      </w:r>
      <w:r w:rsidR="00940914" w:rsidRPr="000A3539">
        <w:rPr>
          <w:kern w:val="28"/>
          <w:lang w:val="en-CA"/>
        </w:rPr>
        <w:t xml:space="preserve"> </w:t>
      </w:r>
      <w:r w:rsidRPr="000A3539">
        <w:rPr>
          <w:kern w:val="28"/>
          <w:lang w:val="en-CA"/>
        </w:rPr>
        <w:t>requi</w:t>
      </w:r>
      <w:r w:rsidR="00940914" w:rsidRPr="000A3539">
        <w:rPr>
          <w:kern w:val="28"/>
          <w:lang w:val="en-CA"/>
        </w:rPr>
        <w:t>red</w:t>
      </w:r>
      <w:r w:rsidRPr="000A3539">
        <w:rPr>
          <w:kern w:val="28"/>
          <w:lang w:val="en-CA"/>
        </w:rPr>
        <w:t>,</w:t>
      </w:r>
      <w:r w:rsidR="00940914" w:rsidRPr="000A3539">
        <w:rPr>
          <w:kern w:val="28"/>
          <w:lang w:val="en-CA"/>
        </w:rPr>
        <w:t xml:space="preserve"> the </w:t>
      </w:r>
      <w:r w:rsidRPr="000A3539">
        <w:rPr>
          <w:kern w:val="28"/>
          <w:lang w:val="en-CA"/>
        </w:rPr>
        <w:t xml:space="preserve">effort </w:t>
      </w:r>
      <w:r w:rsidR="00940914" w:rsidRPr="000A3539">
        <w:rPr>
          <w:kern w:val="28"/>
          <w:lang w:val="en-CA"/>
        </w:rPr>
        <w:t>needed</w:t>
      </w:r>
      <w:r w:rsidRPr="000A3539">
        <w:rPr>
          <w:kern w:val="28"/>
          <w:lang w:val="en-CA"/>
        </w:rPr>
        <w:t>,</w:t>
      </w:r>
      <w:r w:rsidR="00940914" w:rsidRPr="000A3539">
        <w:rPr>
          <w:kern w:val="28"/>
          <w:lang w:val="en-CA"/>
        </w:rPr>
        <w:t xml:space="preserve"> the </w:t>
      </w:r>
      <w:r w:rsidR="000A3539" w:rsidRPr="000A3539">
        <w:rPr>
          <w:kern w:val="28"/>
          <w:lang w:val="en-CA"/>
        </w:rPr>
        <w:t>responsibilities</w:t>
      </w:r>
      <w:r w:rsidR="00940914" w:rsidRPr="000A3539">
        <w:rPr>
          <w:kern w:val="28"/>
          <w:lang w:val="en-CA"/>
        </w:rPr>
        <w:t xml:space="preserve"> assumed, and the </w:t>
      </w:r>
      <w:r w:rsidRPr="000A3539">
        <w:rPr>
          <w:kern w:val="28"/>
          <w:lang w:val="en-CA"/>
        </w:rPr>
        <w:t>working</w:t>
      </w:r>
      <w:r w:rsidR="00940914" w:rsidRPr="000A3539">
        <w:rPr>
          <w:kern w:val="28"/>
          <w:lang w:val="en-CA"/>
        </w:rPr>
        <w:t xml:space="preserve"> </w:t>
      </w:r>
      <w:r w:rsidRPr="000A3539">
        <w:rPr>
          <w:kern w:val="28"/>
          <w:lang w:val="en-CA"/>
        </w:rPr>
        <w:t xml:space="preserve">conditions. </w:t>
      </w:r>
      <w:r w:rsidR="009530BA" w:rsidRPr="000A3539">
        <w:rPr>
          <w:kern w:val="28"/>
          <w:lang w:val="en-CA"/>
        </w:rPr>
        <w:t xml:space="preserve">The </w:t>
      </w:r>
      <w:r w:rsidRPr="000A3539">
        <w:rPr>
          <w:kern w:val="28"/>
          <w:lang w:val="en-CA"/>
        </w:rPr>
        <w:t>qualifications</w:t>
      </w:r>
      <w:r w:rsidR="009530BA" w:rsidRPr="000A3539">
        <w:rPr>
          <w:kern w:val="28"/>
          <w:lang w:val="en-CA"/>
        </w:rPr>
        <w:t xml:space="preserve"> are assessed in relation to the work actually </w:t>
      </w:r>
      <w:r w:rsidR="001B0E52">
        <w:rPr>
          <w:kern w:val="28"/>
          <w:lang w:val="en-CA"/>
        </w:rPr>
        <w:t>performed</w:t>
      </w:r>
      <w:r w:rsidR="001B0E52" w:rsidRPr="000A3539">
        <w:rPr>
          <w:kern w:val="28"/>
          <w:lang w:val="en-CA"/>
        </w:rPr>
        <w:t xml:space="preserve"> </w:t>
      </w:r>
      <w:r w:rsidR="009530BA" w:rsidRPr="000A3539">
        <w:rPr>
          <w:kern w:val="28"/>
          <w:lang w:val="en-CA"/>
        </w:rPr>
        <w:t>rather than on their own</w:t>
      </w:r>
      <w:r w:rsidRPr="000A3539">
        <w:rPr>
          <w:kern w:val="28"/>
          <w:lang w:val="en-CA"/>
        </w:rPr>
        <w:t xml:space="preserve">: </w:t>
      </w:r>
      <w:proofErr w:type="spellStart"/>
      <w:r w:rsidRPr="000A3539">
        <w:rPr>
          <w:i/>
          <w:iCs/>
          <w:kern w:val="28"/>
          <w:lang w:val="en-CA"/>
        </w:rPr>
        <w:t>Syndicat</w:t>
      </w:r>
      <w:proofErr w:type="spellEnd"/>
      <w:r w:rsidRPr="000A3539">
        <w:rPr>
          <w:i/>
          <w:iCs/>
          <w:kern w:val="28"/>
          <w:lang w:val="en-CA"/>
        </w:rPr>
        <w:t xml:space="preserve"> des </w:t>
      </w:r>
      <w:proofErr w:type="spellStart"/>
      <w:r w:rsidRPr="000A3539">
        <w:rPr>
          <w:i/>
          <w:iCs/>
          <w:kern w:val="28"/>
          <w:lang w:val="en-CA"/>
        </w:rPr>
        <w:t>employés</w:t>
      </w:r>
      <w:proofErr w:type="spellEnd"/>
      <w:r w:rsidRPr="000A3539">
        <w:rPr>
          <w:i/>
          <w:iCs/>
          <w:kern w:val="28"/>
          <w:lang w:val="en-CA"/>
        </w:rPr>
        <w:t xml:space="preserve"> du Centre des services </w:t>
      </w:r>
      <w:proofErr w:type="spellStart"/>
      <w:r w:rsidRPr="000A3539">
        <w:rPr>
          <w:i/>
          <w:iCs/>
          <w:kern w:val="28"/>
          <w:lang w:val="en-CA"/>
        </w:rPr>
        <w:t>sociaux</w:t>
      </w:r>
      <w:proofErr w:type="spellEnd"/>
      <w:r w:rsidRPr="000A3539">
        <w:rPr>
          <w:lang w:val="en-CA"/>
        </w:rPr>
        <w:t xml:space="preserve"> </w:t>
      </w:r>
      <w:r w:rsidRPr="000A3539">
        <w:rPr>
          <w:i/>
          <w:iCs/>
          <w:lang w:val="en-CA"/>
        </w:rPr>
        <w:t>Ville-Marie</w:t>
      </w:r>
      <w:r w:rsidR="009530BA" w:rsidRPr="000A3539">
        <w:rPr>
          <w:i/>
          <w:iCs/>
          <w:lang w:val="en-CA"/>
        </w:rPr>
        <w:t xml:space="preserve"> c. </w:t>
      </w:r>
      <w:r w:rsidRPr="000A3539">
        <w:rPr>
          <w:i/>
          <w:iCs/>
          <w:lang w:val="en-CA"/>
        </w:rPr>
        <w:t>Gagnon</w:t>
      </w:r>
      <w:r w:rsidRPr="000A3539">
        <w:rPr>
          <w:rFonts w:cs="Arial"/>
          <w:lang w:val="en-CA"/>
        </w:rPr>
        <w:t>, [1987] D.L.Q. 34 (</w:t>
      </w:r>
      <w:r w:rsidR="009530BA" w:rsidRPr="000A3539">
        <w:rPr>
          <w:rFonts w:cs="Arial"/>
          <w:lang w:val="en-CA"/>
        </w:rPr>
        <w:t xml:space="preserve">Sup. </w:t>
      </w:r>
      <w:r w:rsidRPr="000A3539">
        <w:rPr>
          <w:rFonts w:cs="Arial"/>
          <w:lang w:val="en-CA"/>
        </w:rPr>
        <w:t>C</w:t>
      </w:r>
      <w:r w:rsidR="009530BA" w:rsidRPr="000A3539">
        <w:rPr>
          <w:rFonts w:cs="Arial"/>
          <w:lang w:val="en-CA"/>
        </w:rPr>
        <w:t>t</w:t>
      </w:r>
      <w:r w:rsidRPr="000A3539">
        <w:rPr>
          <w:rFonts w:cs="Arial"/>
          <w:lang w:val="en-CA"/>
        </w:rPr>
        <w:t>.).</w:t>
      </w:r>
      <w:bookmarkStart w:id="12" w:name="_Ref71293201"/>
      <w:r w:rsidR="001075CC" w:rsidRPr="001075CC">
        <w:t xml:space="preserve"> </w:t>
      </w:r>
      <w:r w:rsidR="001075CC" w:rsidRPr="001075CC">
        <w:rPr>
          <w:rFonts w:cs="Arial"/>
          <w:lang w:val="en-CA"/>
        </w:rPr>
        <w:t>[…]</w:t>
      </w:r>
      <w:r w:rsidRPr="000A3539">
        <w:rPr>
          <w:rStyle w:val="Appelnotedebasdep"/>
          <w:rFonts w:cs="Arial"/>
          <w:lang w:val="en-CA"/>
        </w:rPr>
        <w:footnoteReference w:id="44"/>
      </w:r>
      <w:bookmarkEnd w:id="12"/>
    </w:p>
    <w:p w14:paraId="2395A6F9" w14:textId="04D7C8C4" w:rsidR="00352837" w:rsidRPr="000A3539" w:rsidRDefault="00535A26" w:rsidP="00352837">
      <w:pPr>
        <w:pStyle w:val="Citationenretrait"/>
        <w:jc w:val="right"/>
        <w:rPr>
          <w:rFonts w:cs="Arial"/>
          <w:lang w:val="en-CA"/>
        </w:rPr>
      </w:pPr>
      <w:r w:rsidRPr="000A3539">
        <w:rPr>
          <w:bCs/>
          <w:kern w:val="28"/>
          <w:lang w:val="en-CA"/>
        </w:rPr>
        <w:t>[Emphasis added]</w:t>
      </w:r>
    </w:p>
    <w:p w14:paraId="3F335C33" w14:textId="77777777" w:rsidR="00352837" w:rsidRPr="000A3539" w:rsidRDefault="00D76132" w:rsidP="002F5371">
      <w:pPr>
        <w:pStyle w:val="Citationenretrait"/>
        <w:keepNext/>
        <w:rPr>
          <w:b/>
          <w:iCs/>
          <w:u w:val="single"/>
          <w:lang w:val="en-CA"/>
        </w:rPr>
      </w:pPr>
      <w:r w:rsidRPr="000A3539">
        <w:rPr>
          <w:b/>
          <w:iCs/>
          <w:u w:val="single"/>
          <w:lang w:val="en-CA"/>
        </w:rPr>
        <w:lastRenderedPageBreak/>
        <w:t xml:space="preserve">Jean-Yves </w:t>
      </w:r>
      <w:proofErr w:type="spellStart"/>
      <w:r w:rsidRPr="000A3539">
        <w:rPr>
          <w:b/>
          <w:iCs/>
          <w:u w:val="single"/>
          <w:lang w:val="en-CA"/>
        </w:rPr>
        <w:t>Brière</w:t>
      </w:r>
      <w:proofErr w:type="spellEnd"/>
      <w:r w:rsidRPr="000A3539">
        <w:rPr>
          <w:b/>
          <w:iCs/>
          <w:u w:val="single"/>
          <w:lang w:val="en-CA"/>
        </w:rPr>
        <w:t xml:space="preserve"> </w:t>
      </w:r>
      <w:r w:rsidRPr="000A3539">
        <w:rPr>
          <w:b/>
          <w:i/>
          <w:iCs/>
          <w:u w:val="single"/>
          <w:lang w:val="en-CA"/>
        </w:rPr>
        <w:t>et al</w:t>
      </w:r>
      <w:r w:rsidRPr="000A3539">
        <w:rPr>
          <w:b/>
          <w:iCs/>
          <w:u w:val="single"/>
          <w:lang w:val="en-CA"/>
        </w:rPr>
        <w:t>.</w:t>
      </w:r>
    </w:p>
    <w:p w14:paraId="14FD5E35" w14:textId="4C090B3D" w:rsidR="009056F4" w:rsidRPr="000A3539" w:rsidRDefault="009056F4" w:rsidP="002F5371">
      <w:pPr>
        <w:pStyle w:val="Citationenretrait"/>
        <w:keepNext/>
        <w:rPr>
          <w:iCs/>
          <w:lang w:val="en-CA"/>
        </w:rPr>
      </w:pPr>
      <w:r w:rsidRPr="000A3539">
        <w:rPr>
          <w:iCs/>
          <w:lang w:val="en-CA"/>
        </w:rPr>
        <w:t>[</w:t>
      </w:r>
      <w:r w:rsidRPr="000A3539">
        <w:rPr>
          <w:iCs/>
          <w:smallCaps/>
          <w:lang w:val="en-CA"/>
        </w:rPr>
        <w:t>translation</w:t>
      </w:r>
      <w:r w:rsidRPr="000A3539">
        <w:rPr>
          <w:iCs/>
          <w:lang w:val="en-CA"/>
        </w:rPr>
        <w:t>]</w:t>
      </w:r>
    </w:p>
    <w:p w14:paraId="3064DDC8" w14:textId="1247EBA5" w:rsidR="00352837" w:rsidRPr="000A3539" w:rsidRDefault="00535A26" w:rsidP="00352837">
      <w:pPr>
        <w:pStyle w:val="Citationenretrait"/>
        <w:rPr>
          <w:rFonts w:cs="Arial"/>
          <w:iCs/>
          <w:lang w:val="en-CA"/>
        </w:rPr>
      </w:pPr>
      <w:r w:rsidRPr="000A3539">
        <w:rPr>
          <w:iCs/>
          <w:lang w:val="en-CA"/>
        </w:rPr>
        <w:t>(vi)</w:t>
      </w:r>
      <w:r w:rsidR="00D76132" w:rsidRPr="000A3539">
        <w:rPr>
          <w:iCs/>
          <w:lang w:val="en-CA"/>
        </w:rPr>
        <w:t>  </w:t>
      </w:r>
      <w:r w:rsidRPr="000A3539">
        <w:rPr>
          <w:i/>
          <w:iCs/>
          <w:lang w:val="en-CA"/>
        </w:rPr>
        <w:t>Re</w:t>
      </w:r>
      <w:r w:rsidR="00D76132" w:rsidRPr="000A3539">
        <w:rPr>
          <w:i/>
          <w:iCs/>
          <w:lang w:val="en-CA"/>
        </w:rPr>
        <w:t>mun</w:t>
      </w:r>
      <w:r w:rsidRPr="000A3539">
        <w:rPr>
          <w:i/>
          <w:iCs/>
          <w:lang w:val="en-CA"/>
        </w:rPr>
        <w:t>e</w:t>
      </w:r>
      <w:r w:rsidR="00D76132" w:rsidRPr="000A3539">
        <w:rPr>
          <w:i/>
          <w:iCs/>
          <w:lang w:val="en-CA"/>
        </w:rPr>
        <w:t>ration</w:t>
      </w:r>
      <w:r w:rsidR="00D76132" w:rsidRPr="000A3539">
        <w:rPr>
          <w:iCs/>
          <w:lang w:val="en-CA"/>
        </w:rPr>
        <w:t xml:space="preserve">: </w:t>
      </w:r>
      <w:r w:rsidRPr="000A3539">
        <w:rPr>
          <w:iCs/>
          <w:lang w:val="en-CA"/>
        </w:rPr>
        <w:t xml:space="preserve">The employer must, without discrimination, grant equal </w:t>
      </w:r>
      <w:r w:rsidR="00D76132" w:rsidRPr="000A3539">
        <w:rPr>
          <w:iCs/>
          <w:lang w:val="en-CA"/>
        </w:rPr>
        <w:t>r</w:t>
      </w:r>
      <w:r w:rsidRPr="000A3539">
        <w:rPr>
          <w:iCs/>
          <w:lang w:val="en-CA"/>
        </w:rPr>
        <w:t>e</w:t>
      </w:r>
      <w:r w:rsidR="00D76132" w:rsidRPr="000A3539">
        <w:rPr>
          <w:iCs/>
          <w:lang w:val="en-CA"/>
        </w:rPr>
        <w:t>mun</w:t>
      </w:r>
      <w:r w:rsidRPr="000A3539">
        <w:rPr>
          <w:iCs/>
          <w:lang w:val="en-CA"/>
        </w:rPr>
        <w:t>e</w:t>
      </w:r>
      <w:r w:rsidR="00D76132" w:rsidRPr="000A3539">
        <w:rPr>
          <w:iCs/>
          <w:lang w:val="en-CA"/>
        </w:rPr>
        <w:t xml:space="preserve">ration </w:t>
      </w:r>
      <w:r w:rsidRPr="000A3539">
        <w:rPr>
          <w:iCs/>
          <w:lang w:val="en-CA"/>
        </w:rPr>
        <w:t xml:space="preserve">to the members of its </w:t>
      </w:r>
      <w:r w:rsidR="00D76132" w:rsidRPr="000A3539">
        <w:rPr>
          <w:iCs/>
          <w:lang w:val="en-CA"/>
        </w:rPr>
        <w:t xml:space="preserve">personnel </w:t>
      </w:r>
      <w:r w:rsidRPr="000A3539">
        <w:rPr>
          <w:iCs/>
          <w:lang w:val="en-CA"/>
        </w:rPr>
        <w:t xml:space="preserve">who perform equivalent work </w:t>
      </w:r>
      <w:r w:rsidR="00493E33">
        <w:rPr>
          <w:iCs/>
          <w:lang w:val="en-CA"/>
        </w:rPr>
        <w:t xml:space="preserve">in </w:t>
      </w:r>
      <w:r w:rsidRPr="000A3539">
        <w:rPr>
          <w:iCs/>
          <w:lang w:val="en-CA"/>
        </w:rPr>
        <w:t xml:space="preserve">the same </w:t>
      </w:r>
      <w:r w:rsidR="00493E33">
        <w:rPr>
          <w:iCs/>
          <w:lang w:val="en-CA"/>
        </w:rPr>
        <w:t xml:space="preserve">establishment </w:t>
      </w:r>
      <w:r w:rsidR="00D76132" w:rsidRPr="000A3539">
        <w:rPr>
          <w:iCs/>
          <w:lang w:val="en-CA"/>
        </w:rPr>
        <w:t>(</w:t>
      </w:r>
      <w:r w:rsidRPr="000A3539">
        <w:rPr>
          <w:iCs/>
          <w:lang w:val="en-CA"/>
        </w:rPr>
        <w:t>s</w:t>
      </w:r>
      <w:r w:rsidR="00D76132" w:rsidRPr="000A3539">
        <w:rPr>
          <w:iCs/>
          <w:lang w:val="en-CA"/>
        </w:rPr>
        <w:t xml:space="preserve">. 19 </w:t>
      </w:r>
      <w:r w:rsidRPr="000A3539">
        <w:rPr>
          <w:iCs/>
          <w:lang w:val="en-CA"/>
        </w:rPr>
        <w:t xml:space="preserve">of the </w:t>
      </w:r>
      <w:r w:rsidR="00D76132" w:rsidRPr="000A3539">
        <w:rPr>
          <w:i/>
          <w:iCs/>
          <w:lang w:val="en-CA"/>
        </w:rPr>
        <w:t>Charter</w:t>
      </w:r>
      <w:r w:rsidR="00D76132" w:rsidRPr="000A3539">
        <w:rPr>
          <w:iCs/>
          <w:lang w:val="en-CA"/>
        </w:rPr>
        <w:t xml:space="preserve">). </w:t>
      </w:r>
      <w:r w:rsidRPr="000A3539">
        <w:rPr>
          <w:iCs/>
          <w:u w:val="single"/>
          <w:lang w:val="en-CA"/>
        </w:rPr>
        <w:t>What does e</w:t>
      </w:r>
      <w:r w:rsidR="00D76132" w:rsidRPr="000A3539">
        <w:rPr>
          <w:iCs/>
          <w:u w:val="single"/>
          <w:lang w:val="en-CA"/>
        </w:rPr>
        <w:t>quivale</w:t>
      </w:r>
      <w:r w:rsidRPr="000A3539">
        <w:rPr>
          <w:iCs/>
          <w:u w:val="single"/>
          <w:lang w:val="en-CA"/>
        </w:rPr>
        <w:t>nt work mean</w:t>
      </w:r>
      <w:r w:rsidR="00D76132" w:rsidRPr="000A3539">
        <w:rPr>
          <w:iCs/>
          <w:lang w:val="en-CA"/>
        </w:rPr>
        <w:t xml:space="preserve">? </w:t>
      </w:r>
      <w:r w:rsidR="00CF2522" w:rsidRPr="000A3539">
        <w:rPr>
          <w:iCs/>
          <w:u w:val="single"/>
          <w:lang w:val="en-CA"/>
        </w:rPr>
        <w:t>We could</w:t>
      </w:r>
      <w:r w:rsidR="008532B0">
        <w:rPr>
          <w:iCs/>
          <w:u w:val="single"/>
          <w:lang w:val="en-CA"/>
        </w:rPr>
        <w:t>,</w:t>
      </w:r>
      <w:r w:rsidR="00CF2522" w:rsidRPr="000A3539">
        <w:rPr>
          <w:iCs/>
          <w:u w:val="single"/>
          <w:lang w:val="en-CA"/>
        </w:rPr>
        <w:t xml:space="preserve"> for example</w:t>
      </w:r>
      <w:r w:rsidR="008532B0">
        <w:rPr>
          <w:iCs/>
          <w:u w:val="single"/>
          <w:lang w:val="en-CA"/>
        </w:rPr>
        <w:t>,</w:t>
      </w:r>
      <w:r w:rsidR="00CF2522" w:rsidRPr="000A3539">
        <w:rPr>
          <w:iCs/>
          <w:u w:val="single"/>
          <w:lang w:val="en-CA"/>
        </w:rPr>
        <w:t xml:space="preserve"> accept the de</w:t>
      </w:r>
      <w:r w:rsidR="00D76132" w:rsidRPr="000A3539">
        <w:rPr>
          <w:iCs/>
          <w:u w:val="single"/>
          <w:lang w:val="en-CA"/>
        </w:rPr>
        <w:t xml:space="preserve">finition </w:t>
      </w:r>
      <w:r w:rsidR="00CF2522" w:rsidRPr="000A3539">
        <w:rPr>
          <w:iCs/>
          <w:u w:val="single"/>
          <w:lang w:val="en-CA"/>
        </w:rPr>
        <w:t xml:space="preserve">set out in the </w:t>
      </w:r>
      <w:r w:rsidRPr="000A3539">
        <w:rPr>
          <w:i/>
          <w:iCs/>
          <w:u w:val="single"/>
          <w:lang w:val="en-CA"/>
        </w:rPr>
        <w:t xml:space="preserve">Act respecting industrial accidents and occupational diseases </w:t>
      </w:r>
      <w:r w:rsidR="00D76132" w:rsidRPr="00AD1EAE">
        <w:rPr>
          <w:rFonts w:cs="Arial"/>
          <w:bCs/>
          <w:iCs/>
          <w:u w:val="single"/>
          <w:lang w:val="en-CA"/>
        </w:rPr>
        <w:t>[A</w:t>
      </w:r>
      <w:r w:rsidRPr="00AD1EAE">
        <w:rPr>
          <w:rFonts w:cs="Arial"/>
          <w:bCs/>
          <w:iCs/>
          <w:u w:val="single"/>
          <w:lang w:val="en-CA"/>
        </w:rPr>
        <w:t>.</w:t>
      </w:r>
      <w:r w:rsidR="00493E33" w:rsidRPr="00AD1EAE">
        <w:rPr>
          <w:rFonts w:cs="Arial"/>
          <w:bCs/>
          <w:iCs/>
          <w:u w:val="single"/>
          <w:lang w:val="en-CA"/>
        </w:rPr>
        <w:t>R.I.A.O.D</w:t>
      </w:r>
      <w:r w:rsidRPr="00AD1EAE">
        <w:rPr>
          <w:rFonts w:cs="Arial"/>
          <w:bCs/>
          <w:iCs/>
          <w:u w:val="single"/>
          <w:lang w:val="en-CA"/>
        </w:rPr>
        <w:t>.</w:t>
      </w:r>
      <w:r w:rsidR="00D76132" w:rsidRPr="00AD1EAE">
        <w:rPr>
          <w:iCs/>
          <w:u w:val="single"/>
          <w:lang w:val="en-CA"/>
        </w:rPr>
        <w:t>]:</w:t>
      </w:r>
      <w:r w:rsidR="00D76132" w:rsidRPr="000A3539">
        <w:rPr>
          <w:iCs/>
          <w:u w:val="single"/>
          <w:lang w:val="en-CA"/>
        </w:rPr>
        <w:t xml:space="preserve"> </w:t>
      </w:r>
      <w:r w:rsidRPr="000A3539">
        <w:rPr>
          <w:iCs/>
          <w:u w:val="single"/>
          <w:lang w:val="en-CA"/>
        </w:rPr>
        <w:t>“employment of a similar nature … from the standpoint of vocational qualifications required, wages, social benefits, duration and working conditions”</w:t>
      </w:r>
      <w:r w:rsidR="00D76132" w:rsidRPr="000A3539">
        <w:rPr>
          <w:rFonts w:cs="Arial"/>
          <w:iCs/>
          <w:lang w:val="en-CA"/>
        </w:rPr>
        <w:t xml:space="preserve">. </w:t>
      </w:r>
      <w:r w:rsidR="00CF2522" w:rsidRPr="000A3539">
        <w:rPr>
          <w:rFonts w:cs="Arial"/>
          <w:iCs/>
          <w:lang w:val="en-CA"/>
        </w:rPr>
        <w:t xml:space="preserve">The </w:t>
      </w:r>
      <w:r w:rsidR="00D76132" w:rsidRPr="000A3539">
        <w:rPr>
          <w:rFonts w:cs="Arial"/>
          <w:iCs/>
          <w:lang w:val="en-CA"/>
        </w:rPr>
        <w:t xml:space="preserve">comparison </w:t>
      </w:r>
      <w:r w:rsidR="00CF2522" w:rsidRPr="000A3539">
        <w:rPr>
          <w:rFonts w:cs="Arial"/>
          <w:iCs/>
          <w:lang w:val="en-CA"/>
        </w:rPr>
        <w:t xml:space="preserve">must therefore be between two </w:t>
      </w:r>
      <w:r w:rsidR="00D76132" w:rsidRPr="000A3539">
        <w:rPr>
          <w:rFonts w:cs="Arial"/>
          <w:iCs/>
          <w:lang w:val="en-CA"/>
        </w:rPr>
        <w:t>employees</w:t>
      </w:r>
      <w:r w:rsidR="00CF2522" w:rsidRPr="000A3539">
        <w:rPr>
          <w:rFonts w:cs="Arial"/>
          <w:iCs/>
          <w:lang w:val="en-CA"/>
        </w:rPr>
        <w:t xml:space="preserve"> with employment having similar characteristics</w:t>
      </w:r>
      <w:r w:rsidR="00D76132" w:rsidRPr="000A3539">
        <w:rPr>
          <w:rFonts w:cs="Arial"/>
          <w:iCs/>
          <w:lang w:val="en-CA"/>
        </w:rPr>
        <w:t xml:space="preserve">. </w:t>
      </w:r>
      <w:r w:rsidRPr="000A3539">
        <w:rPr>
          <w:rFonts w:cs="Arial"/>
          <w:iCs/>
          <w:lang w:val="en-CA"/>
        </w:rPr>
        <w:t>S</w:t>
      </w:r>
      <w:r w:rsidR="00D76132" w:rsidRPr="000A3539">
        <w:rPr>
          <w:rFonts w:cs="Arial"/>
          <w:iCs/>
          <w:lang w:val="en-CA"/>
        </w:rPr>
        <w:t xml:space="preserve">ection 19 </w:t>
      </w:r>
      <w:r w:rsidR="00DF4C3E" w:rsidRPr="000A3539">
        <w:rPr>
          <w:rFonts w:cs="Arial"/>
          <w:iCs/>
          <w:lang w:val="en-CA"/>
        </w:rPr>
        <w:t>adds a caveat</w:t>
      </w:r>
      <w:r w:rsidR="00D76132" w:rsidRPr="000A3539">
        <w:rPr>
          <w:rFonts w:cs="Arial"/>
          <w:iCs/>
          <w:lang w:val="en-CA"/>
        </w:rPr>
        <w:t xml:space="preserve">: </w:t>
      </w:r>
      <w:r w:rsidRPr="000A3539">
        <w:rPr>
          <w:rFonts w:cs="Arial"/>
          <w:iCs/>
          <w:lang w:val="en-CA"/>
        </w:rPr>
        <w:t>a difference based on experience, seniority, years of service, merit, productivity</w:t>
      </w:r>
      <w:r w:rsidR="00AD1EAE">
        <w:rPr>
          <w:rFonts w:cs="Arial"/>
          <w:iCs/>
          <w:lang w:val="en-CA"/>
        </w:rPr>
        <w:t>,</w:t>
      </w:r>
      <w:r w:rsidRPr="000A3539">
        <w:rPr>
          <w:rFonts w:cs="Arial"/>
          <w:iCs/>
          <w:lang w:val="en-CA"/>
        </w:rPr>
        <w:t xml:space="preserve"> or overtime is not considered discriminatory</w:t>
      </w:r>
      <w:r w:rsidR="00D76132" w:rsidRPr="000A3539">
        <w:rPr>
          <w:rFonts w:cs="Arial"/>
          <w:iCs/>
          <w:lang w:val="en-CA"/>
        </w:rPr>
        <w:t xml:space="preserve">. </w:t>
      </w:r>
      <w:r w:rsidRPr="000A3539">
        <w:rPr>
          <w:rFonts w:cs="Arial"/>
          <w:iCs/>
          <w:lang w:val="en-CA"/>
        </w:rPr>
        <w:t xml:space="preserve">Such </w:t>
      </w:r>
      <w:r w:rsidR="00D76132" w:rsidRPr="000A3539">
        <w:rPr>
          <w:rFonts w:cs="Arial"/>
          <w:iCs/>
          <w:lang w:val="en-CA"/>
        </w:rPr>
        <w:t>differential</w:t>
      </w:r>
      <w:r w:rsidRPr="000A3539">
        <w:rPr>
          <w:rFonts w:cs="Arial"/>
          <w:iCs/>
          <w:lang w:val="en-CA"/>
        </w:rPr>
        <w:t xml:space="preserve"> </w:t>
      </w:r>
      <w:r w:rsidR="00D76132" w:rsidRPr="000A3539">
        <w:rPr>
          <w:rFonts w:cs="Arial"/>
          <w:iCs/>
          <w:lang w:val="en-CA"/>
        </w:rPr>
        <w:t>treatment</w:t>
      </w:r>
      <w:r w:rsidRPr="000A3539">
        <w:rPr>
          <w:rFonts w:cs="Arial"/>
          <w:iCs/>
          <w:lang w:val="en-CA"/>
        </w:rPr>
        <w:t xml:space="preserve"> will be considered </w:t>
      </w:r>
      <w:r w:rsidR="00D76132" w:rsidRPr="000A3539">
        <w:rPr>
          <w:rFonts w:cs="Arial"/>
          <w:iCs/>
          <w:lang w:val="en-CA"/>
        </w:rPr>
        <w:t>consistent</w:t>
      </w:r>
      <w:r w:rsidRPr="000A3539">
        <w:rPr>
          <w:rFonts w:cs="Arial"/>
          <w:iCs/>
          <w:lang w:val="en-CA"/>
        </w:rPr>
        <w:t xml:space="preserve"> </w:t>
      </w:r>
      <w:r w:rsidR="00D76132" w:rsidRPr="000A3539">
        <w:rPr>
          <w:rFonts w:cs="Arial"/>
          <w:iCs/>
          <w:lang w:val="en-CA"/>
        </w:rPr>
        <w:t>with</w:t>
      </w:r>
      <w:r w:rsidRPr="000A3539">
        <w:rPr>
          <w:rFonts w:cs="Arial"/>
          <w:iCs/>
          <w:lang w:val="en-CA"/>
        </w:rPr>
        <w:t xml:space="preserve"> </w:t>
      </w:r>
      <w:r w:rsidR="00D76132" w:rsidRPr="000A3539">
        <w:rPr>
          <w:rFonts w:cs="Arial"/>
          <w:iCs/>
          <w:lang w:val="en-CA"/>
        </w:rPr>
        <w:t xml:space="preserve">section 19 </w:t>
      </w:r>
      <w:r w:rsidRPr="000A3539">
        <w:rPr>
          <w:rFonts w:cs="Arial"/>
          <w:iCs/>
          <w:lang w:val="en-CA"/>
        </w:rPr>
        <w:t xml:space="preserve">if the criteria on which it is based are common to all </w:t>
      </w:r>
      <w:r w:rsidR="00D76132" w:rsidRPr="000A3539">
        <w:rPr>
          <w:rFonts w:cs="Arial"/>
          <w:iCs/>
          <w:lang w:val="en-CA"/>
        </w:rPr>
        <w:t xml:space="preserve">employees. </w:t>
      </w:r>
      <w:r w:rsidR="00DF4C3E" w:rsidRPr="000A3539">
        <w:rPr>
          <w:rFonts w:cs="Arial"/>
          <w:iCs/>
          <w:lang w:val="en-CA"/>
        </w:rPr>
        <w:t xml:space="preserve">Such </w:t>
      </w:r>
      <w:r w:rsidR="00D76132" w:rsidRPr="000A3539">
        <w:rPr>
          <w:rFonts w:cs="Arial"/>
          <w:iCs/>
          <w:lang w:val="en-CA"/>
        </w:rPr>
        <w:t>discr</w:t>
      </w:r>
      <w:r w:rsidR="00DF4C3E" w:rsidRPr="000A3539">
        <w:rPr>
          <w:rFonts w:cs="Arial"/>
          <w:iCs/>
          <w:lang w:val="en-CA"/>
        </w:rPr>
        <w:t>e</w:t>
      </w:r>
      <w:r w:rsidR="00D76132" w:rsidRPr="000A3539">
        <w:rPr>
          <w:rFonts w:cs="Arial"/>
          <w:iCs/>
          <w:lang w:val="en-CA"/>
        </w:rPr>
        <w:t xml:space="preserve">tion </w:t>
      </w:r>
      <w:r w:rsidR="00DF4C3E" w:rsidRPr="000A3539">
        <w:rPr>
          <w:rFonts w:cs="Arial"/>
          <w:iCs/>
          <w:lang w:val="en-CA"/>
        </w:rPr>
        <w:t xml:space="preserve">granted to the </w:t>
      </w:r>
      <w:r w:rsidR="00D76132" w:rsidRPr="000A3539">
        <w:rPr>
          <w:rFonts w:cs="Arial"/>
          <w:iCs/>
          <w:lang w:val="en-CA"/>
        </w:rPr>
        <w:t xml:space="preserve">employer </w:t>
      </w:r>
      <w:r w:rsidR="00D81BAA" w:rsidRPr="000A3539">
        <w:rPr>
          <w:rFonts w:cs="Arial"/>
          <w:iCs/>
          <w:lang w:val="en-CA"/>
        </w:rPr>
        <w:t xml:space="preserve">significantly reduces the scope of </w:t>
      </w:r>
      <w:r w:rsidR="00D76132" w:rsidRPr="000A3539">
        <w:rPr>
          <w:rFonts w:cs="Arial"/>
          <w:iCs/>
          <w:lang w:val="en-CA"/>
        </w:rPr>
        <w:t xml:space="preserve">section 19 </w:t>
      </w:r>
      <w:r w:rsidR="00D81BAA" w:rsidRPr="000A3539">
        <w:rPr>
          <w:rFonts w:cs="Arial"/>
          <w:iCs/>
          <w:lang w:val="en-CA"/>
        </w:rPr>
        <w:t xml:space="preserve">of the </w:t>
      </w:r>
      <w:r w:rsidR="00D76132" w:rsidRPr="000A3539">
        <w:rPr>
          <w:rFonts w:cs="Arial"/>
          <w:i/>
          <w:iCs/>
          <w:lang w:val="en-CA"/>
        </w:rPr>
        <w:t>Charter</w:t>
      </w:r>
      <w:r w:rsidR="00D76132" w:rsidRPr="000A3539">
        <w:rPr>
          <w:rFonts w:cs="Arial"/>
          <w:iCs/>
          <w:lang w:val="en-CA"/>
        </w:rPr>
        <w:t>.</w:t>
      </w:r>
      <w:r w:rsidR="00493E33" w:rsidRPr="00493E33">
        <w:t xml:space="preserve"> </w:t>
      </w:r>
      <w:r w:rsidR="00493E33" w:rsidRPr="00493E33">
        <w:rPr>
          <w:rFonts w:cs="Arial"/>
          <w:iCs/>
          <w:lang w:val="en-CA"/>
        </w:rPr>
        <w:t>[…]</w:t>
      </w:r>
      <w:r w:rsidR="00D76132" w:rsidRPr="000A3539">
        <w:rPr>
          <w:rStyle w:val="Appelnotedebasdep"/>
          <w:rFonts w:cs="Arial"/>
          <w:iCs/>
          <w:lang w:val="en-CA"/>
        </w:rPr>
        <w:footnoteReference w:id="45"/>
      </w:r>
    </w:p>
    <w:p w14:paraId="289CFF8C" w14:textId="6C27CF56" w:rsidR="00352837" w:rsidRPr="000A3539" w:rsidRDefault="00535A26" w:rsidP="00352837">
      <w:pPr>
        <w:pStyle w:val="Citationenretrait"/>
        <w:jc w:val="right"/>
        <w:rPr>
          <w:rFonts w:cs="Arial"/>
          <w:lang w:val="en-CA"/>
        </w:rPr>
      </w:pPr>
      <w:r w:rsidRPr="000A3539">
        <w:rPr>
          <w:bCs/>
          <w:kern w:val="28"/>
          <w:lang w:val="en-CA"/>
        </w:rPr>
        <w:t>[Emphasis added]</w:t>
      </w:r>
    </w:p>
    <w:p w14:paraId="2A04790C" w14:textId="77777777" w:rsidR="00352837" w:rsidRPr="000A3539" w:rsidRDefault="00D76132" w:rsidP="00352837">
      <w:pPr>
        <w:pStyle w:val="Citationenretrait"/>
        <w:keepNext/>
        <w:rPr>
          <w:iCs/>
          <w:lang w:val="en-CA"/>
        </w:rPr>
      </w:pPr>
      <w:r w:rsidRPr="000A3539">
        <w:rPr>
          <w:b/>
          <w:iCs/>
          <w:u w:val="single"/>
          <w:lang w:val="en-CA"/>
        </w:rPr>
        <w:t xml:space="preserve">Linda Bernier </w:t>
      </w:r>
      <w:r w:rsidRPr="000A3539">
        <w:rPr>
          <w:b/>
          <w:i/>
          <w:iCs/>
          <w:u w:val="single"/>
          <w:lang w:val="en-CA"/>
        </w:rPr>
        <w:t>et al</w:t>
      </w:r>
      <w:r w:rsidRPr="000A3539">
        <w:rPr>
          <w:iCs/>
          <w:lang w:val="en-CA"/>
        </w:rPr>
        <w:t>.</w:t>
      </w:r>
    </w:p>
    <w:p w14:paraId="3CA2FA92" w14:textId="17E7EE13" w:rsidR="00DA55C4" w:rsidRPr="000A3539" w:rsidRDefault="00DA55C4" w:rsidP="00352837">
      <w:pPr>
        <w:pStyle w:val="Citationenretrait"/>
        <w:rPr>
          <w:rFonts w:cs="Arial"/>
          <w:iCs/>
          <w:lang w:val="en-CA"/>
        </w:rPr>
      </w:pPr>
      <w:r w:rsidRPr="000A3539">
        <w:rPr>
          <w:rFonts w:cs="Arial"/>
          <w:iCs/>
          <w:lang w:val="en-CA"/>
        </w:rPr>
        <w:t>[</w:t>
      </w:r>
      <w:r w:rsidRPr="000A3539">
        <w:rPr>
          <w:rFonts w:cs="Arial"/>
          <w:iCs/>
          <w:smallCaps/>
          <w:lang w:val="en-CA"/>
        </w:rPr>
        <w:t>translation</w:t>
      </w:r>
      <w:r w:rsidRPr="000A3539">
        <w:rPr>
          <w:rFonts w:cs="Arial"/>
          <w:iCs/>
          <w:lang w:val="en-CA"/>
        </w:rPr>
        <w:t>]</w:t>
      </w:r>
    </w:p>
    <w:p w14:paraId="08A49D60" w14:textId="3C2F2210" w:rsidR="00352837" w:rsidRPr="000A3539" w:rsidRDefault="00D76132" w:rsidP="00352837">
      <w:pPr>
        <w:pStyle w:val="Citationenretrait"/>
        <w:rPr>
          <w:rFonts w:cs="Arial"/>
          <w:iCs/>
          <w:u w:val="single"/>
          <w:lang w:val="en-CA"/>
        </w:rPr>
      </w:pPr>
      <w:r w:rsidRPr="000A3539">
        <w:rPr>
          <w:rFonts w:cs="Arial"/>
          <w:b/>
          <w:iCs/>
          <w:lang w:val="en-CA"/>
        </w:rPr>
        <w:t>7.3274</w:t>
      </w:r>
      <w:r w:rsidRPr="000A3539">
        <w:rPr>
          <w:rFonts w:cs="Arial"/>
          <w:iCs/>
          <w:lang w:val="en-CA"/>
        </w:rPr>
        <w:t> – </w:t>
      </w:r>
      <w:r w:rsidR="00DA55C4" w:rsidRPr="000A3539">
        <w:rPr>
          <w:rFonts w:cs="Arial"/>
          <w:iCs/>
          <w:u w:val="single"/>
          <w:lang w:val="en-CA"/>
        </w:rPr>
        <w:t>The essential</w:t>
      </w:r>
      <w:r w:rsidRPr="000A3539">
        <w:rPr>
          <w:rFonts w:cs="Arial"/>
          <w:iCs/>
          <w:u w:val="single"/>
          <w:lang w:val="en-CA"/>
        </w:rPr>
        <w:t xml:space="preserve"> point </w:t>
      </w:r>
      <w:r w:rsidR="00DA55C4" w:rsidRPr="000A3539">
        <w:rPr>
          <w:rFonts w:cs="Arial"/>
          <w:iCs/>
          <w:u w:val="single"/>
          <w:lang w:val="en-CA"/>
        </w:rPr>
        <w:t xml:space="preserve">of the </w:t>
      </w:r>
      <w:r w:rsidRPr="00AD1EAE">
        <w:rPr>
          <w:rFonts w:cs="Arial"/>
          <w:iCs/>
          <w:u w:val="single"/>
          <w:lang w:val="en-CA"/>
        </w:rPr>
        <w:t>provisions</w:t>
      </w:r>
      <w:r w:rsidRPr="000A3539">
        <w:rPr>
          <w:rFonts w:cs="Arial"/>
          <w:iCs/>
          <w:u w:val="single"/>
          <w:lang w:val="en-CA"/>
        </w:rPr>
        <w:t xml:space="preserve"> </w:t>
      </w:r>
      <w:r w:rsidR="00DA55C4" w:rsidRPr="000A3539">
        <w:rPr>
          <w:rFonts w:cs="Arial"/>
          <w:iCs/>
          <w:u w:val="single"/>
          <w:lang w:val="en-CA"/>
        </w:rPr>
        <w:t xml:space="preserve">regarding equal wages is similar work, that is, work requiring the same skills and the same </w:t>
      </w:r>
      <w:r w:rsidRPr="000A3539">
        <w:rPr>
          <w:rFonts w:cs="Arial"/>
          <w:iCs/>
          <w:u w:val="single"/>
          <w:lang w:val="en-CA"/>
        </w:rPr>
        <w:t>exp</w:t>
      </w:r>
      <w:r w:rsidR="00DA55C4" w:rsidRPr="000A3539">
        <w:rPr>
          <w:rFonts w:cs="Arial"/>
          <w:iCs/>
          <w:u w:val="single"/>
          <w:lang w:val="en-CA"/>
        </w:rPr>
        <w:t>e</w:t>
      </w:r>
      <w:r w:rsidRPr="000A3539">
        <w:rPr>
          <w:rFonts w:cs="Arial"/>
          <w:iCs/>
          <w:u w:val="single"/>
          <w:lang w:val="en-CA"/>
        </w:rPr>
        <w:t xml:space="preserve">rience, </w:t>
      </w:r>
      <w:r w:rsidR="00DA55C4" w:rsidRPr="000A3539">
        <w:rPr>
          <w:rFonts w:cs="Arial"/>
          <w:iCs/>
          <w:u w:val="single"/>
          <w:lang w:val="en-CA"/>
        </w:rPr>
        <w:t>not aspects of training or the diplomas obtained</w:t>
      </w:r>
      <w:r w:rsidR="00DA55C4" w:rsidRPr="000A3539">
        <w:rPr>
          <w:rFonts w:cs="Arial"/>
          <w:iCs/>
          <w:lang w:val="en-CA"/>
        </w:rPr>
        <w:t>.</w:t>
      </w:r>
      <w:r w:rsidRPr="000A3539">
        <w:rPr>
          <w:rFonts w:cs="Arial"/>
          <w:iCs/>
          <w:vertAlign w:val="superscript"/>
          <w:lang w:val="en-CA"/>
        </w:rPr>
        <w:t>1</w:t>
      </w:r>
    </w:p>
    <w:p w14:paraId="2E362173" w14:textId="024EEBBC" w:rsidR="00352837" w:rsidRPr="00877FA5" w:rsidRDefault="00D76132" w:rsidP="00352837">
      <w:pPr>
        <w:pStyle w:val="Citationenretrait"/>
        <w:tabs>
          <w:tab w:val="left" w:pos="993"/>
        </w:tabs>
        <w:ind w:left="993" w:hanging="273"/>
        <w:rPr>
          <w:rFonts w:cs="Arial"/>
          <w:iCs/>
          <w:sz w:val="20"/>
        </w:rPr>
      </w:pPr>
      <w:r w:rsidRPr="00877FA5">
        <w:rPr>
          <w:rFonts w:cs="Arial"/>
          <w:iCs/>
          <w:sz w:val="20"/>
          <w:vertAlign w:val="superscript"/>
        </w:rPr>
        <w:t>1</w:t>
      </w:r>
      <w:r w:rsidRPr="00877FA5">
        <w:rPr>
          <w:rFonts w:cs="Arial"/>
          <w:iCs/>
          <w:sz w:val="20"/>
        </w:rPr>
        <w:tab/>
      </w:r>
      <w:r w:rsidRPr="00877FA5">
        <w:rPr>
          <w:rFonts w:cs="Arial"/>
          <w:i/>
          <w:iCs/>
          <w:sz w:val="20"/>
        </w:rPr>
        <w:t>Syndicat des employés du Centre des services sociaux Ville-Marie c. Gagnon</w:t>
      </w:r>
      <w:r w:rsidRPr="00877FA5">
        <w:rPr>
          <w:rFonts w:cs="Arial"/>
          <w:iCs/>
          <w:sz w:val="20"/>
        </w:rPr>
        <w:t>, D.T.E. 91T-691 (C.A.).</w:t>
      </w:r>
    </w:p>
    <w:p w14:paraId="6DAE0DBE" w14:textId="25266805" w:rsidR="00352837" w:rsidRPr="000A3539" w:rsidRDefault="00DA3A61" w:rsidP="00352837">
      <w:pPr>
        <w:pStyle w:val="Citationenretrait"/>
        <w:rPr>
          <w:rFonts w:cs="Arial"/>
          <w:iCs/>
          <w:lang w:val="en-CA"/>
        </w:rPr>
      </w:pPr>
      <w:r>
        <w:rPr>
          <w:rFonts w:cs="Arial"/>
          <w:iCs/>
          <w:lang w:val="en-CA"/>
        </w:rPr>
        <w:t>[</w:t>
      </w:r>
      <w:r w:rsidR="00DA55C4" w:rsidRPr="000A3539">
        <w:rPr>
          <w:rFonts w:cs="Arial"/>
          <w:iCs/>
          <w:lang w:val="en-CA"/>
        </w:rPr>
        <w:t>…</w:t>
      </w:r>
      <w:r>
        <w:rPr>
          <w:rFonts w:cs="Arial"/>
          <w:iCs/>
          <w:lang w:val="en-CA"/>
        </w:rPr>
        <w:t>]</w:t>
      </w:r>
    </w:p>
    <w:p w14:paraId="4952317A" w14:textId="729BF054" w:rsidR="00352837" w:rsidRPr="000A3539" w:rsidRDefault="00D76132" w:rsidP="00352837">
      <w:pPr>
        <w:pStyle w:val="Citationenretrait"/>
        <w:rPr>
          <w:rFonts w:cs="Arial"/>
          <w:iCs/>
          <w:lang w:val="en-CA"/>
        </w:rPr>
      </w:pPr>
      <w:r w:rsidRPr="000A3539">
        <w:rPr>
          <w:rFonts w:cs="Arial"/>
          <w:b/>
          <w:iCs/>
          <w:lang w:val="en-CA"/>
        </w:rPr>
        <w:t>7.3279</w:t>
      </w:r>
      <w:r w:rsidRPr="000A3539">
        <w:rPr>
          <w:rFonts w:cs="Arial"/>
          <w:iCs/>
          <w:lang w:val="en-CA"/>
        </w:rPr>
        <w:t> – </w:t>
      </w:r>
      <w:r w:rsidR="00B53163" w:rsidRPr="000A3539">
        <w:rPr>
          <w:rFonts w:cs="Arial"/>
          <w:iCs/>
          <w:lang w:val="en-CA"/>
        </w:rPr>
        <w:t xml:space="preserve">The </w:t>
      </w:r>
      <w:r w:rsidRPr="000A3539">
        <w:rPr>
          <w:rFonts w:cs="Arial"/>
          <w:iCs/>
          <w:lang w:val="en-CA"/>
        </w:rPr>
        <w:t>burden</w:t>
      </w:r>
      <w:r w:rsidR="00B53163" w:rsidRPr="000A3539">
        <w:rPr>
          <w:rFonts w:cs="Arial"/>
          <w:iCs/>
          <w:lang w:val="en-CA"/>
        </w:rPr>
        <w:t xml:space="preserve"> </w:t>
      </w:r>
      <w:r w:rsidRPr="000A3539">
        <w:rPr>
          <w:rFonts w:cs="Arial"/>
          <w:iCs/>
          <w:lang w:val="en-CA"/>
        </w:rPr>
        <w:t>of</w:t>
      </w:r>
      <w:r w:rsidR="00B53163" w:rsidRPr="000A3539">
        <w:rPr>
          <w:rFonts w:cs="Arial"/>
          <w:iCs/>
          <w:lang w:val="en-CA"/>
        </w:rPr>
        <w:t xml:space="preserve"> </w:t>
      </w:r>
      <w:r w:rsidRPr="000A3539">
        <w:rPr>
          <w:rFonts w:cs="Arial"/>
          <w:iCs/>
          <w:lang w:val="en-CA"/>
        </w:rPr>
        <w:t>proof re</w:t>
      </w:r>
      <w:r w:rsidR="00B53163" w:rsidRPr="000A3539">
        <w:rPr>
          <w:rFonts w:cs="Arial"/>
          <w:iCs/>
          <w:lang w:val="en-CA"/>
        </w:rPr>
        <w:t>sts on the complainant, who must demonstrate the e</w:t>
      </w:r>
      <w:r w:rsidRPr="000A3539">
        <w:rPr>
          <w:rFonts w:cs="Arial"/>
          <w:iCs/>
          <w:lang w:val="en-CA"/>
        </w:rPr>
        <w:t xml:space="preserve">quivalence </w:t>
      </w:r>
      <w:r w:rsidR="00B53163" w:rsidRPr="000A3539">
        <w:rPr>
          <w:rFonts w:cs="Arial"/>
          <w:iCs/>
          <w:lang w:val="en-CA"/>
        </w:rPr>
        <w:t xml:space="preserve">between the tasks for which the </w:t>
      </w:r>
      <w:r w:rsidRPr="000A3539">
        <w:rPr>
          <w:rFonts w:cs="Arial"/>
          <w:iCs/>
          <w:lang w:val="en-CA"/>
        </w:rPr>
        <w:t>employ</w:t>
      </w:r>
      <w:r w:rsidR="00B53163" w:rsidRPr="000A3539">
        <w:rPr>
          <w:rFonts w:cs="Arial"/>
          <w:iCs/>
          <w:lang w:val="en-CA"/>
        </w:rPr>
        <w:t>e</w:t>
      </w:r>
      <w:r w:rsidRPr="000A3539">
        <w:rPr>
          <w:rFonts w:cs="Arial"/>
          <w:iCs/>
          <w:lang w:val="en-CA"/>
        </w:rPr>
        <w:t xml:space="preserve">r </w:t>
      </w:r>
      <w:r w:rsidR="00B53163" w:rsidRPr="000A3539">
        <w:rPr>
          <w:rFonts w:cs="Arial"/>
          <w:iCs/>
          <w:lang w:val="en-CA"/>
        </w:rPr>
        <w:t xml:space="preserve">grants different wages on a discriminatory basis. In the absence of such </w:t>
      </w:r>
      <w:r w:rsidRPr="000A3539">
        <w:rPr>
          <w:rFonts w:cs="Arial"/>
          <w:iCs/>
          <w:lang w:val="en-CA"/>
        </w:rPr>
        <w:t xml:space="preserve">evidence, </w:t>
      </w:r>
      <w:r w:rsidR="00AA63A5" w:rsidRPr="000A3539">
        <w:rPr>
          <w:rFonts w:cs="Arial"/>
          <w:iCs/>
          <w:lang w:val="en-CA"/>
        </w:rPr>
        <w:t xml:space="preserve">it cannot be </w:t>
      </w:r>
      <w:r w:rsidRPr="000A3539">
        <w:rPr>
          <w:rFonts w:cs="Arial"/>
          <w:iCs/>
          <w:lang w:val="en-CA"/>
        </w:rPr>
        <w:t>conclu</w:t>
      </w:r>
      <w:r w:rsidR="00AA63A5" w:rsidRPr="000A3539">
        <w:rPr>
          <w:rFonts w:cs="Arial"/>
          <w:iCs/>
          <w:lang w:val="en-CA"/>
        </w:rPr>
        <w:t xml:space="preserve">ded that there is a </w:t>
      </w:r>
      <w:r w:rsidRPr="000A3539">
        <w:rPr>
          <w:rFonts w:cs="Arial"/>
          <w:iCs/>
          <w:lang w:val="en-CA"/>
        </w:rPr>
        <w:t>breach</w:t>
      </w:r>
      <w:r w:rsidR="00AA63A5" w:rsidRPr="000A3539">
        <w:rPr>
          <w:rFonts w:cs="Arial"/>
          <w:iCs/>
          <w:lang w:val="en-CA"/>
        </w:rPr>
        <w:t xml:space="preserve"> of s. </w:t>
      </w:r>
      <w:r w:rsidRPr="000A3539">
        <w:rPr>
          <w:rFonts w:cs="Arial"/>
          <w:iCs/>
          <w:lang w:val="en-CA"/>
        </w:rPr>
        <w:t xml:space="preserve">19 </w:t>
      </w:r>
      <w:r w:rsidR="00AA63A5" w:rsidRPr="000A3539">
        <w:rPr>
          <w:rFonts w:cs="Arial"/>
          <w:iCs/>
          <w:lang w:val="en-CA"/>
        </w:rPr>
        <w:t xml:space="preserve">of the </w:t>
      </w:r>
      <w:r w:rsidRPr="000A3539">
        <w:rPr>
          <w:rFonts w:cs="Arial"/>
          <w:i/>
          <w:iCs/>
          <w:lang w:val="en-CA"/>
        </w:rPr>
        <w:t>Charte</w:t>
      </w:r>
      <w:r w:rsidR="00AA63A5" w:rsidRPr="000A3539">
        <w:rPr>
          <w:rFonts w:cs="Arial"/>
          <w:i/>
          <w:iCs/>
          <w:lang w:val="en-CA"/>
        </w:rPr>
        <w:t>r</w:t>
      </w:r>
      <w:r w:rsidR="00AA63A5" w:rsidRPr="000A3539">
        <w:rPr>
          <w:rFonts w:cs="Arial"/>
          <w:iCs/>
          <w:lang w:val="en-CA"/>
        </w:rPr>
        <w:t>.</w:t>
      </w:r>
      <w:r w:rsidRPr="000A3539">
        <w:rPr>
          <w:rFonts w:cs="Arial"/>
          <w:iCs/>
          <w:vertAlign w:val="superscript"/>
          <w:lang w:val="en-CA"/>
        </w:rPr>
        <w:t>1</w:t>
      </w:r>
    </w:p>
    <w:p w14:paraId="7140EE1C" w14:textId="13E9FC56" w:rsidR="00352837" w:rsidRPr="00877FA5" w:rsidRDefault="00D76132" w:rsidP="00352837">
      <w:pPr>
        <w:pStyle w:val="Citationenretrait"/>
        <w:tabs>
          <w:tab w:val="left" w:pos="993"/>
        </w:tabs>
        <w:ind w:left="993" w:hanging="273"/>
        <w:rPr>
          <w:rFonts w:cs="Arial"/>
          <w:iCs/>
          <w:sz w:val="20"/>
        </w:rPr>
      </w:pPr>
      <w:r w:rsidRPr="00877FA5">
        <w:rPr>
          <w:rFonts w:cs="Arial"/>
          <w:iCs/>
          <w:sz w:val="20"/>
          <w:vertAlign w:val="superscript"/>
        </w:rPr>
        <w:t>1</w:t>
      </w:r>
      <w:r w:rsidRPr="00877FA5">
        <w:rPr>
          <w:rFonts w:cs="Arial"/>
          <w:iCs/>
          <w:sz w:val="20"/>
        </w:rPr>
        <w:tab/>
      </w:r>
      <w:r w:rsidRPr="00877FA5">
        <w:rPr>
          <w:rFonts w:cs="Arial"/>
          <w:i/>
          <w:iCs/>
          <w:sz w:val="20"/>
        </w:rPr>
        <w:t>Commission</w:t>
      </w:r>
      <w:r w:rsidR="00AA63A5" w:rsidRPr="00877FA5">
        <w:rPr>
          <w:rFonts w:cs="Arial"/>
          <w:i/>
          <w:iCs/>
          <w:sz w:val="20"/>
        </w:rPr>
        <w:t xml:space="preserve"> </w:t>
      </w:r>
      <w:r w:rsidRPr="00877FA5">
        <w:rPr>
          <w:rFonts w:cs="Arial"/>
          <w:i/>
          <w:iCs/>
          <w:sz w:val="20"/>
        </w:rPr>
        <w:t>des</w:t>
      </w:r>
      <w:r w:rsidR="00AA63A5" w:rsidRPr="00877FA5">
        <w:rPr>
          <w:rFonts w:cs="Arial"/>
          <w:i/>
          <w:iCs/>
          <w:sz w:val="20"/>
        </w:rPr>
        <w:t xml:space="preserve"> </w:t>
      </w:r>
      <w:r w:rsidRPr="00877FA5">
        <w:rPr>
          <w:rFonts w:cs="Arial"/>
          <w:i/>
          <w:iCs/>
          <w:sz w:val="20"/>
        </w:rPr>
        <w:t>droits</w:t>
      </w:r>
      <w:r w:rsidR="00AA63A5" w:rsidRPr="00877FA5">
        <w:rPr>
          <w:rFonts w:cs="Arial"/>
          <w:i/>
          <w:iCs/>
          <w:sz w:val="20"/>
        </w:rPr>
        <w:t xml:space="preserve"> </w:t>
      </w:r>
      <w:r w:rsidRPr="00877FA5">
        <w:rPr>
          <w:rFonts w:cs="Arial"/>
          <w:i/>
          <w:iCs/>
          <w:sz w:val="20"/>
        </w:rPr>
        <w:t>de</w:t>
      </w:r>
      <w:r w:rsidR="00AA63A5" w:rsidRPr="00877FA5">
        <w:rPr>
          <w:rFonts w:cs="Arial"/>
          <w:i/>
          <w:iCs/>
          <w:sz w:val="20"/>
        </w:rPr>
        <w:t xml:space="preserve"> </w:t>
      </w:r>
      <w:r w:rsidRPr="00877FA5">
        <w:rPr>
          <w:rFonts w:cs="Arial"/>
          <w:i/>
          <w:iCs/>
          <w:sz w:val="20"/>
        </w:rPr>
        <w:t>la</w:t>
      </w:r>
      <w:r w:rsidR="00AA63A5" w:rsidRPr="00877FA5">
        <w:rPr>
          <w:rFonts w:cs="Arial"/>
          <w:i/>
          <w:iCs/>
          <w:sz w:val="20"/>
        </w:rPr>
        <w:t xml:space="preserve"> </w:t>
      </w:r>
      <w:r w:rsidRPr="00877FA5">
        <w:rPr>
          <w:rFonts w:cs="Arial"/>
          <w:i/>
          <w:iCs/>
          <w:sz w:val="20"/>
        </w:rPr>
        <w:t>personne c. Pavillon St-Charles de Limoilou</w:t>
      </w:r>
      <w:r w:rsidRPr="00877FA5">
        <w:rPr>
          <w:rFonts w:cs="Arial"/>
          <w:iCs/>
          <w:sz w:val="20"/>
        </w:rPr>
        <w:t>, (1983) 4 C.H.R.R. 1284.</w:t>
      </w:r>
      <w:r w:rsidRPr="000A3539">
        <w:rPr>
          <w:rStyle w:val="Appelnotedebasdep"/>
          <w:rFonts w:cs="Arial"/>
          <w:iCs/>
          <w:lang w:val="en-CA"/>
        </w:rPr>
        <w:footnoteReference w:id="46"/>
      </w:r>
    </w:p>
    <w:p w14:paraId="62FB8B60" w14:textId="65D1005D" w:rsidR="00352837" w:rsidRPr="000A3539" w:rsidRDefault="000C4A30" w:rsidP="00352837">
      <w:pPr>
        <w:pStyle w:val="Paragraphe"/>
        <w:rPr>
          <w:lang w:val="en-CA"/>
        </w:rPr>
      </w:pPr>
      <w:r w:rsidRPr="000A3539">
        <w:rPr>
          <w:lang w:val="en-CA"/>
        </w:rPr>
        <w:lastRenderedPageBreak/>
        <w:t xml:space="preserve">Before </w:t>
      </w:r>
      <w:r w:rsidR="00D76132" w:rsidRPr="000A3539">
        <w:rPr>
          <w:lang w:val="en-CA"/>
        </w:rPr>
        <w:t>examin</w:t>
      </w:r>
      <w:r w:rsidRPr="000A3539">
        <w:rPr>
          <w:lang w:val="en-CA"/>
        </w:rPr>
        <w:t xml:space="preserve">ing the </w:t>
      </w:r>
      <w:r w:rsidR="00D76132" w:rsidRPr="000A3539">
        <w:rPr>
          <w:lang w:val="en-CA"/>
        </w:rPr>
        <w:t>issues,</w:t>
      </w:r>
      <w:r w:rsidRPr="000A3539">
        <w:rPr>
          <w:lang w:val="en-CA"/>
        </w:rPr>
        <w:t xml:space="preserve"> it is necessary to determine the applicable standard of review. </w:t>
      </w:r>
      <w:proofErr w:type="spellStart"/>
      <w:r w:rsidR="00D76132" w:rsidRPr="000A3539">
        <w:rPr>
          <w:i/>
          <w:lang w:val="en-CA"/>
        </w:rPr>
        <w:t>Vavilov</w:t>
      </w:r>
      <w:proofErr w:type="spellEnd"/>
      <w:r w:rsidR="00D76132" w:rsidRPr="000A3539">
        <w:rPr>
          <w:lang w:val="en-CA"/>
        </w:rPr>
        <w:t xml:space="preserve"> </w:t>
      </w:r>
      <w:r w:rsidR="00CF4D60">
        <w:rPr>
          <w:lang w:val="en-CA"/>
        </w:rPr>
        <w:t>makes clear that the standard</w:t>
      </w:r>
      <w:r w:rsidRPr="000A3539">
        <w:rPr>
          <w:lang w:val="en-CA"/>
        </w:rPr>
        <w:t xml:space="preserve"> of appellate intervention, as described in </w:t>
      </w:r>
      <w:proofErr w:type="spellStart"/>
      <w:r w:rsidR="00D76132" w:rsidRPr="000A3539">
        <w:rPr>
          <w:i/>
          <w:iCs/>
          <w:color w:val="000000"/>
          <w:shd w:val="clear" w:color="auto" w:fill="FFFFFF"/>
          <w:lang w:val="en-CA"/>
        </w:rPr>
        <w:t>Housen</w:t>
      </w:r>
      <w:proofErr w:type="spellEnd"/>
      <w:r w:rsidR="00D76132" w:rsidRPr="000A3539">
        <w:rPr>
          <w:i/>
          <w:iCs/>
          <w:color w:val="000000"/>
          <w:shd w:val="clear" w:color="auto" w:fill="FFFFFF"/>
          <w:lang w:val="en-CA"/>
        </w:rPr>
        <w:t xml:space="preserve"> </w:t>
      </w:r>
      <w:r w:rsidR="00D76132" w:rsidRPr="000A3539">
        <w:rPr>
          <w:i/>
          <w:iCs/>
          <w:shd w:val="clear" w:color="auto" w:fill="FFFFFF"/>
          <w:lang w:val="en-CA"/>
        </w:rPr>
        <w:t>v</w:t>
      </w:r>
      <w:r w:rsidR="00D76132" w:rsidRPr="000A3539">
        <w:rPr>
          <w:i/>
          <w:iCs/>
          <w:color w:val="000000"/>
          <w:shd w:val="clear" w:color="auto" w:fill="FFFFFF"/>
          <w:lang w:val="en-CA"/>
        </w:rPr>
        <w:t xml:space="preserve">. </w:t>
      </w:r>
      <w:proofErr w:type="spellStart"/>
      <w:r w:rsidR="00D76132" w:rsidRPr="000A3539">
        <w:rPr>
          <w:i/>
          <w:iCs/>
          <w:color w:val="000000"/>
          <w:shd w:val="clear" w:color="auto" w:fill="FFFFFF"/>
          <w:lang w:val="en-CA"/>
        </w:rPr>
        <w:t>Nikolaisen</w:t>
      </w:r>
      <w:proofErr w:type="spellEnd"/>
      <w:r w:rsidRPr="000A3539">
        <w:rPr>
          <w:iCs/>
          <w:color w:val="000000"/>
          <w:shd w:val="clear" w:color="auto" w:fill="FFFFFF"/>
          <w:lang w:val="en-CA"/>
        </w:rPr>
        <w:t>,</w:t>
      </w:r>
      <w:r w:rsidR="00D76132" w:rsidRPr="000A3539">
        <w:rPr>
          <w:rStyle w:val="Appelnotedebasdep"/>
          <w:iCs/>
          <w:color w:val="000000"/>
          <w:shd w:val="clear" w:color="auto" w:fill="FFFFFF"/>
          <w:lang w:val="en-CA"/>
        </w:rPr>
        <w:footnoteReference w:id="47"/>
      </w:r>
      <w:r w:rsidRPr="000A3539">
        <w:rPr>
          <w:iCs/>
          <w:color w:val="000000"/>
          <w:shd w:val="clear" w:color="auto" w:fill="FFFFFF"/>
          <w:lang w:val="en-CA"/>
        </w:rPr>
        <w:t xml:space="preserve"> appl</w:t>
      </w:r>
      <w:r w:rsidR="00EE30EB">
        <w:rPr>
          <w:iCs/>
          <w:color w:val="000000"/>
          <w:shd w:val="clear" w:color="auto" w:fill="FFFFFF"/>
          <w:lang w:val="en-CA"/>
        </w:rPr>
        <w:t>ies</w:t>
      </w:r>
      <w:r w:rsidRPr="000A3539">
        <w:rPr>
          <w:iCs/>
          <w:color w:val="000000"/>
          <w:shd w:val="clear" w:color="auto" w:fill="FFFFFF"/>
          <w:lang w:val="en-CA"/>
        </w:rPr>
        <w:t xml:space="preserve"> when the </w:t>
      </w:r>
      <w:r w:rsidR="00D76132" w:rsidRPr="000A3539">
        <w:rPr>
          <w:lang w:val="en-CA"/>
        </w:rPr>
        <w:t>legislature</w:t>
      </w:r>
      <w:r w:rsidRPr="000A3539">
        <w:rPr>
          <w:lang w:val="en-CA"/>
        </w:rPr>
        <w:t xml:space="preserve"> provides for an appeal from an </w:t>
      </w:r>
      <w:r w:rsidR="00D76132" w:rsidRPr="000A3539">
        <w:rPr>
          <w:lang w:val="en-CA"/>
        </w:rPr>
        <w:t>administrative</w:t>
      </w:r>
      <w:bookmarkStart w:id="13" w:name="_Ref71293562"/>
      <w:r w:rsidRPr="000A3539">
        <w:rPr>
          <w:lang w:val="en-CA"/>
        </w:rPr>
        <w:t xml:space="preserve"> decision.</w:t>
      </w:r>
      <w:r w:rsidR="00D76132" w:rsidRPr="000A3539">
        <w:rPr>
          <w:rStyle w:val="Appelnotedebasdep"/>
          <w:lang w:val="en-CA"/>
        </w:rPr>
        <w:footnoteReference w:id="48"/>
      </w:r>
      <w:bookmarkEnd w:id="13"/>
      <w:r w:rsidR="00D76132" w:rsidRPr="000A3539">
        <w:rPr>
          <w:lang w:val="en-CA"/>
        </w:rPr>
        <w:t xml:space="preserve"> </w:t>
      </w:r>
      <w:r w:rsidR="00561E8F" w:rsidRPr="000A3539">
        <w:rPr>
          <w:lang w:val="en-CA"/>
        </w:rPr>
        <w:t xml:space="preserve">In this case, the </w:t>
      </w:r>
      <w:r w:rsidR="00D76132" w:rsidRPr="00FD1FB8">
        <w:rPr>
          <w:i/>
          <w:lang w:val="en-CA"/>
        </w:rPr>
        <w:t>Quebec</w:t>
      </w:r>
      <w:r w:rsidR="00561E8F" w:rsidRPr="000A3539">
        <w:rPr>
          <w:i/>
          <w:lang w:val="en-CA"/>
        </w:rPr>
        <w:t xml:space="preserve"> </w:t>
      </w:r>
      <w:r w:rsidR="00D76132" w:rsidRPr="000A3539">
        <w:rPr>
          <w:i/>
          <w:lang w:val="en-CA"/>
        </w:rPr>
        <w:t>Charter</w:t>
      </w:r>
      <w:r w:rsidR="00561E8F" w:rsidRPr="000A3539">
        <w:rPr>
          <w:i/>
          <w:lang w:val="en-CA"/>
        </w:rPr>
        <w:t xml:space="preserve"> </w:t>
      </w:r>
      <w:r w:rsidR="00561E8F" w:rsidRPr="000A3539">
        <w:rPr>
          <w:lang w:val="en-CA"/>
        </w:rPr>
        <w:t>provides that “[a]</w:t>
      </w:r>
      <w:proofErr w:type="spellStart"/>
      <w:r w:rsidR="00561E8F" w:rsidRPr="000A3539">
        <w:rPr>
          <w:lang w:val="en-CA"/>
        </w:rPr>
        <w:t>ny</w:t>
      </w:r>
      <w:proofErr w:type="spellEnd"/>
      <w:r w:rsidR="00561E8F" w:rsidRPr="000A3539">
        <w:rPr>
          <w:lang w:val="en-CA"/>
        </w:rPr>
        <w:t xml:space="preserve"> final decision of the Tribunal may be appealed from to the Court of Appeal with leave from one of the judges thereof”</w:t>
      </w:r>
      <w:r w:rsidR="00561E8F" w:rsidRPr="000A3539">
        <w:rPr>
          <w:i/>
          <w:lang w:val="en-CA"/>
        </w:rPr>
        <w:t>.</w:t>
      </w:r>
      <w:r w:rsidR="00D76132" w:rsidRPr="000A3539">
        <w:rPr>
          <w:rStyle w:val="Appelnotedebasdep"/>
          <w:rFonts w:cs="Arial"/>
          <w:lang w:val="en-CA"/>
        </w:rPr>
        <w:footnoteReference w:id="49"/>
      </w:r>
      <w:r w:rsidR="00D76132" w:rsidRPr="000A3539">
        <w:rPr>
          <w:lang w:val="en-CA"/>
        </w:rPr>
        <w:t xml:space="preserve"> </w:t>
      </w:r>
      <w:r w:rsidR="00561E8F" w:rsidRPr="000A3539">
        <w:rPr>
          <w:lang w:val="en-CA"/>
        </w:rPr>
        <w:t>Accordingly, the standard of review applicable to the</w:t>
      </w:r>
      <w:r w:rsidR="00D76132" w:rsidRPr="000A3539">
        <w:rPr>
          <w:lang w:val="en-CA"/>
        </w:rPr>
        <w:t xml:space="preserve"> Tribunal</w:t>
      </w:r>
      <w:r w:rsidR="00561E8F" w:rsidRPr="000A3539">
        <w:rPr>
          <w:lang w:val="en-CA"/>
        </w:rPr>
        <w:t xml:space="preserve">’s decision is that </w:t>
      </w:r>
      <w:r w:rsidR="00D76132" w:rsidRPr="000A3539">
        <w:rPr>
          <w:lang w:val="en-CA"/>
        </w:rPr>
        <w:t xml:space="preserve">applicable </w:t>
      </w:r>
      <w:r w:rsidR="00561E8F" w:rsidRPr="000A3539">
        <w:rPr>
          <w:lang w:val="en-CA"/>
        </w:rPr>
        <w:t xml:space="preserve">to an </w:t>
      </w:r>
      <w:r w:rsidR="00D76132" w:rsidRPr="000A3539">
        <w:rPr>
          <w:lang w:val="en-CA"/>
        </w:rPr>
        <w:t>appeal</w:t>
      </w:r>
      <w:r w:rsidR="00561E8F" w:rsidRPr="000A3539">
        <w:rPr>
          <w:lang w:val="en-CA"/>
        </w:rPr>
        <w:t xml:space="preserve">, and thus </w:t>
      </w:r>
      <w:r w:rsidR="00B34594" w:rsidRPr="000A3539">
        <w:rPr>
          <w:lang w:val="en-CA"/>
        </w:rPr>
        <w:t xml:space="preserve">appellate intervention is permitted </w:t>
      </w:r>
      <w:r w:rsidR="00561E8F" w:rsidRPr="000A3539">
        <w:rPr>
          <w:lang w:val="en-CA"/>
        </w:rPr>
        <w:t xml:space="preserve">only </w:t>
      </w:r>
      <w:r w:rsidR="00B34594" w:rsidRPr="000A3539">
        <w:rPr>
          <w:lang w:val="en-CA"/>
        </w:rPr>
        <w:t xml:space="preserve">in the event of </w:t>
      </w:r>
      <w:r w:rsidR="00561E8F" w:rsidRPr="000A3539">
        <w:rPr>
          <w:lang w:val="en-CA"/>
        </w:rPr>
        <w:t xml:space="preserve">an </w:t>
      </w:r>
      <w:r w:rsidR="00D76132" w:rsidRPr="000A3539">
        <w:rPr>
          <w:lang w:val="en-CA"/>
        </w:rPr>
        <w:t>error</w:t>
      </w:r>
      <w:r w:rsidR="00561E8F" w:rsidRPr="000A3539">
        <w:rPr>
          <w:lang w:val="en-CA"/>
        </w:rPr>
        <w:t xml:space="preserve"> </w:t>
      </w:r>
      <w:r w:rsidR="00D76132" w:rsidRPr="000A3539">
        <w:rPr>
          <w:lang w:val="en-CA"/>
        </w:rPr>
        <w:t>of</w:t>
      </w:r>
      <w:r w:rsidR="00561E8F" w:rsidRPr="000A3539">
        <w:rPr>
          <w:lang w:val="en-CA"/>
        </w:rPr>
        <w:t xml:space="preserve"> </w:t>
      </w:r>
      <w:r w:rsidR="00D76132" w:rsidRPr="000A3539">
        <w:rPr>
          <w:lang w:val="en-CA"/>
        </w:rPr>
        <w:t>law</w:t>
      </w:r>
      <w:r w:rsidR="00561E8F" w:rsidRPr="000A3539">
        <w:rPr>
          <w:lang w:val="en-CA"/>
        </w:rPr>
        <w:t xml:space="preserve"> or a </w:t>
      </w:r>
      <w:r w:rsidR="00D76132" w:rsidRPr="000A3539">
        <w:rPr>
          <w:lang w:val="en-CA"/>
        </w:rPr>
        <w:t>palpable</w:t>
      </w:r>
      <w:r w:rsidR="00561E8F" w:rsidRPr="000A3539">
        <w:rPr>
          <w:lang w:val="en-CA"/>
        </w:rPr>
        <w:t xml:space="preserve"> </w:t>
      </w:r>
      <w:r w:rsidR="00D76132" w:rsidRPr="000A3539">
        <w:rPr>
          <w:lang w:val="en-CA"/>
        </w:rPr>
        <w:t>and</w:t>
      </w:r>
      <w:r w:rsidR="00561E8F" w:rsidRPr="000A3539">
        <w:rPr>
          <w:lang w:val="en-CA"/>
        </w:rPr>
        <w:t xml:space="preserve"> </w:t>
      </w:r>
      <w:r w:rsidR="00D76132" w:rsidRPr="000A3539">
        <w:rPr>
          <w:lang w:val="en-CA"/>
        </w:rPr>
        <w:t>overriding</w:t>
      </w:r>
      <w:r w:rsidR="00561E8F" w:rsidRPr="000A3539">
        <w:rPr>
          <w:lang w:val="en-CA"/>
        </w:rPr>
        <w:t xml:space="preserve"> </w:t>
      </w:r>
      <w:r w:rsidR="00D76132" w:rsidRPr="000A3539">
        <w:rPr>
          <w:lang w:val="en-CA"/>
        </w:rPr>
        <w:t xml:space="preserve">error </w:t>
      </w:r>
      <w:r w:rsidR="00561E8F" w:rsidRPr="000A3539">
        <w:rPr>
          <w:lang w:val="en-CA"/>
        </w:rPr>
        <w:t xml:space="preserve">in the assessment of the </w:t>
      </w:r>
      <w:r w:rsidR="00D76132" w:rsidRPr="000A3539">
        <w:rPr>
          <w:lang w:val="en-CA"/>
        </w:rPr>
        <w:t xml:space="preserve">evidence. </w:t>
      </w:r>
    </w:p>
    <w:p w14:paraId="671ECE98" w14:textId="1C133294" w:rsidR="00352837" w:rsidRPr="000A3539" w:rsidRDefault="00D76132" w:rsidP="00352837">
      <w:pPr>
        <w:pStyle w:val="Style1sous-titrenumrot"/>
        <w:tabs>
          <w:tab w:val="left" w:pos="1418"/>
        </w:tabs>
        <w:spacing w:line="280" w:lineRule="exact"/>
        <w:ind w:left="1417" w:hanging="697"/>
        <w:rPr>
          <w:b/>
          <w:lang w:val="en-CA"/>
        </w:rPr>
      </w:pPr>
      <w:r w:rsidRPr="000A3539">
        <w:rPr>
          <w:b/>
          <w:lang w:val="en-CA"/>
        </w:rPr>
        <w:t>4.1-</w:t>
      </w:r>
      <w:r w:rsidRPr="000A3539">
        <w:rPr>
          <w:lang w:val="en-CA"/>
        </w:rPr>
        <w:tab/>
      </w:r>
      <w:r w:rsidR="00B34594" w:rsidRPr="000A3539">
        <w:rPr>
          <w:b/>
          <w:lang w:val="en-CA"/>
        </w:rPr>
        <w:t xml:space="preserve">Is student </w:t>
      </w:r>
      <w:r w:rsidRPr="000A3539">
        <w:rPr>
          <w:b/>
          <w:lang w:val="en-CA"/>
        </w:rPr>
        <w:t>statu</w:t>
      </w:r>
      <w:r w:rsidR="00B34594" w:rsidRPr="000A3539">
        <w:rPr>
          <w:b/>
          <w:lang w:val="en-CA"/>
        </w:rPr>
        <w:t>s</w:t>
      </w:r>
      <w:r w:rsidRPr="000A3539">
        <w:rPr>
          <w:b/>
          <w:lang w:val="en-CA"/>
        </w:rPr>
        <w:t xml:space="preserve"> inclu</w:t>
      </w:r>
      <w:r w:rsidR="00B34594" w:rsidRPr="000A3539">
        <w:rPr>
          <w:b/>
          <w:lang w:val="en-CA"/>
        </w:rPr>
        <w:t xml:space="preserve">ded in the concept of social </w:t>
      </w:r>
      <w:r w:rsidRPr="000A3539">
        <w:rPr>
          <w:b/>
          <w:lang w:val="en-CA"/>
        </w:rPr>
        <w:t>condition within</w:t>
      </w:r>
      <w:r w:rsidR="00B34594" w:rsidRPr="000A3539">
        <w:rPr>
          <w:b/>
          <w:lang w:val="en-CA"/>
        </w:rPr>
        <w:t xml:space="preserve"> </w:t>
      </w:r>
      <w:r w:rsidRPr="000A3539">
        <w:rPr>
          <w:b/>
          <w:lang w:val="en-CA"/>
        </w:rPr>
        <w:t>the</w:t>
      </w:r>
      <w:r w:rsidR="00B34594" w:rsidRPr="000A3539">
        <w:rPr>
          <w:b/>
          <w:lang w:val="en-CA"/>
        </w:rPr>
        <w:t xml:space="preserve"> </w:t>
      </w:r>
      <w:r w:rsidRPr="000A3539">
        <w:rPr>
          <w:b/>
          <w:lang w:val="en-CA"/>
        </w:rPr>
        <w:t>meaning</w:t>
      </w:r>
      <w:r w:rsidR="00B34594" w:rsidRPr="000A3539">
        <w:rPr>
          <w:b/>
          <w:lang w:val="en-CA"/>
        </w:rPr>
        <w:t xml:space="preserve"> </w:t>
      </w:r>
      <w:r w:rsidRPr="000A3539">
        <w:rPr>
          <w:b/>
          <w:lang w:val="en-CA"/>
        </w:rPr>
        <w:t>of</w:t>
      </w:r>
      <w:r w:rsidR="00B34594" w:rsidRPr="000A3539">
        <w:rPr>
          <w:b/>
          <w:lang w:val="en-CA"/>
        </w:rPr>
        <w:t xml:space="preserve"> </w:t>
      </w:r>
      <w:r w:rsidRPr="000A3539">
        <w:rPr>
          <w:b/>
          <w:lang w:val="en-CA"/>
        </w:rPr>
        <w:t xml:space="preserve">section 10 </w:t>
      </w:r>
      <w:r w:rsidR="00B34594" w:rsidRPr="000A3539">
        <w:rPr>
          <w:b/>
          <w:lang w:val="en-CA"/>
        </w:rPr>
        <w:t xml:space="preserve">of the </w:t>
      </w:r>
      <w:r w:rsidRPr="00FD1FB8">
        <w:rPr>
          <w:b/>
          <w:i/>
          <w:lang w:val="en-CA"/>
        </w:rPr>
        <w:t>Quebec</w:t>
      </w:r>
      <w:r w:rsidR="00B34594" w:rsidRPr="000A3539">
        <w:rPr>
          <w:b/>
          <w:lang w:val="en-CA"/>
        </w:rPr>
        <w:t xml:space="preserve"> </w:t>
      </w:r>
      <w:r w:rsidRPr="000A3539">
        <w:rPr>
          <w:b/>
          <w:i/>
          <w:lang w:val="en-CA"/>
        </w:rPr>
        <w:t>Charter</w:t>
      </w:r>
      <w:r w:rsidRPr="000A3539">
        <w:rPr>
          <w:b/>
          <w:lang w:val="en-CA"/>
        </w:rPr>
        <w:t>?</w:t>
      </w:r>
    </w:p>
    <w:p w14:paraId="23E88C90" w14:textId="6E0FC2E3" w:rsidR="00352837" w:rsidRPr="000A3539" w:rsidRDefault="00B34594" w:rsidP="00352837">
      <w:pPr>
        <w:pStyle w:val="Paragraphe"/>
        <w:rPr>
          <w:lang w:val="en-CA"/>
        </w:rPr>
      </w:pPr>
      <w:r w:rsidRPr="000A3539">
        <w:rPr>
          <w:lang w:val="en-CA"/>
        </w:rPr>
        <w:t xml:space="preserve">According to the appellant, the </w:t>
      </w:r>
      <w:r w:rsidR="00D76132" w:rsidRPr="000A3539">
        <w:rPr>
          <w:lang w:val="en-CA"/>
        </w:rPr>
        <w:t>Tribunal</w:t>
      </w:r>
      <w:r w:rsidRPr="000A3539">
        <w:rPr>
          <w:lang w:val="en-CA"/>
        </w:rPr>
        <w:t xml:space="preserve"> erred in finding that student status is in</w:t>
      </w:r>
      <w:r w:rsidR="00D76132" w:rsidRPr="000A3539">
        <w:rPr>
          <w:lang w:val="en-CA"/>
        </w:rPr>
        <w:t>clu</w:t>
      </w:r>
      <w:r w:rsidRPr="000A3539">
        <w:rPr>
          <w:lang w:val="en-CA"/>
        </w:rPr>
        <w:t xml:space="preserve">ded in the concept of social </w:t>
      </w:r>
      <w:r w:rsidR="00D76132" w:rsidRPr="000A3539">
        <w:rPr>
          <w:lang w:val="en-CA"/>
        </w:rPr>
        <w:t>condition</w:t>
      </w:r>
      <w:r w:rsidRPr="000A3539">
        <w:rPr>
          <w:lang w:val="en-CA"/>
        </w:rPr>
        <w:t xml:space="preserve"> without conducting a contextual analysis to determine whether the </w:t>
      </w:r>
      <w:r w:rsidR="00D76132" w:rsidRPr="000A3539">
        <w:rPr>
          <w:lang w:val="en-CA"/>
        </w:rPr>
        <w:t xml:space="preserve">distinction </w:t>
      </w:r>
      <w:r w:rsidRPr="000A3539">
        <w:rPr>
          <w:lang w:val="en-CA"/>
        </w:rPr>
        <w:t xml:space="preserve">is based on </w:t>
      </w:r>
      <w:r w:rsidR="00D76132" w:rsidRPr="000A3539">
        <w:rPr>
          <w:lang w:val="en-CA"/>
        </w:rPr>
        <w:t>st</w:t>
      </w:r>
      <w:r w:rsidRPr="000A3539">
        <w:rPr>
          <w:lang w:val="en-CA"/>
        </w:rPr>
        <w:t>e</w:t>
      </w:r>
      <w:r w:rsidR="00D76132" w:rsidRPr="000A3539">
        <w:rPr>
          <w:lang w:val="en-CA"/>
        </w:rPr>
        <w:t>r</w:t>
      </w:r>
      <w:r w:rsidRPr="000A3539">
        <w:rPr>
          <w:lang w:val="en-CA"/>
        </w:rPr>
        <w:t>e</w:t>
      </w:r>
      <w:r w:rsidR="00D76132" w:rsidRPr="000A3539">
        <w:rPr>
          <w:lang w:val="en-CA"/>
        </w:rPr>
        <w:t xml:space="preserve">otypes </w:t>
      </w:r>
      <w:r w:rsidRPr="000A3539">
        <w:rPr>
          <w:lang w:val="en-CA"/>
        </w:rPr>
        <w:t xml:space="preserve">in view of their vulnerable </w:t>
      </w:r>
      <w:r w:rsidR="00D76132" w:rsidRPr="000A3539">
        <w:rPr>
          <w:lang w:val="en-CA"/>
        </w:rPr>
        <w:t xml:space="preserve">situation. </w:t>
      </w:r>
      <w:r w:rsidRPr="000A3539">
        <w:rPr>
          <w:lang w:val="en-CA"/>
        </w:rPr>
        <w:t xml:space="preserve">It </w:t>
      </w:r>
      <w:r w:rsidR="000602E7" w:rsidRPr="000A3539">
        <w:rPr>
          <w:lang w:val="en-CA"/>
        </w:rPr>
        <w:t xml:space="preserve">claims that the </w:t>
      </w:r>
      <w:r w:rsidR="00D76132" w:rsidRPr="000A3539">
        <w:rPr>
          <w:lang w:val="en-CA"/>
        </w:rPr>
        <w:t>case</w:t>
      </w:r>
      <w:r w:rsidR="000602E7" w:rsidRPr="000A3539">
        <w:rPr>
          <w:lang w:val="en-CA"/>
        </w:rPr>
        <w:t xml:space="preserve"> law on which the </w:t>
      </w:r>
      <w:r w:rsidR="00D76132" w:rsidRPr="000A3539">
        <w:rPr>
          <w:lang w:val="en-CA"/>
        </w:rPr>
        <w:t>Tribunal</w:t>
      </w:r>
      <w:r w:rsidR="000602E7" w:rsidRPr="000A3539">
        <w:rPr>
          <w:lang w:val="en-CA"/>
        </w:rPr>
        <w:t xml:space="preserve"> relied may be distinguished. It is of the view that the complainants fall within a class of advantaged persons</w:t>
      </w:r>
      <w:r w:rsidR="00D76132" w:rsidRPr="000A3539">
        <w:rPr>
          <w:lang w:val="en-CA"/>
        </w:rPr>
        <w:t>.</w:t>
      </w:r>
    </w:p>
    <w:p w14:paraId="2B654702" w14:textId="4E4A1180" w:rsidR="00352837" w:rsidRPr="000A3539" w:rsidRDefault="009D051F" w:rsidP="00352837">
      <w:pPr>
        <w:pStyle w:val="Paragraphe"/>
        <w:rPr>
          <w:lang w:val="en-CA"/>
        </w:rPr>
      </w:pPr>
      <w:r w:rsidRPr="000A3539">
        <w:rPr>
          <w:lang w:val="en-CA"/>
        </w:rPr>
        <w:t xml:space="preserve">The respondent favours a </w:t>
      </w:r>
      <w:r w:rsidR="00D76132" w:rsidRPr="000A3539">
        <w:rPr>
          <w:lang w:val="en-CA"/>
        </w:rPr>
        <w:t>large</w:t>
      </w:r>
      <w:r w:rsidRPr="000A3539">
        <w:rPr>
          <w:lang w:val="en-CA"/>
        </w:rPr>
        <w:t xml:space="preserve">, </w:t>
      </w:r>
      <w:r w:rsidR="00D76132" w:rsidRPr="000A3539">
        <w:rPr>
          <w:lang w:val="en-CA"/>
        </w:rPr>
        <w:t>liberal</w:t>
      </w:r>
      <w:r w:rsidRPr="000A3539">
        <w:rPr>
          <w:lang w:val="en-CA"/>
        </w:rPr>
        <w:t xml:space="preserve">, and purposive </w:t>
      </w:r>
      <w:r w:rsidR="00D76132" w:rsidRPr="000A3539">
        <w:rPr>
          <w:lang w:val="en-CA"/>
        </w:rPr>
        <w:t>interpretation</w:t>
      </w:r>
      <w:r w:rsidR="00EA3F3D">
        <w:rPr>
          <w:lang w:val="en-CA"/>
        </w:rPr>
        <w:t xml:space="preserve"> and</w:t>
      </w:r>
      <w:r w:rsidRPr="000A3539">
        <w:rPr>
          <w:lang w:val="en-CA"/>
        </w:rPr>
        <w:t xml:space="preserve"> argues that the </w:t>
      </w:r>
      <w:r w:rsidR="00D76132" w:rsidRPr="000A3539">
        <w:rPr>
          <w:lang w:val="en-CA"/>
        </w:rPr>
        <w:t xml:space="preserve">groups </w:t>
      </w:r>
      <w:r w:rsidR="00EB47CF" w:rsidRPr="000A3539">
        <w:rPr>
          <w:lang w:val="en-CA"/>
        </w:rPr>
        <w:t xml:space="preserve">protected by the concept of social </w:t>
      </w:r>
      <w:r w:rsidR="00D76132" w:rsidRPr="000A3539">
        <w:rPr>
          <w:lang w:val="en-CA"/>
        </w:rPr>
        <w:t xml:space="preserve">condition </w:t>
      </w:r>
      <w:r w:rsidR="00EB47CF" w:rsidRPr="000A3539">
        <w:rPr>
          <w:lang w:val="en-CA"/>
        </w:rPr>
        <w:t xml:space="preserve">have a </w:t>
      </w:r>
      <w:r w:rsidR="00D76132" w:rsidRPr="000A3539">
        <w:rPr>
          <w:lang w:val="en-CA"/>
        </w:rPr>
        <w:t xml:space="preserve">condition </w:t>
      </w:r>
      <w:r w:rsidR="00EB47CF" w:rsidRPr="000A3539">
        <w:rPr>
          <w:lang w:val="en-CA"/>
        </w:rPr>
        <w:t xml:space="preserve">that leads to </w:t>
      </w:r>
      <w:r w:rsidR="00D76132" w:rsidRPr="000A3539">
        <w:rPr>
          <w:lang w:val="en-CA"/>
        </w:rPr>
        <w:t xml:space="preserve">discrimination. </w:t>
      </w:r>
      <w:r w:rsidR="00EB47CF" w:rsidRPr="000A3539">
        <w:rPr>
          <w:lang w:val="en-CA"/>
        </w:rPr>
        <w:t xml:space="preserve">Social </w:t>
      </w:r>
      <w:r w:rsidR="00D76132" w:rsidRPr="000A3539">
        <w:rPr>
          <w:lang w:val="en-CA"/>
        </w:rPr>
        <w:t xml:space="preserve">condition </w:t>
      </w:r>
      <w:r w:rsidR="00EB47CF" w:rsidRPr="000A3539">
        <w:rPr>
          <w:lang w:val="en-CA"/>
        </w:rPr>
        <w:t xml:space="preserve">has </w:t>
      </w:r>
      <w:r w:rsidR="00D76132" w:rsidRPr="000A3539">
        <w:rPr>
          <w:lang w:val="en-CA"/>
        </w:rPr>
        <w:t xml:space="preserve">objective </w:t>
      </w:r>
      <w:r w:rsidR="00EB47CF" w:rsidRPr="000A3539">
        <w:rPr>
          <w:lang w:val="en-CA"/>
        </w:rPr>
        <w:t>and subjective</w:t>
      </w:r>
      <w:r w:rsidR="00D76132" w:rsidRPr="000A3539">
        <w:rPr>
          <w:lang w:val="en-CA"/>
        </w:rPr>
        <w:t xml:space="preserve"> </w:t>
      </w:r>
      <w:r w:rsidR="00EA3F3D">
        <w:rPr>
          <w:lang w:val="en-CA"/>
        </w:rPr>
        <w:t>aspects</w:t>
      </w:r>
      <w:r w:rsidR="00D76132" w:rsidRPr="000A3539">
        <w:rPr>
          <w:lang w:val="en-CA"/>
        </w:rPr>
        <w:t xml:space="preserve">. </w:t>
      </w:r>
      <w:r w:rsidR="00EB47CF" w:rsidRPr="000A3539">
        <w:rPr>
          <w:lang w:val="en-CA"/>
        </w:rPr>
        <w:t xml:space="preserve">The </w:t>
      </w:r>
      <w:r w:rsidR="00D76132" w:rsidRPr="000A3539">
        <w:rPr>
          <w:lang w:val="en-CA"/>
        </w:rPr>
        <w:t xml:space="preserve">objective </w:t>
      </w:r>
      <w:r w:rsidR="00EA3F3D">
        <w:rPr>
          <w:lang w:val="en-CA"/>
        </w:rPr>
        <w:t>aspect</w:t>
      </w:r>
      <w:r w:rsidR="00EA3F3D" w:rsidRPr="000A3539">
        <w:rPr>
          <w:lang w:val="en-CA"/>
        </w:rPr>
        <w:t xml:space="preserve"> </w:t>
      </w:r>
      <w:r w:rsidR="00EB47CF" w:rsidRPr="000A3539">
        <w:rPr>
          <w:lang w:val="en-CA"/>
        </w:rPr>
        <w:t xml:space="preserve">refers to </w:t>
      </w:r>
      <w:r w:rsidR="00AF06AF" w:rsidRPr="000A3539">
        <w:rPr>
          <w:lang w:val="en-CA"/>
        </w:rPr>
        <w:t>[</w:t>
      </w:r>
      <w:r w:rsidR="00AF06AF" w:rsidRPr="000A3539">
        <w:rPr>
          <w:smallCaps/>
          <w:lang w:val="en-CA"/>
        </w:rPr>
        <w:t>translation</w:t>
      </w:r>
      <w:r w:rsidR="00AF06AF" w:rsidRPr="000A3539">
        <w:rPr>
          <w:lang w:val="en-CA"/>
        </w:rPr>
        <w:t xml:space="preserve">] “economic class, </w:t>
      </w:r>
      <w:r w:rsidR="00EA3F3D">
        <w:rPr>
          <w:lang w:val="en-CA"/>
        </w:rPr>
        <w:t>that is,</w:t>
      </w:r>
      <w:r w:rsidR="00EA3F3D" w:rsidRPr="000A3539">
        <w:rPr>
          <w:lang w:val="en-CA"/>
        </w:rPr>
        <w:t xml:space="preserve"> </w:t>
      </w:r>
      <w:r w:rsidR="00AF06AF" w:rsidRPr="000A3539">
        <w:rPr>
          <w:lang w:val="en-CA"/>
        </w:rPr>
        <w:t xml:space="preserve">society as a </w:t>
      </w:r>
      <w:r w:rsidR="00D76132" w:rsidRPr="000A3539">
        <w:rPr>
          <w:lang w:val="en-CA"/>
        </w:rPr>
        <w:t xml:space="preserve">configuration </w:t>
      </w:r>
      <w:r w:rsidR="0042595C" w:rsidRPr="000A3539">
        <w:rPr>
          <w:lang w:val="en-CA"/>
        </w:rPr>
        <w:t xml:space="preserve">of </w:t>
      </w:r>
      <w:r w:rsidR="00D76132" w:rsidRPr="000A3539">
        <w:rPr>
          <w:lang w:val="en-CA"/>
        </w:rPr>
        <w:t>hi</w:t>
      </w:r>
      <w:r w:rsidR="00AF06AF" w:rsidRPr="000A3539">
        <w:rPr>
          <w:lang w:val="en-CA"/>
        </w:rPr>
        <w:t>e</w:t>
      </w:r>
      <w:r w:rsidR="00D76132" w:rsidRPr="000A3539">
        <w:rPr>
          <w:lang w:val="en-CA"/>
        </w:rPr>
        <w:t>rarchi</w:t>
      </w:r>
      <w:r w:rsidR="00AF06AF" w:rsidRPr="000A3539">
        <w:rPr>
          <w:lang w:val="en-CA"/>
        </w:rPr>
        <w:t xml:space="preserve">cal, </w:t>
      </w:r>
      <w:r w:rsidR="00D76132" w:rsidRPr="000A3539">
        <w:rPr>
          <w:lang w:val="en-CA"/>
        </w:rPr>
        <w:t>distinct</w:t>
      </w:r>
      <w:r w:rsidR="00AF06AF" w:rsidRPr="000A3539">
        <w:rPr>
          <w:lang w:val="en-CA"/>
        </w:rPr>
        <w:t>,</w:t>
      </w:r>
      <w:r w:rsidR="0042595C" w:rsidRPr="000A3539">
        <w:rPr>
          <w:lang w:val="en-CA"/>
        </w:rPr>
        <w:t xml:space="preserve"> and</w:t>
      </w:r>
      <w:r w:rsidR="00D76132" w:rsidRPr="000A3539">
        <w:rPr>
          <w:lang w:val="en-CA"/>
        </w:rPr>
        <w:t xml:space="preserve"> opposable </w:t>
      </w:r>
      <w:r w:rsidR="00AF06AF" w:rsidRPr="000A3539">
        <w:rPr>
          <w:lang w:val="en-CA"/>
        </w:rPr>
        <w:t xml:space="preserve">categories </w:t>
      </w:r>
      <w:r w:rsidR="0042595C" w:rsidRPr="000A3539">
        <w:rPr>
          <w:lang w:val="en-CA"/>
        </w:rPr>
        <w:t xml:space="preserve">into which </w:t>
      </w:r>
      <w:r w:rsidR="00D76132" w:rsidRPr="000A3539">
        <w:rPr>
          <w:lang w:val="en-CA"/>
        </w:rPr>
        <w:t>individu</w:t>
      </w:r>
      <w:r w:rsidR="0042595C" w:rsidRPr="000A3539">
        <w:rPr>
          <w:lang w:val="en-CA"/>
        </w:rPr>
        <w:t>al</w:t>
      </w:r>
      <w:r w:rsidR="00D76132" w:rsidRPr="000A3539">
        <w:rPr>
          <w:lang w:val="en-CA"/>
        </w:rPr>
        <w:t>s</w:t>
      </w:r>
      <w:r w:rsidR="0042595C" w:rsidRPr="000A3539">
        <w:rPr>
          <w:lang w:val="en-CA"/>
        </w:rPr>
        <w:t xml:space="preserve"> are classified based on the market power </w:t>
      </w:r>
      <w:r w:rsidR="00D76132" w:rsidRPr="000A3539">
        <w:rPr>
          <w:lang w:val="en-CA"/>
        </w:rPr>
        <w:t>indi</w:t>
      </w:r>
      <w:r w:rsidR="001705A6" w:rsidRPr="000A3539">
        <w:rPr>
          <w:lang w:val="en-CA"/>
        </w:rPr>
        <w:t xml:space="preserve">cated by their income, </w:t>
      </w:r>
      <w:r w:rsidR="00D76132" w:rsidRPr="000A3539">
        <w:rPr>
          <w:lang w:val="en-CA"/>
        </w:rPr>
        <w:t>occupation</w:t>
      </w:r>
      <w:r w:rsidR="001705A6" w:rsidRPr="000A3539">
        <w:rPr>
          <w:lang w:val="en-CA"/>
        </w:rPr>
        <w:t>, or e</w:t>
      </w:r>
      <w:r w:rsidR="00D76132" w:rsidRPr="000A3539">
        <w:rPr>
          <w:lang w:val="en-CA"/>
        </w:rPr>
        <w:t>ducation</w:t>
      </w:r>
      <w:r w:rsidR="001705A6" w:rsidRPr="000A3539">
        <w:rPr>
          <w:lang w:val="en-CA"/>
        </w:rPr>
        <w:t>”</w:t>
      </w:r>
      <w:r w:rsidR="00D76132" w:rsidRPr="000A3539">
        <w:rPr>
          <w:lang w:val="en-CA"/>
        </w:rPr>
        <w:t xml:space="preserve">. </w:t>
      </w:r>
      <w:r w:rsidR="001705A6" w:rsidRPr="000A3539">
        <w:rPr>
          <w:lang w:val="en-CA"/>
        </w:rPr>
        <w:t xml:space="preserve">The </w:t>
      </w:r>
      <w:r w:rsidR="00D76132" w:rsidRPr="000A3539">
        <w:rPr>
          <w:lang w:val="en-CA"/>
        </w:rPr>
        <w:t xml:space="preserve">subjective </w:t>
      </w:r>
      <w:r w:rsidR="00A076DB">
        <w:rPr>
          <w:lang w:val="en-CA"/>
        </w:rPr>
        <w:t xml:space="preserve">aspect </w:t>
      </w:r>
      <w:r w:rsidR="001705A6" w:rsidRPr="000A3539">
        <w:rPr>
          <w:lang w:val="en-CA"/>
        </w:rPr>
        <w:t xml:space="preserve">refers to the value society </w:t>
      </w:r>
      <w:r w:rsidR="00A076DB">
        <w:rPr>
          <w:lang w:val="en-CA"/>
        </w:rPr>
        <w:t>places on</w:t>
      </w:r>
      <w:r w:rsidR="001705A6" w:rsidRPr="000A3539">
        <w:rPr>
          <w:lang w:val="en-CA"/>
        </w:rPr>
        <w:t xml:space="preserve"> </w:t>
      </w:r>
      <w:r w:rsidR="00D76132" w:rsidRPr="000A3539">
        <w:rPr>
          <w:lang w:val="en-CA"/>
        </w:rPr>
        <w:t>individu</w:t>
      </w:r>
      <w:r w:rsidR="001705A6" w:rsidRPr="000A3539">
        <w:rPr>
          <w:lang w:val="en-CA"/>
        </w:rPr>
        <w:t>al</w:t>
      </w:r>
      <w:r w:rsidR="00D76132" w:rsidRPr="000A3539">
        <w:rPr>
          <w:lang w:val="en-CA"/>
        </w:rPr>
        <w:t>s</w:t>
      </w:r>
      <w:r w:rsidR="001705A6" w:rsidRPr="000A3539">
        <w:rPr>
          <w:lang w:val="en-CA"/>
        </w:rPr>
        <w:t xml:space="preserve"> </w:t>
      </w:r>
      <w:r w:rsidR="00A076DB">
        <w:rPr>
          <w:lang w:val="en-CA"/>
        </w:rPr>
        <w:t>according to</w:t>
      </w:r>
      <w:r w:rsidR="001705A6" w:rsidRPr="000A3539">
        <w:rPr>
          <w:lang w:val="en-CA"/>
        </w:rPr>
        <w:t xml:space="preserve"> their income, </w:t>
      </w:r>
      <w:r w:rsidR="0020181E" w:rsidRPr="000A3539">
        <w:rPr>
          <w:lang w:val="en-CA"/>
        </w:rPr>
        <w:t>level of e</w:t>
      </w:r>
      <w:r w:rsidR="00D76132" w:rsidRPr="000A3539">
        <w:rPr>
          <w:lang w:val="en-CA"/>
        </w:rPr>
        <w:t>ducation</w:t>
      </w:r>
      <w:r w:rsidR="0020181E" w:rsidRPr="000A3539">
        <w:rPr>
          <w:lang w:val="en-CA"/>
        </w:rPr>
        <w:t xml:space="preserve">, or </w:t>
      </w:r>
      <w:r w:rsidR="00D76132" w:rsidRPr="000A3539">
        <w:rPr>
          <w:lang w:val="en-CA"/>
        </w:rPr>
        <w:t xml:space="preserve">occupation. </w:t>
      </w:r>
      <w:r w:rsidR="0020181E" w:rsidRPr="000A3539">
        <w:rPr>
          <w:lang w:val="en-CA"/>
        </w:rPr>
        <w:t xml:space="preserve">The </w:t>
      </w:r>
      <w:r w:rsidR="00D76132" w:rsidRPr="000A3539">
        <w:rPr>
          <w:lang w:val="en-CA"/>
        </w:rPr>
        <w:t>respondent</w:t>
      </w:r>
      <w:r w:rsidR="0020181E" w:rsidRPr="000A3539">
        <w:rPr>
          <w:lang w:val="en-CA"/>
        </w:rPr>
        <w:t xml:space="preserve"> </w:t>
      </w:r>
      <w:r w:rsidR="00626DAB">
        <w:rPr>
          <w:lang w:val="en-CA"/>
        </w:rPr>
        <w:t xml:space="preserve">points out </w:t>
      </w:r>
      <w:r w:rsidR="0020181E" w:rsidRPr="000A3539">
        <w:rPr>
          <w:lang w:val="en-CA"/>
        </w:rPr>
        <w:t xml:space="preserve">that the courts have previously recognized student status as a component of social </w:t>
      </w:r>
      <w:r w:rsidR="00D76132" w:rsidRPr="000A3539">
        <w:rPr>
          <w:lang w:val="en-CA"/>
        </w:rPr>
        <w:t>condition.</w:t>
      </w:r>
    </w:p>
    <w:p w14:paraId="6761D145" w14:textId="1F1AF1F0" w:rsidR="00352837" w:rsidRPr="000A3539" w:rsidRDefault="00BF7DD1" w:rsidP="00352837">
      <w:pPr>
        <w:pStyle w:val="Paragraphe"/>
        <w:rPr>
          <w:lang w:val="en-CA"/>
        </w:rPr>
      </w:pPr>
      <w:r w:rsidRPr="000A3539">
        <w:rPr>
          <w:lang w:val="en-CA"/>
        </w:rPr>
        <w:t xml:space="preserve">The </w:t>
      </w:r>
      <w:r w:rsidR="00D76132" w:rsidRPr="000A3539">
        <w:rPr>
          <w:lang w:val="en-CA"/>
        </w:rPr>
        <w:t>impleaded</w:t>
      </w:r>
      <w:r w:rsidRPr="000A3539">
        <w:rPr>
          <w:lang w:val="en-CA"/>
        </w:rPr>
        <w:t xml:space="preserve"> </w:t>
      </w:r>
      <w:r w:rsidR="00D76132" w:rsidRPr="000A3539">
        <w:rPr>
          <w:lang w:val="en-CA"/>
        </w:rPr>
        <w:t>party</w:t>
      </w:r>
      <w:r w:rsidRPr="000A3539">
        <w:rPr>
          <w:lang w:val="en-CA"/>
        </w:rPr>
        <w:t xml:space="preserve"> </w:t>
      </w:r>
      <w:r w:rsidR="00D76132" w:rsidRPr="000A3539">
        <w:rPr>
          <w:lang w:val="en-CA"/>
        </w:rPr>
        <w:t>submit</w:t>
      </w:r>
      <w:r w:rsidRPr="000A3539">
        <w:rPr>
          <w:lang w:val="en-CA"/>
        </w:rPr>
        <w:t xml:space="preserve">s that the appellant’s </w:t>
      </w:r>
      <w:r w:rsidR="00D76132" w:rsidRPr="000A3539">
        <w:rPr>
          <w:lang w:val="en-CA"/>
        </w:rPr>
        <w:t xml:space="preserve">arguments </w:t>
      </w:r>
      <w:r w:rsidRPr="000A3539">
        <w:rPr>
          <w:lang w:val="en-CA"/>
        </w:rPr>
        <w:t xml:space="preserve">distort the teachings of </w:t>
      </w:r>
      <w:r w:rsidR="00D76132" w:rsidRPr="000A3539">
        <w:rPr>
          <w:i/>
          <w:lang w:val="en-CA"/>
        </w:rPr>
        <w:t xml:space="preserve">Law </w:t>
      </w:r>
      <w:r w:rsidR="00130D84">
        <w:rPr>
          <w:i/>
          <w:lang w:val="en-CA"/>
        </w:rPr>
        <w:t>v</w:t>
      </w:r>
      <w:r w:rsidR="00D76132" w:rsidRPr="000A3539">
        <w:rPr>
          <w:i/>
          <w:lang w:val="en-CA"/>
        </w:rPr>
        <w:t>. Canada</w:t>
      </w:r>
      <w:r w:rsidR="00D76132" w:rsidRPr="000A3539">
        <w:rPr>
          <w:rStyle w:val="Appelnotedebasdep"/>
          <w:lang w:val="en-CA"/>
        </w:rPr>
        <w:footnoteReference w:id="50"/>
      </w:r>
      <w:r w:rsidR="00D76132" w:rsidRPr="000A3539">
        <w:rPr>
          <w:i/>
          <w:lang w:val="en-CA"/>
        </w:rPr>
        <w:t xml:space="preserve"> </w:t>
      </w:r>
      <w:r w:rsidRPr="000A3539">
        <w:rPr>
          <w:lang w:val="en-CA"/>
        </w:rPr>
        <w:t xml:space="preserve">and that its </w:t>
      </w:r>
      <w:r w:rsidR="00D76132" w:rsidRPr="000A3539">
        <w:rPr>
          <w:lang w:val="en-CA"/>
        </w:rPr>
        <w:t>position</w:t>
      </w:r>
      <w:r w:rsidR="00D76132" w:rsidRPr="000A3539">
        <w:rPr>
          <w:i/>
          <w:lang w:val="en-CA"/>
        </w:rPr>
        <w:t xml:space="preserve"> </w:t>
      </w:r>
      <w:r w:rsidRPr="000A3539">
        <w:rPr>
          <w:lang w:val="en-CA"/>
        </w:rPr>
        <w:t xml:space="preserve">with respect to student status is </w:t>
      </w:r>
      <w:r w:rsidR="00D76132" w:rsidRPr="000A3539">
        <w:rPr>
          <w:lang w:val="en-CA"/>
        </w:rPr>
        <w:t>irration</w:t>
      </w:r>
      <w:r w:rsidRPr="000A3539">
        <w:rPr>
          <w:lang w:val="en-CA"/>
        </w:rPr>
        <w:t>a</w:t>
      </w:r>
      <w:r w:rsidR="00D76132" w:rsidRPr="000A3539">
        <w:rPr>
          <w:lang w:val="en-CA"/>
        </w:rPr>
        <w:t>l.</w:t>
      </w:r>
    </w:p>
    <w:p w14:paraId="2EA63117" w14:textId="11929218" w:rsidR="00352837" w:rsidRPr="000A3539" w:rsidRDefault="009B0B02" w:rsidP="00352837">
      <w:pPr>
        <w:pStyle w:val="Paragraphe"/>
        <w:rPr>
          <w:lang w:val="en-CA"/>
        </w:rPr>
      </w:pPr>
      <w:r w:rsidRPr="000A3539">
        <w:rPr>
          <w:lang w:val="en-CA"/>
        </w:rPr>
        <w:t xml:space="preserve">The </w:t>
      </w:r>
      <w:r w:rsidR="00E90058">
        <w:rPr>
          <w:lang w:val="en-CA"/>
        </w:rPr>
        <w:t xml:space="preserve">parties’ </w:t>
      </w:r>
      <w:r w:rsidR="00D76132" w:rsidRPr="000A3539">
        <w:rPr>
          <w:lang w:val="en-CA"/>
        </w:rPr>
        <w:t>arguments</w:t>
      </w:r>
      <w:r w:rsidRPr="000A3539">
        <w:rPr>
          <w:lang w:val="en-CA"/>
        </w:rPr>
        <w:t xml:space="preserve"> </w:t>
      </w:r>
      <w:r w:rsidR="006E0269" w:rsidRPr="000A3539">
        <w:rPr>
          <w:lang w:val="en-CA"/>
        </w:rPr>
        <w:t>call for</w:t>
      </w:r>
      <w:r w:rsidRPr="000A3539">
        <w:rPr>
          <w:lang w:val="en-CA"/>
        </w:rPr>
        <w:t xml:space="preserve"> </w:t>
      </w:r>
      <w:r w:rsidR="00C54B3E">
        <w:rPr>
          <w:lang w:val="en-CA"/>
        </w:rPr>
        <w:t xml:space="preserve">an examination of </w:t>
      </w:r>
      <w:r w:rsidR="00BA7CCD" w:rsidRPr="000A3539">
        <w:rPr>
          <w:lang w:val="en-CA"/>
        </w:rPr>
        <w:t>the following two subjects</w:t>
      </w:r>
      <w:r w:rsidR="00D76132" w:rsidRPr="000A3539">
        <w:rPr>
          <w:lang w:val="en-CA"/>
        </w:rPr>
        <w:t xml:space="preserve">: </w:t>
      </w:r>
      <w:r w:rsidR="006E0269" w:rsidRPr="000A3539">
        <w:rPr>
          <w:lang w:val="en-CA"/>
        </w:rPr>
        <w:t xml:space="preserve">the </w:t>
      </w:r>
      <w:r w:rsidR="00D76132" w:rsidRPr="000A3539">
        <w:rPr>
          <w:lang w:val="en-CA"/>
        </w:rPr>
        <w:t>burden</w:t>
      </w:r>
      <w:r w:rsidR="006E0269" w:rsidRPr="000A3539">
        <w:rPr>
          <w:lang w:val="en-CA"/>
        </w:rPr>
        <w:t xml:space="preserve"> </w:t>
      </w:r>
      <w:r w:rsidR="00D76132" w:rsidRPr="000A3539">
        <w:rPr>
          <w:lang w:val="en-CA"/>
        </w:rPr>
        <w:t>of</w:t>
      </w:r>
      <w:r w:rsidR="006E0269" w:rsidRPr="000A3539">
        <w:rPr>
          <w:lang w:val="en-CA"/>
        </w:rPr>
        <w:t xml:space="preserve"> </w:t>
      </w:r>
      <w:r w:rsidR="00D76132" w:rsidRPr="000A3539">
        <w:rPr>
          <w:lang w:val="en-CA"/>
        </w:rPr>
        <w:t>proof requi</w:t>
      </w:r>
      <w:r w:rsidR="006E0269" w:rsidRPr="000A3539">
        <w:rPr>
          <w:lang w:val="en-CA"/>
        </w:rPr>
        <w:t>red</w:t>
      </w:r>
      <w:r w:rsidR="00D76132" w:rsidRPr="000A3539">
        <w:rPr>
          <w:lang w:val="en-CA"/>
        </w:rPr>
        <w:t xml:space="preserve"> </w:t>
      </w:r>
      <w:r w:rsidR="00DA50D9" w:rsidRPr="000A3539">
        <w:rPr>
          <w:lang w:val="en-CA"/>
        </w:rPr>
        <w:t xml:space="preserve">with respect to a challenge based on </w:t>
      </w:r>
      <w:r w:rsidR="00D76132" w:rsidRPr="000A3539">
        <w:rPr>
          <w:lang w:val="en-CA"/>
        </w:rPr>
        <w:t xml:space="preserve">section 10 </w:t>
      </w:r>
      <w:r w:rsidR="00DA50D9" w:rsidRPr="000A3539">
        <w:rPr>
          <w:lang w:val="en-CA"/>
        </w:rPr>
        <w:t xml:space="preserve">of the </w:t>
      </w:r>
      <w:r w:rsidR="00D76132" w:rsidRPr="00FD1FB8">
        <w:rPr>
          <w:i/>
          <w:lang w:val="en-CA"/>
        </w:rPr>
        <w:t>Quebec</w:t>
      </w:r>
      <w:r w:rsidR="00DA50D9" w:rsidRPr="000A3539">
        <w:rPr>
          <w:i/>
          <w:lang w:val="en-CA"/>
        </w:rPr>
        <w:t xml:space="preserve"> </w:t>
      </w:r>
      <w:r w:rsidR="00D76132" w:rsidRPr="000A3539">
        <w:rPr>
          <w:i/>
          <w:lang w:val="en-CA"/>
        </w:rPr>
        <w:t>Charter</w:t>
      </w:r>
      <w:r w:rsidR="00D76132" w:rsidRPr="000A3539">
        <w:rPr>
          <w:lang w:val="en-CA"/>
        </w:rPr>
        <w:t xml:space="preserve"> (4.1.1) </w:t>
      </w:r>
      <w:r w:rsidR="00A84736" w:rsidRPr="000A3539">
        <w:rPr>
          <w:lang w:val="en-CA"/>
        </w:rPr>
        <w:t xml:space="preserve">and the scope of the concept of social </w:t>
      </w:r>
      <w:r w:rsidR="00D76132" w:rsidRPr="000A3539">
        <w:rPr>
          <w:lang w:val="en-CA"/>
        </w:rPr>
        <w:t xml:space="preserve">condition </w:t>
      </w:r>
      <w:r w:rsidR="00A84736" w:rsidRPr="000A3539">
        <w:rPr>
          <w:lang w:val="en-CA"/>
        </w:rPr>
        <w:t xml:space="preserve">set out in </w:t>
      </w:r>
      <w:r w:rsidR="00E90058">
        <w:rPr>
          <w:lang w:val="en-CA"/>
        </w:rPr>
        <w:t xml:space="preserve">said </w:t>
      </w:r>
      <w:r w:rsidR="00D76132" w:rsidRPr="000A3539">
        <w:rPr>
          <w:lang w:val="en-CA"/>
        </w:rPr>
        <w:t>provision (4.1.2).</w:t>
      </w:r>
    </w:p>
    <w:p w14:paraId="38B5FDD9" w14:textId="7AE41331" w:rsidR="00352837" w:rsidRPr="000A3539" w:rsidRDefault="00D76132" w:rsidP="00352837">
      <w:pPr>
        <w:pStyle w:val="Style1soussous-titrenumrot"/>
        <w:spacing w:line="280" w:lineRule="exact"/>
        <w:rPr>
          <w:lang w:val="en-CA"/>
        </w:rPr>
      </w:pPr>
      <w:r w:rsidRPr="000A3539">
        <w:rPr>
          <w:b/>
          <w:lang w:val="en-CA"/>
        </w:rPr>
        <w:lastRenderedPageBreak/>
        <w:t>4.1.1-</w:t>
      </w:r>
      <w:r w:rsidRPr="000A3539">
        <w:rPr>
          <w:lang w:val="en-CA"/>
        </w:rPr>
        <w:tab/>
      </w:r>
      <w:r w:rsidR="009D58F7" w:rsidRPr="000A3539">
        <w:rPr>
          <w:b/>
          <w:lang w:val="en-CA"/>
        </w:rPr>
        <w:t>Th</w:t>
      </w:r>
      <w:r w:rsidRPr="000A3539">
        <w:rPr>
          <w:b/>
          <w:lang w:val="en-CA"/>
        </w:rPr>
        <w:t xml:space="preserve">e </w:t>
      </w:r>
      <w:r w:rsidR="009D58F7" w:rsidRPr="000A3539">
        <w:rPr>
          <w:b/>
          <w:lang w:val="en-CA"/>
        </w:rPr>
        <w:t xml:space="preserve">burden of proof required with respect to a challenge based on section 10 of the </w:t>
      </w:r>
      <w:r w:rsidR="009D58F7" w:rsidRPr="00FD1FB8">
        <w:rPr>
          <w:b/>
          <w:i/>
          <w:lang w:val="en-CA"/>
        </w:rPr>
        <w:t>Quebec</w:t>
      </w:r>
      <w:r w:rsidR="009D58F7" w:rsidRPr="000A3539">
        <w:rPr>
          <w:b/>
          <w:i/>
          <w:lang w:val="en-CA"/>
        </w:rPr>
        <w:t xml:space="preserve"> Charter</w:t>
      </w:r>
      <w:r w:rsidR="009D58F7" w:rsidRPr="000A3539">
        <w:rPr>
          <w:b/>
          <w:lang w:val="en-CA"/>
        </w:rPr>
        <w:t xml:space="preserve"> </w:t>
      </w:r>
    </w:p>
    <w:p w14:paraId="38D8340A" w14:textId="3EFB5DFD" w:rsidR="00352837" w:rsidRPr="00877FA5" w:rsidRDefault="00357473" w:rsidP="00352837">
      <w:pPr>
        <w:pStyle w:val="Paragraphe"/>
        <w:rPr>
          <w:kern w:val="0"/>
        </w:rPr>
      </w:pPr>
      <w:r w:rsidRPr="000A3539">
        <w:rPr>
          <w:kern w:val="0"/>
          <w:lang w:val="en-CA"/>
        </w:rPr>
        <w:t xml:space="preserve">According to the </w:t>
      </w:r>
      <w:r w:rsidR="00D76132" w:rsidRPr="000A3539">
        <w:rPr>
          <w:kern w:val="0"/>
          <w:lang w:val="en-CA"/>
        </w:rPr>
        <w:t>appel</w:t>
      </w:r>
      <w:r w:rsidRPr="000A3539">
        <w:rPr>
          <w:kern w:val="0"/>
          <w:lang w:val="en-CA"/>
        </w:rPr>
        <w:t>l</w:t>
      </w:r>
      <w:r w:rsidR="00D76132" w:rsidRPr="000A3539">
        <w:rPr>
          <w:kern w:val="0"/>
          <w:lang w:val="en-CA"/>
        </w:rPr>
        <w:t xml:space="preserve">ant, </w:t>
      </w:r>
      <w:r w:rsidRPr="000A3539">
        <w:rPr>
          <w:kern w:val="0"/>
          <w:lang w:val="en-CA"/>
        </w:rPr>
        <w:t>student s</w:t>
      </w:r>
      <w:r w:rsidR="00D76132" w:rsidRPr="000A3539">
        <w:rPr>
          <w:kern w:val="0"/>
          <w:lang w:val="en-CA"/>
        </w:rPr>
        <w:t>tatu</w:t>
      </w:r>
      <w:r w:rsidRPr="000A3539">
        <w:rPr>
          <w:kern w:val="0"/>
          <w:lang w:val="en-CA"/>
        </w:rPr>
        <w:t xml:space="preserve">s may be included in the concept of social </w:t>
      </w:r>
      <w:r w:rsidR="00D76132" w:rsidRPr="000A3539">
        <w:rPr>
          <w:kern w:val="0"/>
          <w:lang w:val="en-CA"/>
        </w:rPr>
        <w:t xml:space="preserve">condition </w:t>
      </w:r>
      <w:r w:rsidRPr="000A3539">
        <w:rPr>
          <w:kern w:val="0"/>
          <w:lang w:val="en-CA"/>
        </w:rPr>
        <w:t xml:space="preserve">if the </w:t>
      </w:r>
      <w:r w:rsidR="00D76132" w:rsidRPr="000A3539">
        <w:rPr>
          <w:kern w:val="0"/>
          <w:lang w:val="en-CA"/>
        </w:rPr>
        <w:t xml:space="preserve">distinction </w:t>
      </w:r>
      <w:r w:rsidRPr="000A3539">
        <w:rPr>
          <w:kern w:val="0"/>
          <w:lang w:val="en-CA"/>
        </w:rPr>
        <w:t xml:space="preserve">made by the </w:t>
      </w:r>
      <w:r w:rsidR="00D76132" w:rsidRPr="000A3539">
        <w:rPr>
          <w:kern w:val="0"/>
          <w:lang w:val="en-CA"/>
        </w:rPr>
        <w:t>appel</w:t>
      </w:r>
      <w:r w:rsidRPr="000A3539">
        <w:rPr>
          <w:kern w:val="0"/>
          <w:lang w:val="en-CA"/>
        </w:rPr>
        <w:t>l</w:t>
      </w:r>
      <w:r w:rsidR="00D76132" w:rsidRPr="000A3539">
        <w:rPr>
          <w:kern w:val="0"/>
          <w:lang w:val="en-CA"/>
        </w:rPr>
        <w:t xml:space="preserve">ant </w:t>
      </w:r>
      <w:r w:rsidRPr="000A3539">
        <w:rPr>
          <w:kern w:val="0"/>
          <w:lang w:val="en-CA"/>
        </w:rPr>
        <w:t>be</w:t>
      </w:r>
      <w:r w:rsidR="00DB70FA" w:rsidRPr="000A3539">
        <w:rPr>
          <w:kern w:val="0"/>
          <w:lang w:val="en-CA"/>
        </w:rPr>
        <w:t>t</w:t>
      </w:r>
      <w:r w:rsidRPr="000A3539">
        <w:rPr>
          <w:kern w:val="0"/>
          <w:lang w:val="en-CA"/>
        </w:rPr>
        <w:t xml:space="preserve">ween its regular and casual </w:t>
      </w:r>
      <w:r w:rsidR="00FC3354" w:rsidRPr="000A3539">
        <w:rPr>
          <w:kern w:val="0"/>
          <w:lang w:val="en-CA"/>
        </w:rPr>
        <w:t>employees</w:t>
      </w:r>
      <w:r w:rsidRPr="000A3539">
        <w:rPr>
          <w:kern w:val="0"/>
          <w:lang w:val="en-CA"/>
        </w:rPr>
        <w:t xml:space="preserve"> and the students create</w:t>
      </w:r>
      <w:r w:rsidR="00D22D49">
        <w:rPr>
          <w:kern w:val="0"/>
          <w:lang w:val="en-CA"/>
        </w:rPr>
        <w:t>s</w:t>
      </w:r>
      <w:r w:rsidRPr="000A3539">
        <w:rPr>
          <w:kern w:val="0"/>
          <w:lang w:val="en-CA"/>
        </w:rPr>
        <w:t xml:space="preserve"> discrimination for the latter as a result of </w:t>
      </w:r>
      <w:r w:rsidR="00D76132" w:rsidRPr="000A3539">
        <w:rPr>
          <w:kern w:val="0"/>
          <w:lang w:val="en-CA"/>
        </w:rPr>
        <w:t>pr</w:t>
      </w:r>
      <w:r w:rsidRPr="000A3539">
        <w:rPr>
          <w:kern w:val="0"/>
          <w:lang w:val="en-CA"/>
        </w:rPr>
        <w:t>e</w:t>
      </w:r>
      <w:r w:rsidR="00D76132" w:rsidRPr="000A3539">
        <w:rPr>
          <w:kern w:val="0"/>
          <w:lang w:val="en-CA"/>
        </w:rPr>
        <w:t>ju</w:t>
      </w:r>
      <w:r w:rsidRPr="000A3539">
        <w:rPr>
          <w:kern w:val="0"/>
          <w:lang w:val="en-CA"/>
        </w:rPr>
        <w:t>dice</w:t>
      </w:r>
      <w:r w:rsidR="00D76132" w:rsidRPr="000A3539">
        <w:rPr>
          <w:kern w:val="0"/>
          <w:lang w:val="en-CA"/>
        </w:rPr>
        <w:t>, st</w:t>
      </w:r>
      <w:r w:rsidRPr="000A3539">
        <w:rPr>
          <w:kern w:val="0"/>
          <w:lang w:val="en-CA"/>
        </w:rPr>
        <w:t>e</w:t>
      </w:r>
      <w:r w:rsidR="00D76132" w:rsidRPr="000A3539">
        <w:rPr>
          <w:kern w:val="0"/>
          <w:lang w:val="en-CA"/>
        </w:rPr>
        <w:t>r</w:t>
      </w:r>
      <w:r w:rsidRPr="000A3539">
        <w:rPr>
          <w:kern w:val="0"/>
          <w:lang w:val="en-CA"/>
        </w:rPr>
        <w:t>e</w:t>
      </w:r>
      <w:r w:rsidR="00D76132" w:rsidRPr="000A3539">
        <w:rPr>
          <w:kern w:val="0"/>
          <w:lang w:val="en-CA"/>
        </w:rPr>
        <w:t>otypes</w:t>
      </w:r>
      <w:r w:rsidRPr="000A3539">
        <w:rPr>
          <w:kern w:val="0"/>
          <w:lang w:val="en-CA"/>
        </w:rPr>
        <w:t xml:space="preserve">, or the social </w:t>
      </w:r>
      <w:r w:rsidR="00D76132" w:rsidRPr="000A3539">
        <w:rPr>
          <w:kern w:val="0"/>
          <w:lang w:val="en-CA"/>
        </w:rPr>
        <w:t xml:space="preserve">context. </w:t>
      </w:r>
      <w:r w:rsidRPr="000A3539">
        <w:rPr>
          <w:kern w:val="0"/>
          <w:lang w:val="en-CA"/>
        </w:rPr>
        <w:t xml:space="preserve">Because </w:t>
      </w:r>
      <w:r w:rsidR="00DE1C4F">
        <w:rPr>
          <w:kern w:val="0"/>
          <w:lang w:val="en-CA"/>
        </w:rPr>
        <w:t>this has not been proved</w:t>
      </w:r>
      <w:r w:rsidRPr="000A3539">
        <w:rPr>
          <w:kern w:val="0"/>
          <w:lang w:val="en-CA"/>
        </w:rPr>
        <w:t xml:space="preserve"> in this case, the appellant concludes that there is no prohibited </w:t>
      </w:r>
      <w:r w:rsidR="00D76132" w:rsidRPr="000A3539">
        <w:rPr>
          <w:kern w:val="0"/>
          <w:lang w:val="en-CA"/>
        </w:rPr>
        <w:t xml:space="preserve">discrimination. </w:t>
      </w:r>
      <w:r w:rsidR="00DB70FA" w:rsidRPr="00877FA5">
        <w:rPr>
          <w:kern w:val="0"/>
        </w:rPr>
        <w:t xml:space="preserve">In support of </w:t>
      </w:r>
      <w:proofErr w:type="spellStart"/>
      <w:r w:rsidR="00DB70FA" w:rsidRPr="00877FA5">
        <w:rPr>
          <w:kern w:val="0"/>
        </w:rPr>
        <w:t>its</w:t>
      </w:r>
      <w:proofErr w:type="spellEnd"/>
      <w:r w:rsidR="00DB70FA" w:rsidRPr="00877FA5">
        <w:rPr>
          <w:kern w:val="0"/>
        </w:rPr>
        <w:t xml:space="preserve"> argument, </w:t>
      </w:r>
      <w:proofErr w:type="spellStart"/>
      <w:r w:rsidR="00DB70FA" w:rsidRPr="00877FA5">
        <w:rPr>
          <w:kern w:val="0"/>
        </w:rPr>
        <w:t>it</w:t>
      </w:r>
      <w:proofErr w:type="spellEnd"/>
      <w:r w:rsidR="00DB70FA" w:rsidRPr="00877FA5">
        <w:rPr>
          <w:kern w:val="0"/>
        </w:rPr>
        <w:t xml:space="preserve"> cites </w:t>
      </w:r>
      <w:r w:rsidR="00D76132" w:rsidRPr="00877FA5">
        <w:rPr>
          <w:i/>
          <w:kern w:val="0"/>
        </w:rPr>
        <w:t>R. v. Kapp</w:t>
      </w:r>
      <w:bookmarkStart w:id="14" w:name="_Ref71292462"/>
      <w:r w:rsidR="00DB70FA" w:rsidRPr="00877FA5">
        <w:rPr>
          <w:kern w:val="0"/>
        </w:rPr>
        <w:t>,</w:t>
      </w:r>
      <w:r w:rsidR="00D76132" w:rsidRPr="000A3539">
        <w:rPr>
          <w:rStyle w:val="Appelnotedebasdep"/>
          <w:kern w:val="0"/>
          <w:lang w:val="en-CA"/>
        </w:rPr>
        <w:footnoteReference w:id="51"/>
      </w:r>
      <w:bookmarkEnd w:id="14"/>
      <w:r w:rsidR="00D76132" w:rsidRPr="00877FA5">
        <w:rPr>
          <w:kern w:val="0"/>
        </w:rPr>
        <w:t xml:space="preserve"> </w:t>
      </w:r>
      <w:proofErr w:type="spellStart"/>
      <w:r w:rsidR="00DB70FA" w:rsidRPr="00877FA5">
        <w:rPr>
          <w:i/>
          <w:kern w:val="0"/>
        </w:rPr>
        <w:t>Que</w:t>
      </w:r>
      <w:r w:rsidR="00D76132" w:rsidRPr="00877FA5">
        <w:rPr>
          <w:i/>
          <w:kern w:val="0"/>
        </w:rPr>
        <w:t>bec</w:t>
      </w:r>
      <w:proofErr w:type="spellEnd"/>
      <w:r w:rsidR="00D76132" w:rsidRPr="00877FA5">
        <w:rPr>
          <w:i/>
          <w:kern w:val="0"/>
        </w:rPr>
        <w:t xml:space="preserve"> (Attorney</w:t>
      </w:r>
      <w:r w:rsidR="00DB70FA" w:rsidRPr="00877FA5">
        <w:rPr>
          <w:i/>
          <w:kern w:val="0"/>
        </w:rPr>
        <w:t xml:space="preserve"> </w:t>
      </w:r>
      <w:r w:rsidR="00D76132" w:rsidRPr="00877FA5">
        <w:rPr>
          <w:i/>
          <w:kern w:val="0"/>
        </w:rPr>
        <w:t>General) v. A.</w:t>
      </w:r>
      <w:bookmarkStart w:id="15" w:name="_Ref71293528"/>
      <w:r w:rsidR="00DB70FA" w:rsidRPr="00877FA5">
        <w:rPr>
          <w:kern w:val="0"/>
        </w:rPr>
        <w:t>,</w:t>
      </w:r>
      <w:r w:rsidR="00D76132" w:rsidRPr="000A3539">
        <w:rPr>
          <w:rStyle w:val="Appelnotedebasdep"/>
          <w:kern w:val="0"/>
          <w:lang w:val="en-CA"/>
        </w:rPr>
        <w:footnoteReference w:id="52"/>
      </w:r>
      <w:bookmarkEnd w:id="15"/>
      <w:r w:rsidR="00D76132" w:rsidRPr="00877FA5">
        <w:rPr>
          <w:i/>
          <w:kern w:val="0"/>
        </w:rPr>
        <w:t xml:space="preserve"> Université de Sherbrooke c. Commission</w:t>
      </w:r>
      <w:r w:rsidR="00DB70FA" w:rsidRPr="00877FA5">
        <w:rPr>
          <w:i/>
          <w:kern w:val="0"/>
        </w:rPr>
        <w:t xml:space="preserve"> </w:t>
      </w:r>
      <w:r w:rsidR="00D76132" w:rsidRPr="00877FA5">
        <w:rPr>
          <w:i/>
          <w:kern w:val="0"/>
        </w:rPr>
        <w:t>des</w:t>
      </w:r>
      <w:r w:rsidR="00DB70FA" w:rsidRPr="00877FA5">
        <w:rPr>
          <w:i/>
          <w:kern w:val="0"/>
        </w:rPr>
        <w:t xml:space="preserve"> </w:t>
      </w:r>
      <w:r w:rsidR="00D76132" w:rsidRPr="00877FA5">
        <w:rPr>
          <w:i/>
          <w:kern w:val="0"/>
        </w:rPr>
        <w:t>droits</w:t>
      </w:r>
      <w:r w:rsidR="00DB70FA" w:rsidRPr="00877FA5">
        <w:rPr>
          <w:i/>
          <w:kern w:val="0"/>
        </w:rPr>
        <w:t xml:space="preserve"> </w:t>
      </w:r>
      <w:r w:rsidR="00D76132" w:rsidRPr="00877FA5">
        <w:rPr>
          <w:i/>
          <w:kern w:val="0"/>
        </w:rPr>
        <w:t>de</w:t>
      </w:r>
      <w:r w:rsidR="00DB70FA" w:rsidRPr="00877FA5">
        <w:rPr>
          <w:i/>
          <w:kern w:val="0"/>
        </w:rPr>
        <w:t xml:space="preserve"> </w:t>
      </w:r>
      <w:r w:rsidR="00D76132" w:rsidRPr="00877FA5">
        <w:rPr>
          <w:i/>
          <w:kern w:val="0"/>
        </w:rPr>
        <w:t>la</w:t>
      </w:r>
      <w:r w:rsidR="00DB70FA" w:rsidRPr="00877FA5">
        <w:rPr>
          <w:i/>
          <w:kern w:val="0"/>
        </w:rPr>
        <w:t xml:space="preserve"> </w:t>
      </w:r>
      <w:r w:rsidR="00D76132" w:rsidRPr="00877FA5">
        <w:rPr>
          <w:i/>
          <w:kern w:val="0"/>
        </w:rPr>
        <w:t>personne et des droits de la jeunesse</w:t>
      </w:r>
      <w:bookmarkStart w:id="16" w:name="_Ref71293403"/>
      <w:r w:rsidR="00D76132" w:rsidRPr="000A3539">
        <w:rPr>
          <w:rStyle w:val="Appelnotedebasdep"/>
          <w:kern w:val="0"/>
          <w:lang w:val="en-CA"/>
        </w:rPr>
        <w:footnoteReference w:id="53"/>
      </w:r>
      <w:bookmarkEnd w:id="16"/>
      <w:r w:rsidR="00D76132" w:rsidRPr="00877FA5">
        <w:rPr>
          <w:i/>
          <w:kern w:val="0"/>
        </w:rPr>
        <w:t xml:space="preserve"> </w:t>
      </w:r>
      <w:r w:rsidR="00DB70FA" w:rsidRPr="00877FA5">
        <w:rPr>
          <w:kern w:val="0"/>
        </w:rPr>
        <w:t>and</w:t>
      </w:r>
      <w:r w:rsidR="00D76132" w:rsidRPr="00877FA5">
        <w:rPr>
          <w:kern w:val="0"/>
        </w:rPr>
        <w:t xml:space="preserve"> </w:t>
      </w:r>
      <w:proofErr w:type="spellStart"/>
      <w:r w:rsidR="00D76132" w:rsidRPr="00877FA5">
        <w:rPr>
          <w:i/>
          <w:kern w:val="0"/>
        </w:rPr>
        <w:t>Qu</w:t>
      </w:r>
      <w:r w:rsidR="00DB70FA" w:rsidRPr="00877FA5">
        <w:rPr>
          <w:i/>
          <w:kern w:val="0"/>
        </w:rPr>
        <w:t>e</w:t>
      </w:r>
      <w:r w:rsidR="00D76132" w:rsidRPr="00877FA5">
        <w:rPr>
          <w:i/>
          <w:kern w:val="0"/>
        </w:rPr>
        <w:t>bec</w:t>
      </w:r>
      <w:proofErr w:type="spellEnd"/>
      <w:r w:rsidR="00D76132" w:rsidRPr="00877FA5">
        <w:rPr>
          <w:i/>
          <w:kern w:val="0"/>
        </w:rPr>
        <w:t xml:space="preserve"> (Procureur</w:t>
      </w:r>
      <w:r w:rsidR="00DB70FA" w:rsidRPr="00877FA5">
        <w:rPr>
          <w:i/>
          <w:kern w:val="0"/>
        </w:rPr>
        <w:t xml:space="preserve"> </w:t>
      </w:r>
      <w:r w:rsidR="00D76132" w:rsidRPr="00877FA5">
        <w:rPr>
          <w:i/>
          <w:kern w:val="0"/>
        </w:rPr>
        <w:t>général) c. Commission</w:t>
      </w:r>
      <w:r w:rsidR="00DB70FA" w:rsidRPr="00877FA5">
        <w:rPr>
          <w:i/>
          <w:kern w:val="0"/>
        </w:rPr>
        <w:t xml:space="preserve"> </w:t>
      </w:r>
      <w:r w:rsidR="00D76132" w:rsidRPr="00877FA5">
        <w:rPr>
          <w:i/>
          <w:kern w:val="0"/>
        </w:rPr>
        <w:t>des</w:t>
      </w:r>
      <w:r w:rsidR="00DB70FA" w:rsidRPr="00877FA5">
        <w:rPr>
          <w:i/>
          <w:kern w:val="0"/>
        </w:rPr>
        <w:t xml:space="preserve"> </w:t>
      </w:r>
      <w:r w:rsidR="00D76132" w:rsidRPr="00877FA5">
        <w:rPr>
          <w:i/>
          <w:kern w:val="0"/>
        </w:rPr>
        <w:t>droits</w:t>
      </w:r>
      <w:r w:rsidR="00DB70FA" w:rsidRPr="00877FA5">
        <w:rPr>
          <w:i/>
          <w:kern w:val="0"/>
        </w:rPr>
        <w:t xml:space="preserve"> </w:t>
      </w:r>
      <w:r w:rsidR="00D76132" w:rsidRPr="00877FA5">
        <w:rPr>
          <w:i/>
          <w:kern w:val="0"/>
        </w:rPr>
        <w:t>de</w:t>
      </w:r>
      <w:r w:rsidR="00DB70FA" w:rsidRPr="00877FA5">
        <w:rPr>
          <w:i/>
          <w:kern w:val="0"/>
        </w:rPr>
        <w:t xml:space="preserve"> </w:t>
      </w:r>
      <w:r w:rsidR="00D76132" w:rsidRPr="00877FA5">
        <w:rPr>
          <w:i/>
          <w:kern w:val="0"/>
        </w:rPr>
        <w:t>la</w:t>
      </w:r>
      <w:r w:rsidR="00DB70FA" w:rsidRPr="00877FA5">
        <w:rPr>
          <w:i/>
          <w:kern w:val="0"/>
        </w:rPr>
        <w:t xml:space="preserve"> </w:t>
      </w:r>
      <w:r w:rsidR="00D76132" w:rsidRPr="00877FA5">
        <w:rPr>
          <w:i/>
          <w:kern w:val="0"/>
        </w:rPr>
        <w:t>personne et de la jeunesse</w:t>
      </w:r>
      <w:bookmarkStart w:id="17" w:name="_Ref71293447"/>
      <w:r w:rsidR="00DB70FA" w:rsidRPr="00877FA5">
        <w:rPr>
          <w:kern w:val="0"/>
        </w:rPr>
        <w:t>.</w:t>
      </w:r>
      <w:r w:rsidR="00D76132" w:rsidRPr="000A3539">
        <w:rPr>
          <w:rStyle w:val="Appelnotedebasdep"/>
          <w:kern w:val="0"/>
          <w:lang w:val="en-CA"/>
        </w:rPr>
        <w:footnoteReference w:id="54"/>
      </w:r>
      <w:bookmarkEnd w:id="17"/>
    </w:p>
    <w:p w14:paraId="5951450A" w14:textId="6BCB49E4" w:rsidR="00352837" w:rsidRPr="000A3539" w:rsidRDefault="00872B4C" w:rsidP="00352837">
      <w:pPr>
        <w:pStyle w:val="Paragraphe"/>
        <w:rPr>
          <w:kern w:val="0"/>
          <w:lang w:val="en-CA"/>
        </w:rPr>
      </w:pPr>
      <w:r w:rsidRPr="000A3539">
        <w:rPr>
          <w:kern w:val="0"/>
          <w:lang w:val="en-CA"/>
        </w:rPr>
        <w:t>E</w:t>
      </w:r>
      <w:r w:rsidR="00D76132" w:rsidRPr="000A3539">
        <w:rPr>
          <w:kern w:val="0"/>
          <w:lang w:val="en-CA"/>
        </w:rPr>
        <w:t>vidence</w:t>
      </w:r>
      <w:r w:rsidRPr="000A3539">
        <w:rPr>
          <w:kern w:val="0"/>
          <w:lang w:val="en-CA"/>
        </w:rPr>
        <w:t xml:space="preserve"> of </w:t>
      </w:r>
      <w:r w:rsidR="00D76132" w:rsidRPr="000A3539">
        <w:rPr>
          <w:kern w:val="0"/>
          <w:lang w:val="en-CA"/>
        </w:rPr>
        <w:t xml:space="preserve">discrimination </w:t>
      </w:r>
      <w:r w:rsidRPr="000A3539">
        <w:rPr>
          <w:kern w:val="0"/>
          <w:lang w:val="en-CA"/>
        </w:rPr>
        <w:t>arising from prejudice, stereo</w:t>
      </w:r>
      <w:r w:rsidR="00D76132" w:rsidRPr="000A3539">
        <w:rPr>
          <w:kern w:val="0"/>
          <w:lang w:val="en-CA"/>
        </w:rPr>
        <w:t>types</w:t>
      </w:r>
      <w:r w:rsidRPr="000A3539">
        <w:rPr>
          <w:kern w:val="0"/>
          <w:lang w:val="en-CA"/>
        </w:rPr>
        <w:t xml:space="preserve">, or the social </w:t>
      </w:r>
      <w:r w:rsidR="00D76132" w:rsidRPr="000A3539">
        <w:rPr>
          <w:kern w:val="0"/>
          <w:lang w:val="en-CA"/>
        </w:rPr>
        <w:t>context</w:t>
      </w:r>
      <w:r w:rsidRPr="000A3539">
        <w:rPr>
          <w:kern w:val="0"/>
          <w:lang w:val="en-CA"/>
        </w:rPr>
        <w:t xml:space="preserve"> is not necessary to support an action under </w:t>
      </w:r>
      <w:r w:rsidR="00D76132" w:rsidRPr="000A3539">
        <w:rPr>
          <w:kern w:val="0"/>
          <w:lang w:val="en-CA"/>
        </w:rPr>
        <w:t xml:space="preserve">section 10 </w:t>
      </w:r>
      <w:r w:rsidRPr="000A3539">
        <w:rPr>
          <w:kern w:val="0"/>
          <w:lang w:val="en-CA"/>
        </w:rPr>
        <w:t xml:space="preserve">of the </w:t>
      </w:r>
      <w:r w:rsidR="00D76132" w:rsidRPr="00FD1FB8">
        <w:rPr>
          <w:i/>
          <w:kern w:val="0"/>
          <w:lang w:val="en-CA"/>
        </w:rPr>
        <w:t>Quebec</w:t>
      </w:r>
      <w:r w:rsidRPr="000A3539">
        <w:rPr>
          <w:i/>
          <w:kern w:val="0"/>
          <w:lang w:val="en-CA"/>
        </w:rPr>
        <w:t xml:space="preserve"> </w:t>
      </w:r>
      <w:r w:rsidR="00D76132" w:rsidRPr="000A3539">
        <w:rPr>
          <w:i/>
          <w:kern w:val="0"/>
          <w:lang w:val="en-CA"/>
        </w:rPr>
        <w:t>Charter</w:t>
      </w:r>
      <w:r w:rsidR="00D76132" w:rsidRPr="000A3539">
        <w:rPr>
          <w:kern w:val="0"/>
          <w:lang w:val="en-CA"/>
        </w:rPr>
        <w:t xml:space="preserve">. </w:t>
      </w:r>
      <w:r w:rsidR="00DA7D5C" w:rsidRPr="000A3539">
        <w:rPr>
          <w:kern w:val="0"/>
          <w:lang w:val="en-CA"/>
        </w:rPr>
        <w:t xml:space="preserve">Such </w:t>
      </w:r>
      <w:r w:rsidR="00D76132" w:rsidRPr="000A3539">
        <w:rPr>
          <w:kern w:val="0"/>
          <w:lang w:val="en-CA"/>
        </w:rPr>
        <w:t>evidence</w:t>
      </w:r>
      <w:r w:rsidR="00DA7D5C" w:rsidRPr="000A3539">
        <w:rPr>
          <w:kern w:val="0"/>
          <w:lang w:val="en-CA"/>
        </w:rPr>
        <w:t xml:space="preserve"> may</w:t>
      </w:r>
      <w:r w:rsidR="00D22D49">
        <w:rPr>
          <w:kern w:val="0"/>
          <w:lang w:val="en-CA"/>
        </w:rPr>
        <w:t xml:space="preserve"> </w:t>
      </w:r>
      <w:r w:rsidR="00DA7D5C" w:rsidRPr="000A3539">
        <w:rPr>
          <w:kern w:val="0"/>
          <w:lang w:val="en-CA"/>
        </w:rPr>
        <w:t xml:space="preserve">be necessary in an action based on </w:t>
      </w:r>
      <w:r w:rsidR="00D76132" w:rsidRPr="000A3539">
        <w:rPr>
          <w:kern w:val="0"/>
          <w:lang w:val="en-CA"/>
        </w:rPr>
        <w:t xml:space="preserve">section 15 </w:t>
      </w:r>
      <w:r w:rsidR="00DA7D5C" w:rsidRPr="000A3539">
        <w:rPr>
          <w:kern w:val="0"/>
          <w:lang w:val="en-CA"/>
        </w:rPr>
        <w:t xml:space="preserve">of the </w:t>
      </w:r>
      <w:r w:rsidR="00D76132" w:rsidRPr="000A3539">
        <w:rPr>
          <w:i/>
          <w:kern w:val="0"/>
          <w:lang w:val="en-CA"/>
        </w:rPr>
        <w:t>Canadian</w:t>
      </w:r>
      <w:r w:rsidR="00DA7D5C" w:rsidRPr="000A3539">
        <w:rPr>
          <w:i/>
          <w:kern w:val="0"/>
          <w:lang w:val="en-CA"/>
        </w:rPr>
        <w:t xml:space="preserve"> </w:t>
      </w:r>
      <w:r w:rsidR="00D76132" w:rsidRPr="000A3539">
        <w:rPr>
          <w:i/>
          <w:kern w:val="0"/>
          <w:lang w:val="en-CA"/>
        </w:rPr>
        <w:t>Charter</w:t>
      </w:r>
      <w:r w:rsidR="00DA7D5C" w:rsidRPr="000A3539">
        <w:rPr>
          <w:i/>
          <w:kern w:val="0"/>
          <w:lang w:val="en-CA"/>
        </w:rPr>
        <w:t xml:space="preserve"> </w:t>
      </w:r>
      <w:r w:rsidR="00D76132" w:rsidRPr="000A3539">
        <w:rPr>
          <w:i/>
          <w:kern w:val="0"/>
          <w:lang w:val="en-CA"/>
        </w:rPr>
        <w:t>of</w:t>
      </w:r>
      <w:r w:rsidR="00DA7D5C" w:rsidRPr="000A3539">
        <w:rPr>
          <w:i/>
          <w:kern w:val="0"/>
          <w:lang w:val="en-CA"/>
        </w:rPr>
        <w:t xml:space="preserve"> </w:t>
      </w:r>
      <w:r w:rsidR="00D76132" w:rsidRPr="000A3539">
        <w:rPr>
          <w:i/>
          <w:kern w:val="0"/>
          <w:lang w:val="en-CA"/>
        </w:rPr>
        <w:t>Rights</w:t>
      </w:r>
      <w:r w:rsidR="00DA7D5C" w:rsidRPr="000A3539">
        <w:rPr>
          <w:i/>
          <w:kern w:val="0"/>
          <w:lang w:val="en-CA"/>
        </w:rPr>
        <w:t xml:space="preserve"> </w:t>
      </w:r>
      <w:r w:rsidR="00D76132" w:rsidRPr="000A3539">
        <w:rPr>
          <w:i/>
          <w:kern w:val="0"/>
          <w:lang w:val="en-CA"/>
        </w:rPr>
        <w:t>and</w:t>
      </w:r>
      <w:r w:rsidR="00DA7D5C" w:rsidRPr="000A3539">
        <w:rPr>
          <w:i/>
          <w:kern w:val="0"/>
          <w:lang w:val="en-CA"/>
        </w:rPr>
        <w:t xml:space="preserve"> </w:t>
      </w:r>
      <w:r w:rsidR="00D76132" w:rsidRPr="000A3539">
        <w:rPr>
          <w:i/>
          <w:kern w:val="0"/>
          <w:lang w:val="en-CA"/>
        </w:rPr>
        <w:t xml:space="preserve">Freedoms </w:t>
      </w:r>
      <w:r w:rsidR="00D76132" w:rsidRPr="000A3539">
        <w:rPr>
          <w:kern w:val="0"/>
          <w:lang w:val="en-CA"/>
        </w:rPr>
        <w:t>(</w:t>
      </w:r>
      <w:r w:rsidR="00DA7D5C" w:rsidRPr="000A3539">
        <w:rPr>
          <w:kern w:val="0"/>
          <w:lang w:val="en-CA"/>
        </w:rPr>
        <w:t>the “</w:t>
      </w:r>
      <w:r w:rsidR="00D76132" w:rsidRPr="000A3539">
        <w:rPr>
          <w:i/>
          <w:kern w:val="0"/>
          <w:lang w:val="en-CA"/>
        </w:rPr>
        <w:t>Canadian</w:t>
      </w:r>
      <w:r w:rsidR="007B7C52" w:rsidRPr="000A3539">
        <w:rPr>
          <w:i/>
          <w:kern w:val="0"/>
          <w:lang w:val="en-CA"/>
        </w:rPr>
        <w:t xml:space="preserve"> </w:t>
      </w:r>
      <w:r w:rsidR="00D76132" w:rsidRPr="000A3539">
        <w:rPr>
          <w:i/>
          <w:kern w:val="0"/>
          <w:lang w:val="en-CA"/>
        </w:rPr>
        <w:t>Charter</w:t>
      </w:r>
      <w:r w:rsidR="007B7C52" w:rsidRPr="000A3539">
        <w:rPr>
          <w:kern w:val="0"/>
          <w:lang w:val="en-CA"/>
        </w:rPr>
        <w:t>”</w:t>
      </w:r>
      <w:r w:rsidR="00D76132" w:rsidRPr="000A3539">
        <w:rPr>
          <w:kern w:val="0"/>
          <w:lang w:val="en-CA"/>
        </w:rPr>
        <w:t>)</w:t>
      </w:r>
      <w:r w:rsidR="003B7D21" w:rsidRPr="000A3539">
        <w:rPr>
          <w:kern w:val="0"/>
          <w:lang w:val="en-CA"/>
        </w:rPr>
        <w:t>,</w:t>
      </w:r>
      <w:r w:rsidR="00D76132" w:rsidRPr="000A3539">
        <w:rPr>
          <w:rStyle w:val="Appelnotedebasdep"/>
          <w:kern w:val="0"/>
          <w:lang w:val="en-CA"/>
        </w:rPr>
        <w:footnoteReference w:id="55"/>
      </w:r>
      <w:r w:rsidR="003B7D21" w:rsidRPr="000A3539">
        <w:rPr>
          <w:kern w:val="0"/>
          <w:lang w:val="en-CA"/>
        </w:rPr>
        <w:t xml:space="preserve"> a </w:t>
      </w:r>
      <w:r w:rsidR="00D76132" w:rsidRPr="000A3539">
        <w:rPr>
          <w:kern w:val="0"/>
          <w:lang w:val="en-CA"/>
        </w:rPr>
        <w:t>provision</w:t>
      </w:r>
      <w:r w:rsidR="003B7D21" w:rsidRPr="000A3539">
        <w:rPr>
          <w:kern w:val="0"/>
          <w:lang w:val="en-CA"/>
        </w:rPr>
        <w:t xml:space="preserve"> whose purpose is to promote </w:t>
      </w:r>
      <w:r w:rsidR="00D76132" w:rsidRPr="000A3539">
        <w:rPr>
          <w:kern w:val="0"/>
          <w:lang w:val="en-CA"/>
        </w:rPr>
        <w:t>substantive</w:t>
      </w:r>
      <w:r w:rsidR="003B7D21" w:rsidRPr="000A3539">
        <w:rPr>
          <w:kern w:val="0"/>
          <w:lang w:val="en-CA"/>
        </w:rPr>
        <w:t xml:space="preserve"> </w:t>
      </w:r>
      <w:r w:rsidR="00D76132" w:rsidRPr="000A3539">
        <w:rPr>
          <w:kern w:val="0"/>
          <w:lang w:val="en-CA"/>
        </w:rPr>
        <w:t>equality</w:t>
      </w:r>
      <w:r w:rsidR="003B7D21" w:rsidRPr="000A3539">
        <w:rPr>
          <w:kern w:val="0"/>
          <w:lang w:val="en-CA"/>
        </w:rPr>
        <w:t xml:space="preserve"> and prevent </w:t>
      </w:r>
      <w:r w:rsidR="00D76132" w:rsidRPr="000A3539">
        <w:rPr>
          <w:kern w:val="0"/>
          <w:lang w:val="en-CA"/>
        </w:rPr>
        <w:t>governments</w:t>
      </w:r>
      <w:r w:rsidR="003B7D21" w:rsidRPr="000A3539">
        <w:rPr>
          <w:kern w:val="0"/>
          <w:lang w:val="en-CA"/>
        </w:rPr>
        <w:t xml:space="preserve"> from establishing </w:t>
      </w:r>
      <w:r w:rsidR="00D76132" w:rsidRPr="000A3539">
        <w:rPr>
          <w:kern w:val="0"/>
          <w:lang w:val="en-CA"/>
        </w:rPr>
        <w:t>distinctions</w:t>
      </w:r>
      <w:r w:rsidR="003B7D21" w:rsidRPr="000A3539">
        <w:rPr>
          <w:kern w:val="0"/>
          <w:lang w:val="en-CA"/>
        </w:rPr>
        <w:t xml:space="preserve"> that have the effect of </w:t>
      </w:r>
      <w:r w:rsidR="00D76132" w:rsidRPr="000A3539">
        <w:rPr>
          <w:kern w:val="0"/>
          <w:lang w:val="en-CA"/>
        </w:rPr>
        <w:t>perp</w:t>
      </w:r>
      <w:r w:rsidR="003B7D21" w:rsidRPr="000A3539">
        <w:rPr>
          <w:kern w:val="0"/>
          <w:lang w:val="en-CA"/>
        </w:rPr>
        <w:t>e</w:t>
      </w:r>
      <w:r w:rsidR="00D76132" w:rsidRPr="000A3539">
        <w:rPr>
          <w:kern w:val="0"/>
          <w:lang w:val="en-CA"/>
        </w:rPr>
        <w:t>tu</w:t>
      </w:r>
      <w:r w:rsidR="003B7D21" w:rsidRPr="000A3539">
        <w:rPr>
          <w:kern w:val="0"/>
          <w:lang w:val="en-CA"/>
        </w:rPr>
        <w:t xml:space="preserve">ating a disadvantage or prejudice or </w:t>
      </w:r>
      <w:r w:rsidR="00D76132" w:rsidRPr="000A3539">
        <w:rPr>
          <w:kern w:val="0"/>
          <w:lang w:val="en-CA"/>
        </w:rPr>
        <w:t>impos</w:t>
      </w:r>
      <w:r w:rsidR="003B7D21" w:rsidRPr="000A3539">
        <w:rPr>
          <w:kern w:val="0"/>
          <w:lang w:val="en-CA"/>
        </w:rPr>
        <w:t xml:space="preserve">ing a disadvantage </w:t>
      </w:r>
      <w:r w:rsidR="005A2381">
        <w:rPr>
          <w:kern w:val="0"/>
          <w:lang w:val="en-CA"/>
        </w:rPr>
        <w:t xml:space="preserve">on the basis </w:t>
      </w:r>
      <w:r w:rsidR="007027D0" w:rsidRPr="000A3539">
        <w:rPr>
          <w:kern w:val="0"/>
          <w:lang w:val="en-CA"/>
        </w:rPr>
        <w:t>of stereo</w:t>
      </w:r>
      <w:r w:rsidR="00D76132" w:rsidRPr="000A3539">
        <w:rPr>
          <w:kern w:val="0"/>
          <w:lang w:val="en-CA"/>
        </w:rPr>
        <w:t>typ</w:t>
      </w:r>
      <w:r w:rsidR="005A2381">
        <w:rPr>
          <w:kern w:val="0"/>
          <w:lang w:val="en-CA"/>
        </w:rPr>
        <w:t>ing</w:t>
      </w:r>
      <w:r w:rsidR="00D76132" w:rsidRPr="000A3539">
        <w:rPr>
          <w:kern w:val="0"/>
          <w:lang w:val="en-CA"/>
        </w:rPr>
        <w:t xml:space="preserve">, </w:t>
      </w:r>
      <w:r w:rsidR="007027D0" w:rsidRPr="000A3539">
        <w:rPr>
          <w:kern w:val="0"/>
          <w:lang w:val="en-CA"/>
        </w:rPr>
        <w:t xml:space="preserve">according to the </w:t>
      </w:r>
      <w:r w:rsidR="00D76132" w:rsidRPr="000A3539">
        <w:rPr>
          <w:kern w:val="0"/>
          <w:lang w:val="en-CA"/>
        </w:rPr>
        <w:t>terms</w:t>
      </w:r>
      <w:r w:rsidR="007027D0" w:rsidRPr="000A3539">
        <w:rPr>
          <w:kern w:val="0"/>
          <w:lang w:val="en-CA"/>
        </w:rPr>
        <w:t xml:space="preserve"> used by the </w:t>
      </w:r>
      <w:r w:rsidR="00D76132" w:rsidRPr="000A3539">
        <w:rPr>
          <w:kern w:val="0"/>
          <w:lang w:val="en-CA"/>
        </w:rPr>
        <w:t>Supreme</w:t>
      </w:r>
      <w:r w:rsidR="007027D0" w:rsidRPr="000A3539">
        <w:rPr>
          <w:kern w:val="0"/>
          <w:lang w:val="en-CA"/>
        </w:rPr>
        <w:t xml:space="preserve"> </w:t>
      </w:r>
      <w:r w:rsidR="00D76132" w:rsidRPr="000A3539">
        <w:rPr>
          <w:kern w:val="0"/>
          <w:lang w:val="en-CA"/>
        </w:rPr>
        <w:t>Court</w:t>
      </w:r>
      <w:r w:rsidR="007027D0" w:rsidRPr="000A3539">
        <w:rPr>
          <w:kern w:val="0"/>
          <w:lang w:val="en-CA"/>
        </w:rPr>
        <w:t xml:space="preserve"> in </w:t>
      </w:r>
      <w:proofErr w:type="spellStart"/>
      <w:r w:rsidR="00D76132" w:rsidRPr="000A3539">
        <w:rPr>
          <w:i/>
          <w:kern w:val="0"/>
          <w:lang w:val="en-CA"/>
        </w:rPr>
        <w:t>Kapp</w:t>
      </w:r>
      <w:proofErr w:type="spellEnd"/>
      <w:r w:rsidR="007027D0" w:rsidRPr="000A3539">
        <w:rPr>
          <w:kern w:val="0"/>
          <w:lang w:val="en-CA"/>
        </w:rPr>
        <w:t xml:space="preserve">, </w:t>
      </w:r>
      <w:r w:rsidR="00D76132" w:rsidRPr="000A3539">
        <w:rPr>
          <w:i/>
          <w:kern w:val="0"/>
          <w:lang w:val="en-CA"/>
        </w:rPr>
        <w:t>supra</w:t>
      </w:r>
      <w:r w:rsidR="007027D0" w:rsidRPr="000A3539">
        <w:rPr>
          <w:kern w:val="0"/>
          <w:lang w:val="en-CA"/>
        </w:rPr>
        <w:t>.</w:t>
      </w:r>
      <w:r w:rsidR="00D76132" w:rsidRPr="000A3539">
        <w:rPr>
          <w:rStyle w:val="Appelnotedebasdep"/>
          <w:kern w:val="0"/>
          <w:lang w:val="en-CA"/>
        </w:rPr>
        <w:footnoteReference w:id="56"/>
      </w:r>
      <w:r w:rsidR="00D76132" w:rsidRPr="000A3539">
        <w:rPr>
          <w:kern w:val="0"/>
          <w:lang w:val="en-CA"/>
        </w:rPr>
        <w:t xml:space="preserve"> </w:t>
      </w:r>
      <w:r w:rsidR="007027D0" w:rsidRPr="000A3539">
        <w:rPr>
          <w:kern w:val="0"/>
          <w:lang w:val="en-CA"/>
        </w:rPr>
        <w:t xml:space="preserve">More recently, in </w:t>
      </w:r>
      <w:r w:rsidR="00D76132" w:rsidRPr="000A3539">
        <w:rPr>
          <w:i/>
          <w:kern w:val="0"/>
          <w:lang w:val="en-CA"/>
        </w:rPr>
        <w:t>Fraser v. Canada (Attorney</w:t>
      </w:r>
      <w:r w:rsidR="007027D0" w:rsidRPr="000A3539">
        <w:rPr>
          <w:i/>
          <w:kern w:val="0"/>
          <w:lang w:val="en-CA"/>
        </w:rPr>
        <w:t xml:space="preserve"> </w:t>
      </w:r>
      <w:r w:rsidR="00D76132" w:rsidRPr="000A3539">
        <w:rPr>
          <w:i/>
          <w:kern w:val="0"/>
          <w:lang w:val="en-CA"/>
        </w:rPr>
        <w:t>General)</w:t>
      </w:r>
      <w:bookmarkStart w:id="18" w:name="_Ref71624974"/>
      <w:r w:rsidR="007027D0" w:rsidRPr="000A3539">
        <w:rPr>
          <w:kern w:val="0"/>
          <w:lang w:val="en-CA"/>
        </w:rPr>
        <w:t>,</w:t>
      </w:r>
      <w:r w:rsidR="00D76132" w:rsidRPr="000A3539">
        <w:rPr>
          <w:rStyle w:val="Appelnotedebasdep"/>
          <w:kern w:val="0"/>
          <w:lang w:val="en-CA"/>
        </w:rPr>
        <w:footnoteReference w:id="57"/>
      </w:r>
      <w:bookmarkEnd w:id="18"/>
      <w:r w:rsidR="00D76132" w:rsidRPr="000A3539">
        <w:rPr>
          <w:i/>
          <w:kern w:val="0"/>
          <w:lang w:val="en-CA"/>
        </w:rPr>
        <w:t xml:space="preserve"> </w:t>
      </w:r>
      <w:r w:rsidR="00D76132" w:rsidRPr="000A3539">
        <w:rPr>
          <w:kern w:val="0"/>
          <w:lang w:val="en-CA"/>
        </w:rPr>
        <w:t>the</w:t>
      </w:r>
      <w:r w:rsidR="007027D0" w:rsidRPr="000A3539">
        <w:rPr>
          <w:kern w:val="0"/>
          <w:lang w:val="en-CA"/>
        </w:rPr>
        <w:t xml:space="preserve"> </w:t>
      </w:r>
      <w:r w:rsidR="00D76132" w:rsidRPr="000A3539">
        <w:rPr>
          <w:kern w:val="0"/>
          <w:lang w:val="en-CA"/>
        </w:rPr>
        <w:t>Supreme</w:t>
      </w:r>
      <w:r w:rsidR="007027D0" w:rsidRPr="000A3539">
        <w:rPr>
          <w:kern w:val="0"/>
          <w:lang w:val="en-CA"/>
        </w:rPr>
        <w:t xml:space="preserve"> </w:t>
      </w:r>
      <w:r w:rsidR="00D76132" w:rsidRPr="000A3539">
        <w:rPr>
          <w:kern w:val="0"/>
          <w:lang w:val="en-CA"/>
        </w:rPr>
        <w:t>Court</w:t>
      </w:r>
      <w:r w:rsidR="007027D0" w:rsidRPr="000A3539">
        <w:rPr>
          <w:kern w:val="0"/>
          <w:lang w:val="en-CA"/>
        </w:rPr>
        <w:t xml:space="preserve"> reformulated the requirement by stating that, to establish </w:t>
      </w:r>
      <w:r w:rsidR="00D76132" w:rsidRPr="000A3539">
        <w:rPr>
          <w:kern w:val="0"/>
          <w:lang w:val="en-CA"/>
        </w:rPr>
        <w:t>discrimination prohib</w:t>
      </w:r>
      <w:r w:rsidR="007027D0" w:rsidRPr="000A3539">
        <w:rPr>
          <w:kern w:val="0"/>
          <w:lang w:val="en-CA"/>
        </w:rPr>
        <w:t xml:space="preserve">ited by </w:t>
      </w:r>
      <w:r w:rsidR="00D76132" w:rsidRPr="000A3539">
        <w:rPr>
          <w:kern w:val="0"/>
          <w:lang w:val="en-CA"/>
        </w:rPr>
        <w:t xml:space="preserve">section 15 </w:t>
      </w:r>
      <w:r w:rsidR="007027D0" w:rsidRPr="000A3539">
        <w:rPr>
          <w:kern w:val="0"/>
          <w:lang w:val="en-CA"/>
        </w:rPr>
        <w:t xml:space="preserve">of the </w:t>
      </w:r>
      <w:r w:rsidR="00D76132" w:rsidRPr="000A3539">
        <w:rPr>
          <w:i/>
          <w:kern w:val="0"/>
          <w:lang w:val="en-CA"/>
        </w:rPr>
        <w:t>Canadian</w:t>
      </w:r>
      <w:r w:rsidR="007027D0" w:rsidRPr="000A3539">
        <w:rPr>
          <w:i/>
          <w:kern w:val="0"/>
          <w:lang w:val="en-CA"/>
        </w:rPr>
        <w:t xml:space="preserve"> </w:t>
      </w:r>
      <w:r w:rsidR="00D76132" w:rsidRPr="000A3539">
        <w:rPr>
          <w:i/>
          <w:kern w:val="0"/>
          <w:lang w:val="en-CA"/>
        </w:rPr>
        <w:t>Charter</w:t>
      </w:r>
      <w:r w:rsidR="00D76132" w:rsidRPr="000A3539">
        <w:rPr>
          <w:kern w:val="0"/>
          <w:lang w:val="en-CA"/>
        </w:rPr>
        <w:t>,</w:t>
      </w:r>
      <w:r w:rsidR="007027D0" w:rsidRPr="000A3539">
        <w:rPr>
          <w:kern w:val="0"/>
          <w:lang w:val="en-CA"/>
        </w:rPr>
        <w:t xml:space="preserve"> the plaintiff must prove, at the </w:t>
      </w:r>
      <w:r w:rsidR="00D76132" w:rsidRPr="000A3539">
        <w:rPr>
          <w:kern w:val="0"/>
          <w:lang w:val="en-CA"/>
        </w:rPr>
        <w:t>first</w:t>
      </w:r>
      <w:r w:rsidR="007027D0" w:rsidRPr="000A3539">
        <w:rPr>
          <w:kern w:val="0"/>
          <w:lang w:val="en-CA"/>
        </w:rPr>
        <w:t xml:space="preserve"> </w:t>
      </w:r>
      <w:r w:rsidR="00D76132" w:rsidRPr="000A3539">
        <w:rPr>
          <w:kern w:val="0"/>
          <w:lang w:val="en-CA"/>
        </w:rPr>
        <w:t>st</w:t>
      </w:r>
      <w:r w:rsidR="004616EE" w:rsidRPr="000A3539">
        <w:rPr>
          <w:kern w:val="0"/>
          <w:lang w:val="en-CA"/>
        </w:rPr>
        <w:t>age</w:t>
      </w:r>
      <w:r w:rsidR="00D76132" w:rsidRPr="000A3539">
        <w:rPr>
          <w:kern w:val="0"/>
          <w:lang w:val="en-CA"/>
        </w:rPr>
        <w:t>,</w:t>
      </w:r>
      <w:r w:rsidR="007027D0" w:rsidRPr="000A3539">
        <w:rPr>
          <w:kern w:val="0"/>
          <w:lang w:val="en-CA"/>
        </w:rPr>
        <w:t xml:space="preserve"> </w:t>
      </w:r>
      <w:r w:rsidR="004616EE" w:rsidRPr="000A3539">
        <w:rPr>
          <w:color w:val="000000"/>
          <w:lang w:val="en-CA"/>
        </w:rPr>
        <w:t>that the law imposes differential treatment based on protected grounds, either explicitly or through adverse impact</w:t>
      </w:r>
      <w:r w:rsidR="00D76132" w:rsidRPr="000A3539">
        <w:rPr>
          <w:kern w:val="0"/>
          <w:lang w:val="en-CA"/>
        </w:rPr>
        <w:t xml:space="preserve">. </w:t>
      </w:r>
      <w:r w:rsidR="004616EE" w:rsidRPr="000A3539">
        <w:rPr>
          <w:kern w:val="0"/>
          <w:lang w:val="en-CA"/>
        </w:rPr>
        <w:t xml:space="preserve">At the </w:t>
      </w:r>
      <w:r w:rsidR="00D76132" w:rsidRPr="000A3539">
        <w:rPr>
          <w:kern w:val="0"/>
          <w:lang w:val="en-CA"/>
        </w:rPr>
        <w:t>second</w:t>
      </w:r>
      <w:r w:rsidR="004616EE" w:rsidRPr="000A3539">
        <w:rPr>
          <w:kern w:val="0"/>
          <w:lang w:val="en-CA"/>
        </w:rPr>
        <w:t xml:space="preserve"> stage, the </w:t>
      </w:r>
      <w:r w:rsidR="00D76132" w:rsidRPr="000A3539">
        <w:rPr>
          <w:kern w:val="0"/>
          <w:lang w:val="en-CA"/>
        </w:rPr>
        <w:t>Court</w:t>
      </w:r>
      <w:r w:rsidR="00BE7B3F" w:rsidRPr="000A3539">
        <w:rPr>
          <w:kern w:val="0"/>
          <w:lang w:val="en-CA"/>
        </w:rPr>
        <w:t xml:space="preserve"> must ask whether the law </w:t>
      </w:r>
      <w:r w:rsidR="00BE7B3F" w:rsidRPr="000A3539">
        <w:rPr>
          <w:color w:val="000000"/>
          <w:lang w:val="en-CA"/>
        </w:rPr>
        <w:t>has the effect of reinforcing, perpetuating, or exacerbating a disadvantage</w:t>
      </w:r>
      <w:r w:rsidR="00D76132" w:rsidRPr="000A3539">
        <w:rPr>
          <w:kern w:val="0"/>
          <w:lang w:val="en-CA"/>
        </w:rPr>
        <w:t>.</w:t>
      </w:r>
    </w:p>
    <w:p w14:paraId="1DD26F92" w14:textId="28CF2358" w:rsidR="00352837" w:rsidRPr="000A3539" w:rsidRDefault="00EB1099" w:rsidP="00352837">
      <w:pPr>
        <w:pStyle w:val="Paragraphe"/>
        <w:rPr>
          <w:kern w:val="24"/>
          <w:szCs w:val="24"/>
          <w:lang w:val="en-CA"/>
        </w:rPr>
      </w:pPr>
      <w:r>
        <w:rPr>
          <w:lang w:val="en-CA"/>
        </w:rPr>
        <w:t>T</w:t>
      </w:r>
      <w:r w:rsidRPr="000A3539">
        <w:rPr>
          <w:lang w:val="en-CA"/>
        </w:rPr>
        <w:t xml:space="preserve">he Supreme Court has developed specific </w:t>
      </w:r>
      <w:r w:rsidR="003D5CD7">
        <w:rPr>
          <w:lang w:val="en-CA"/>
        </w:rPr>
        <w:t xml:space="preserve">tests </w:t>
      </w:r>
      <w:r>
        <w:rPr>
          <w:lang w:val="en-CA"/>
        </w:rPr>
        <w:t>for</w:t>
      </w:r>
      <w:r w:rsidR="00AC4626" w:rsidRPr="000A3539">
        <w:rPr>
          <w:lang w:val="en-CA"/>
        </w:rPr>
        <w:t xml:space="preserve"> dealing with a challenge to an </w:t>
      </w:r>
      <w:r w:rsidR="00D76132" w:rsidRPr="000A3539">
        <w:rPr>
          <w:lang w:val="en-CA"/>
        </w:rPr>
        <w:t xml:space="preserve">administrative </w:t>
      </w:r>
      <w:r w:rsidR="00AC4626" w:rsidRPr="000A3539">
        <w:rPr>
          <w:lang w:val="en-CA"/>
        </w:rPr>
        <w:t xml:space="preserve">measure based on </w:t>
      </w:r>
      <w:r w:rsidR="00D76132" w:rsidRPr="000A3539">
        <w:rPr>
          <w:lang w:val="en-CA"/>
        </w:rPr>
        <w:t xml:space="preserve">section 10 </w:t>
      </w:r>
      <w:r w:rsidR="00AC4626" w:rsidRPr="000A3539">
        <w:rPr>
          <w:lang w:val="en-CA"/>
        </w:rPr>
        <w:t xml:space="preserve">of the </w:t>
      </w:r>
      <w:r w:rsidR="00D76132" w:rsidRPr="00FD1FB8">
        <w:rPr>
          <w:i/>
          <w:lang w:val="en-CA"/>
        </w:rPr>
        <w:t>Quebec</w:t>
      </w:r>
      <w:r w:rsidR="00C4511B" w:rsidRPr="000A3539">
        <w:rPr>
          <w:i/>
          <w:lang w:val="en-CA"/>
        </w:rPr>
        <w:t xml:space="preserve"> </w:t>
      </w:r>
      <w:r w:rsidR="00D76132" w:rsidRPr="000A3539">
        <w:rPr>
          <w:i/>
          <w:lang w:val="en-CA"/>
        </w:rPr>
        <w:t>Charter</w:t>
      </w:r>
      <w:r w:rsidR="00D76132" w:rsidRPr="000A3539">
        <w:rPr>
          <w:lang w:val="en-CA"/>
        </w:rPr>
        <w:t>.</w:t>
      </w:r>
      <w:r w:rsidR="00C4511B" w:rsidRPr="000A3539">
        <w:rPr>
          <w:lang w:val="en-CA"/>
        </w:rPr>
        <w:t xml:space="preserve"> These </w:t>
      </w:r>
      <w:r w:rsidR="003D5CD7">
        <w:rPr>
          <w:lang w:val="en-CA"/>
        </w:rPr>
        <w:t xml:space="preserve">tests </w:t>
      </w:r>
      <w:r w:rsidR="00C4511B" w:rsidRPr="000A3539">
        <w:rPr>
          <w:lang w:val="en-CA"/>
        </w:rPr>
        <w:t xml:space="preserve">do not require </w:t>
      </w:r>
      <w:r w:rsidR="00D76132" w:rsidRPr="000A3539">
        <w:rPr>
          <w:lang w:val="en-CA"/>
        </w:rPr>
        <w:t xml:space="preserve">evidence </w:t>
      </w:r>
      <w:r w:rsidR="00C4511B" w:rsidRPr="000A3539">
        <w:rPr>
          <w:lang w:val="en-CA"/>
        </w:rPr>
        <w:t xml:space="preserve">of a disadvantage arising from prejudice or </w:t>
      </w:r>
      <w:r w:rsidR="00D76132" w:rsidRPr="000A3539">
        <w:rPr>
          <w:lang w:val="en-CA"/>
        </w:rPr>
        <w:t>st</w:t>
      </w:r>
      <w:r w:rsidR="00C4511B" w:rsidRPr="000A3539">
        <w:rPr>
          <w:lang w:val="en-CA"/>
        </w:rPr>
        <w:t>e</w:t>
      </w:r>
      <w:r w:rsidR="00D76132" w:rsidRPr="000A3539">
        <w:rPr>
          <w:lang w:val="en-CA"/>
        </w:rPr>
        <w:t>r</w:t>
      </w:r>
      <w:r w:rsidR="00C4511B" w:rsidRPr="000A3539">
        <w:rPr>
          <w:lang w:val="en-CA"/>
        </w:rPr>
        <w:t>e</w:t>
      </w:r>
      <w:r w:rsidR="00D76132" w:rsidRPr="000A3539">
        <w:rPr>
          <w:lang w:val="en-CA"/>
        </w:rPr>
        <w:t xml:space="preserve">otypes. </w:t>
      </w:r>
      <w:r w:rsidR="00C4511B" w:rsidRPr="00877FA5">
        <w:t xml:space="preserve">The </w:t>
      </w:r>
      <w:proofErr w:type="spellStart"/>
      <w:r w:rsidR="00D76132" w:rsidRPr="00877FA5">
        <w:t>Supreme</w:t>
      </w:r>
      <w:proofErr w:type="spellEnd"/>
      <w:r w:rsidR="00C4511B" w:rsidRPr="00877FA5">
        <w:t xml:space="preserve"> </w:t>
      </w:r>
      <w:proofErr w:type="spellStart"/>
      <w:r w:rsidR="00D76132" w:rsidRPr="00877FA5">
        <w:t>Court</w:t>
      </w:r>
      <w:r w:rsidR="00C4511B" w:rsidRPr="00877FA5">
        <w:t>’s</w:t>
      </w:r>
      <w:proofErr w:type="spellEnd"/>
      <w:r w:rsidR="00C4511B" w:rsidRPr="00877FA5">
        <w:t xml:space="preserve"> </w:t>
      </w:r>
      <w:proofErr w:type="spellStart"/>
      <w:r w:rsidR="00C4511B" w:rsidRPr="00877FA5">
        <w:t>most</w:t>
      </w:r>
      <w:proofErr w:type="spellEnd"/>
      <w:r w:rsidR="00C4511B" w:rsidRPr="00877FA5">
        <w:t xml:space="preserve"> </w:t>
      </w:r>
      <w:proofErr w:type="spellStart"/>
      <w:r w:rsidR="00C4511B" w:rsidRPr="00877FA5">
        <w:t>recent</w:t>
      </w:r>
      <w:proofErr w:type="spellEnd"/>
      <w:r w:rsidR="00C4511B" w:rsidRPr="00877FA5">
        <w:t xml:space="preserve"> </w:t>
      </w:r>
      <w:proofErr w:type="spellStart"/>
      <w:r w:rsidR="00C4511B" w:rsidRPr="00877FA5">
        <w:t>judgment</w:t>
      </w:r>
      <w:proofErr w:type="spellEnd"/>
      <w:r w:rsidR="00C4511B" w:rsidRPr="00877FA5">
        <w:t xml:space="preserve"> on </w:t>
      </w:r>
      <w:proofErr w:type="spellStart"/>
      <w:r w:rsidR="00C4511B" w:rsidRPr="00877FA5">
        <w:t>this</w:t>
      </w:r>
      <w:proofErr w:type="spellEnd"/>
      <w:r w:rsidR="00C4511B" w:rsidRPr="00877FA5">
        <w:t xml:space="preserve"> issue </w:t>
      </w:r>
      <w:proofErr w:type="spellStart"/>
      <w:r w:rsidR="00C4511B" w:rsidRPr="00877FA5">
        <w:t>is</w:t>
      </w:r>
      <w:proofErr w:type="spellEnd"/>
      <w:r w:rsidR="00C4511B" w:rsidRPr="00877FA5">
        <w:t xml:space="preserve"> </w:t>
      </w:r>
      <w:proofErr w:type="spellStart"/>
      <w:r w:rsidR="00D76132" w:rsidRPr="00877FA5">
        <w:rPr>
          <w:i/>
        </w:rPr>
        <w:t>Qu</w:t>
      </w:r>
      <w:r w:rsidR="00C4511B" w:rsidRPr="00877FA5">
        <w:rPr>
          <w:i/>
        </w:rPr>
        <w:t>e</w:t>
      </w:r>
      <w:r w:rsidR="00D76132" w:rsidRPr="00877FA5">
        <w:rPr>
          <w:i/>
        </w:rPr>
        <w:t>bec</w:t>
      </w:r>
      <w:proofErr w:type="spellEnd"/>
      <w:r w:rsidR="00D76132" w:rsidRPr="00877FA5">
        <w:rPr>
          <w:i/>
        </w:rPr>
        <w:t xml:space="preserve"> (Commission</w:t>
      </w:r>
      <w:r w:rsidR="00C4511B" w:rsidRPr="00877FA5">
        <w:rPr>
          <w:i/>
        </w:rPr>
        <w:t xml:space="preserve"> </w:t>
      </w:r>
      <w:r w:rsidR="00D76132" w:rsidRPr="00877FA5">
        <w:rPr>
          <w:i/>
        </w:rPr>
        <w:t>des</w:t>
      </w:r>
      <w:r w:rsidR="00C4511B" w:rsidRPr="00877FA5">
        <w:rPr>
          <w:i/>
        </w:rPr>
        <w:t xml:space="preserve"> </w:t>
      </w:r>
      <w:r w:rsidR="00D76132" w:rsidRPr="00877FA5">
        <w:rPr>
          <w:i/>
        </w:rPr>
        <w:t>droits</w:t>
      </w:r>
      <w:r w:rsidR="00C4511B" w:rsidRPr="00877FA5">
        <w:rPr>
          <w:i/>
        </w:rPr>
        <w:t xml:space="preserve"> </w:t>
      </w:r>
      <w:r w:rsidR="00D76132" w:rsidRPr="00877FA5">
        <w:rPr>
          <w:i/>
        </w:rPr>
        <w:t>de</w:t>
      </w:r>
      <w:r w:rsidR="00C4511B" w:rsidRPr="00877FA5">
        <w:rPr>
          <w:i/>
        </w:rPr>
        <w:t xml:space="preserve"> </w:t>
      </w:r>
      <w:r w:rsidR="00D76132" w:rsidRPr="00877FA5">
        <w:rPr>
          <w:i/>
        </w:rPr>
        <w:t>la</w:t>
      </w:r>
      <w:r w:rsidR="00C4511B" w:rsidRPr="00877FA5">
        <w:rPr>
          <w:i/>
        </w:rPr>
        <w:t xml:space="preserve"> </w:t>
      </w:r>
      <w:r w:rsidR="00D76132" w:rsidRPr="00877FA5">
        <w:rPr>
          <w:i/>
        </w:rPr>
        <w:t xml:space="preserve">personne et des droits de la jeunesse) </w:t>
      </w:r>
      <w:r w:rsidR="00FC3354" w:rsidRPr="00877FA5">
        <w:rPr>
          <w:i/>
        </w:rPr>
        <w:t>v</w:t>
      </w:r>
      <w:r w:rsidR="00D76132" w:rsidRPr="00877FA5">
        <w:rPr>
          <w:i/>
        </w:rPr>
        <w:t xml:space="preserve">. </w:t>
      </w:r>
      <w:r w:rsidR="00FC3354" w:rsidRPr="00FC3354">
        <w:rPr>
          <w:i/>
          <w:color w:val="000000"/>
        </w:rPr>
        <w:t xml:space="preserve">Bombardier Inc. </w:t>
      </w:r>
      <w:r w:rsidR="00FC3354" w:rsidRPr="00FC3354">
        <w:rPr>
          <w:i/>
          <w:color w:val="000000"/>
          <w:lang w:val="en-CA"/>
        </w:rPr>
        <w:t>(Bombardier Aerospace Training Center)</w:t>
      </w:r>
      <w:r w:rsidR="00C4511B" w:rsidRPr="000A3539">
        <w:rPr>
          <w:lang w:val="en-CA"/>
        </w:rPr>
        <w:t>.</w:t>
      </w:r>
      <w:r w:rsidR="00D76132" w:rsidRPr="000A3539">
        <w:rPr>
          <w:rStyle w:val="Appelnotedebasdep"/>
          <w:lang w:val="en-CA"/>
        </w:rPr>
        <w:footnoteReference w:id="58"/>
      </w:r>
      <w:r w:rsidR="00D76132" w:rsidRPr="000A3539">
        <w:rPr>
          <w:lang w:val="en-CA"/>
        </w:rPr>
        <w:t xml:space="preserve"> </w:t>
      </w:r>
      <w:r w:rsidR="00C4511B" w:rsidRPr="000A3539">
        <w:rPr>
          <w:lang w:val="en-CA"/>
        </w:rPr>
        <w:t xml:space="preserve">While acknowledging that the </w:t>
      </w:r>
      <w:r w:rsidR="00D76132" w:rsidRPr="000A3539">
        <w:rPr>
          <w:lang w:val="en-CA"/>
        </w:rPr>
        <w:t>interpretation</w:t>
      </w:r>
      <w:r w:rsidR="00C4511B" w:rsidRPr="000A3539">
        <w:rPr>
          <w:lang w:val="en-CA"/>
        </w:rPr>
        <w:t xml:space="preserve"> of the </w:t>
      </w:r>
      <w:r w:rsidR="00D76132" w:rsidRPr="00FD1FB8">
        <w:rPr>
          <w:i/>
          <w:lang w:val="en-CA"/>
        </w:rPr>
        <w:t>Quebec</w:t>
      </w:r>
      <w:r w:rsidR="00C4511B" w:rsidRPr="000A3539">
        <w:rPr>
          <w:i/>
          <w:lang w:val="en-CA"/>
        </w:rPr>
        <w:t xml:space="preserve"> </w:t>
      </w:r>
      <w:r w:rsidR="00D76132" w:rsidRPr="000A3539">
        <w:rPr>
          <w:i/>
          <w:lang w:val="en-CA"/>
        </w:rPr>
        <w:t xml:space="preserve">Charter </w:t>
      </w:r>
      <w:r w:rsidR="00725083" w:rsidRPr="000A3539">
        <w:rPr>
          <w:lang w:val="en-CA"/>
        </w:rPr>
        <w:lastRenderedPageBreak/>
        <w:t xml:space="preserve">must be conducted in light of that of the </w:t>
      </w:r>
      <w:r w:rsidR="00D76132" w:rsidRPr="000A3539">
        <w:rPr>
          <w:i/>
          <w:lang w:val="en-CA"/>
        </w:rPr>
        <w:t>Canadian</w:t>
      </w:r>
      <w:r w:rsidR="00725083" w:rsidRPr="000A3539">
        <w:rPr>
          <w:i/>
          <w:lang w:val="en-CA"/>
        </w:rPr>
        <w:t xml:space="preserve"> </w:t>
      </w:r>
      <w:r w:rsidR="00D76132" w:rsidRPr="000A3539">
        <w:rPr>
          <w:i/>
          <w:lang w:val="en-CA"/>
        </w:rPr>
        <w:t>Charter</w:t>
      </w:r>
      <w:r w:rsidR="00D76132" w:rsidRPr="000A3539">
        <w:rPr>
          <w:lang w:val="en-CA"/>
        </w:rPr>
        <w:t xml:space="preserve">, </w:t>
      </w:r>
      <w:r w:rsidR="00725083" w:rsidRPr="000A3539">
        <w:rPr>
          <w:lang w:val="en-CA"/>
        </w:rPr>
        <w:t xml:space="preserve">the </w:t>
      </w:r>
      <w:r w:rsidR="00D76132" w:rsidRPr="000A3539">
        <w:rPr>
          <w:lang w:val="en-CA"/>
        </w:rPr>
        <w:t>Supreme</w:t>
      </w:r>
      <w:r w:rsidR="00725083" w:rsidRPr="000A3539">
        <w:rPr>
          <w:lang w:val="en-CA"/>
        </w:rPr>
        <w:t xml:space="preserve"> </w:t>
      </w:r>
      <w:r w:rsidR="00D76132" w:rsidRPr="000A3539">
        <w:rPr>
          <w:lang w:val="en-CA"/>
        </w:rPr>
        <w:t xml:space="preserve">Court </w:t>
      </w:r>
      <w:r w:rsidR="00725083" w:rsidRPr="000A3539">
        <w:rPr>
          <w:lang w:val="en-CA"/>
        </w:rPr>
        <w:t xml:space="preserve">described the </w:t>
      </w:r>
      <w:r w:rsidR="00D76132" w:rsidRPr="000A3539">
        <w:rPr>
          <w:lang w:val="en-CA"/>
        </w:rPr>
        <w:t>evidence n</w:t>
      </w:r>
      <w:r w:rsidR="00725083" w:rsidRPr="000A3539">
        <w:rPr>
          <w:lang w:val="en-CA"/>
        </w:rPr>
        <w:t>e</w:t>
      </w:r>
      <w:r w:rsidR="00D76132" w:rsidRPr="000A3539">
        <w:rPr>
          <w:lang w:val="en-CA"/>
        </w:rPr>
        <w:t>cessar</w:t>
      </w:r>
      <w:r w:rsidR="00725083" w:rsidRPr="000A3539">
        <w:rPr>
          <w:lang w:val="en-CA"/>
        </w:rPr>
        <w:t xml:space="preserve">y to ensure </w:t>
      </w:r>
      <w:r w:rsidR="004C4680">
        <w:rPr>
          <w:lang w:val="en-CA"/>
        </w:rPr>
        <w:t>that</w:t>
      </w:r>
      <w:r w:rsidR="00725083" w:rsidRPr="000A3539">
        <w:rPr>
          <w:lang w:val="en-CA"/>
        </w:rPr>
        <w:t xml:space="preserve"> an action based on </w:t>
      </w:r>
      <w:r w:rsidR="00D76132" w:rsidRPr="000A3539">
        <w:rPr>
          <w:lang w:val="en-CA"/>
        </w:rPr>
        <w:t xml:space="preserve">section 10 </w:t>
      </w:r>
      <w:r w:rsidR="00725083" w:rsidRPr="000A3539">
        <w:rPr>
          <w:lang w:val="en-CA"/>
        </w:rPr>
        <w:t xml:space="preserve">of the </w:t>
      </w:r>
      <w:r w:rsidR="00D76132" w:rsidRPr="00FD1FB8">
        <w:rPr>
          <w:i/>
          <w:lang w:val="en-CA"/>
        </w:rPr>
        <w:t>Quebec</w:t>
      </w:r>
      <w:r w:rsidR="00725083" w:rsidRPr="000A3539">
        <w:rPr>
          <w:i/>
          <w:lang w:val="en-CA"/>
        </w:rPr>
        <w:t xml:space="preserve"> </w:t>
      </w:r>
      <w:r w:rsidR="00D76132" w:rsidRPr="000A3539">
        <w:rPr>
          <w:i/>
          <w:lang w:val="en-CA"/>
        </w:rPr>
        <w:t>Charter</w:t>
      </w:r>
      <w:r w:rsidR="004C4680">
        <w:rPr>
          <w:lang w:val="en-CA"/>
        </w:rPr>
        <w:t xml:space="preserve"> is successful</w:t>
      </w:r>
      <w:r w:rsidR="00D76132" w:rsidRPr="000A3539">
        <w:rPr>
          <w:lang w:val="en-CA"/>
        </w:rPr>
        <w:t xml:space="preserve">. </w:t>
      </w:r>
      <w:r w:rsidR="00725083" w:rsidRPr="000A3539">
        <w:rPr>
          <w:lang w:val="en-CA"/>
        </w:rPr>
        <w:t xml:space="preserve">That </w:t>
      </w:r>
      <w:r w:rsidR="00D76132" w:rsidRPr="000A3539">
        <w:rPr>
          <w:lang w:val="en-CA"/>
        </w:rPr>
        <w:t>provision requir</w:t>
      </w:r>
      <w:r w:rsidR="00725083" w:rsidRPr="000A3539">
        <w:rPr>
          <w:lang w:val="en-CA"/>
        </w:rPr>
        <w:t xml:space="preserve">es </w:t>
      </w:r>
      <w:r w:rsidR="004C4680">
        <w:rPr>
          <w:lang w:val="en-CA"/>
        </w:rPr>
        <w:t>that</w:t>
      </w:r>
      <w:r w:rsidR="00725083" w:rsidRPr="000A3539">
        <w:rPr>
          <w:lang w:val="en-CA"/>
        </w:rPr>
        <w:t xml:space="preserve"> three elements</w:t>
      </w:r>
      <w:r w:rsidR="004C4680">
        <w:rPr>
          <w:lang w:val="en-CA"/>
        </w:rPr>
        <w:t xml:space="preserve"> be proved</w:t>
      </w:r>
      <w:r w:rsidR="00725083" w:rsidRPr="000A3539">
        <w:rPr>
          <w:lang w:val="en-CA"/>
        </w:rPr>
        <w:t>, that is</w:t>
      </w:r>
      <w:r w:rsidR="00D76132" w:rsidRPr="000A3539">
        <w:rPr>
          <w:lang w:val="en-CA"/>
        </w:rPr>
        <w:t xml:space="preserve">: </w:t>
      </w:r>
      <w:r w:rsidR="003267FA">
        <w:rPr>
          <w:lang w:val="en-CA"/>
        </w:rPr>
        <w:t xml:space="preserve">(1) </w:t>
      </w:r>
      <w:r w:rsidR="009F6B5E" w:rsidRPr="000A3539">
        <w:rPr>
          <w:kern w:val="24"/>
          <w:lang w:val="en-CA"/>
        </w:rPr>
        <w:t>a “distinction, exclusion or preference”;</w:t>
      </w:r>
      <w:r w:rsidR="00D76132" w:rsidRPr="000A3539">
        <w:rPr>
          <w:kern w:val="24"/>
          <w:szCs w:val="24"/>
          <w:lang w:val="en-CA"/>
        </w:rPr>
        <w:t xml:space="preserve"> </w:t>
      </w:r>
      <w:r w:rsidR="009F6B5E" w:rsidRPr="000A3539">
        <w:rPr>
          <w:kern w:val="24"/>
          <w:szCs w:val="24"/>
          <w:lang w:val="en-CA"/>
        </w:rPr>
        <w:t>(2) based on one of the grounds listed in the first paragraph;</w:t>
      </w:r>
      <w:r w:rsidR="00D76132" w:rsidRPr="000A3539">
        <w:rPr>
          <w:kern w:val="24"/>
          <w:szCs w:val="24"/>
          <w:lang w:val="en-CA"/>
        </w:rPr>
        <w:t xml:space="preserve"> </w:t>
      </w:r>
      <w:r w:rsidR="009F6B5E" w:rsidRPr="000A3539">
        <w:rPr>
          <w:kern w:val="24"/>
          <w:szCs w:val="24"/>
          <w:lang w:val="en-CA"/>
        </w:rPr>
        <w:t>and (3) which “has the effect of nullifying or impairing” the right to full and equal recognition and exercise of a human right or freedom.</w:t>
      </w:r>
      <w:r w:rsidR="00D76132" w:rsidRPr="000A3539">
        <w:rPr>
          <w:kern w:val="24"/>
          <w:szCs w:val="24"/>
          <w:lang w:val="en-CA"/>
        </w:rPr>
        <w:t xml:space="preserve"> </w:t>
      </w:r>
      <w:r w:rsidR="00FD26B0" w:rsidRPr="000A3539">
        <w:rPr>
          <w:kern w:val="24"/>
          <w:szCs w:val="24"/>
          <w:lang w:val="en-CA"/>
        </w:rPr>
        <w:t>It does not require anything else</w:t>
      </w:r>
      <w:r w:rsidR="00D76132" w:rsidRPr="000A3539">
        <w:rPr>
          <w:kern w:val="24"/>
          <w:szCs w:val="24"/>
          <w:lang w:val="en-CA"/>
        </w:rPr>
        <w:t>:</w:t>
      </w:r>
    </w:p>
    <w:p w14:paraId="2D0EECD6" w14:textId="6E0A6CC5" w:rsidR="00352837" w:rsidRPr="000A3539" w:rsidRDefault="00D76132" w:rsidP="00352837">
      <w:pPr>
        <w:spacing w:before="120" w:after="120"/>
        <w:ind w:left="720" w:right="720"/>
        <w:jc w:val="both"/>
        <w:rPr>
          <w:kern w:val="24"/>
          <w:sz w:val="22"/>
          <w:lang w:val="en-CA"/>
        </w:rPr>
      </w:pPr>
      <w:r w:rsidRPr="000A3539">
        <w:rPr>
          <w:kern w:val="24"/>
          <w:sz w:val="22"/>
          <w:lang w:val="en-CA"/>
        </w:rPr>
        <w:t>[35]  </w:t>
      </w:r>
      <w:r w:rsidR="00CC1E10" w:rsidRPr="000A3539">
        <w:rPr>
          <w:kern w:val="24"/>
          <w:sz w:val="22"/>
          <w:u w:val="single"/>
          <w:lang w:val="en-CA"/>
        </w:rPr>
        <w:t>First</w:t>
      </w:r>
      <w:r w:rsidR="00CC1E10" w:rsidRPr="000A3539">
        <w:rPr>
          <w:kern w:val="24"/>
          <w:sz w:val="22"/>
          <w:lang w:val="en-CA"/>
        </w:rPr>
        <w:t>, s. 10 requires that the plaintiff prove three elements: “(1) a ‘distinction, exclusion or preference’, (2) based on one of the grounds listed in the first paragraph, and (3) which ‘has the effect of nullifying or impairing’ the right to full and equal recognition and exercise of a human right or freedom”</w:t>
      </w:r>
      <w:r w:rsidRPr="000A3539">
        <w:rPr>
          <w:kern w:val="24"/>
          <w:sz w:val="22"/>
          <w:lang w:val="en-CA"/>
        </w:rPr>
        <w:t>.</w:t>
      </w:r>
    </w:p>
    <w:p w14:paraId="30A09B72" w14:textId="42523C9C" w:rsidR="00352837" w:rsidRPr="000A3539" w:rsidRDefault="00D76132" w:rsidP="00352837">
      <w:pPr>
        <w:spacing w:before="120" w:after="120"/>
        <w:ind w:left="720" w:right="720"/>
        <w:jc w:val="both"/>
        <w:rPr>
          <w:kern w:val="24"/>
          <w:sz w:val="22"/>
          <w:lang w:val="en-CA"/>
        </w:rPr>
      </w:pPr>
      <w:r w:rsidRPr="000A3539">
        <w:rPr>
          <w:kern w:val="24"/>
          <w:sz w:val="22"/>
          <w:lang w:val="en-CA"/>
        </w:rPr>
        <w:t>[36]  </w:t>
      </w:r>
      <w:r w:rsidR="00CC1E10" w:rsidRPr="000A3539">
        <w:rPr>
          <w:kern w:val="24"/>
          <w:sz w:val="22"/>
          <w:lang w:val="en-CA"/>
        </w:rPr>
        <w:t>If these three elements are established in accordance with the degree of proof we will specify below, there is “</w:t>
      </w:r>
      <w:r w:rsidR="00CC1E10" w:rsidRPr="000A3539">
        <w:rPr>
          <w:i/>
          <w:iCs/>
          <w:kern w:val="24"/>
          <w:sz w:val="22"/>
          <w:lang w:val="en-CA"/>
        </w:rPr>
        <w:t>prima facie</w:t>
      </w:r>
      <w:r w:rsidR="00CC1E10" w:rsidRPr="000A3539">
        <w:rPr>
          <w:kern w:val="24"/>
          <w:sz w:val="22"/>
          <w:lang w:val="en-CA"/>
        </w:rPr>
        <w:t> discrimination”. This is the first step of the analysis.</w:t>
      </w:r>
    </w:p>
    <w:p w14:paraId="1C7825C1" w14:textId="53AF70BE" w:rsidR="00352837" w:rsidRPr="000A3539" w:rsidRDefault="00D76132" w:rsidP="00352837">
      <w:pPr>
        <w:spacing w:before="120" w:after="120"/>
        <w:ind w:left="720" w:right="720"/>
        <w:jc w:val="both"/>
        <w:rPr>
          <w:kern w:val="24"/>
          <w:sz w:val="22"/>
          <w:lang w:val="en-CA"/>
        </w:rPr>
      </w:pPr>
      <w:r w:rsidRPr="000A3539">
        <w:rPr>
          <w:kern w:val="24"/>
          <w:sz w:val="22"/>
          <w:lang w:val="en-CA"/>
        </w:rPr>
        <w:t>[37]  </w:t>
      </w:r>
      <w:r w:rsidR="00CC1E10" w:rsidRPr="000A3539">
        <w:rPr>
          <w:kern w:val="24"/>
          <w:sz w:val="22"/>
          <w:u w:val="single"/>
          <w:lang w:val="en-CA"/>
        </w:rPr>
        <w:t>Second</w:t>
      </w:r>
      <w:r w:rsidR="00CC1E10" w:rsidRPr="000A3539">
        <w:rPr>
          <w:kern w:val="24"/>
          <w:sz w:val="22"/>
          <w:lang w:val="en-CA"/>
        </w:rPr>
        <w:t>, the defendant can then, also in accordance with the degree of proof we will indicate below, justify his or her decision or conduct on the basis of the exemptions provided for in the applicable human rights legislation or those developed by the courts. If the defendant fails to do so, discrimination will then be found to have occurred. This is the second step of the analysis.</w:t>
      </w:r>
      <w:r w:rsidRPr="000A3539">
        <w:rPr>
          <w:kern w:val="24"/>
          <w:sz w:val="22"/>
          <w:vertAlign w:val="superscript"/>
          <w:lang w:val="en-CA"/>
        </w:rPr>
        <w:footnoteReference w:id="59"/>
      </w:r>
    </w:p>
    <w:p w14:paraId="484D1F93" w14:textId="2D8BAD54" w:rsidR="00352837" w:rsidRPr="000A3539" w:rsidRDefault="009F6B5E" w:rsidP="00352837">
      <w:pPr>
        <w:spacing w:before="120" w:after="120"/>
        <w:ind w:left="720" w:right="720"/>
        <w:jc w:val="right"/>
        <w:rPr>
          <w:kern w:val="24"/>
          <w:sz w:val="22"/>
          <w:lang w:val="en-CA"/>
        </w:rPr>
      </w:pPr>
      <w:r w:rsidRPr="000A3539">
        <w:rPr>
          <w:kern w:val="24"/>
          <w:sz w:val="22"/>
          <w:lang w:val="en-CA"/>
        </w:rPr>
        <w:t>[Emphasis added]</w:t>
      </w:r>
    </w:p>
    <w:p w14:paraId="51C128A9" w14:textId="21458767" w:rsidR="00352837" w:rsidRPr="000A3539" w:rsidRDefault="009E5AD2" w:rsidP="00352837">
      <w:pPr>
        <w:pStyle w:val="Paragraphe"/>
        <w:rPr>
          <w:lang w:val="en-CA"/>
        </w:rPr>
      </w:pPr>
      <w:r w:rsidRPr="000A3539">
        <w:rPr>
          <w:lang w:val="en-CA"/>
        </w:rPr>
        <w:t>With respect to the third criteri</w:t>
      </w:r>
      <w:r w:rsidR="00FE6CD2" w:rsidRPr="000A3539">
        <w:rPr>
          <w:lang w:val="en-CA"/>
        </w:rPr>
        <w:t>on</w:t>
      </w:r>
      <w:r w:rsidRPr="000A3539">
        <w:rPr>
          <w:lang w:val="en-CA"/>
        </w:rPr>
        <w:t xml:space="preserve"> of the first part of the analysis</w:t>
      </w:r>
      <w:r w:rsidR="00D76132" w:rsidRPr="000A3539">
        <w:rPr>
          <w:lang w:val="en-CA"/>
        </w:rPr>
        <w:t xml:space="preserve"> – </w:t>
      </w:r>
      <w:r w:rsidRPr="000A3539">
        <w:rPr>
          <w:lang w:val="en-CA"/>
        </w:rPr>
        <w:t xml:space="preserve">having the effect of nullifying or impairing the right to full and </w:t>
      </w:r>
      <w:r w:rsidR="00D76132" w:rsidRPr="000A3539">
        <w:rPr>
          <w:lang w:val="en-CA"/>
        </w:rPr>
        <w:t>equal</w:t>
      </w:r>
      <w:r w:rsidRPr="000A3539">
        <w:rPr>
          <w:lang w:val="en-CA"/>
        </w:rPr>
        <w:t xml:space="preserve"> recognition and e</w:t>
      </w:r>
      <w:r w:rsidR="00D76132" w:rsidRPr="000A3539">
        <w:rPr>
          <w:lang w:val="en-CA"/>
        </w:rPr>
        <w:t>xerci</w:t>
      </w:r>
      <w:r w:rsidRPr="000A3539">
        <w:rPr>
          <w:lang w:val="en-CA"/>
        </w:rPr>
        <w:t>s</w:t>
      </w:r>
      <w:r w:rsidR="00D76132" w:rsidRPr="000A3539">
        <w:rPr>
          <w:lang w:val="en-CA"/>
        </w:rPr>
        <w:t>e</w:t>
      </w:r>
      <w:r w:rsidR="000F0A85" w:rsidRPr="000A3539">
        <w:rPr>
          <w:lang w:val="en-CA"/>
        </w:rPr>
        <w:t xml:space="preserve"> of a human right or freedom </w:t>
      </w:r>
      <w:r w:rsidR="00D76132" w:rsidRPr="000A3539">
        <w:rPr>
          <w:lang w:val="en-CA"/>
        </w:rPr>
        <w:t>– the</w:t>
      </w:r>
      <w:r w:rsidR="000F0A85" w:rsidRPr="000A3539">
        <w:rPr>
          <w:lang w:val="en-CA"/>
        </w:rPr>
        <w:t xml:space="preserve"> </w:t>
      </w:r>
      <w:r w:rsidR="00D76132" w:rsidRPr="000A3539">
        <w:rPr>
          <w:lang w:val="en-CA"/>
        </w:rPr>
        <w:t>Supreme</w:t>
      </w:r>
      <w:r w:rsidR="000F0A85" w:rsidRPr="000A3539">
        <w:rPr>
          <w:lang w:val="en-CA"/>
        </w:rPr>
        <w:t xml:space="preserve"> </w:t>
      </w:r>
      <w:r w:rsidR="00D76132" w:rsidRPr="000A3539">
        <w:rPr>
          <w:lang w:val="en-CA"/>
        </w:rPr>
        <w:t>Court</w:t>
      </w:r>
      <w:r w:rsidR="000F0A85" w:rsidRPr="000A3539">
        <w:rPr>
          <w:lang w:val="en-CA"/>
        </w:rPr>
        <w:t xml:space="preserve"> noted that, </w:t>
      </w:r>
      <w:r w:rsidR="00D76132" w:rsidRPr="000A3539">
        <w:rPr>
          <w:lang w:val="en-CA"/>
        </w:rPr>
        <w:t>contrar</w:t>
      </w:r>
      <w:r w:rsidR="000F0A85" w:rsidRPr="000A3539">
        <w:rPr>
          <w:lang w:val="en-CA"/>
        </w:rPr>
        <w:t xml:space="preserve">y to the </w:t>
      </w:r>
      <w:r w:rsidR="00D76132" w:rsidRPr="000A3539">
        <w:rPr>
          <w:i/>
          <w:lang w:val="en-CA"/>
        </w:rPr>
        <w:t>Canadian</w:t>
      </w:r>
      <w:r w:rsidR="000F0A85" w:rsidRPr="000A3539">
        <w:rPr>
          <w:i/>
          <w:lang w:val="en-CA"/>
        </w:rPr>
        <w:t xml:space="preserve"> </w:t>
      </w:r>
      <w:r w:rsidR="00D76132" w:rsidRPr="000A3539">
        <w:rPr>
          <w:i/>
          <w:lang w:val="en-CA"/>
        </w:rPr>
        <w:t>Charter</w:t>
      </w:r>
      <w:r w:rsidR="00D76132" w:rsidRPr="000A3539">
        <w:rPr>
          <w:lang w:val="en-CA"/>
        </w:rPr>
        <w:t xml:space="preserve">, </w:t>
      </w:r>
      <w:r w:rsidR="000F0A85" w:rsidRPr="000A3539">
        <w:rPr>
          <w:lang w:val="en-CA"/>
        </w:rPr>
        <w:t xml:space="preserve">the </w:t>
      </w:r>
      <w:r w:rsidR="00D76132" w:rsidRPr="000A3539">
        <w:rPr>
          <w:i/>
          <w:lang w:val="en-CA"/>
        </w:rPr>
        <w:t>Quebec</w:t>
      </w:r>
      <w:r w:rsidR="000F0A85" w:rsidRPr="000A3539">
        <w:rPr>
          <w:i/>
          <w:lang w:val="en-CA"/>
        </w:rPr>
        <w:t xml:space="preserve"> </w:t>
      </w:r>
      <w:r w:rsidR="00D76132" w:rsidRPr="000A3539">
        <w:rPr>
          <w:i/>
          <w:lang w:val="en-CA"/>
        </w:rPr>
        <w:t>Charter</w:t>
      </w:r>
      <w:r w:rsidR="00D76132" w:rsidRPr="000A3539">
        <w:rPr>
          <w:lang w:val="en-CA"/>
        </w:rPr>
        <w:t xml:space="preserve"> </w:t>
      </w:r>
      <w:r w:rsidR="000F0A85" w:rsidRPr="000A3539">
        <w:rPr>
          <w:lang w:val="en-CA"/>
        </w:rPr>
        <w:t xml:space="preserve">does not protect the </w:t>
      </w:r>
      <w:r w:rsidR="00D76132" w:rsidRPr="000A3539">
        <w:rPr>
          <w:lang w:val="en-CA"/>
        </w:rPr>
        <w:t>right</w:t>
      </w:r>
      <w:r w:rsidR="000F0A85" w:rsidRPr="000A3539">
        <w:rPr>
          <w:lang w:val="en-CA"/>
        </w:rPr>
        <w:t xml:space="preserve"> </w:t>
      </w:r>
      <w:r w:rsidR="00D76132" w:rsidRPr="000A3539">
        <w:rPr>
          <w:lang w:val="en-CA"/>
        </w:rPr>
        <w:t>to</w:t>
      </w:r>
      <w:r w:rsidR="000F0A85" w:rsidRPr="000A3539">
        <w:rPr>
          <w:lang w:val="en-CA"/>
        </w:rPr>
        <w:t xml:space="preserve"> </w:t>
      </w:r>
      <w:r w:rsidR="00D76132" w:rsidRPr="000A3539">
        <w:rPr>
          <w:lang w:val="en-CA"/>
        </w:rPr>
        <w:t>equality,</w:t>
      </w:r>
      <w:r w:rsidR="000F0A85" w:rsidRPr="000A3539">
        <w:rPr>
          <w:lang w:val="en-CA"/>
        </w:rPr>
        <w:t xml:space="preserve"> and that the action must necessarily be attached to</w:t>
      </w:r>
      <w:r w:rsidR="006E12B0" w:rsidRPr="000A3539">
        <w:rPr>
          <w:lang w:val="en-CA"/>
        </w:rPr>
        <w:t xml:space="preserve"> another human </w:t>
      </w:r>
      <w:r w:rsidR="00D76132" w:rsidRPr="000A3539">
        <w:rPr>
          <w:lang w:val="en-CA"/>
        </w:rPr>
        <w:t>right</w:t>
      </w:r>
      <w:r w:rsidR="006E12B0" w:rsidRPr="000A3539">
        <w:rPr>
          <w:lang w:val="en-CA"/>
        </w:rPr>
        <w:t xml:space="preserve"> or freedom recognized by law, the right to receive equal pay for equivalent work</w:t>
      </w:r>
      <w:r w:rsidR="004C4680">
        <w:rPr>
          <w:lang w:val="en-CA"/>
        </w:rPr>
        <w:t xml:space="preserve"> in this case</w:t>
      </w:r>
      <w:r w:rsidR="00D76132" w:rsidRPr="000A3539">
        <w:rPr>
          <w:lang w:val="en-CA"/>
        </w:rPr>
        <w:t>:</w:t>
      </w:r>
    </w:p>
    <w:p w14:paraId="7A41C890" w14:textId="513548A8" w:rsidR="00352837" w:rsidRPr="000A3539" w:rsidRDefault="00D76132" w:rsidP="00352837">
      <w:pPr>
        <w:spacing w:before="120" w:after="120"/>
        <w:ind w:left="720" w:right="720"/>
        <w:jc w:val="both"/>
        <w:rPr>
          <w:kern w:val="24"/>
          <w:sz w:val="22"/>
          <w:lang w:val="en-CA"/>
        </w:rPr>
      </w:pPr>
      <w:r w:rsidRPr="000A3539">
        <w:rPr>
          <w:kern w:val="24"/>
          <w:sz w:val="22"/>
          <w:lang w:val="en-CA"/>
        </w:rPr>
        <w:t>[53] </w:t>
      </w:r>
      <w:r w:rsidRPr="000A3539">
        <w:rPr>
          <w:lang w:val="en-CA"/>
        </w:rPr>
        <w:t> </w:t>
      </w:r>
      <w:r w:rsidR="006E12B0" w:rsidRPr="000A3539">
        <w:rPr>
          <w:sz w:val="22"/>
          <w:lang w:val="en-CA"/>
        </w:rPr>
        <w:t>Lastly, the plaintiff must show that the distinction, exclusion or preference affects the full and equal exercise of a right or freedom guaranteed to him or her by the </w:t>
      </w:r>
      <w:r w:rsidR="006E12B0" w:rsidRPr="000A3539">
        <w:rPr>
          <w:i/>
          <w:iCs/>
          <w:sz w:val="22"/>
          <w:lang w:val="en-CA"/>
        </w:rPr>
        <w:t>Charter</w:t>
      </w:r>
      <w:r w:rsidR="006E12B0" w:rsidRPr="000A3539">
        <w:rPr>
          <w:sz w:val="22"/>
          <w:lang w:val="en-CA"/>
        </w:rPr>
        <w:t xml:space="preserve">. </w:t>
      </w:r>
      <w:r w:rsidR="006E12B0" w:rsidRPr="000A3539">
        <w:rPr>
          <w:sz w:val="22"/>
          <w:u w:val="single"/>
          <w:lang w:val="en-CA"/>
        </w:rPr>
        <w:t>The </w:t>
      </w:r>
      <w:r w:rsidR="006E12B0" w:rsidRPr="000A3539">
        <w:rPr>
          <w:i/>
          <w:iCs/>
          <w:sz w:val="22"/>
          <w:u w:val="single"/>
          <w:lang w:val="en-CA"/>
        </w:rPr>
        <w:t>Charter</w:t>
      </w:r>
      <w:r w:rsidR="006E12B0" w:rsidRPr="000A3539">
        <w:rPr>
          <w:sz w:val="22"/>
          <w:u w:val="single"/>
          <w:lang w:val="en-CA"/>
        </w:rPr>
        <w:t>, unlike the </w:t>
      </w:r>
      <w:r w:rsidR="006E12B0" w:rsidRPr="000A3539">
        <w:rPr>
          <w:i/>
          <w:iCs/>
          <w:sz w:val="22"/>
          <w:u w:val="single"/>
          <w:lang w:val="en-CA"/>
        </w:rPr>
        <w:t>Canadian Charter</w:t>
      </w:r>
      <w:r w:rsidR="006E12B0" w:rsidRPr="000A3539">
        <w:rPr>
          <w:sz w:val="22"/>
          <w:u w:val="single"/>
          <w:lang w:val="en-CA"/>
        </w:rPr>
        <w:t>, does not protect the right to equality </w:t>
      </w:r>
      <w:r w:rsidR="006E12B0" w:rsidRPr="000A3539">
        <w:rPr>
          <w:i/>
          <w:iCs/>
          <w:sz w:val="22"/>
          <w:u w:val="single"/>
          <w:lang w:val="en-CA"/>
        </w:rPr>
        <w:t>per se</w:t>
      </w:r>
      <w:r w:rsidR="006E12B0" w:rsidRPr="000A3539">
        <w:rPr>
          <w:sz w:val="22"/>
          <w:lang w:val="en-CA"/>
        </w:rPr>
        <w:t>; this right is protected only in the exercise of the other rights and freedoms guaranteed by the </w:t>
      </w:r>
      <w:r w:rsidR="006E12B0" w:rsidRPr="000A3539">
        <w:rPr>
          <w:i/>
          <w:iCs/>
          <w:sz w:val="22"/>
          <w:lang w:val="en-CA"/>
        </w:rPr>
        <w:t>Charter</w:t>
      </w:r>
      <w:r w:rsidRPr="000A3539">
        <w:rPr>
          <w:kern w:val="24"/>
          <w:sz w:val="22"/>
          <w:lang w:val="en-CA"/>
        </w:rPr>
        <w:t>.</w:t>
      </w:r>
    </w:p>
    <w:p w14:paraId="48B82F1A" w14:textId="20BB2D45" w:rsidR="00352837" w:rsidRPr="000A3539" w:rsidRDefault="00D76132" w:rsidP="00352837">
      <w:pPr>
        <w:spacing w:before="120" w:after="120"/>
        <w:ind w:left="720" w:right="720"/>
        <w:jc w:val="both"/>
        <w:rPr>
          <w:kern w:val="24"/>
          <w:sz w:val="22"/>
          <w:lang w:val="en-CA"/>
        </w:rPr>
      </w:pPr>
      <w:r w:rsidRPr="000A3539">
        <w:rPr>
          <w:kern w:val="24"/>
          <w:sz w:val="22"/>
          <w:lang w:val="en-CA"/>
        </w:rPr>
        <w:t>[54]  </w:t>
      </w:r>
      <w:r w:rsidR="006E12B0" w:rsidRPr="000A3539">
        <w:rPr>
          <w:kern w:val="24"/>
          <w:sz w:val="22"/>
          <w:lang w:val="en-CA"/>
        </w:rPr>
        <w:t> This means that the right to non</w:t>
      </w:r>
      <w:r w:rsidR="006E12B0" w:rsidRPr="000A3539">
        <w:rPr>
          <w:kern w:val="24"/>
          <w:sz w:val="22"/>
          <w:lang w:val="en-CA"/>
        </w:rPr>
        <w:noBreakHyphen/>
        <w:t>discrimination cannot serve as a basis for an application on its own and that it must necessarily be attached to another human right or freedom recognized by law. However, this requirement should not be confused with the independent scope of the right to equality; the </w:t>
      </w:r>
      <w:r w:rsidR="006E12B0" w:rsidRPr="000A3539">
        <w:rPr>
          <w:i/>
          <w:iCs/>
          <w:kern w:val="24"/>
          <w:sz w:val="22"/>
          <w:lang w:val="en-CA"/>
        </w:rPr>
        <w:t>Charter</w:t>
      </w:r>
      <w:r w:rsidR="006E12B0" w:rsidRPr="000A3539">
        <w:rPr>
          <w:kern w:val="24"/>
          <w:sz w:val="22"/>
          <w:lang w:val="en-CA"/>
        </w:rPr>
        <w:t xml:space="preserve"> does not </w:t>
      </w:r>
      <w:r w:rsidR="006E12B0" w:rsidRPr="000A3539">
        <w:rPr>
          <w:kern w:val="24"/>
          <w:sz w:val="22"/>
          <w:lang w:val="en-CA"/>
        </w:rPr>
        <w:lastRenderedPageBreak/>
        <w:t>require a “double violation” (right to equality and, for example, freedom of religion), which would make s. 10 redundant</w:t>
      </w:r>
      <w:r w:rsidRPr="000A3539">
        <w:rPr>
          <w:kern w:val="24"/>
          <w:sz w:val="22"/>
          <w:lang w:val="en-CA"/>
        </w:rPr>
        <w:t>.</w:t>
      </w:r>
      <w:r w:rsidRPr="000A3539">
        <w:rPr>
          <w:kern w:val="24"/>
          <w:sz w:val="22"/>
          <w:vertAlign w:val="superscript"/>
          <w:lang w:val="en-CA"/>
        </w:rPr>
        <w:footnoteReference w:id="60"/>
      </w:r>
    </w:p>
    <w:p w14:paraId="5CF3DCC6" w14:textId="6285387E" w:rsidR="00352837" w:rsidRPr="000A3539" w:rsidRDefault="009F6B5E" w:rsidP="00352837">
      <w:pPr>
        <w:spacing w:before="120" w:after="120"/>
        <w:ind w:left="720" w:right="720"/>
        <w:jc w:val="right"/>
        <w:rPr>
          <w:kern w:val="24"/>
          <w:sz w:val="22"/>
          <w:lang w:val="en-CA"/>
        </w:rPr>
      </w:pPr>
      <w:r w:rsidRPr="000A3539">
        <w:rPr>
          <w:kern w:val="24"/>
          <w:sz w:val="22"/>
          <w:lang w:val="en-CA"/>
        </w:rPr>
        <w:t>[Emphasis added]</w:t>
      </w:r>
    </w:p>
    <w:p w14:paraId="12697A17" w14:textId="72BAB50C" w:rsidR="00352837" w:rsidRPr="000A3539" w:rsidRDefault="00D76132" w:rsidP="00352837">
      <w:pPr>
        <w:pStyle w:val="Paragraphe"/>
        <w:rPr>
          <w:kern w:val="0"/>
          <w:lang w:val="en-CA"/>
        </w:rPr>
      </w:pPr>
      <w:r w:rsidRPr="000A3539">
        <w:rPr>
          <w:kern w:val="0"/>
          <w:lang w:val="en-CA"/>
        </w:rPr>
        <w:t>Supreme</w:t>
      </w:r>
      <w:r w:rsidR="0014204E" w:rsidRPr="000A3539">
        <w:rPr>
          <w:kern w:val="0"/>
          <w:lang w:val="en-CA"/>
        </w:rPr>
        <w:t xml:space="preserve"> </w:t>
      </w:r>
      <w:r w:rsidRPr="000A3539">
        <w:rPr>
          <w:kern w:val="0"/>
          <w:lang w:val="en-CA"/>
        </w:rPr>
        <w:t>Court</w:t>
      </w:r>
      <w:r w:rsidR="00D77F9B" w:rsidRPr="00D77F9B">
        <w:rPr>
          <w:kern w:val="0"/>
          <w:lang w:val="en-CA"/>
        </w:rPr>
        <w:t xml:space="preserve"> </w:t>
      </w:r>
      <w:r w:rsidR="006B6512">
        <w:rPr>
          <w:kern w:val="0"/>
          <w:lang w:val="en-CA"/>
        </w:rPr>
        <w:t xml:space="preserve">jurisprudence </w:t>
      </w:r>
      <w:r w:rsidR="00D77F9B" w:rsidRPr="000A3539">
        <w:rPr>
          <w:kern w:val="0"/>
          <w:lang w:val="en-CA"/>
        </w:rPr>
        <w:t xml:space="preserve">applies these </w:t>
      </w:r>
      <w:r w:rsidR="003D5CD7">
        <w:rPr>
          <w:kern w:val="0"/>
          <w:lang w:val="en-CA"/>
        </w:rPr>
        <w:t xml:space="preserve">tests </w:t>
      </w:r>
      <w:r w:rsidR="0014204E" w:rsidRPr="000A3539">
        <w:rPr>
          <w:kern w:val="0"/>
          <w:lang w:val="en-CA"/>
        </w:rPr>
        <w:t xml:space="preserve">when </w:t>
      </w:r>
      <w:r w:rsidRPr="000A3539">
        <w:rPr>
          <w:kern w:val="0"/>
          <w:lang w:val="en-CA"/>
        </w:rPr>
        <w:t>deal</w:t>
      </w:r>
      <w:r w:rsidR="000B26D3" w:rsidRPr="000A3539">
        <w:rPr>
          <w:kern w:val="0"/>
          <w:lang w:val="en-CA"/>
        </w:rPr>
        <w:t xml:space="preserve">ing with an action based on the </w:t>
      </w:r>
      <w:r w:rsidRPr="00FD1FB8">
        <w:rPr>
          <w:i/>
          <w:kern w:val="0"/>
          <w:lang w:val="en-CA"/>
        </w:rPr>
        <w:t>Quebec</w:t>
      </w:r>
      <w:r w:rsidR="000B26D3" w:rsidRPr="000A3539">
        <w:rPr>
          <w:i/>
          <w:kern w:val="0"/>
          <w:lang w:val="en-CA"/>
        </w:rPr>
        <w:t xml:space="preserve"> </w:t>
      </w:r>
      <w:r w:rsidRPr="000A3539">
        <w:rPr>
          <w:i/>
          <w:kern w:val="0"/>
          <w:lang w:val="en-CA"/>
        </w:rPr>
        <w:t>Charter</w:t>
      </w:r>
      <w:r w:rsidRPr="000A3539">
        <w:rPr>
          <w:kern w:val="0"/>
          <w:lang w:val="en-CA"/>
        </w:rPr>
        <w:t xml:space="preserve">. </w:t>
      </w:r>
      <w:r w:rsidR="000B26D3" w:rsidRPr="000A3539">
        <w:rPr>
          <w:kern w:val="0"/>
          <w:lang w:val="en-CA"/>
        </w:rPr>
        <w:t xml:space="preserve">For </w:t>
      </w:r>
      <w:r w:rsidRPr="000A3539">
        <w:rPr>
          <w:kern w:val="0"/>
          <w:lang w:val="en-CA"/>
        </w:rPr>
        <w:t>ex</w:t>
      </w:r>
      <w:r w:rsidR="000B26D3" w:rsidRPr="000A3539">
        <w:rPr>
          <w:kern w:val="0"/>
          <w:lang w:val="en-CA"/>
        </w:rPr>
        <w:t>a</w:t>
      </w:r>
      <w:r w:rsidRPr="000A3539">
        <w:rPr>
          <w:kern w:val="0"/>
          <w:lang w:val="en-CA"/>
        </w:rPr>
        <w:t xml:space="preserve">mple, </w:t>
      </w:r>
      <w:proofErr w:type="spellStart"/>
      <w:r w:rsidRPr="000A3539">
        <w:rPr>
          <w:i/>
          <w:kern w:val="0"/>
          <w:lang w:val="en-CA"/>
        </w:rPr>
        <w:t>Mouvement</w:t>
      </w:r>
      <w:proofErr w:type="spellEnd"/>
      <w:r w:rsidRPr="000A3539">
        <w:rPr>
          <w:i/>
          <w:kern w:val="0"/>
          <w:lang w:val="en-CA"/>
        </w:rPr>
        <w:t xml:space="preserve"> </w:t>
      </w:r>
      <w:proofErr w:type="spellStart"/>
      <w:r w:rsidRPr="000A3539">
        <w:rPr>
          <w:i/>
          <w:kern w:val="0"/>
          <w:lang w:val="en-CA"/>
        </w:rPr>
        <w:t>laïque</w:t>
      </w:r>
      <w:proofErr w:type="spellEnd"/>
      <w:r w:rsidRPr="000A3539">
        <w:rPr>
          <w:i/>
          <w:kern w:val="0"/>
          <w:lang w:val="en-CA"/>
        </w:rPr>
        <w:t xml:space="preserve"> </w:t>
      </w:r>
      <w:proofErr w:type="spellStart"/>
      <w:r w:rsidRPr="000A3539">
        <w:rPr>
          <w:i/>
          <w:kern w:val="0"/>
          <w:lang w:val="en-CA"/>
        </w:rPr>
        <w:t>québécois</w:t>
      </w:r>
      <w:proofErr w:type="spellEnd"/>
      <w:r w:rsidRPr="000A3539">
        <w:rPr>
          <w:i/>
          <w:kern w:val="0"/>
          <w:lang w:val="en-CA"/>
        </w:rPr>
        <w:t xml:space="preserve"> </w:t>
      </w:r>
      <w:r w:rsidR="00D77F9B">
        <w:rPr>
          <w:i/>
          <w:kern w:val="0"/>
          <w:lang w:val="en-CA"/>
        </w:rPr>
        <w:t>v</w:t>
      </w:r>
      <w:r w:rsidRPr="000A3539">
        <w:rPr>
          <w:i/>
          <w:kern w:val="0"/>
          <w:lang w:val="en-CA"/>
        </w:rPr>
        <w:t>. Saguenay (</w:t>
      </w:r>
      <w:r w:rsidR="00D77F9B">
        <w:rPr>
          <w:i/>
          <w:kern w:val="0"/>
          <w:lang w:val="en-CA"/>
        </w:rPr>
        <w:t>City</w:t>
      </w:r>
      <w:r w:rsidRPr="000A3539">
        <w:rPr>
          <w:i/>
          <w:kern w:val="0"/>
          <w:lang w:val="en-CA"/>
        </w:rPr>
        <w:t>)</w:t>
      </w:r>
      <w:r w:rsidRPr="000A3539">
        <w:rPr>
          <w:rStyle w:val="Appelnotedebasdep"/>
          <w:kern w:val="0"/>
          <w:lang w:val="en-CA"/>
        </w:rPr>
        <w:footnoteReference w:id="61"/>
      </w:r>
      <w:r w:rsidRPr="000A3539">
        <w:rPr>
          <w:i/>
          <w:kern w:val="0"/>
          <w:lang w:val="en-CA"/>
        </w:rPr>
        <w:t xml:space="preserve"> </w:t>
      </w:r>
      <w:r w:rsidRPr="000A3539">
        <w:rPr>
          <w:kern w:val="0"/>
          <w:lang w:val="en-CA"/>
        </w:rPr>
        <w:t>cont</w:t>
      </w:r>
      <w:r w:rsidR="000B26D3" w:rsidRPr="000A3539">
        <w:rPr>
          <w:kern w:val="0"/>
          <w:lang w:val="en-CA"/>
        </w:rPr>
        <w:t xml:space="preserve">ains several </w:t>
      </w:r>
      <w:r w:rsidRPr="000A3539">
        <w:rPr>
          <w:kern w:val="0"/>
          <w:lang w:val="en-CA"/>
        </w:rPr>
        <w:t xml:space="preserve">passages </w:t>
      </w:r>
      <w:r w:rsidR="00B5740B">
        <w:rPr>
          <w:kern w:val="0"/>
          <w:lang w:val="en-CA"/>
        </w:rPr>
        <w:t xml:space="preserve">in which </w:t>
      </w:r>
      <w:r w:rsidR="000B26D3" w:rsidRPr="000A3539">
        <w:rPr>
          <w:kern w:val="0"/>
          <w:lang w:val="en-CA"/>
        </w:rPr>
        <w:t xml:space="preserve">the </w:t>
      </w:r>
      <w:r w:rsidRPr="000A3539">
        <w:rPr>
          <w:kern w:val="0"/>
          <w:lang w:val="en-CA"/>
        </w:rPr>
        <w:t xml:space="preserve">existence </w:t>
      </w:r>
      <w:r w:rsidR="000B26D3" w:rsidRPr="000A3539">
        <w:rPr>
          <w:kern w:val="0"/>
          <w:lang w:val="en-CA"/>
        </w:rPr>
        <w:t xml:space="preserve">of </w:t>
      </w:r>
      <w:r w:rsidRPr="000A3539">
        <w:rPr>
          <w:kern w:val="0"/>
          <w:lang w:val="en-CA"/>
        </w:rPr>
        <w:t xml:space="preserve">discrimination </w:t>
      </w:r>
      <w:r w:rsidR="00D26D3B">
        <w:rPr>
          <w:kern w:val="0"/>
          <w:lang w:val="en-CA"/>
        </w:rPr>
        <w:t xml:space="preserve">is subject to </w:t>
      </w:r>
      <w:r w:rsidRPr="000A3539">
        <w:rPr>
          <w:kern w:val="0"/>
          <w:lang w:val="en-CA"/>
        </w:rPr>
        <w:t xml:space="preserve">evidence </w:t>
      </w:r>
      <w:r w:rsidR="000B26D3" w:rsidRPr="000A3539">
        <w:rPr>
          <w:kern w:val="0"/>
          <w:lang w:val="en-CA"/>
        </w:rPr>
        <w:t xml:space="preserve">of impairment of </w:t>
      </w:r>
      <w:r w:rsidR="00074775" w:rsidRPr="000A3539">
        <w:rPr>
          <w:kern w:val="0"/>
          <w:lang w:val="en-CA"/>
        </w:rPr>
        <w:t xml:space="preserve">another </w:t>
      </w:r>
      <w:r w:rsidRPr="000A3539">
        <w:rPr>
          <w:kern w:val="0"/>
          <w:lang w:val="en-CA"/>
        </w:rPr>
        <w:t xml:space="preserve">right </w:t>
      </w:r>
      <w:r w:rsidR="00074775" w:rsidRPr="000A3539">
        <w:rPr>
          <w:kern w:val="0"/>
          <w:lang w:val="en-CA"/>
        </w:rPr>
        <w:t xml:space="preserve">set out in the </w:t>
      </w:r>
      <w:r w:rsidRPr="00FD1FB8">
        <w:rPr>
          <w:i/>
          <w:kern w:val="0"/>
          <w:lang w:val="en-CA"/>
        </w:rPr>
        <w:t>Quebec</w:t>
      </w:r>
      <w:r w:rsidR="00074775" w:rsidRPr="000A3539">
        <w:rPr>
          <w:i/>
          <w:kern w:val="0"/>
          <w:lang w:val="en-CA"/>
        </w:rPr>
        <w:t xml:space="preserve"> </w:t>
      </w:r>
      <w:r w:rsidRPr="000A3539">
        <w:rPr>
          <w:i/>
          <w:kern w:val="0"/>
          <w:lang w:val="en-CA"/>
        </w:rPr>
        <w:t>Charter</w:t>
      </w:r>
      <w:r w:rsidR="00074775" w:rsidRPr="000A3539">
        <w:rPr>
          <w:kern w:val="0"/>
          <w:lang w:val="en-CA"/>
        </w:rPr>
        <w:t>,</w:t>
      </w:r>
      <w:r w:rsidR="00074775" w:rsidRPr="000A3539">
        <w:rPr>
          <w:i/>
          <w:kern w:val="0"/>
          <w:lang w:val="en-CA"/>
        </w:rPr>
        <w:t xml:space="preserve"> </w:t>
      </w:r>
      <w:r w:rsidR="00074775" w:rsidRPr="000A3539">
        <w:rPr>
          <w:kern w:val="0"/>
          <w:lang w:val="en-CA"/>
        </w:rPr>
        <w:t>not</w:t>
      </w:r>
      <w:r w:rsidRPr="000A3539">
        <w:rPr>
          <w:i/>
          <w:kern w:val="0"/>
          <w:lang w:val="en-CA"/>
        </w:rPr>
        <w:t xml:space="preserve"> </w:t>
      </w:r>
      <w:r w:rsidR="00D26D3B">
        <w:rPr>
          <w:kern w:val="0"/>
          <w:lang w:val="en-CA"/>
        </w:rPr>
        <w:t xml:space="preserve">to </w:t>
      </w:r>
      <w:r w:rsidR="00074775" w:rsidRPr="000A3539">
        <w:rPr>
          <w:kern w:val="0"/>
          <w:lang w:val="en-CA"/>
        </w:rPr>
        <w:t xml:space="preserve">the existence of a prejudice, </w:t>
      </w:r>
      <w:r w:rsidRPr="000A3539">
        <w:rPr>
          <w:kern w:val="0"/>
          <w:lang w:val="en-CA"/>
        </w:rPr>
        <w:t>st</w:t>
      </w:r>
      <w:r w:rsidR="00074775" w:rsidRPr="000A3539">
        <w:rPr>
          <w:kern w:val="0"/>
          <w:lang w:val="en-CA"/>
        </w:rPr>
        <w:t>e</w:t>
      </w:r>
      <w:r w:rsidRPr="000A3539">
        <w:rPr>
          <w:kern w:val="0"/>
          <w:lang w:val="en-CA"/>
        </w:rPr>
        <w:t>r</w:t>
      </w:r>
      <w:r w:rsidR="00074775" w:rsidRPr="000A3539">
        <w:rPr>
          <w:kern w:val="0"/>
          <w:lang w:val="en-CA"/>
        </w:rPr>
        <w:t>e</w:t>
      </w:r>
      <w:r w:rsidRPr="000A3539">
        <w:rPr>
          <w:kern w:val="0"/>
          <w:lang w:val="en-CA"/>
        </w:rPr>
        <w:t>otyp</w:t>
      </w:r>
      <w:r w:rsidR="000E138C">
        <w:rPr>
          <w:kern w:val="0"/>
          <w:lang w:val="en-CA"/>
        </w:rPr>
        <w:t>ing</w:t>
      </w:r>
      <w:r w:rsidR="00173273" w:rsidRPr="000A3539">
        <w:rPr>
          <w:kern w:val="0"/>
          <w:lang w:val="en-CA"/>
        </w:rPr>
        <w:t xml:space="preserve">, or the </w:t>
      </w:r>
      <w:r w:rsidR="004C4680">
        <w:rPr>
          <w:kern w:val="0"/>
          <w:lang w:val="en-CA"/>
        </w:rPr>
        <w:t>perpetuation</w:t>
      </w:r>
      <w:r w:rsidR="004C4680" w:rsidRPr="000A3539">
        <w:rPr>
          <w:kern w:val="0"/>
          <w:lang w:val="en-CA"/>
        </w:rPr>
        <w:t xml:space="preserve"> </w:t>
      </w:r>
      <w:r w:rsidR="00173273" w:rsidRPr="000A3539">
        <w:rPr>
          <w:kern w:val="0"/>
          <w:lang w:val="en-CA"/>
        </w:rPr>
        <w:t>of a disadvan</w:t>
      </w:r>
      <w:r w:rsidRPr="000A3539">
        <w:rPr>
          <w:kern w:val="0"/>
          <w:lang w:val="en-CA"/>
        </w:rPr>
        <w:t>tage.</w:t>
      </w:r>
    </w:p>
    <w:p w14:paraId="737D75E1" w14:textId="7FC07AFA" w:rsidR="00352837" w:rsidRPr="000A3539" w:rsidRDefault="00173273" w:rsidP="00352837">
      <w:pPr>
        <w:pStyle w:val="Paragraphe"/>
        <w:rPr>
          <w:lang w:val="en-CA"/>
        </w:rPr>
      </w:pPr>
      <w:r w:rsidRPr="000A3539">
        <w:rPr>
          <w:lang w:val="en-CA"/>
        </w:rPr>
        <w:t xml:space="preserve">The following excerpt from the </w:t>
      </w:r>
      <w:r w:rsidR="00D76132" w:rsidRPr="000A3539">
        <w:rPr>
          <w:lang w:val="en-CA"/>
        </w:rPr>
        <w:t xml:space="preserve">2014 </w:t>
      </w:r>
      <w:r w:rsidRPr="000A3539">
        <w:rPr>
          <w:lang w:val="en-CA"/>
        </w:rPr>
        <w:t xml:space="preserve">text of authors </w:t>
      </w:r>
      <w:proofErr w:type="spellStart"/>
      <w:r w:rsidR="00D76132" w:rsidRPr="000A3539">
        <w:rPr>
          <w:lang w:val="en-CA"/>
        </w:rPr>
        <w:t>Brun</w:t>
      </w:r>
      <w:proofErr w:type="spellEnd"/>
      <w:r w:rsidR="00D76132" w:rsidRPr="000A3539">
        <w:rPr>
          <w:lang w:val="en-CA"/>
        </w:rPr>
        <w:t>, Tremblay</w:t>
      </w:r>
      <w:r w:rsidRPr="000A3539">
        <w:rPr>
          <w:lang w:val="en-CA"/>
        </w:rPr>
        <w:t>, and</w:t>
      </w:r>
      <w:r w:rsidR="00D76132" w:rsidRPr="000A3539">
        <w:rPr>
          <w:lang w:val="en-CA"/>
        </w:rPr>
        <w:t xml:space="preserve"> </w:t>
      </w:r>
      <w:proofErr w:type="spellStart"/>
      <w:r w:rsidR="00D76132" w:rsidRPr="000A3539">
        <w:rPr>
          <w:lang w:val="en-CA"/>
        </w:rPr>
        <w:t>Brouillet</w:t>
      </w:r>
      <w:proofErr w:type="spellEnd"/>
      <w:r w:rsidR="00D76132" w:rsidRPr="000A3539">
        <w:rPr>
          <w:lang w:val="en-CA"/>
        </w:rPr>
        <w:t xml:space="preserve"> indi</w:t>
      </w:r>
      <w:r w:rsidR="008170C0" w:rsidRPr="000A3539">
        <w:rPr>
          <w:lang w:val="en-CA"/>
        </w:rPr>
        <w:t xml:space="preserve">cates that the </w:t>
      </w:r>
      <w:r w:rsidR="003D5CD7">
        <w:rPr>
          <w:lang w:val="en-CA"/>
        </w:rPr>
        <w:t xml:space="preserve">tests </w:t>
      </w:r>
      <w:r w:rsidR="00D76132" w:rsidRPr="000A3539">
        <w:rPr>
          <w:lang w:val="en-CA"/>
        </w:rPr>
        <w:t>applicable</w:t>
      </w:r>
      <w:r w:rsidR="008170C0" w:rsidRPr="000A3539">
        <w:rPr>
          <w:lang w:val="en-CA"/>
        </w:rPr>
        <w:t xml:space="preserve"> to an action based on </w:t>
      </w:r>
      <w:r w:rsidR="00D76132" w:rsidRPr="000A3539">
        <w:rPr>
          <w:lang w:val="en-CA"/>
        </w:rPr>
        <w:t xml:space="preserve">section 15 </w:t>
      </w:r>
      <w:r w:rsidR="008170C0" w:rsidRPr="000A3539">
        <w:rPr>
          <w:lang w:val="en-CA"/>
        </w:rPr>
        <w:t xml:space="preserve">of the </w:t>
      </w:r>
      <w:r w:rsidR="00D76132" w:rsidRPr="000A3539">
        <w:rPr>
          <w:i/>
          <w:lang w:val="en-CA"/>
        </w:rPr>
        <w:t>Canadian</w:t>
      </w:r>
      <w:r w:rsidR="008170C0" w:rsidRPr="000A3539">
        <w:rPr>
          <w:i/>
          <w:lang w:val="en-CA"/>
        </w:rPr>
        <w:t xml:space="preserve"> </w:t>
      </w:r>
      <w:r w:rsidR="00D76132" w:rsidRPr="000A3539">
        <w:rPr>
          <w:i/>
          <w:lang w:val="en-CA"/>
        </w:rPr>
        <w:t>Charter</w:t>
      </w:r>
      <w:r w:rsidR="00D76132" w:rsidRPr="000A3539">
        <w:rPr>
          <w:lang w:val="en-CA"/>
        </w:rPr>
        <w:t xml:space="preserve"> (</w:t>
      </w:r>
      <w:r w:rsidR="008170C0" w:rsidRPr="000A3539">
        <w:rPr>
          <w:lang w:val="en-CA"/>
        </w:rPr>
        <w:t xml:space="preserve">which requires, </w:t>
      </w:r>
      <w:r w:rsidR="008170C0" w:rsidRPr="000A3539">
        <w:rPr>
          <w:i/>
          <w:lang w:val="en-CA"/>
        </w:rPr>
        <w:t>inter alia</w:t>
      </w:r>
      <w:r w:rsidR="008170C0" w:rsidRPr="000A3539">
        <w:rPr>
          <w:lang w:val="en-CA"/>
        </w:rPr>
        <w:t>, evidence of a disadvantage th</w:t>
      </w:r>
      <w:r w:rsidR="002C044B">
        <w:rPr>
          <w:lang w:val="en-CA"/>
        </w:rPr>
        <w:t>at</w:t>
      </w:r>
      <w:r w:rsidR="008170C0" w:rsidRPr="000A3539">
        <w:rPr>
          <w:lang w:val="en-CA"/>
        </w:rPr>
        <w:t xml:space="preserve"> creates or perpetuates a</w:t>
      </w:r>
      <w:r w:rsidR="00D76132" w:rsidRPr="000A3539">
        <w:rPr>
          <w:lang w:val="en-CA"/>
        </w:rPr>
        <w:t xml:space="preserve"> situation </w:t>
      </w:r>
      <w:r w:rsidR="008170C0" w:rsidRPr="000A3539">
        <w:rPr>
          <w:lang w:val="en-CA"/>
        </w:rPr>
        <w:t xml:space="preserve">of disadvantage based on prejudice or </w:t>
      </w:r>
      <w:r w:rsidR="00D76132" w:rsidRPr="000A3539">
        <w:rPr>
          <w:lang w:val="en-CA"/>
        </w:rPr>
        <w:t>st</w:t>
      </w:r>
      <w:r w:rsidR="008170C0" w:rsidRPr="000A3539">
        <w:rPr>
          <w:lang w:val="en-CA"/>
        </w:rPr>
        <w:t>e</w:t>
      </w:r>
      <w:r w:rsidR="00D76132" w:rsidRPr="000A3539">
        <w:rPr>
          <w:lang w:val="en-CA"/>
        </w:rPr>
        <w:t>r</w:t>
      </w:r>
      <w:r w:rsidR="008170C0" w:rsidRPr="000A3539">
        <w:rPr>
          <w:lang w:val="en-CA"/>
        </w:rPr>
        <w:t>e</w:t>
      </w:r>
      <w:r w:rsidR="00D76132" w:rsidRPr="000A3539">
        <w:rPr>
          <w:lang w:val="en-CA"/>
        </w:rPr>
        <w:t xml:space="preserve">otypes) </w:t>
      </w:r>
      <w:r w:rsidR="00491188" w:rsidRPr="000A3539">
        <w:rPr>
          <w:lang w:val="en-CA"/>
        </w:rPr>
        <w:t xml:space="preserve">apply to </w:t>
      </w:r>
      <w:r w:rsidR="00D76132" w:rsidRPr="000A3539">
        <w:rPr>
          <w:lang w:val="en-CA"/>
        </w:rPr>
        <w:t>complaint</w:t>
      </w:r>
      <w:r w:rsidR="00491188" w:rsidRPr="000A3539">
        <w:rPr>
          <w:lang w:val="en-CA"/>
        </w:rPr>
        <w:t xml:space="preserve">s under </w:t>
      </w:r>
      <w:r w:rsidR="00D76132" w:rsidRPr="000A3539">
        <w:rPr>
          <w:lang w:val="en-CA"/>
        </w:rPr>
        <w:t xml:space="preserve">section 10 </w:t>
      </w:r>
      <w:r w:rsidR="00491188" w:rsidRPr="000A3539">
        <w:rPr>
          <w:lang w:val="en-CA"/>
        </w:rPr>
        <w:t xml:space="preserve">of the </w:t>
      </w:r>
      <w:r w:rsidR="00D76132" w:rsidRPr="00FD1FB8">
        <w:rPr>
          <w:i/>
          <w:lang w:val="en-CA"/>
        </w:rPr>
        <w:t>Quebec</w:t>
      </w:r>
      <w:r w:rsidR="00491188" w:rsidRPr="000A3539">
        <w:rPr>
          <w:i/>
          <w:lang w:val="en-CA"/>
        </w:rPr>
        <w:t xml:space="preserve"> </w:t>
      </w:r>
      <w:r w:rsidR="00D76132" w:rsidRPr="000A3539">
        <w:rPr>
          <w:i/>
          <w:lang w:val="en-CA"/>
        </w:rPr>
        <w:t>Charter</w:t>
      </w:r>
      <w:r w:rsidR="00D76132" w:rsidRPr="000A3539">
        <w:rPr>
          <w:lang w:val="en-CA"/>
        </w:rPr>
        <w:t xml:space="preserve">: </w:t>
      </w:r>
    </w:p>
    <w:p w14:paraId="005E2A23" w14:textId="0E1E7C2B" w:rsidR="00491188" w:rsidRPr="000A3539" w:rsidRDefault="00491188" w:rsidP="00352837">
      <w:pPr>
        <w:pStyle w:val="Citationenretrait"/>
        <w:rPr>
          <w:lang w:val="en-CA"/>
        </w:rPr>
      </w:pPr>
      <w:r w:rsidRPr="000A3539">
        <w:rPr>
          <w:lang w:val="en-CA"/>
        </w:rPr>
        <w:t>[</w:t>
      </w:r>
      <w:r w:rsidRPr="000A3539">
        <w:rPr>
          <w:smallCaps/>
          <w:lang w:val="en-CA"/>
        </w:rPr>
        <w:t>translation</w:t>
      </w:r>
      <w:r w:rsidRPr="000A3539">
        <w:rPr>
          <w:lang w:val="en-CA"/>
        </w:rPr>
        <w:t>]</w:t>
      </w:r>
    </w:p>
    <w:p w14:paraId="2F203B6A" w14:textId="66C34DFF" w:rsidR="00352837" w:rsidRPr="000A3539" w:rsidRDefault="00840ACC" w:rsidP="00352837">
      <w:pPr>
        <w:pStyle w:val="Citationenretrait"/>
        <w:rPr>
          <w:lang w:val="en-CA"/>
        </w:rPr>
      </w:pPr>
      <w:r w:rsidRPr="00840ACC">
        <w:rPr>
          <w:lang w:val="en-CA"/>
        </w:rPr>
        <w:t xml:space="preserve">[…]  </w:t>
      </w:r>
      <w:r w:rsidR="002C044B">
        <w:rPr>
          <w:lang w:val="en-CA"/>
        </w:rPr>
        <w:t>[T]</w:t>
      </w:r>
      <w:r w:rsidR="00491188" w:rsidRPr="000A3539">
        <w:rPr>
          <w:lang w:val="en-CA"/>
        </w:rPr>
        <w:t xml:space="preserve">he </w:t>
      </w:r>
      <w:r w:rsidR="00D76132" w:rsidRPr="000A3539">
        <w:rPr>
          <w:lang w:val="en-CA"/>
        </w:rPr>
        <w:t xml:space="preserve">courts </w:t>
      </w:r>
      <w:r w:rsidR="00692617" w:rsidRPr="000A3539">
        <w:rPr>
          <w:lang w:val="en-CA"/>
        </w:rPr>
        <w:t>have established a de</w:t>
      </w:r>
      <w:r w:rsidR="00D76132" w:rsidRPr="000A3539">
        <w:rPr>
          <w:lang w:val="en-CA"/>
        </w:rPr>
        <w:t xml:space="preserve">finition </w:t>
      </w:r>
      <w:r w:rsidR="00692617" w:rsidRPr="000A3539">
        <w:rPr>
          <w:lang w:val="en-CA"/>
        </w:rPr>
        <w:t xml:space="preserve">of the </w:t>
      </w:r>
      <w:r w:rsidR="00D76132" w:rsidRPr="000A3539">
        <w:rPr>
          <w:lang w:val="en-CA"/>
        </w:rPr>
        <w:t>right</w:t>
      </w:r>
      <w:r w:rsidR="00692617" w:rsidRPr="000A3539">
        <w:rPr>
          <w:lang w:val="en-CA"/>
        </w:rPr>
        <w:t xml:space="preserve"> </w:t>
      </w:r>
      <w:r w:rsidR="00D76132" w:rsidRPr="000A3539">
        <w:rPr>
          <w:lang w:val="en-CA"/>
        </w:rPr>
        <w:t>to</w:t>
      </w:r>
      <w:r w:rsidR="00692617" w:rsidRPr="000A3539">
        <w:rPr>
          <w:lang w:val="en-CA"/>
        </w:rPr>
        <w:t xml:space="preserve"> </w:t>
      </w:r>
      <w:r w:rsidR="00D76132" w:rsidRPr="000A3539">
        <w:rPr>
          <w:lang w:val="en-CA"/>
        </w:rPr>
        <w:t>equality</w:t>
      </w:r>
      <w:r w:rsidR="00692617" w:rsidRPr="000A3539">
        <w:rPr>
          <w:lang w:val="en-CA"/>
        </w:rPr>
        <w:t xml:space="preserve"> under the </w:t>
      </w:r>
      <w:r w:rsidR="00D76132" w:rsidRPr="000A3539">
        <w:rPr>
          <w:lang w:val="en-CA"/>
        </w:rPr>
        <w:t>Quebec</w:t>
      </w:r>
      <w:r w:rsidR="00692617" w:rsidRPr="000A3539">
        <w:rPr>
          <w:lang w:val="en-CA"/>
        </w:rPr>
        <w:t xml:space="preserve"> </w:t>
      </w:r>
      <w:r w:rsidR="00D76132" w:rsidRPr="00FD1FB8">
        <w:rPr>
          <w:lang w:val="en-CA"/>
        </w:rPr>
        <w:t>Charter</w:t>
      </w:r>
      <w:r w:rsidR="00D76132" w:rsidRPr="000A3539">
        <w:rPr>
          <w:lang w:val="en-CA"/>
        </w:rPr>
        <w:t xml:space="preserve"> </w:t>
      </w:r>
      <w:r w:rsidR="00692617" w:rsidRPr="000A3539">
        <w:rPr>
          <w:lang w:val="en-CA"/>
        </w:rPr>
        <w:t xml:space="preserve">modelled on that given by the </w:t>
      </w:r>
      <w:r w:rsidR="00D76132" w:rsidRPr="000A3539">
        <w:rPr>
          <w:lang w:val="en-CA"/>
        </w:rPr>
        <w:t>Supreme</w:t>
      </w:r>
      <w:r w:rsidR="00692617" w:rsidRPr="000A3539">
        <w:rPr>
          <w:lang w:val="en-CA"/>
        </w:rPr>
        <w:t xml:space="preserve"> </w:t>
      </w:r>
      <w:r w:rsidR="00D76132" w:rsidRPr="000A3539">
        <w:rPr>
          <w:lang w:val="en-CA"/>
        </w:rPr>
        <w:t>Court</w:t>
      </w:r>
      <w:r w:rsidR="00692617" w:rsidRPr="000A3539">
        <w:rPr>
          <w:lang w:val="en-CA"/>
        </w:rPr>
        <w:t xml:space="preserve"> </w:t>
      </w:r>
      <w:r w:rsidR="00D76132" w:rsidRPr="000A3539">
        <w:rPr>
          <w:lang w:val="en-CA"/>
        </w:rPr>
        <w:t>of</w:t>
      </w:r>
      <w:r w:rsidR="00692617" w:rsidRPr="000A3539">
        <w:rPr>
          <w:lang w:val="en-CA"/>
        </w:rPr>
        <w:t xml:space="preserve"> </w:t>
      </w:r>
      <w:r w:rsidR="00D76132" w:rsidRPr="000A3539">
        <w:rPr>
          <w:lang w:val="en-CA"/>
        </w:rPr>
        <w:t>Canada</w:t>
      </w:r>
      <w:r w:rsidR="006B785A" w:rsidRPr="000A3539">
        <w:rPr>
          <w:lang w:val="en-CA"/>
        </w:rPr>
        <w:t xml:space="preserve"> to the </w:t>
      </w:r>
      <w:r w:rsidR="00D76132" w:rsidRPr="000A3539">
        <w:rPr>
          <w:lang w:val="en-CA"/>
        </w:rPr>
        <w:t>right</w:t>
      </w:r>
      <w:r w:rsidR="006B785A" w:rsidRPr="000A3539">
        <w:rPr>
          <w:lang w:val="en-CA"/>
        </w:rPr>
        <w:t xml:space="preserve"> </w:t>
      </w:r>
      <w:r w:rsidR="00D76132" w:rsidRPr="000A3539">
        <w:rPr>
          <w:lang w:val="en-CA"/>
        </w:rPr>
        <w:t>to</w:t>
      </w:r>
      <w:r w:rsidR="006B785A" w:rsidRPr="000A3539">
        <w:rPr>
          <w:lang w:val="en-CA"/>
        </w:rPr>
        <w:t xml:space="preserve"> </w:t>
      </w:r>
      <w:r w:rsidR="00D76132" w:rsidRPr="000A3539">
        <w:rPr>
          <w:lang w:val="en-CA"/>
        </w:rPr>
        <w:t>equality</w:t>
      </w:r>
      <w:r w:rsidR="006B785A" w:rsidRPr="000A3539">
        <w:rPr>
          <w:lang w:val="en-CA"/>
        </w:rPr>
        <w:t xml:space="preserve"> under the </w:t>
      </w:r>
      <w:r w:rsidR="00D76132" w:rsidRPr="00FD1FB8">
        <w:rPr>
          <w:lang w:val="en-CA"/>
        </w:rPr>
        <w:t>Canadian</w:t>
      </w:r>
      <w:r w:rsidR="006B785A" w:rsidRPr="00FD1FB8">
        <w:rPr>
          <w:lang w:val="en-CA"/>
        </w:rPr>
        <w:t xml:space="preserve"> </w:t>
      </w:r>
      <w:r w:rsidR="00D76132" w:rsidRPr="00FD1FB8">
        <w:rPr>
          <w:lang w:val="en-CA"/>
        </w:rPr>
        <w:t>Charter</w:t>
      </w:r>
      <w:r w:rsidR="00D76132" w:rsidRPr="000A3539">
        <w:rPr>
          <w:lang w:val="en-CA"/>
        </w:rPr>
        <w:t xml:space="preserve">: </w:t>
      </w:r>
      <w:r w:rsidR="00730139">
        <w:rPr>
          <w:lang w:val="en-CA"/>
        </w:rPr>
        <w:t>ultimately</w:t>
      </w:r>
      <w:r w:rsidR="006B785A" w:rsidRPr="000A3539">
        <w:rPr>
          <w:lang w:val="en-CA"/>
        </w:rPr>
        <w:t xml:space="preserve">, the </w:t>
      </w:r>
      <w:r w:rsidR="00D76132" w:rsidRPr="000A3539">
        <w:rPr>
          <w:lang w:val="en-CA"/>
        </w:rPr>
        <w:t>right</w:t>
      </w:r>
      <w:r w:rsidR="006B785A" w:rsidRPr="000A3539">
        <w:rPr>
          <w:lang w:val="en-CA"/>
        </w:rPr>
        <w:t xml:space="preserve"> </w:t>
      </w:r>
      <w:r w:rsidR="00D76132" w:rsidRPr="000A3539">
        <w:rPr>
          <w:lang w:val="en-CA"/>
        </w:rPr>
        <w:t>to</w:t>
      </w:r>
      <w:r w:rsidR="006B785A" w:rsidRPr="000A3539">
        <w:rPr>
          <w:lang w:val="en-CA"/>
        </w:rPr>
        <w:t xml:space="preserve"> </w:t>
      </w:r>
      <w:r w:rsidR="00D76132" w:rsidRPr="000A3539">
        <w:rPr>
          <w:lang w:val="en-CA"/>
        </w:rPr>
        <w:t xml:space="preserve">equality </w:t>
      </w:r>
      <w:r w:rsidR="006B785A" w:rsidRPr="000A3539">
        <w:rPr>
          <w:lang w:val="en-CA"/>
        </w:rPr>
        <w:t xml:space="preserve">under </w:t>
      </w:r>
      <w:r w:rsidR="00D76132" w:rsidRPr="000A3539">
        <w:rPr>
          <w:lang w:val="en-CA"/>
        </w:rPr>
        <w:t xml:space="preserve">section 10 </w:t>
      </w:r>
      <w:r w:rsidR="006B785A" w:rsidRPr="000A3539">
        <w:rPr>
          <w:lang w:val="en-CA"/>
        </w:rPr>
        <w:t xml:space="preserve">is </w:t>
      </w:r>
      <w:r w:rsidR="006B785A" w:rsidRPr="000A3539">
        <w:rPr>
          <w:i/>
          <w:lang w:val="en-CA"/>
        </w:rPr>
        <w:t xml:space="preserve">the </w:t>
      </w:r>
      <w:r w:rsidR="00D76132" w:rsidRPr="000A3539">
        <w:rPr>
          <w:i/>
          <w:lang w:val="en-CA"/>
        </w:rPr>
        <w:t xml:space="preserve">right </w:t>
      </w:r>
      <w:r w:rsidR="006B785A" w:rsidRPr="000A3539">
        <w:rPr>
          <w:i/>
          <w:lang w:val="en-CA"/>
        </w:rPr>
        <w:t xml:space="preserve">not to be the subject of </w:t>
      </w:r>
      <w:r w:rsidR="00D76132" w:rsidRPr="000A3539">
        <w:rPr>
          <w:i/>
          <w:lang w:val="en-CA"/>
        </w:rPr>
        <w:t>distinctions</w:t>
      </w:r>
      <w:r w:rsidR="006B785A" w:rsidRPr="000A3539">
        <w:rPr>
          <w:i/>
          <w:lang w:val="en-CA"/>
        </w:rPr>
        <w:t xml:space="preserve"> based on an enumerated ground that create or perpetuate a disadvantage based on prejudice or </w:t>
      </w:r>
      <w:r w:rsidR="00D76132" w:rsidRPr="000A3539">
        <w:rPr>
          <w:i/>
          <w:lang w:val="en-CA"/>
        </w:rPr>
        <w:t>st</w:t>
      </w:r>
      <w:r w:rsidR="006B785A" w:rsidRPr="000A3539">
        <w:rPr>
          <w:i/>
          <w:lang w:val="en-CA"/>
        </w:rPr>
        <w:t>e</w:t>
      </w:r>
      <w:r w:rsidR="00D76132" w:rsidRPr="000A3539">
        <w:rPr>
          <w:i/>
          <w:lang w:val="en-CA"/>
        </w:rPr>
        <w:t>r</w:t>
      </w:r>
      <w:r w:rsidR="006B785A" w:rsidRPr="000A3539">
        <w:rPr>
          <w:i/>
          <w:lang w:val="en-CA"/>
        </w:rPr>
        <w:t>e</w:t>
      </w:r>
      <w:r w:rsidR="00D76132" w:rsidRPr="000A3539">
        <w:rPr>
          <w:i/>
          <w:lang w:val="en-CA"/>
        </w:rPr>
        <w:t>otypes</w:t>
      </w:r>
      <w:r w:rsidR="00D76132" w:rsidRPr="000A3539">
        <w:rPr>
          <w:lang w:val="en-CA"/>
        </w:rPr>
        <w:t>.</w:t>
      </w:r>
      <w:r w:rsidR="00D76132" w:rsidRPr="000A3539">
        <w:rPr>
          <w:rStyle w:val="Appelnotedebasdep"/>
          <w:lang w:val="en-CA"/>
        </w:rPr>
        <w:footnoteReference w:id="62"/>
      </w:r>
    </w:p>
    <w:p w14:paraId="029422F5" w14:textId="17539FFD" w:rsidR="00352837" w:rsidRPr="000A3539" w:rsidRDefault="009F6B5E" w:rsidP="00352837">
      <w:pPr>
        <w:pStyle w:val="Citationenretrait"/>
        <w:jc w:val="right"/>
        <w:rPr>
          <w:lang w:val="en-CA"/>
        </w:rPr>
      </w:pPr>
      <w:r w:rsidRPr="000A3539">
        <w:rPr>
          <w:lang w:val="en-CA"/>
        </w:rPr>
        <w:t>[Italics in original.]</w:t>
      </w:r>
    </w:p>
    <w:p w14:paraId="080DD57E" w14:textId="39511A2B" w:rsidR="00352837" w:rsidRPr="000A3539" w:rsidRDefault="001732A5" w:rsidP="00352837">
      <w:pPr>
        <w:pStyle w:val="Paragraphe"/>
        <w:rPr>
          <w:lang w:val="en-CA"/>
        </w:rPr>
      </w:pPr>
      <w:r w:rsidRPr="000A3539">
        <w:rPr>
          <w:lang w:val="en-CA"/>
        </w:rPr>
        <w:t xml:space="preserve">According to these authors, the </w:t>
      </w:r>
      <w:r w:rsidR="003D5CD7">
        <w:rPr>
          <w:lang w:val="en-CA"/>
        </w:rPr>
        <w:t xml:space="preserve">tests </w:t>
      </w:r>
      <w:r w:rsidRPr="000A3539">
        <w:rPr>
          <w:lang w:val="en-CA"/>
        </w:rPr>
        <w:t xml:space="preserve">developed by </w:t>
      </w:r>
      <w:r w:rsidR="00D76132" w:rsidRPr="000A3539">
        <w:rPr>
          <w:lang w:val="en-CA"/>
        </w:rPr>
        <w:t>the</w:t>
      </w:r>
      <w:r w:rsidRPr="000A3539">
        <w:rPr>
          <w:lang w:val="en-CA"/>
        </w:rPr>
        <w:t xml:space="preserve"> </w:t>
      </w:r>
      <w:r w:rsidR="00D76132" w:rsidRPr="000A3539">
        <w:rPr>
          <w:lang w:val="en-CA"/>
        </w:rPr>
        <w:t>Supreme</w:t>
      </w:r>
      <w:r w:rsidRPr="000A3539">
        <w:rPr>
          <w:lang w:val="en-CA"/>
        </w:rPr>
        <w:t xml:space="preserve"> </w:t>
      </w:r>
      <w:r w:rsidR="00D76132" w:rsidRPr="000A3539">
        <w:rPr>
          <w:lang w:val="en-CA"/>
        </w:rPr>
        <w:t>Court</w:t>
      </w:r>
      <w:r w:rsidR="002E0433" w:rsidRPr="000A3539">
        <w:rPr>
          <w:lang w:val="en-CA"/>
        </w:rPr>
        <w:t xml:space="preserve"> regarding complaints under the </w:t>
      </w:r>
      <w:r w:rsidR="00D76132" w:rsidRPr="000A3539">
        <w:rPr>
          <w:i/>
          <w:lang w:val="en-CA"/>
        </w:rPr>
        <w:t>Canadian</w:t>
      </w:r>
      <w:r w:rsidR="002E0433" w:rsidRPr="000A3539">
        <w:rPr>
          <w:i/>
          <w:lang w:val="en-CA"/>
        </w:rPr>
        <w:t xml:space="preserve"> </w:t>
      </w:r>
      <w:r w:rsidR="00D76132" w:rsidRPr="000A3539">
        <w:rPr>
          <w:i/>
          <w:lang w:val="en-CA"/>
        </w:rPr>
        <w:t>Charter</w:t>
      </w:r>
      <w:r w:rsidR="00D76132" w:rsidRPr="000A3539">
        <w:rPr>
          <w:lang w:val="en-CA"/>
        </w:rPr>
        <w:t xml:space="preserve"> </w:t>
      </w:r>
      <w:r w:rsidR="002E0433" w:rsidRPr="000A3539">
        <w:rPr>
          <w:lang w:val="en-CA"/>
        </w:rPr>
        <w:t xml:space="preserve">were reiterated by the Court of Appeal in its </w:t>
      </w:r>
      <w:r w:rsidR="00D76132" w:rsidRPr="000A3539">
        <w:rPr>
          <w:lang w:val="en-CA"/>
        </w:rPr>
        <w:t>interpretation</w:t>
      </w:r>
      <w:r w:rsidR="002E0433" w:rsidRPr="000A3539">
        <w:rPr>
          <w:lang w:val="en-CA"/>
        </w:rPr>
        <w:t xml:space="preserve"> of </w:t>
      </w:r>
      <w:r w:rsidR="00D76132" w:rsidRPr="000A3539">
        <w:rPr>
          <w:lang w:val="en-CA"/>
        </w:rPr>
        <w:t xml:space="preserve">section 10 </w:t>
      </w:r>
      <w:r w:rsidR="002E0433" w:rsidRPr="000A3539">
        <w:rPr>
          <w:lang w:val="en-CA"/>
        </w:rPr>
        <w:t xml:space="preserve">of the </w:t>
      </w:r>
      <w:r w:rsidR="00D76132" w:rsidRPr="00FD1FB8">
        <w:rPr>
          <w:i/>
          <w:lang w:val="en-CA"/>
        </w:rPr>
        <w:t>Quebec</w:t>
      </w:r>
      <w:r w:rsidR="002E0433" w:rsidRPr="000A3539">
        <w:rPr>
          <w:i/>
          <w:lang w:val="en-CA"/>
        </w:rPr>
        <w:t xml:space="preserve"> </w:t>
      </w:r>
      <w:r w:rsidR="00D76132" w:rsidRPr="000A3539">
        <w:rPr>
          <w:i/>
          <w:lang w:val="en-CA"/>
        </w:rPr>
        <w:t>Charter</w:t>
      </w:r>
      <w:r w:rsidR="00D76132" w:rsidRPr="000A3539">
        <w:rPr>
          <w:lang w:val="en-CA"/>
        </w:rPr>
        <w:t xml:space="preserve">. </w:t>
      </w:r>
      <w:r w:rsidR="002E0433" w:rsidRPr="000A3539">
        <w:rPr>
          <w:lang w:val="en-CA"/>
        </w:rPr>
        <w:t xml:space="preserve">Thus, a </w:t>
      </w:r>
      <w:r w:rsidR="00D76132" w:rsidRPr="000A3539">
        <w:rPr>
          <w:lang w:val="en-CA"/>
        </w:rPr>
        <w:t xml:space="preserve">distinction </w:t>
      </w:r>
      <w:r w:rsidR="002E0433" w:rsidRPr="000A3539">
        <w:rPr>
          <w:lang w:val="en-CA"/>
        </w:rPr>
        <w:t xml:space="preserve">based on an enumerated </w:t>
      </w:r>
      <w:r w:rsidR="00D76132" w:rsidRPr="000A3539">
        <w:rPr>
          <w:lang w:val="en-CA"/>
        </w:rPr>
        <w:t>ground</w:t>
      </w:r>
      <w:r w:rsidR="002E0433" w:rsidRPr="000A3539">
        <w:rPr>
          <w:lang w:val="en-CA"/>
        </w:rPr>
        <w:t xml:space="preserve"> is </w:t>
      </w:r>
      <w:r w:rsidR="00D76132" w:rsidRPr="000A3539">
        <w:rPr>
          <w:lang w:val="en-CA"/>
        </w:rPr>
        <w:t>discriminator</w:t>
      </w:r>
      <w:r w:rsidR="002E0433" w:rsidRPr="000A3539">
        <w:rPr>
          <w:lang w:val="en-CA"/>
        </w:rPr>
        <w:t xml:space="preserve">y if it infringes </w:t>
      </w:r>
      <w:r w:rsidR="00D76132" w:rsidRPr="000A3539">
        <w:rPr>
          <w:lang w:val="en-CA"/>
        </w:rPr>
        <w:t>human</w:t>
      </w:r>
      <w:r w:rsidR="002E0433" w:rsidRPr="000A3539">
        <w:rPr>
          <w:lang w:val="en-CA"/>
        </w:rPr>
        <w:t xml:space="preserve"> </w:t>
      </w:r>
      <w:r w:rsidR="00D76132" w:rsidRPr="000A3539">
        <w:rPr>
          <w:lang w:val="en-CA"/>
        </w:rPr>
        <w:t xml:space="preserve">dignity </w:t>
      </w:r>
      <w:r w:rsidR="002E0433" w:rsidRPr="000A3539">
        <w:rPr>
          <w:lang w:val="en-CA"/>
        </w:rPr>
        <w:t>or results in a disad</w:t>
      </w:r>
      <w:r w:rsidR="00D76132" w:rsidRPr="000A3539">
        <w:rPr>
          <w:lang w:val="en-CA"/>
        </w:rPr>
        <w:t>vantage</w:t>
      </w:r>
      <w:r w:rsidR="003D1DEB" w:rsidRPr="000A3539">
        <w:rPr>
          <w:lang w:val="en-CA"/>
        </w:rPr>
        <w:t xml:space="preserve"> by </w:t>
      </w:r>
      <w:r w:rsidR="00D76132" w:rsidRPr="000A3539">
        <w:rPr>
          <w:lang w:val="en-CA"/>
        </w:rPr>
        <w:t>perp</w:t>
      </w:r>
      <w:r w:rsidR="002E0433" w:rsidRPr="000A3539">
        <w:rPr>
          <w:lang w:val="en-CA"/>
        </w:rPr>
        <w:t>e</w:t>
      </w:r>
      <w:r w:rsidR="00D76132" w:rsidRPr="000A3539">
        <w:rPr>
          <w:lang w:val="en-CA"/>
        </w:rPr>
        <w:t>tuatin</w:t>
      </w:r>
      <w:r w:rsidR="003D1DEB" w:rsidRPr="000A3539">
        <w:rPr>
          <w:lang w:val="en-CA"/>
        </w:rPr>
        <w:t xml:space="preserve">g </w:t>
      </w:r>
      <w:r w:rsidR="007452F0">
        <w:rPr>
          <w:lang w:val="en-CA"/>
        </w:rPr>
        <w:t xml:space="preserve">a </w:t>
      </w:r>
      <w:r w:rsidR="002E0433" w:rsidRPr="000A3539">
        <w:rPr>
          <w:lang w:val="en-CA"/>
        </w:rPr>
        <w:t xml:space="preserve">prejudice or </w:t>
      </w:r>
      <w:r w:rsidR="00D76132" w:rsidRPr="000A3539">
        <w:rPr>
          <w:lang w:val="en-CA"/>
        </w:rPr>
        <w:t>st</w:t>
      </w:r>
      <w:r w:rsidR="002E0433" w:rsidRPr="000A3539">
        <w:rPr>
          <w:lang w:val="en-CA"/>
        </w:rPr>
        <w:t>e</w:t>
      </w:r>
      <w:r w:rsidR="00D76132" w:rsidRPr="000A3539">
        <w:rPr>
          <w:lang w:val="en-CA"/>
        </w:rPr>
        <w:t>r</w:t>
      </w:r>
      <w:r w:rsidR="002E0433" w:rsidRPr="000A3539">
        <w:rPr>
          <w:lang w:val="en-CA"/>
        </w:rPr>
        <w:t>e</w:t>
      </w:r>
      <w:r w:rsidR="00D76132" w:rsidRPr="000A3539">
        <w:rPr>
          <w:lang w:val="en-CA"/>
        </w:rPr>
        <w:t>otyp</w:t>
      </w:r>
      <w:r w:rsidR="00DB1C30">
        <w:rPr>
          <w:lang w:val="en-CA"/>
        </w:rPr>
        <w:t>ing</w:t>
      </w:r>
      <w:r w:rsidR="002E0433" w:rsidRPr="000A3539">
        <w:rPr>
          <w:lang w:val="en-CA"/>
        </w:rPr>
        <w:t>.</w:t>
      </w:r>
      <w:r w:rsidR="00D76132" w:rsidRPr="000A3539">
        <w:rPr>
          <w:rStyle w:val="Appelnotedebasdep"/>
          <w:lang w:val="en-CA"/>
        </w:rPr>
        <w:footnoteReference w:id="63"/>
      </w:r>
      <w:r w:rsidR="00D76132" w:rsidRPr="000A3539">
        <w:rPr>
          <w:lang w:val="en-CA"/>
        </w:rPr>
        <w:t xml:space="preserve"> </w:t>
      </w:r>
    </w:p>
    <w:p w14:paraId="15C3F701" w14:textId="6183280C" w:rsidR="00352837" w:rsidRPr="000A3539" w:rsidRDefault="00BD5A9E" w:rsidP="00352837">
      <w:pPr>
        <w:pStyle w:val="Paragraphe"/>
        <w:rPr>
          <w:lang w:val="en-CA"/>
        </w:rPr>
      </w:pPr>
      <w:r>
        <w:rPr>
          <w:lang w:val="en-CA"/>
        </w:rPr>
        <w:t xml:space="preserve">In light of </w:t>
      </w:r>
      <w:r w:rsidR="00A877A7" w:rsidRPr="000A3539">
        <w:rPr>
          <w:lang w:val="en-CA"/>
        </w:rPr>
        <w:t xml:space="preserve">the </w:t>
      </w:r>
      <w:r w:rsidR="00D76132" w:rsidRPr="000A3539">
        <w:rPr>
          <w:lang w:val="en-CA"/>
        </w:rPr>
        <w:t>Supreme</w:t>
      </w:r>
      <w:r w:rsidR="00A877A7" w:rsidRPr="000A3539">
        <w:rPr>
          <w:lang w:val="en-CA"/>
        </w:rPr>
        <w:t xml:space="preserve"> </w:t>
      </w:r>
      <w:r w:rsidR="00D76132" w:rsidRPr="000A3539">
        <w:rPr>
          <w:lang w:val="en-CA"/>
        </w:rPr>
        <w:t>Court</w:t>
      </w:r>
      <w:r w:rsidR="00B73524">
        <w:rPr>
          <w:lang w:val="en-CA"/>
        </w:rPr>
        <w:t>’s</w:t>
      </w:r>
      <w:r w:rsidR="00A877A7" w:rsidRPr="000A3539">
        <w:rPr>
          <w:lang w:val="en-CA"/>
        </w:rPr>
        <w:t xml:space="preserve"> </w:t>
      </w:r>
      <w:r w:rsidR="0015468C">
        <w:rPr>
          <w:lang w:val="en-CA"/>
        </w:rPr>
        <w:t xml:space="preserve">judgments </w:t>
      </w:r>
      <w:r w:rsidR="00A877A7" w:rsidRPr="000A3539">
        <w:rPr>
          <w:lang w:val="en-CA"/>
        </w:rPr>
        <w:t xml:space="preserve">in </w:t>
      </w:r>
      <w:r w:rsidR="00D76132" w:rsidRPr="000A3539">
        <w:rPr>
          <w:i/>
          <w:lang w:val="en-CA"/>
        </w:rPr>
        <w:t>Bombardier</w:t>
      </w:r>
      <w:r w:rsidR="00D76132" w:rsidRPr="000A3539">
        <w:rPr>
          <w:lang w:val="en-CA"/>
        </w:rPr>
        <w:t xml:space="preserve">, </w:t>
      </w:r>
      <w:proofErr w:type="spellStart"/>
      <w:r w:rsidR="00D76132" w:rsidRPr="000A3539">
        <w:rPr>
          <w:i/>
          <w:lang w:val="en-CA"/>
        </w:rPr>
        <w:t>Mouvement</w:t>
      </w:r>
      <w:proofErr w:type="spellEnd"/>
      <w:r w:rsidR="00D76132" w:rsidRPr="000A3539">
        <w:rPr>
          <w:i/>
          <w:lang w:val="en-CA"/>
        </w:rPr>
        <w:t xml:space="preserve"> </w:t>
      </w:r>
      <w:proofErr w:type="spellStart"/>
      <w:r w:rsidR="00D76132" w:rsidRPr="000A3539">
        <w:rPr>
          <w:i/>
          <w:lang w:val="en-CA"/>
        </w:rPr>
        <w:t>laïque</w:t>
      </w:r>
      <w:proofErr w:type="spellEnd"/>
      <w:r w:rsidR="00D76132" w:rsidRPr="000A3539">
        <w:rPr>
          <w:i/>
          <w:lang w:val="en-CA"/>
        </w:rPr>
        <w:t xml:space="preserve"> </w:t>
      </w:r>
      <w:proofErr w:type="spellStart"/>
      <w:r w:rsidR="00D76132" w:rsidRPr="000A3539">
        <w:rPr>
          <w:i/>
          <w:lang w:val="en-CA"/>
        </w:rPr>
        <w:t>québécois</w:t>
      </w:r>
      <w:proofErr w:type="spellEnd"/>
      <w:r w:rsidR="00A877A7" w:rsidRPr="000A3539">
        <w:rPr>
          <w:lang w:val="en-CA"/>
        </w:rPr>
        <w:t xml:space="preserve"> and </w:t>
      </w:r>
      <w:r w:rsidR="00D76132" w:rsidRPr="000A3539">
        <w:rPr>
          <w:i/>
          <w:lang w:val="en-CA"/>
        </w:rPr>
        <w:t>Fraser</w:t>
      </w:r>
      <w:r>
        <w:rPr>
          <w:lang w:val="en-CA"/>
        </w:rPr>
        <w:t>,</w:t>
      </w:r>
      <w:r w:rsidR="00D76132" w:rsidRPr="000A3539">
        <w:rPr>
          <w:lang w:val="en-CA"/>
        </w:rPr>
        <w:t xml:space="preserve"> </w:t>
      </w:r>
      <w:r>
        <w:rPr>
          <w:lang w:val="en-CA"/>
        </w:rPr>
        <w:t xml:space="preserve">which </w:t>
      </w:r>
      <w:r w:rsidR="0015468C">
        <w:rPr>
          <w:lang w:val="en-CA"/>
        </w:rPr>
        <w:t xml:space="preserve">were rendered </w:t>
      </w:r>
      <w:r w:rsidR="002C044B">
        <w:rPr>
          <w:lang w:val="en-CA"/>
        </w:rPr>
        <w:t>subsequent to</w:t>
      </w:r>
      <w:r w:rsidR="00A877A7" w:rsidRPr="000A3539">
        <w:rPr>
          <w:lang w:val="en-CA"/>
        </w:rPr>
        <w:t xml:space="preserve"> authors </w:t>
      </w:r>
      <w:proofErr w:type="spellStart"/>
      <w:r w:rsidR="00D76132" w:rsidRPr="000A3539">
        <w:rPr>
          <w:lang w:val="en-CA"/>
        </w:rPr>
        <w:t>Brun</w:t>
      </w:r>
      <w:proofErr w:type="spellEnd"/>
      <w:r w:rsidR="00D76132" w:rsidRPr="000A3539">
        <w:rPr>
          <w:lang w:val="en-CA"/>
        </w:rPr>
        <w:t>, Tremblay</w:t>
      </w:r>
      <w:r w:rsidR="00A877A7" w:rsidRPr="000A3539">
        <w:rPr>
          <w:lang w:val="en-CA"/>
        </w:rPr>
        <w:t>, and</w:t>
      </w:r>
      <w:r w:rsidR="00D76132" w:rsidRPr="000A3539">
        <w:rPr>
          <w:lang w:val="en-CA"/>
        </w:rPr>
        <w:t xml:space="preserve"> </w:t>
      </w:r>
      <w:proofErr w:type="spellStart"/>
      <w:r w:rsidR="00D76132" w:rsidRPr="000A3539">
        <w:rPr>
          <w:lang w:val="en-CA"/>
        </w:rPr>
        <w:t>Brouillet</w:t>
      </w:r>
      <w:r w:rsidR="002C044B">
        <w:rPr>
          <w:lang w:val="en-CA"/>
        </w:rPr>
        <w:t>’s</w:t>
      </w:r>
      <w:proofErr w:type="spellEnd"/>
      <w:r w:rsidR="002C044B">
        <w:rPr>
          <w:lang w:val="en-CA"/>
        </w:rPr>
        <w:t xml:space="preserve"> text</w:t>
      </w:r>
      <w:r w:rsidR="00D76132" w:rsidRPr="000A3539">
        <w:rPr>
          <w:lang w:val="en-CA"/>
        </w:rPr>
        <w:t xml:space="preserve">, </w:t>
      </w:r>
      <w:r w:rsidR="00A877A7" w:rsidRPr="000A3539">
        <w:rPr>
          <w:lang w:val="en-CA"/>
        </w:rPr>
        <w:t xml:space="preserve">the excerpt reproduced above is no longer </w:t>
      </w:r>
      <w:r w:rsidR="00D76132" w:rsidRPr="000A3539">
        <w:rPr>
          <w:lang w:val="en-CA"/>
        </w:rPr>
        <w:t xml:space="preserve">relevant. </w:t>
      </w:r>
    </w:p>
    <w:p w14:paraId="19E79CA0" w14:textId="6FEE057C" w:rsidR="00352837" w:rsidRPr="000A3539" w:rsidRDefault="00A877A7" w:rsidP="00352837">
      <w:pPr>
        <w:pStyle w:val="Paragraphe"/>
        <w:rPr>
          <w:lang w:val="en-CA"/>
        </w:rPr>
      </w:pPr>
      <w:r w:rsidRPr="000A3539">
        <w:rPr>
          <w:lang w:val="en-CA"/>
        </w:rPr>
        <w:t xml:space="preserve">On this issue, </w:t>
      </w:r>
      <w:r w:rsidR="00D76132" w:rsidRPr="000A3539">
        <w:rPr>
          <w:lang w:val="en-CA"/>
        </w:rPr>
        <w:t xml:space="preserve">Professor Daniel </w:t>
      </w:r>
      <w:proofErr w:type="spellStart"/>
      <w:r w:rsidR="00D76132" w:rsidRPr="000A3539">
        <w:rPr>
          <w:lang w:val="en-CA"/>
        </w:rPr>
        <w:t>Proulx</w:t>
      </w:r>
      <w:proofErr w:type="spellEnd"/>
      <w:r w:rsidR="00D76132" w:rsidRPr="000A3539">
        <w:rPr>
          <w:lang w:val="en-CA"/>
        </w:rPr>
        <w:t xml:space="preserve"> </w:t>
      </w:r>
      <w:r w:rsidRPr="000A3539">
        <w:rPr>
          <w:lang w:val="en-CA"/>
        </w:rPr>
        <w:t>expressed the following o</w:t>
      </w:r>
      <w:r w:rsidR="00D76132" w:rsidRPr="000A3539">
        <w:rPr>
          <w:lang w:val="en-CA"/>
        </w:rPr>
        <w:t>pinion</w:t>
      </w:r>
      <w:r w:rsidR="009836FB" w:rsidRPr="000A3539">
        <w:rPr>
          <w:lang w:val="en-CA"/>
        </w:rPr>
        <w:t xml:space="preserve">, according to which the </w:t>
      </w:r>
      <w:r w:rsidR="00D76132" w:rsidRPr="000A3539">
        <w:rPr>
          <w:lang w:val="en-CA"/>
        </w:rPr>
        <w:t>constitutio</w:t>
      </w:r>
      <w:r w:rsidR="009836FB" w:rsidRPr="000A3539">
        <w:rPr>
          <w:lang w:val="en-CA"/>
        </w:rPr>
        <w:t>na</w:t>
      </w:r>
      <w:r w:rsidR="00D76132" w:rsidRPr="000A3539">
        <w:rPr>
          <w:lang w:val="en-CA"/>
        </w:rPr>
        <w:t xml:space="preserve">l </w:t>
      </w:r>
      <w:r w:rsidR="009A521E">
        <w:rPr>
          <w:lang w:val="en-CA"/>
        </w:rPr>
        <w:t xml:space="preserve">test </w:t>
      </w:r>
      <w:r w:rsidR="00D76132" w:rsidRPr="000A3539">
        <w:rPr>
          <w:lang w:val="en-CA"/>
        </w:rPr>
        <w:t>applicable</w:t>
      </w:r>
      <w:r w:rsidR="00FD2315" w:rsidRPr="000A3539">
        <w:rPr>
          <w:lang w:val="en-CA"/>
        </w:rPr>
        <w:t xml:space="preserve"> to</w:t>
      </w:r>
      <w:r w:rsidR="009836FB" w:rsidRPr="000A3539">
        <w:rPr>
          <w:lang w:val="en-CA"/>
        </w:rPr>
        <w:t xml:space="preserve"> an action based on </w:t>
      </w:r>
      <w:r w:rsidR="00D76132" w:rsidRPr="000A3539">
        <w:rPr>
          <w:lang w:val="en-CA"/>
        </w:rPr>
        <w:t xml:space="preserve">section 15 </w:t>
      </w:r>
      <w:r w:rsidR="009836FB" w:rsidRPr="000A3539">
        <w:rPr>
          <w:lang w:val="en-CA"/>
        </w:rPr>
        <w:t xml:space="preserve">of the </w:t>
      </w:r>
      <w:r w:rsidR="00D76132" w:rsidRPr="000A3539">
        <w:rPr>
          <w:i/>
          <w:lang w:val="en-CA"/>
        </w:rPr>
        <w:lastRenderedPageBreak/>
        <w:t>Canadian</w:t>
      </w:r>
      <w:r w:rsidR="009836FB" w:rsidRPr="000A3539">
        <w:rPr>
          <w:i/>
          <w:lang w:val="en-CA"/>
        </w:rPr>
        <w:t xml:space="preserve"> </w:t>
      </w:r>
      <w:r w:rsidR="00D76132" w:rsidRPr="000A3539">
        <w:rPr>
          <w:i/>
          <w:lang w:val="en-CA"/>
        </w:rPr>
        <w:t xml:space="preserve">Charter </w:t>
      </w:r>
      <w:r w:rsidR="00FD2315" w:rsidRPr="000A3539">
        <w:rPr>
          <w:lang w:val="en-CA"/>
        </w:rPr>
        <w:t>is [</w:t>
      </w:r>
      <w:r w:rsidR="00FD2315" w:rsidRPr="000A3539">
        <w:rPr>
          <w:smallCaps/>
          <w:lang w:val="en-CA"/>
        </w:rPr>
        <w:t>translation</w:t>
      </w:r>
      <w:r w:rsidR="00FD2315" w:rsidRPr="000A3539">
        <w:rPr>
          <w:lang w:val="en-CA"/>
        </w:rPr>
        <w:t xml:space="preserve">] “not transposable” to an action based on </w:t>
      </w:r>
      <w:r w:rsidR="00D76132" w:rsidRPr="000A3539">
        <w:rPr>
          <w:lang w:val="en-CA"/>
        </w:rPr>
        <w:t xml:space="preserve">section 10 </w:t>
      </w:r>
      <w:r w:rsidR="00FD2315" w:rsidRPr="000A3539">
        <w:rPr>
          <w:lang w:val="en-CA"/>
        </w:rPr>
        <w:t xml:space="preserve">of the </w:t>
      </w:r>
      <w:r w:rsidR="00DC430C" w:rsidRPr="00DC430C">
        <w:rPr>
          <w:i/>
          <w:lang w:val="en-CA"/>
        </w:rPr>
        <w:t>Quebec Charter</w:t>
      </w:r>
      <w:r w:rsidR="00D76132" w:rsidRPr="000A3539">
        <w:rPr>
          <w:lang w:val="en-CA"/>
        </w:rPr>
        <w:t xml:space="preserve">: </w:t>
      </w:r>
    </w:p>
    <w:p w14:paraId="19F1D1E8" w14:textId="4E8A6E53" w:rsidR="00FE6CD2" w:rsidRPr="000A3539" w:rsidRDefault="00FE6CD2" w:rsidP="00352837">
      <w:pPr>
        <w:pStyle w:val="Citationenretrait"/>
        <w:rPr>
          <w:lang w:val="en-CA"/>
        </w:rPr>
      </w:pPr>
      <w:r w:rsidRPr="000A3539">
        <w:rPr>
          <w:lang w:val="en-CA"/>
        </w:rPr>
        <w:t>[</w:t>
      </w:r>
      <w:r w:rsidRPr="000A3539">
        <w:rPr>
          <w:smallCaps/>
          <w:lang w:val="en-CA"/>
        </w:rPr>
        <w:t>translation</w:t>
      </w:r>
      <w:r w:rsidRPr="000A3539">
        <w:rPr>
          <w:lang w:val="en-CA"/>
        </w:rPr>
        <w:t>]</w:t>
      </w:r>
    </w:p>
    <w:p w14:paraId="6570645A" w14:textId="0A651567" w:rsidR="00352837" w:rsidRPr="000A3539" w:rsidRDefault="00FE6CD2" w:rsidP="00352837">
      <w:pPr>
        <w:pStyle w:val="Citationenretrait"/>
        <w:rPr>
          <w:u w:val="single"/>
          <w:lang w:val="en-CA"/>
        </w:rPr>
      </w:pPr>
      <w:r w:rsidRPr="000A3539">
        <w:rPr>
          <w:lang w:val="en-CA"/>
        </w:rPr>
        <w:t>Do</w:t>
      </w:r>
      <w:r w:rsidR="009D7346">
        <w:rPr>
          <w:lang w:val="en-CA"/>
        </w:rPr>
        <w:t>es</w:t>
      </w:r>
      <w:r w:rsidRPr="000A3539">
        <w:rPr>
          <w:lang w:val="en-CA"/>
        </w:rPr>
        <w:t xml:space="preserve"> the </w:t>
      </w:r>
      <w:r w:rsidR="00D76132" w:rsidRPr="000A3539">
        <w:rPr>
          <w:lang w:val="en-CA"/>
        </w:rPr>
        <w:t>constitution</w:t>
      </w:r>
      <w:r w:rsidRPr="000A3539">
        <w:rPr>
          <w:lang w:val="en-CA"/>
        </w:rPr>
        <w:t>a</w:t>
      </w:r>
      <w:r w:rsidR="00D76132" w:rsidRPr="000A3539">
        <w:rPr>
          <w:lang w:val="en-CA"/>
        </w:rPr>
        <w:t xml:space="preserve">l </w:t>
      </w:r>
      <w:r w:rsidR="005C6AF5">
        <w:rPr>
          <w:lang w:val="en-CA"/>
        </w:rPr>
        <w:t xml:space="preserve">test requiring the </w:t>
      </w:r>
      <w:r w:rsidR="00D76132" w:rsidRPr="000A3539">
        <w:rPr>
          <w:lang w:val="en-CA"/>
        </w:rPr>
        <w:t>perp</w:t>
      </w:r>
      <w:r w:rsidRPr="000A3539">
        <w:rPr>
          <w:lang w:val="en-CA"/>
        </w:rPr>
        <w:t>e</w:t>
      </w:r>
      <w:r w:rsidR="00D76132" w:rsidRPr="000A3539">
        <w:rPr>
          <w:lang w:val="en-CA"/>
        </w:rPr>
        <w:t>tuati</w:t>
      </w:r>
      <w:r w:rsidR="005C6AF5">
        <w:rPr>
          <w:lang w:val="en-CA"/>
        </w:rPr>
        <w:t>on of</w:t>
      </w:r>
      <w:r w:rsidRPr="000A3539">
        <w:rPr>
          <w:lang w:val="en-CA"/>
        </w:rPr>
        <w:t xml:space="preserve"> a disad</w:t>
      </w:r>
      <w:r w:rsidR="00D76132" w:rsidRPr="000A3539">
        <w:rPr>
          <w:lang w:val="en-CA"/>
        </w:rPr>
        <w:t>vantage</w:t>
      </w:r>
      <w:r w:rsidRPr="000A3539">
        <w:rPr>
          <w:lang w:val="en-CA"/>
        </w:rPr>
        <w:t xml:space="preserve"> or prejudice and s</w:t>
      </w:r>
      <w:r w:rsidR="00D76132" w:rsidRPr="000A3539">
        <w:rPr>
          <w:lang w:val="en-CA"/>
        </w:rPr>
        <w:t>t</w:t>
      </w:r>
      <w:r w:rsidRPr="000A3539">
        <w:rPr>
          <w:lang w:val="en-CA"/>
        </w:rPr>
        <w:t>e</w:t>
      </w:r>
      <w:r w:rsidR="00D76132" w:rsidRPr="000A3539">
        <w:rPr>
          <w:lang w:val="en-CA"/>
        </w:rPr>
        <w:t>r</w:t>
      </w:r>
      <w:r w:rsidRPr="000A3539">
        <w:rPr>
          <w:lang w:val="en-CA"/>
        </w:rPr>
        <w:t>e</w:t>
      </w:r>
      <w:r w:rsidR="00D76132" w:rsidRPr="000A3539">
        <w:rPr>
          <w:lang w:val="en-CA"/>
        </w:rPr>
        <w:t>otyp</w:t>
      </w:r>
      <w:r w:rsidR="005C6AF5">
        <w:rPr>
          <w:lang w:val="en-CA"/>
        </w:rPr>
        <w:t>ing</w:t>
      </w:r>
      <w:r w:rsidR="00D76132" w:rsidRPr="000A3539">
        <w:rPr>
          <w:lang w:val="en-CA"/>
        </w:rPr>
        <w:t xml:space="preserve"> </w:t>
      </w:r>
      <w:r w:rsidRPr="000A3539">
        <w:rPr>
          <w:lang w:val="en-CA"/>
        </w:rPr>
        <w:t xml:space="preserve">apply to </w:t>
      </w:r>
      <w:r w:rsidR="00D76132" w:rsidRPr="000A3539">
        <w:rPr>
          <w:lang w:val="en-CA"/>
        </w:rPr>
        <w:t xml:space="preserve">section 10 </w:t>
      </w:r>
      <w:r w:rsidRPr="000A3539">
        <w:rPr>
          <w:lang w:val="en-CA"/>
        </w:rPr>
        <w:t xml:space="preserve">of the </w:t>
      </w:r>
      <w:r w:rsidR="00D76132" w:rsidRPr="000A3539">
        <w:rPr>
          <w:lang w:val="en-CA"/>
        </w:rPr>
        <w:t>Quebec</w:t>
      </w:r>
      <w:r w:rsidRPr="000A3539">
        <w:rPr>
          <w:lang w:val="en-CA"/>
        </w:rPr>
        <w:t xml:space="preserve"> </w:t>
      </w:r>
      <w:r w:rsidR="00D76132" w:rsidRPr="00FD1FB8">
        <w:rPr>
          <w:lang w:val="en-CA"/>
        </w:rPr>
        <w:t>Charter</w:t>
      </w:r>
      <w:r w:rsidR="00D76132" w:rsidRPr="000A3539">
        <w:rPr>
          <w:lang w:val="en-CA"/>
        </w:rPr>
        <w:t xml:space="preserve">? </w:t>
      </w:r>
      <w:r w:rsidR="001E1835" w:rsidRPr="000A3539">
        <w:rPr>
          <w:u w:val="single"/>
          <w:lang w:val="en-CA"/>
        </w:rPr>
        <w:t>In view of the very</w:t>
      </w:r>
      <w:r w:rsidR="00B0558E">
        <w:rPr>
          <w:u w:val="single"/>
          <w:lang w:val="en-CA"/>
        </w:rPr>
        <w:t xml:space="preserve"> marked</w:t>
      </w:r>
      <w:r w:rsidR="001E1835" w:rsidRPr="000A3539">
        <w:rPr>
          <w:u w:val="single"/>
          <w:lang w:val="en-CA"/>
        </w:rPr>
        <w:t xml:space="preserve"> </w:t>
      </w:r>
      <w:r w:rsidR="00D76132" w:rsidRPr="000A3539">
        <w:rPr>
          <w:u w:val="single"/>
          <w:lang w:val="en-CA"/>
        </w:rPr>
        <w:t>diff</w:t>
      </w:r>
      <w:r w:rsidR="001E1835" w:rsidRPr="000A3539">
        <w:rPr>
          <w:u w:val="single"/>
          <w:lang w:val="en-CA"/>
        </w:rPr>
        <w:t>e</w:t>
      </w:r>
      <w:r w:rsidR="00D76132" w:rsidRPr="000A3539">
        <w:rPr>
          <w:u w:val="single"/>
          <w:lang w:val="en-CA"/>
        </w:rPr>
        <w:t xml:space="preserve">rences </w:t>
      </w:r>
      <w:r w:rsidR="00FC3354" w:rsidRPr="000A3539">
        <w:rPr>
          <w:u w:val="single"/>
          <w:lang w:val="en-CA"/>
        </w:rPr>
        <w:t>between</w:t>
      </w:r>
      <w:r w:rsidR="001E1835" w:rsidRPr="000A3539">
        <w:rPr>
          <w:u w:val="single"/>
          <w:lang w:val="en-CA"/>
        </w:rPr>
        <w:t xml:space="preserve"> the two </w:t>
      </w:r>
      <w:r w:rsidR="00D76132" w:rsidRPr="00FD1FB8">
        <w:rPr>
          <w:u w:val="single"/>
          <w:lang w:val="en-CA"/>
        </w:rPr>
        <w:t>Charter</w:t>
      </w:r>
      <w:r w:rsidR="001E1835" w:rsidRPr="00FD1FB8">
        <w:rPr>
          <w:u w:val="single"/>
          <w:lang w:val="en-CA"/>
        </w:rPr>
        <w:t>s</w:t>
      </w:r>
      <w:r w:rsidR="00D76132" w:rsidRPr="000A3539">
        <w:rPr>
          <w:u w:val="single"/>
          <w:lang w:val="en-CA"/>
        </w:rPr>
        <w:t xml:space="preserve"> </w:t>
      </w:r>
      <w:r w:rsidR="001E1835" w:rsidRPr="000A3539">
        <w:rPr>
          <w:u w:val="single"/>
          <w:lang w:val="en-CA"/>
        </w:rPr>
        <w:t xml:space="preserve">with respect to </w:t>
      </w:r>
      <w:r w:rsidR="00D76132" w:rsidRPr="009D7346">
        <w:rPr>
          <w:u w:val="single"/>
          <w:lang w:val="en-CA"/>
        </w:rPr>
        <w:t>equality</w:t>
      </w:r>
      <w:r w:rsidR="00D76132" w:rsidRPr="000A3539">
        <w:rPr>
          <w:u w:val="single"/>
          <w:lang w:val="en-CA"/>
        </w:rPr>
        <w:t xml:space="preserve">, </w:t>
      </w:r>
      <w:r w:rsidR="001E1835" w:rsidRPr="000A3539">
        <w:rPr>
          <w:u w:val="single"/>
          <w:lang w:val="en-CA"/>
        </w:rPr>
        <w:t xml:space="preserve">in particular the fact that the </w:t>
      </w:r>
      <w:r w:rsidR="00D76132" w:rsidRPr="009D7346">
        <w:rPr>
          <w:u w:val="single"/>
          <w:lang w:val="en-CA"/>
        </w:rPr>
        <w:t>Quebec</w:t>
      </w:r>
      <w:r w:rsidR="001E1835" w:rsidRPr="009D7346">
        <w:rPr>
          <w:u w:val="single"/>
          <w:lang w:val="en-CA"/>
        </w:rPr>
        <w:t xml:space="preserve"> </w:t>
      </w:r>
      <w:r w:rsidR="00D76132" w:rsidRPr="00FD1FB8">
        <w:rPr>
          <w:u w:val="single"/>
          <w:lang w:val="en-CA"/>
        </w:rPr>
        <w:t>Charter</w:t>
      </w:r>
      <w:r w:rsidR="00D76132" w:rsidRPr="000A3539">
        <w:rPr>
          <w:u w:val="single"/>
          <w:lang w:val="en-CA"/>
        </w:rPr>
        <w:t xml:space="preserve"> </w:t>
      </w:r>
      <w:r w:rsidR="001E1835" w:rsidRPr="000A3539">
        <w:rPr>
          <w:u w:val="single"/>
          <w:lang w:val="en-CA"/>
        </w:rPr>
        <w:t>primarily regul</w:t>
      </w:r>
      <w:r w:rsidR="00535572" w:rsidRPr="000A3539">
        <w:rPr>
          <w:u w:val="single"/>
          <w:lang w:val="en-CA"/>
        </w:rPr>
        <w:t xml:space="preserve">ates the </w:t>
      </w:r>
      <w:r w:rsidR="00D76132" w:rsidRPr="009D7346">
        <w:rPr>
          <w:u w:val="single"/>
          <w:lang w:val="en-CA"/>
        </w:rPr>
        <w:t>private</w:t>
      </w:r>
      <w:r w:rsidR="00535572" w:rsidRPr="009D7346">
        <w:rPr>
          <w:u w:val="single"/>
          <w:lang w:val="en-CA"/>
        </w:rPr>
        <w:t xml:space="preserve"> </w:t>
      </w:r>
      <w:r w:rsidR="00D76132" w:rsidRPr="009D7346">
        <w:rPr>
          <w:u w:val="single"/>
          <w:lang w:val="en-CA"/>
        </w:rPr>
        <w:t>sector</w:t>
      </w:r>
      <w:r w:rsidR="00535572" w:rsidRPr="009D7346">
        <w:rPr>
          <w:u w:val="single"/>
          <w:lang w:val="en-CA"/>
        </w:rPr>
        <w:t xml:space="preserve">, contrary to the </w:t>
      </w:r>
      <w:r w:rsidR="00D76132" w:rsidRPr="00FD1FB8">
        <w:rPr>
          <w:u w:val="single"/>
          <w:lang w:val="en-CA"/>
        </w:rPr>
        <w:t>Canadian</w:t>
      </w:r>
      <w:r w:rsidR="00535572" w:rsidRPr="00FD1FB8">
        <w:rPr>
          <w:u w:val="single"/>
          <w:lang w:val="en-CA"/>
        </w:rPr>
        <w:t xml:space="preserve"> </w:t>
      </w:r>
      <w:r w:rsidR="00D76132" w:rsidRPr="00FD1FB8">
        <w:rPr>
          <w:u w:val="single"/>
          <w:lang w:val="en-CA"/>
        </w:rPr>
        <w:t>Charte</w:t>
      </w:r>
      <w:r w:rsidR="00535572" w:rsidRPr="00FD1FB8">
        <w:rPr>
          <w:u w:val="single"/>
          <w:lang w:val="en-CA"/>
        </w:rPr>
        <w:t>r</w:t>
      </w:r>
      <w:r w:rsidR="00D76132" w:rsidRPr="009D7346">
        <w:rPr>
          <w:u w:val="single"/>
          <w:lang w:val="en-CA"/>
        </w:rPr>
        <w:t>, transpos</w:t>
      </w:r>
      <w:r w:rsidR="00535572" w:rsidRPr="009D7346">
        <w:rPr>
          <w:u w:val="single"/>
          <w:lang w:val="en-CA"/>
        </w:rPr>
        <w:t xml:space="preserve">ing the </w:t>
      </w:r>
      <w:r w:rsidR="00D76132" w:rsidRPr="009D7346">
        <w:rPr>
          <w:u w:val="single"/>
          <w:lang w:val="en-CA"/>
        </w:rPr>
        <w:t xml:space="preserve">section 15 </w:t>
      </w:r>
      <w:r w:rsidR="00EC796C">
        <w:rPr>
          <w:u w:val="single"/>
          <w:lang w:val="en-CA"/>
        </w:rPr>
        <w:t xml:space="preserve">constitutional test </w:t>
      </w:r>
      <w:r w:rsidR="00535572" w:rsidRPr="009D7346">
        <w:rPr>
          <w:u w:val="single"/>
          <w:lang w:val="en-CA"/>
        </w:rPr>
        <w:t xml:space="preserve">to the context of </w:t>
      </w:r>
      <w:r w:rsidR="00D76132" w:rsidRPr="009D7346">
        <w:rPr>
          <w:u w:val="single"/>
          <w:lang w:val="en-CA"/>
        </w:rPr>
        <w:t xml:space="preserve">section 10 </w:t>
      </w:r>
      <w:r w:rsidR="00535572" w:rsidRPr="009D7346">
        <w:rPr>
          <w:u w:val="single"/>
          <w:lang w:val="en-CA"/>
        </w:rPr>
        <w:t>would be a serious error</w:t>
      </w:r>
      <w:r w:rsidR="00D76132" w:rsidRPr="000A3539">
        <w:rPr>
          <w:lang w:val="en-CA"/>
        </w:rPr>
        <w:t xml:space="preserve">. </w:t>
      </w:r>
      <w:r w:rsidR="00486B6D">
        <w:rPr>
          <w:lang w:val="en-CA"/>
        </w:rPr>
        <w:t>[</w:t>
      </w:r>
      <w:r w:rsidR="00D76132" w:rsidRPr="000A3539">
        <w:rPr>
          <w:lang w:val="en-CA"/>
        </w:rPr>
        <w:t>…</w:t>
      </w:r>
      <w:r w:rsidR="00486B6D">
        <w:rPr>
          <w:lang w:val="en-CA"/>
        </w:rPr>
        <w:t>]</w:t>
      </w:r>
    </w:p>
    <w:p w14:paraId="23C6B810" w14:textId="4CB0C06D" w:rsidR="00352837" w:rsidRPr="000A3539" w:rsidRDefault="00535572" w:rsidP="00352837">
      <w:pPr>
        <w:pStyle w:val="Citationenretrait"/>
        <w:rPr>
          <w:lang w:val="en-CA"/>
        </w:rPr>
      </w:pPr>
      <w:r w:rsidRPr="000A3539">
        <w:rPr>
          <w:lang w:val="en-CA"/>
        </w:rPr>
        <w:t>Accordingly</w:t>
      </w:r>
      <w:r w:rsidR="00D76132" w:rsidRPr="000A3539">
        <w:rPr>
          <w:lang w:val="en-CA"/>
        </w:rPr>
        <w:t xml:space="preserve">, </w:t>
      </w:r>
      <w:r w:rsidRPr="000A3539">
        <w:rPr>
          <w:u w:val="single"/>
          <w:lang w:val="en-CA"/>
        </w:rPr>
        <w:t>th</w:t>
      </w:r>
      <w:r w:rsidR="00D76132" w:rsidRPr="000A3539">
        <w:rPr>
          <w:u w:val="single"/>
          <w:lang w:val="en-CA"/>
        </w:rPr>
        <w:t>e constitution</w:t>
      </w:r>
      <w:r w:rsidRPr="000A3539">
        <w:rPr>
          <w:u w:val="single"/>
          <w:lang w:val="en-CA"/>
        </w:rPr>
        <w:t>a</w:t>
      </w:r>
      <w:r w:rsidR="00D76132" w:rsidRPr="000A3539">
        <w:rPr>
          <w:u w:val="single"/>
          <w:lang w:val="en-CA"/>
        </w:rPr>
        <w:t>l</w:t>
      </w:r>
      <w:r w:rsidRPr="000A3539">
        <w:rPr>
          <w:u w:val="single"/>
          <w:lang w:val="en-CA"/>
        </w:rPr>
        <w:t xml:space="preserve"> </w:t>
      </w:r>
      <w:r w:rsidR="00B2720A">
        <w:rPr>
          <w:u w:val="single"/>
          <w:lang w:val="en-CA"/>
        </w:rPr>
        <w:t xml:space="preserve">test requiring the </w:t>
      </w:r>
      <w:r w:rsidR="00D76132" w:rsidRPr="000A3539">
        <w:rPr>
          <w:u w:val="single"/>
          <w:lang w:val="en-CA"/>
        </w:rPr>
        <w:t>perp</w:t>
      </w:r>
      <w:r w:rsidRPr="000A3539">
        <w:rPr>
          <w:u w:val="single"/>
          <w:lang w:val="en-CA"/>
        </w:rPr>
        <w:t>e</w:t>
      </w:r>
      <w:r w:rsidR="00D76132" w:rsidRPr="000A3539">
        <w:rPr>
          <w:u w:val="single"/>
          <w:lang w:val="en-CA"/>
        </w:rPr>
        <w:t>tuati</w:t>
      </w:r>
      <w:r w:rsidR="00B2720A">
        <w:rPr>
          <w:u w:val="single"/>
          <w:lang w:val="en-CA"/>
        </w:rPr>
        <w:t>on of</w:t>
      </w:r>
      <w:r w:rsidRPr="000A3539">
        <w:rPr>
          <w:u w:val="single"/>
          <w:lang w:val="en-CA"/>
        </w:rPr>
        <w:t xml:space="preserve"> a disad</w:t>
      </w:r>
      <w:r w:rsidR="00D76132" w:rsidRPr="000A3539">
        <w:rPr>
          <w:u w:val="single"/>
          <w:lang w:val="en-CA"/>
        </w:rPr>
        <w:t>vantage o</w:t>
      </w:r>
      <w:r w:rsidRPr="000A3539">
        <w:rPr>
          <w:u w:val="single"/>
          <w:lang w:val="en-CA"/>
        </w:rPr>
        <w:t>r</w:t>
      </w:r>
      <w:r w:rsidR="00D76132" w:rsidRPr="000A3539">
        <w:rPr>
          <w:u w:val="single"/>
          <w:lang w:val="en-CA"/>
        </w:rPr>
        <w:t xml:space="preserve"> </w:t>
      </w:r>
      <w:r w:rsidRPr="000A3539">
        <w:rPr>
          <w:u w:val="single"/>
          <w:lang w:val="en-CA"/>
        </w:rPr>
        <w:t>prejudice and stereo</w:t>
      </w:r>
      <w:r w:rsidR="00D76132" w:rsidRPr="000A3539">
        <w:rPr>
          <w:u w:val="single"/>
          <w:lang w:val="en-CA"/>
        </w:rPr>
        <w:t>typ</w:t>
      </w:r>
      <w:r w:rsidR="00B2720A">
        <w:rPr>
          <w:u w:val="single"/>
          <w:lang w:val="en-CA"/>
        </w:rPr>
        <w:t>ing</w:t>
      </w:r>
      <w:r w:rsidR="00D76132" w:rsidRPr="000A3539">
        <w:rPr>
          <w:u w:val="single"/>
          <w:lang w:val="en-CA"/>
        </w:rPr>
        <w:t xml:space="preserve"> </w:t>
      </w:r>
      <w:r w:rsidR="00B2720A">
        <w:rPr>
          <w:u w:val="single"/>
          <w:lang w:val="en-CA"/>
        </w:rPr>
        <w:t xml:space="preserve">applies </w:t>
      </w:r>
      <w:r w:rsidR="00DA2BCC" w:rsidRPr="000A3539">
        <w:rPr>
          <w:u w:val="single"/>
          <w:lang w:val="en-CA"/>
        </w:rPr>
        <w:t xml:space="preserve">to section 10 only in </w:t>
      </w:r>
      <w:r w:rsidR="00837285">
        <w:rPr>
          <w:u w:val="single"/>
          <w:lang w:val="en-CA"/>
        </w:rPr>
        <w:t>a</w:t>
      </w:r>
      <w:r w:rsidR="00837285" w:rsidRPr="000A3539">
        <w:rPr>
          <w:u w:val="single"/>
          <w:lang w:val="en-CA"/>
        </w:rPr>
        <w:t xml:space="preserve"> </w:t>
      </w:r>
      <w:r w:rsidR="00DA2BCC" w:rsidRPr="000A3539">
        <w:rPr>
          <w:u w:val="single"/>
          <w:lang w:val="en-CA"/>
        </w:rPr>
        <w:t>constitutional c</w:t>
      </w:r>
      <w:r w:rsidR="00D76132" w:rsidRPr="000A3539">
        <w:rPr>
          <w:u w:val="single"/>
          <w:lang w:val="en-CA"/>
        </w:rPr>
        <w:t>ontext</w:t>
      </w:r>
      <w:r w:rsidR="00D76132" w:rsidRPr="000A3539">
        <w:rPr>
          <w:lang w:val="en-CA"/>
        </w:rPr>
        <w:t xml:space="preserve">, </w:t>
      </w:r>
      <w:r w:rsidR="00DA2BCC" w:rsidRPr="000A3539">
        <w:rPr>
          <w:lang w:val="en-CA"/>
        </w:rPr>
        <w:t xml:space="preserve">that is, when </w:t>
      </w:r>
      <w:r w:rsidR="00D76132" w:rsidRPr="000A3539">
        <w:rPr>
          <w:lang w:val="en-CA"/>
        </w:rPr>
        <w:t>invo</w:t>
      </w:r>
      <w:r w:rsidR="00DA2BCC" w:rsidRPr="000A3539">
        <w:rPr>
          <w:lang w:val="en-CA"/>
        </w:rPr>
        <w:t xml:space="preserve">ked to challenge </w:t>
      </w:r>
      <w:r w:rsidR="00A2129E" w:rsidRPr="000A3539">
        <w:rPr>
          <w:lang w:val="en-CA"/>
        </w:rPr>
        <w:t xml:space="preserve">a </w:t>
      </w:r>
      <w:r w:rsidR="00D76132" w:rsidRPr="000A3539">
        <w:rPr>
          <w:lang w:val="en-CA"/>
        </w:rPr>
        <w:t>legislative</w:t>
      </w:r>
      <w:r w:rsidR="00A2129E" w:rsidRPr="000A3539">
        <w:rPr>
          <w:lang w:val="en-CA"/>
        </w:rPr>
        <w:t xml:space="preserve"> or regulatory measure </w:t>
      </w:r>
      <w:r w:rsidR="00A2129E" w:rsidRPr="000A3539">
        <w:rPr>
          <w:i/>
          <w:lang w:val="en-CA"/>
        </w:rPr>
        <w:t>per se</w:t>
      </w:r>
      <w:r w:rsidR="00A2129E" w:rsidRPr="000A3539">
        <w:rPr>
          <w:lang w:val="en-CA"/>
        </w:rPr>
        <w:t>.</w:t>
      </w:r>
      <w:r w:rsidR="00D76132" w:rsidRPr="000A3539">
        <w:rPr>
          <w:lang w:val="en-CA"/>
        </w:rPr>
        <w:t xml:space="preserve"> </w:t>
      </w:r>
      <w:r w:rsidR="00A2129E" w:rsidRPr="000A3539">
        <w:rPr>
          <w:lang w:val="en-CA"/>
        </w:rPr>
        <w:t>However</w:t>
      </w:r>
      <w:r w:rsidR="00D76132" w:rsidRPr="000A3539">
        <w:rPr>
          <w:lang w:val="en-CA"/>
        </w:rPr>
        <w:t>,</w:t>
      </w:r>
      <w:r w:rsidR="00A2129E" w:rsidRPr="000A3539">
        <w:rPr>
          <w:lang w:val="en-CA"/>
        </w:rPr>
        <w:t xml:space="preserve"> when an </w:t>
      </w:r>
      <w:r w:rsidR="00D76132" w:rsidRPr="000A3539">
        <w:rPr>
          <w:lang w:val="en-CA"/>
        </w:rPr>
        <w:t xml:space="preserve">administrative </w:t>
      </w:r>
      <w:r w:rsidR="00A2129E" w:rsidRPr="000A3539">
        <w:rPr>
          <w:lang w:val="en-CA"/>
        </w:rPr>
        <w:t>measure or a</w:t>
      </w:r>
      <w:r w:rsidR="00420E73" w:rsidRPr="000A3539">
        <w:rPr>
          <w:lang w:val="en-CA"/>
        </w:rPr>
        <w:t xml:space="preserve"> private policy is challenged, the four-pronged </w:t>
      </w:r>
      <w:r w:rsidR="00837285">
        <w:rPr>
          <w:lang w:val="en-CA"/>
        </w:rPr>
        <w:t>proof</w:t>
      </w:r>
      <w:r w:rsidR="00837285" w:rsidRPr="000A3539">
        <w:rPr>
          <w:lang w:val="en-CA"/>
        </w:rPr>
        <w:t xml:space="preserve"> </w:t>
      </w:r>
      <w:r w:rsidR="00420E73" w:rsidRPr="000A3539">
        <w:rPr>
          <w:lang w:val="en-CA"/>
        </w:rPr>
        <w:t xml:space="preserve">of </w:t>
      </w:r>
      <w:r w:rsidR="00D76132" w:rsidRPr="000A3539">
        <w:rPr>
          <w:lang w:val="en-CA"/>
        </w:rPr>
        <w:t>discrimination (</w:t>
      </w:r>
      <w:r w:rsidR="00420E73" w:rsidRPr="000A3539">
        <w:rPr>
          <w:lang w:val="en-CA"/>
        </w:rPr>
        <w:t xml:space="preserve">differential treatment, enumerated </w:t>
      </w:r>
      <w:r w:rsidR="00D76132" w:rsidRPr="000A3539">
        <w:rPr>
          <w:lang w:val="en-CA"/>
        </w:rPr>
        <w:t>ground, pr</w:t>
      </w:r>
      <w:r w:rsidR="00420E73" w:rsidRPr="000A3539">
        <w:rPr>
          <w:lang w:val="en-CA"/>
        </w:rPr>
        <w:t>e</w:t>
      </w:r>
      <w:r w:rsidR="00D76132" w:rsidRPr="000A3539">
        <w:rPr>
          <w:lang w:val="en-CA"/>
        </w:rPr>
        <w:t>judice (mat</w:t>
      </w:r>
      <w:r w:rsidR="00420E73" w:rsidRPr="000A3539">
        <w:rPr>
          <w:lang w:val="en-CA"/>
        </w:rPr>
        <w:t>e</w:t>
      </w:r>
      <w:r w:rsidR="00D76132" w:rsidRPr="000A3539">
        <w:rPr>
          <w:lang w:val="en-CA"/>
        </w:rPr>
        <w:t>ri</w:t>
      </w:r>
      <w:r w:rsidR="00420E73" w:rsidRPr="000A3539">
        <w:rPr>
          <w:lang w:val="en-CA"/>
        </w:rPr>
        <w:t>a</w:t>
      </w:r>
      <w:r w:rsidR="00D76132" w:rsidRPr="000A3539">
        <w:rPr>
          <w:lang w:val="en-CA"/>
        </w:rPr>
        <w:t>l o</w:t>
      </w:r>
      <w:r w:rsidR="00420E73" w:rsidRPr="000A3539">
        <w:rPr>
          <w:lang w:val="en-CA"/>
        </w:rPr>
        <w:t>r</w:t>
      </w:r>
      <w:r w:rsidR="00D76132" w:rsidRPr="000A3539">
        <w:rPr>
          <w:lang w:val="en-CA"/>
        </w:rPr>
        <w:t xml:space="preserve"> moral)</w:t>
      </w:r>
      <w:r w:rsidR="00463535" w:rsidRPr="000A3539">
        <w:rPr>
          <w:lang w:val="en-CA"/>
        </w:rPr>
        <w:t xml:space="preserve">, and </w:t>
      </w:r>
      <w:r w:rsidR="00D76132" w:rsidRPr="000A3539">
        <w:rPr>
          <w:lang w:val="en-CA"/>
        </w:rPr>
        <w:t>exerci</w:t>
      </w:r>
      <w:r w:rsidR="00463535" w:rsidRPr="000A3539">
        <w:rPr>
          <w:lang w:val="en-CA"/>
        </w:rPr>
        <w:t>s</w:t>
      </w:r>
      <w:r w:rsidR="00D76132" w:rsidRPr="000A3539">
        <w:rPr>
          <w:lang w:val="en-CA"/>
        </w:rPr>
        <w:t>e</w:t>
      </w:r>
      <w:r w:rsidR="00463535" w:rsidRPr="000A3539">
        <w:rPr>
          <w:lang w:val="en-CA"/>
        </w:rPr>
        <w:t xml:space="preserve"> of a right guaranteed by the </w:t>
      </w:r>
      <w:r w:rsidR="00D76132" w:rsidRPr="000A3539">
        <w:rPr>
          <w:i/>
          <w:lang w:val="en-CA"/>
        </w:rPr>
        <w:t>Charter</w:t>
      </w:r>
      <w:r w:rsidR="00D76132" w:rsidRPr="000A3539">
        <w:rPr>
          <w:lang w:val="en-CA"/>
        </w:rPr>
        <w:t xml:space="preserve">) </w:t>
      </w:r>
      <w:r w:rsidR="009B668C">
        <w:rPr>
          <w:lang w:val="en-CA"/>
        </w:rPr>
        <w:t xml:space="preserve">is </w:t>
      </w:r>
      <w:r w:rsidR="00463535" w:rsidRPr="000A3539">
        <w:rPr>
          <w:lang w:val="en-CA"/>
        </w:rPr>
        <w:t xml:space="preserve">required to ensure an effective fight against </w:t>
      </w:r>
      <w:r w:rsidR="00D76132" w:rsidRPr="000A3539">
        <w:rPr>
          <w:lang w:val="en-CA"/>
        </w:rPr>
        <w:t xml:space="preserve">discrimination. </w:t>
      </w:r>
      <w:r w:rsidR="009B668C">
        <w:rPr>
          <w:lang w:val="en-CA"/>
        </w:rPr>
        <w:t>[</w:t>
      </w:r>
      <w:r w:rsidR="00D76132" w:rsidRPr="000A3539">
        <w:rPr>
          <w:lang w:val="en-CA"/>
        </w:rPr>
        <w:t>…</w:t>
      </w:r>
      <w:r w:rsidR="009B668C">
        <w:rPr>
          <w:lang w:val="en-CA"/>
        </w:rPr>
        <w:t>]</w:t>
      </w:r>
      <w:r w:rsidR="00D76132" w:rsidRPr="000A3539">
        <w:rPr>
          <w:lang w:val="en-CA"/>
        </w:rPr>
        <w:t xml:space="preserve"> </w:t>
      </w:r>
      <w:r w:rsidR="00463535" w:rsidRPr="000A3539">
        <w:rPr>
          <w:lang w:val="en-CA"/>
        </w:rPr>
        <w:t>T</w:t>
      </w:r>
      <w:r w:rsidR="00AB650E" w:rsidRPr="000A3539">
        <w:rPr>
          <w:lang w:val="en-CA"/>
        </w:rPr>
        <w:t xml:space="preserve">he recent Court of Appeal </w:t>
      </w:r>
      <w:r w:rsidR="002B10A4">
        <w:rPr>
          <w:lang w:val="en-CA"/>
        </w:rPr>
        <w:t xml:space="preserve">judgments </w:t>
      </w:r>
      <w:r w:rsidR="00AB650E" w:rsidRPr="000A3539">
        <w:rPr>
          <w:lang w:val="en-CA"/>
        </w:rPr>
        <w:t xml:space="preserve">in </w:t>
      </w:r>
      <w:r w:rsidR="00D76132" w:rsidRPr="000A3539">
        <w:rPr>
          <w:i/>
          <w:lang w:val="en-CA"/>
        </w:rPr>
        <w:t>Labelle</w:t>
      </w:r>
      <w:r w:rsidR="00D76132" w:rsidRPr="000A3539">
        <w:rPr>
          <w:lang w:val="en-CA"/>
        </w:rPr>
        <w:t xml:space="preserve">, </w:t>
      </w:r>
      <w:r w:rsidR="00D76132" w:rsidRPr="000A3539">
        <w:rPr>
          <w:i/>
          <w:lang w:val="en-CA"/>
        </w:rPr>
        <w:t xml:space="preserve">Constables </w:t>
      </w:r>
      <w:proofErr w:type="spellStart"/>
      <w:r w:rsidR="00D76132" w:rsidRPr="000A3539">
        <w:rPr>
          <w:i/>
          <w:lang w:val="en-CA"/>
        </w:rPr>
        <w:t>spéciaux</w:t>
      </w:r>
      <w:proofErr w:type="spellEnd"/>
      <w:r w:rsidR="00AB650E" w:rsidRPr="000A3539">
        <w:rPr>
          <w:lang w:val="en-CA"/>
        </w:rPr>
        <w:t xml:space="preserve"> and</w:t>
      </w:r>
      <w:r w:rsidR="00D76132" w:rsidRPr="000A3539">
        <w:rPr>
          <w:lang w:val="en-CA"/>
        </w:rPr>
        <w:t xml:space="preserve"> </w:t>
      </w:r>
      <w:proofErr w:type="spellStart"/>
      <w:r w:rsidR="00D76132" w:rsidRPr="000A3539">
        <w:rPr>
          <w:i/>
          <w:lang w:val="en-CA"/>
        </w:rPr>
        <w:t>Université</w:t>
      </w:r>
      <w:proofErr w:type="spellEnd"/>
      <w:r w:rsidR="00D76132" w:rsidRPr="000A3539">
        <w:rPr>
          <w:i/>
          <w:lang w:val="en-CA"/>
        </w:rPr>
        <w:t xml:space="preserve"> de </w:t>
      </w:r>
      <w:proofErr w:type="spellStart"/>
      <w:r w:rsidR="00D76132" w:rsidRPr="000A3539">
        <w:rPr>
          <w:i/>
          <w:lang w:val="en-CA"/>
        </w:rPr>
        <w:t>Sherbrooke</w:t>
      </w:r>
      <w:proofErr w:type="spellEnd"/>
      <w:r w:rsidR="00D76132" w:rsidRPr="000A3539">
        <w:rPr>
          <w:lang w:val="en-CA"/>
        </w:rPr>
        <w:t xml:space="preserve"> </w:t>
      </w:r>
      <w:r w:rsidR="00AB650E" w:rsidRPr="000A3539">
        <w:rPr>
          <w:lang w:val="en-CA"/>
        </w:rPr>
        <w:t>are therefore incor</w:t>
      </w:r>
      <w:r w:rsidR="00F5245A" w:rsidRPr="000A3539">
        <w:rPr>
          <w:lang w:val="en-CA"/>
        </w:rPr>
        <w:t>r</w:t>
      </w:r>
      <w:r w:rsidR="00AB650E" w:rsidRPr="000A3539">
        <w:rPr>
          <w:lang w:val="en-CA"/>
        </w:rPr>
        <w:t xml:space="preserve">ect to the extent that they </w:t>
      </w:r>
      <w:r w:rsidR="00837285">
        <w:rPr>
          <w:lang w:val="en-CA"/>
        </w:rPr>
        <w:t>claim</w:t>
      </w:r>
      <w:r w:rsidR="00AB650E" w:rsidRPr="000A3539">
        <w:rPr>
          <w:lang w:val="en-CA"/>
        </w:rPr>
        <w:t xml:space="preserve">, without any reference to the 2006 judgment in </w:t>
      </w:r>
      <w:r w:rsidR="00D76132" w:rsidRPr="000A3539">
        <w:rPr>
          <w:i/>
          <w:lang w:val="en-CA"/>
        </w:rPr>
        <w:t xml:space="preserve">Commission </w:t>
      </w:r>
      <w:proofErr w:type="spellStart"/>
      <w:r w:rsidR="00D76132" w:rsidRPr="000A3539">
        <w:rPr>
          <w:i/>
          <w:lang w:val="en-CA"/>
        </w:rPr>
        <w:t>scolaire</w:t>
      </w:r>
      <w:proofErr w:type="spellEnd"/>
      <w:r w:rsidR="00D76132" w:rsidRPr="000A3539">
        <w:rPr>
          <w:i/>
          <w:lang w:val="en-CA"/>
        </w:rPr>
        <w:t xml:space="preserve"> des </w:t>
      </w:r>
      <w:proofErr w:type="spellStart"/>
      <w:r w:rsidR="00D76132" w:rsidRPr="000A3539">
        <w:rPr>
          <w:i/>
          <w:lang w:val="en-CA"/>
        </w:rPr>
        <w:t>Phares</w:t>
      </w:r>
      <w:proofErr w:type="spellEnd"/>
      <w:r w:rsidR="00D76132" w:rsidRPr="000A3539">
        <w:rPr>
          <w:lang w:val="en-CA"/>
        </w:rPr>
        <w:t xml:space="preserve"> </w:t>
      </w:r>
      <w:r w:rsidR="00AB650E" w:rsidRPr="000A3539">
        <w:rPr>
          <w:lang w:val="en-CA"/>
        </w:rPr>
        <w:t>or to the consistent case</w:t>
      </w:r>
      <w:r w:rsidR="00F5245A" w:rsidRPr="000A3539">
        <w:rPr>
          <w:lang w:val="en-CA"/>
        </w:rPr>
        <w:t xml:space="preserve"> </w:t>
      </w:r>
      <w:r w:rsidR="00AB650E" w:rsidRPr="000A3539">
        <w:rPr>
          <w:lang w:val="en-CA"/>
        </w:rPr>
        <w:t xml:space="preserve">law of the </w:t>
      </w:r>
      <w:r w:rsidR="00D76132" w:rsidRPr="000A3539">
        <w:rPr>
          <w:lang w:val="en-CA"/>
        </w:rPr>
        <w:t>Supreme</w:t>
      </w:r>
      <w:r w:rsidR="00617F1A" w:rsidRPr="000A3539">
        <w:rPr>
          <w:lang w:val="en-CA"/>
        </w:rPr>
        <w:t xml:space="preserve"> </w:t>
      </w:r>
      <w:r w:rsidR="00D76132" w:rsidRPr="000A3539">
        <w:rPr>
          <w:lang w:val="en-CA"/>
        </w:rPr>
        <w:t>Court</w:t>
      </w:r>
      <w:r w:rsidR="00617F1A" w:rsidRPr="000A3539">
        <w:rPr>
          <w:lang w:val="en-CA"/>
        </w:rPr>
        <w:t xml:space="preserve"> on </w:t>
      </w:r>
      <w:r w:rsidR="00D76132" w:rsidRPr="000A3539">
        <w:rPr>
          <w:lang w:val="en-CA"/>
        </w:rPr>
        <w:t xml:space="preserve">section 10 </w:t>
      </w:r>
      <w:r w:rsidR="00617F1A" w:rsidRPr="000A3539">
        <w:rPr>
          <w:lang w:val="en-CA"/>
        </w:rPr>
        <w:t xml:space="preserve">of the </w:t>
      </w:r>
      <w:r w:rsidR="00D76132" w:rsidRPr="000A3539">
        <w:rPr>
          <w:lang w:val="en-CA"/>
        </w:rPr>
        <w:t>Quebec</w:t>
      </w:r>
      <w:r w:rsidR="00617F1A" w:rsidRPr="000A3539">
        <w:rPr>
          <w:lang w:val="en-CA"/>
        </w:rPr>
        <w:t xml:space="preserve"> </w:t>
      </w:r>
      <w:r w:rsidR="00D76132" w:rsidRPr="00FD1FB8">
        <w:rPr>
          <w:lang w:val="en-CA"/>
        </w:rPr>
        <w:t>Charter</w:t>
      </w:r>
      <w:r w:rsidR="00D76132" w:rsidRPr="000A3539">
        <w:rPr>
          <w:lang w:val="en-CA"/>
        </w:rPr>
        <w:t xml:space="preserve">, </w:t>
      </w:r>
      <w:r w:rsidR="00617F1A" w:rsidRPr="000A3539">
        <w:rPr>
          <w:lang w:val="en-CA"/>
        </w:rPr>
        <w:t xml:space="preserve">that </w:t>
      </w:r>
      <w:r w:rsidR="00C832A8" w:rsidRPr="000A3539">
        <w:rPr>
          <w:lang w:val="en-CA"/>
        </w:rPr>
        <w:t xml:space="preserve">the </w:t>
      </w:r>
      <w:r w:rsidR="00D76132" w:rsidRPr="000A3539">
        <w:rPr>
          <w:lang w:val="en-CA"/>
        </w:rPr>
        <w:t>discriminator</w:t>
      </w:r>
      <w:r w:rsidR="00C832A8" w:rsidRPr="000A3539">
        <w:rPr>
          <w:lang w:val="en-CA"/>
        </w:rPr>
        <w:t xml:space="preserve">y nature under </w:t>
      </w:r>
      <w:r w:rsidR="00D76132" w:rsidRPr="000A3539">
        <w:rPr>
          <w:lang w:val="en-CA"/>
        </w:rPr>
        <w:t xml:space="preserve">section 10 </w:t>
      </w:r>
      <w:r w:rsidR="00C832A8" w:rsidRPr="000A3539">
        <w:rPr>
          <w:lang w:val="en-CA"/>
        </w:rPr>
        <w:t xml:space="preserve">must be established using the same analytical framework and on the basis of the same </w:t>
      </w:r>
      <w:r w:rsidR="002B10A4">
        <w:rPr>
          <w:lang w:val="en-CA"/>
        </w:rPr>
        <w:t xml:space="preserve">test as under </w:t>
      </w:r>
      <w:r w:rsidR="00D76132" w:rsidRPr="000A3539">
        <w:rPr>
          <w:lang w:val="en-CA"/>
        </w:rPr>
        <w:t xml:space="preserve">section 15 </w:t>
      </w:r>
      <w:r w:rsidR="00C832A8" w:rsidRPr="000A3539">
        <w:rPr>
          <w:lang w:val="en-CA"/>
        </w:rPr>
        <w:t xml:space="preserve">of the </w:t>
      </w:r>
      <w:r w:rsidR="00D76132" w:rsidRPr="00FD1FB8">
        <w:rPr>
          <w:lang w:val="en-CA"/>
        </w:rPr>
        <w:t>Canadian</w:t>
      </w:r>
      <w:r w:rsidR="00C832A8" w:rsidRPr="00FD1FB8">
        <w:rPr>
          <w:lang w:val="en-CA"/>
        </w:rPr>
        <w:t xml:space="preserve"> </w:t>
      </w:r>
      <w:r w:rsidR="00D76132" w:rsidRPr="00FD1FB8">
        <w:rPr>
          <w:lang w:val="en-CA"/>
        </w:rPr>
        <w:t>Charter</w:t>
      </w:r>
      <w:r w:rsidR="00D76132" w:rsidRPr="000A3539">
        <w:rPr>
          <w:lang w:val="en-CA"/>
        </w:rPr>
        <w:t>,</w:t>
      </w:r>
      <w:r w:rsidR="00C832A8" w:rsidRPr="000A3539">
        <w:rPr>
          <w:lang w:val="en-CA"/>
        </w:rPr>
        <w:t xml:space="preserve"> that is, </w:t>
      </w:r>
      <w:r w:rsidR="001B634D">
        <w:rPr>
          <w:lang w:val="en-CA"/>
        </w:rPr>
        <w:t>proof</w:t>
      </w:r>
      <w:r w:rsidR="001B634D" w:rsidRPr="000A3539">
        <w:rPr>
          <w:lang w:val="en-CA"/>
        </w:rPr>
        <w:t xml:space="preserve"> </w:t>
      </w:r>
      <w:r w:rsidR="00F5245A" w:rsidRPr="000A3539">
        <w:rPr>
          <w:lang w:val="en-CA"/>
        </w:rPr>
        <w:t>of a prejudice or a contemptuous stereoty</w:t>
      </w:r>
      <w:r w:rsidR="00D76132" w:rsidRPr="000A3539">
        <w:rPr>
          <w:lang w:val="en-CA"/>
        </w:rPr>
        <w:t>pe</w:t>
      </w:r>
      <w:r w:rsidR="00F5245A" w:rsidRPr="000A3539">
        <w:rPr>
          <w:lang w:val="en-CA"/>
        </w:rPr>
        <w:t xml:space="preserve">, considering that no </w:t>
      </w:r>
      <w:r w:rsidR="00D76132" w:rsidRPr="000A3539">
        <w:rPr>
          <w:lang w:val="en-CA"/>
        </w:rPr>
        <w:t>legislative</w:t>
      </w:r>
      <w:r w:rsidR="00F5245A" w:rsidRPr="000A3539">
        <w:rPr>
          <w:lang w:val="en-CA"/>
        </w:rPr>
        <w:t xml:space="preserve"> measure was being challenged in those cases</w:t>
      </w:r>
      <w:r w:rsidR="00D76132" w:rsidRPr="000A3539">
        <w:rPr>
          <w:lang w:val="en-CA"/>
        </w:rPr>
        <w:t>.</w:t>
      </w:r>
      <w:bookmarkStart w:id="19" w:name="_Ref71624507"/>
      <w:r w:rsidR="002B10A4" w:rsidRPr="002B10A4">
        <w:t xml:space="preserve"> </w:t>
      </w:r>
      <w:r w:rsidR="002B10A4" w:rsidRPr="002B10A4">
        <w:rPr>
          <w:lang w:val="en-CA"/>
        </w:rPr>
        <w:t>[…]</w:t>
      </w:r>
      <w:r w:rsidR="00D76132" w:rsidRPr="000A3539">
        <w:rPr>
          <w:rStyle w:val="Appelnotedebasdep"/>
          <w:lang w:val="en-CA"/>
        </w:rPr>
        <w:footnoteReference w:id="64"/>
      </w:r>
      <w:bookmarkEnd w:id="19"/>
      <w:r w:rsidR="00D76132" w:rsidRPr="000A3539">
        <w:rPr>
          <w:lang w:val="en-CA"/>
        </w:rPr>
        <w:t xml:space="preserve"> </w:t>
      </w:r>
    </w:p>
    <w:p w14:paraId="198FF410" w14:textId="33D2EFE3" w:rsidR="00352837" w:rsidRPr="000A3539" w:rsidRDefault="009F6B5E" w:rsidP="00352837">
      <w:pPr>
        <w:pStyle w:val="Citationenretrait"/>
        <w:jc w:val="right"/>
        <w:rPr>
          <w:lang w:val="en-CA"/>
        </w:rPr>
      </w:pPr>
      <w:r w:rsidRPr="000A3539">
        <w:rPr>
          <w:lang w:val="en-CA"/>
        </w:rPr>
        <w:t>[Emphasis added]</w:t>
      </w:r>
    </w:p>
    <w:p w14:paraId="4292D0C5" w14:textId="3E49AC95" w:rsidR="00352837" w:rsidRPr="000A3539" w:rsidRDefault="006C0A3E" w:rsidP="00352837">
      <w:pPr>
        <w:pStyle w:val="Paragraphe"/>
        <w:rPr>
          <w:lang w:val="en-CA"/>
        </w:rPr>
      </w:pPr>
      <w:r w:rsidRPr="000A3539">
        <w:rPr>
          <w:lang w:val="en-CA"/>
        </w:rPr>
        <w:t xml:space="preserve">The </w:t>
      </w:r>
      <w:r w:rsidR="00D76132" w:rsidRPr="000A3539">
        <w:rPr>
          <w:lang w:val="en-CA"/>
        </w:rPr>
        <w:t>Court</w:t>
      </w:r>
      <w:r w:rsidRPr="000A3539">
        <w:rPr>
          <w:lang w:val="en-CA"/>
        </w:rPr>
        <w:t xml:space="preserve"> shares that </w:t>
      </w:r>
      <w:r w:rsidR="00D76132" w:rsidRPr="000A3539">
        <w:rPr>
          <w:lang w:val="en-CA"/>
        </w:rPr>
        <w:t xml:space="preserve">opinion, </w:t>
      </w:r>
      <w:r w:rsidRPr="000A3539">
        <w:rPr>
          <w:lang w:val="en-CA"/>
        </w:rPr>
        <w:t xml:space="preserve">subject to </w:t>
      </w:r>
      <w:r w:rsidR="00904B6F">
        <w:rPr>
          <w:lang w:val="en-CA"/>
        </w:rPr>
        <w:t xml:space="preserve">further </w:t>
      </w:r>
      <w:r w:rsidR="00D76132" w:rsidRPr="000A3539">
        <w:rPr>
          <w:lang w:val="en-CA"/>
        </w:rPr>
        <w:t xml:space="preserve">observations </w:t>
      </w:r>
      <w:r w:rsidRPr="000A3539">
        <w:rPr>
          <w:lang w:val="en-CA"/>
        </w:rPr>
        <w:t xml:space="preserve">regarding judgments of the </w:t>
      </w:r>
      <w:r w:rsidR="00D76132" w:rsidRPr="000A3539">
        <w:rPr>
          <w:lang w:val="en-CA"/>
        </w:rPr>
        <w:t>Court cit</w:t>
      </w:r>
      <w:r w:rsidRPr="000A3539">
        <w:rPr>
          <w:lang w:val="en-CA"/>
        </w:rPr>
        <w:t xml:space="preserve">ed and </w:t>
      </w:r>
      <w:r w:rsidR="00D76132" w:rsidRPr="000A3539">
        <w:rPr>
          <w:lang w:val="en-CA"/>
        </w:rPr>
        <w:t>criti</w:t>
      </w:r>
      <w:r w:rsidRPr="000A3539">
        <w:rPr>
          <w:lang w:val="en-CA"/>
        </w:rPr>
        <w:t>cized by the author</w:t>
      </w:r>
      <w:r w:rsidR="00D76132" w:rsidRPr="000A3539">
        <w:rPr>
          <w:lang w:val="en-CA"/>
        </w:rPr>
        <w:t>.</w:t>
      </w:r>
    </w:p>
    <w:p w14:paraId="155FEFEF" w14:textId="77777777" w:rsidR="00352837" w:rsidRPr="000A3539" w:rsidRDefault="00D76132" w:rsidP="00352837">
      <w:pPr>
        <w:pStyle w:val="Paragraphe"/>
        <w:numPr>
          <w:ilvl w:val="0"/>
          <w:numId w:val="0"/>
        </w:numPr>
        <w:jc w:val="center"/>
        <w:rPr>
          <w:b/>
          <w:kern w:val="0"/>
          <w:lang w:val="en-CA"/>
        </w:rPr>
      </w:pPr>
      <w:r w:rsidRPr="000A3539">
        <w:rPr>
          <w:rFonts w:cs="Arial"/>
          <w:b/>
          <w:kern w:val="0"/>
          <w:lang w:val="en-CA"/>
        </w:rPr>
        <w:t>*****</w:t>
      </w:r>
    </w:p>
    <w:p w14:paraId="1C6C32C4" w14:textId="5F3E8937" w:rsidR="00352837" w:rsidRPr="000A3539" w:rsidRDefault="00555FEC" w:rsidP="00352837">
      <w:pPr>
        <w:pStyle w:val="Paragraphe"/>
        <w:rPr>
          <w:kern w:val="0"/>
          <w:lang w:val="en-CA"/>
        </w:rPr>
      </w:pPr>
      <w:r w:rsidRPr="000A3539">
        <w:rPr>
          <w:lang w:val="en-CA"/>
        </w:rPr>
        <w:t xml:space="preserve">Before </w:t>
      </w:r>
      <w:r w:rsidR="00D76132" w:rsidRPr="000A3539">
        <w:rPr>
          <w:lang w:val="en-CA"/>
        </w:rPr>
        <w:t>conclu</w:t>
      </w:r>
      <w:r w:rsidRPr="000A3539">
        <w:rPr>
          <w:lang w:val="en-CA"/>
        </w:rPr>
        <w:t xml:space="preserve">ding on the issue of the </w:t>
      </w:r>
      <w:r w:rsidR="00D76132" w:rsidRPr="000A3539">
        <w:rPr>
          <w:lang w:val="en-CA"/>
        </w:rPr>
        <w:t>burden</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proof requi</w:t>
      </w:r>
      <w:r w:rsidRPr="000A3539">
        <w:rPr>
          <w:lang w:val="en-CA"/>
        </w:rPr>
        <w:t>red</w:t>
      </w:r>
      <w:r w:rsidR="00D76132" w:rsidRPr="000A3539">
        <w:rPr>
          <w:lang w:val="en-CA"/>
        </w:rPr>
        <w:t xml:space="preserve"> </w:t>
      </w:r>
      <w:r w:rsidRPr="000A3539">
        <w:rPr>
          <w:lang w:val="en-CA"/>
        </w:rPr>
        <w:t xml:space="preserve">in actions based on </w:t>
      </w:r>
      <w:r w:rsidR="00D76132" w:rsidRPr="000A3539">
        <w:rPr>
          <w:lang w:val="en-CA"/>
        </w:rPr>
        <w:t>section</w:t>
      </w:r>
      <w:r w:rsidRPr="000A3539">
        <w:rPr>
          <w:lang w:val="en-CA"/>
        </w:rPr>
        <w:t xml:space="preserve"> </w:t>
      </w:r>
      <w:r w:rsidR="00D76132" w:rsidRPr="000A3539">
        <w:rPr>
          <w:lang w:val="en-CA"/>
        </w:rPr>
        <w:t xml:space="preserve">10 </w:t>
      </w:r>
      <w:r w:rsidRPr="000A3539">
        <w:rPr>
          <w:lang w:val="en-CA"/>
        </w:rPr>
        <w:t xml:space="preserve">of the </w:t>
      </w:r>
      <w:r w:rsidR="00DC430C" w:rsidRPr="00DC430C">
        <w:rPr>
          <w:i/>
          <w:lang w:val="en-CA"/>
        </w:rPr>
        <w:t>Quebec Charter</w:t>
      </w:r>
      <w:r w:rsidR="00D76132" w:rsidRPr="000A3539">
        <w:rPr>
          <w:lang w:val="en-CA"/>
        </w:rPr>
        <w:t>,</w:t>
      </w:r>
      <w:r w:rsidR="0044261D" w:rsidRPr="000A3539">
        <w:rPr>
          <w:lang w:val="en-CA"/>
        </w:rPr>
        <w:t xml:space="preserve"> some initial parenthetical remarks are in order with respect to the judgments rendered in </w:t>
      </w:r>
      <w:proofErr w:type="spellStart"/>
      <w:r w:rsidR="00D76132" w:rsidRPr="000A3539">
        <w:rPr>
          <w:i/>
          <w:kern w:val="0"/>
          <w:lang w:val="en-CA"/>
        </w:rPr>
        <w:t>Université</w:t>
      </w:r>
      <w:proofErr w:type="spellEnd"/>
      <w:r w:rsidR="00D76132" w:rsidRPr="000A3539">
        <w:rPr>
          <w:i/>
          <w:kern w:val="0"/>
          <w:lang w:val="en-CA"/>
        </w:rPr>
        <w:t xml:space="preserve"> de </w:t>
      </w:r>
      <w:proofErr w:type="spellStart"/>
      <w:r w:rsidR="00D76132" w:rsidRPr="000A3539">
        <w:rPr>
          <w:i/>
          <w:kern w:val="0"/>
          <w:lang w:val="en-CA"/>
        </w:rPr>
        <w:t>Sherbrooke</w:t>
      </w:r>
      <w:proofErr w:type="spellEnd"/>
      <w:r w:rsidR="00D76132" w:rsidRPr="000A3539">
        <w:rPr>
          <w:i/>
          <w:kern w:val="0"/>
          <w:lang w:val="en-CA"/>
        </w:rPr>
        <w:t xml:space="preserve"> c. Commission</w:t>
      </w:r>
      <w:r w:rsidR="0044261D" w:rsidRPr="000A3539">
        <w:rPr>
          <w:i/>
          <w:kern w:val="0"/>
          <w:lang w:val="en-CA"/>
        </w:rPr>
        <w:t xml:space="preserve"> </w:t>
      </w:r>
      <w:r w:rsidR="00D76132" w:rsidRPr="000A3539">
        <w:rPr>
          <w:i/>
          <w:kern w:val="0"/>
          <w:lang w:val="en-CA"/>
        </w:rPr>
        <w:t>des</w:t>
      </w:r>
      <w:r w:rsidR="0044261D" w:rsidRPr="000A3539">
        <w:rPr>
          <w:i/>
          <w:kern w:val="0"/>
          <w:lang w:val="en-CA"/>
        </w:rPr>
        <w:t xml:space="preserve"> </w:t>
      </w:r>
      <w:r w:rsidR="00D76132" w:rsidRPr="000A3539">
        <w:rPr>
          <w:i/>
          <w:kern w:val="0"/>
          <w:lang w:val="en-CA"/>
        </w:rPr>
        <w:t>droits</w:t>
      </w:r>
      <w:r w:rsidR="0044261D" w:rsidRPr="000A3539">
        <w:rPr>
          <w:i/>
          <w:kern w:val="0"/>
          <w:lang w:val="en-CA"/>
        </w:rPr>
        <w:t xml:space="preserve"> </w:t>
      </w:r>
      <w:r w:rsidR="00D76132" w:rsidRPr="000A3539">
        <w:rPr>
          <w:i/>
          <w:kern w:val="0"/>
          <w:lang w:val="en-CA"/>
        </w:rPr>
        <w:t>de</w:t>
      </w:r>
      <w:r w:rsidR="0044261D" w:rsidRPr="000A3539">
        <w:rPr>
          <w:i/>
          <w:kern w:val="0"/>
          <w:lang w:val="en-CA"/>
        </w:rPr>
        <w:t xml:space="preserve"> </w:t>
      </w:r>
      <w:r w:rsidR="00D76132" w:rsidRPr="000A3539">
        <w:rPr>
          <w:i/>
          <w:kern w:val="0"/>
          <w:lang w:val="en-CA"/>
        </w:rPr>
        <w:t>la</w:t>
      </w:r>
      <w:r w:rsidR="0044261D" w:rsidRPr="000A3539">
        <w:rPr>
          <w:i/>
          <w:kern w:val="0"/>
          <w:lang w:val="en-CA"/>
        </w:rPr>
        <w:t xml:space="preserve"> </w:t>
      </w:r>
      <w:r w:rsidR="00D76132" w:rsidRPr="000A3539">
        <w:rPr>
          <w:i/>
          <w:kern w:val="0"/>
          <w:lang w:val="en-CA"/>
        </w:rPr>
        <w:t xml:space="preserve">personne et des droits de la </w:t>
      </w:r>
      <w:proofErr w:type="spellStart"/>
      <w:r w:rsidR="00D76132" w:rsidRPr="000A3539">
        <w:rPr>
          <w:i/>
          <w:kern w:val="0"/>
          <w:lang w:val="en-CA"/>
        </w:rPr>
        <w:t>jeunesse</w:t>
      </w:r>
      <w:proofErr w:type="spellEnd"/>
      <w:r w:rsidR="00D76132" w:rsidRPr="000A3539">
        <w:rPr>
          <w:rStyle w:val="Appelnotedebasdep"/>
          <w:kern w:val="0"/>
          <w:lang w:val="en-CA"/>
        </w:rPr>
        <w:footnoteReference w:id="65"/>
      </w:r>
      <w:r w:rsidR="00D76132" w:rsidRPr="000A3539">
        <w:rPr>
          <w:kern w:val="0"/>
          <w:lang w:val="en-CA"/>
        </w:rPr>
        <w:t xml:space="preserve"> </w:t>
      </w:r>
      <w:r w:rsidR="0044261D" w:rsidRPr="000A3539">
        <w:rPr>
          <w:kern w:val="0"/>
          <w:lang w:val="en-CA"/>
        </w:rPr>
        <w:t xml:space="preserve">and </w:t>
      </w:r>
      <w:r w:rsidR="00D76132" w:rsidRPr="000A3539">
        <w:rPr>
          <w:i/>
          <w:kern w:val="0"/>
          <w:lang w:val="en-CA"/>
        </w:rPr>
        <w:t>Québec (</w:t>
      </w:r>
      <w:proofErr w:type="spellStart"/>
      <w:r w:rsidR="00D76132" w:rsidRPr="000A3539">
        <w:rPr>
          <w:i/>
          <w:kern w:val="0"/>
          <w:lang w:val="en-CA"/>
        </w:rPr>
        <w:t>Procureur</w:t>
      </w:r>
      <w:proofErr w:type="spellEnd"/>
      <w:r w:rsidR="0044261D" w:rsidRPr="000A3539">
        <w:rPr>
          <w:i/>
          <w:kern w:val="0"/>
          <w:lang w:val="en-CA"/>
        </w:rPr>
        <w:t xml:space="preserve"> general</w:t>
      </w:r>
      <w:r w:rsidR="00D76132" w:rsidRPr="000A3539">
        <w:rPr>
          <w:i/>
          <w:kern w:val="0"/>
          <w:lang w:val="en-CA"/>
        </w:rPr>
        <w:t xml:space="preserve">) c. </w:t>
      </w:r>
      <w:r w:rsidR="00D76132" w:rsidRPr="000A3539">
        <w:rPr>
          <w:i/>
          <w:kern w:val="0"/>
          <w:lang w:val="en-CA"/>
        </w:rPr>
        <w:lastRenderedPageBreak/>
        <w:t>Commission</w:t>
      </w:r>
      <w:r w:rsidR="0044261D" w:rsidRPr="000A3539">
        <w:rPr>
          <w:i/>
          <w:kern w:val="0"/>
          <w:lang w:val="en-CA"/>
        </w:rPr>
        <w:t xml:space="preserve"> </w:t>
      </w:r>
      <w:r w:rsidR="00D76132" w:rsidRPr="000A3539">
        <w:rPr>
          <w:i/>
          <w:kern w:val="0"/>
          <w:lang w:val="en-CA"/>
        </w:rPr>
        <w:t>des</w:t>
      </w:r>
      <w:r w:rsidR="0044261D" w:rsidRPr="000A3539">
        <w:rPr>
          <w:i/>
          <w:kern w:val="0"/>
          <w:lang w:val="en-CA"/>
        </w:rPr>
        <w:t xml:space="preserve"> </w:t>
      </w:r>
      <w:r w:rsidR="00D76132" w:rsidRPr="000A3539">
        <w:rPr>
          <w:i/>
          <w:kern w:val="0"/>
          <w:lang w:val="en-CA"/>
        </w:rPr>
        <w:t>droits</w:t>
      </w:r>
      <w:r w:rsidR="0044261D" w:rsidRPr="000A3539">
        <w:rPr>
          <w:i/>
          <w:kern w:val="0"/>
          <w:lang w:val="en-CA"/>
        </w:rPr>
        <w:t xml:space="preserve"> </w:t>
      </w:r>
      <w:r w:rsidR="00D76132" w:rsidRPr="000A3539">
        <w:rPr>
          <w:i/>
          <w:kern w:val="0"/>
          <w:lang w:val="en-CA"/>
        </w:rPr>
        <w:t>de</w:t>
      </w:r>
      <w:r w:rsidR="0044261D" w:rsidRPr="000A3539">
        <w:rPr>
          <w:i/>
          <w:kern w:val="0"/>
          <w:lang w:val="en-CA"/>
        </w:rPr>
        <w:t xml:space="preserve"> </w:t>
      </w:r>
      <w:r w:rsidR="00D76132" w:rsidRPr="000A3539">
        <w:rPr>
          <w:i/>
          <w:kern w:val="0"/>
          <w:lang w:val="en-CA"/>
        </w:rPr>
        <w:t>la</w:t>
      </w:r>
      <w:r w:rsidR="0044261D" w:rsidRPr="000A3539">
        <w:rPr>
          <w:i/>
          <w:kern w:val="0"/>
          <w:lang w:val="en-CA"/>
        </w:rPr>
        <w:t xml:space="preserve"> </w:t>
      </w:r>
      <w:r w:rsidR="00D76132" w:rsidRPr="000A3539">
        <w:rPr>
          <w:i/>
          <w:kern w:val="0"/>
          <w:lang w:val="en-CA"/>
        </w:rPr>
        <w:t xml:space="preserve">personne et des droits de la </w:t>
      </w:r>
      <w:proofErr w:type="spellStart"/>
      <w:r w:rsidR="00D76132" w:rsidRPr="000A3539">
        <w:rPr>
          <w:i/>
          <w:kern w:val="0"/>
          <w:lang w:val="en-CA"/>
        </w:rPr>
        <w:t>jeunesse</w:t>
      </w:r>
      <w:proofErr w:type="spellEnd"/>
      <w:r w:rsidR="0044261D" w:rsidRPr="000A3539">
        <w:rPr>
          <w:kern w:val="0"/>
          <w:lang w:val="en-CA"/>
        </w:rPr>
        <w:t>,</w:t>
      </w:r>
      <w:r w:rsidR="00D76132" w:rsidRPr="000A3539">
        <w:rPr>
          <w:rStyle w:val="Appelnotedebasdep"/>
          <w:kern w:val="0"/>
          <w:lang w:val="en-CA"/>
        </w:rPr>
        <w:footnoteReference w:id="66"/>
      </w:r>
      <w:r w:rsidR="00D76132" w:rsidRPr="000A3539">
        <w:rPr>
          <w:i/>
          <w:kern w:val="0"/>
          <w:lang w:val="en-CA"/>
        </w:rPr>
        <w:t xml:space="preserve"> </w:t>
      </w:r>
      <w:r w:rsidR="00D76132" w:rsidRPr="000A3539">
        <w:rPr>
          <w:kern w:val="0"/>
          <w:lang w:val="en-CA"/>
        </w:rPr>
        <w:t>cit</w:t>
      </w:r>
      <w:r w:rsidR="0044261D" w:rsidRPr="000A3539">
        <w:rPr>
          <w:kern w:val="0"/>
          <w:lang w:val="en-CA"/>
        </w:rPr>
        <w:t>ed by the</w:t>
      </w:r>
      <w:r w:rsidR="00D76132" w:rsidRPr="000A3539">
        <w:rPr>
          <w:kern w:val="0"/>
          <w:lang w:val="en-CA"/>
        </w:rPr>
        <w:t xml:space="preserve"> appel</w:t>
      </w:r>
      <w:r w:rsidR="0044261D" w:rsidRPr="000A3539">
        <w:rPr>
          <w:kern w:val="0"/>
          <w:lang w:val="en-CA"/>
        </w:rPr>
        <w:t>l</w:t>
      </w:r>
      <w:r w:rsidR="00D76132" w:rsidRPr="000A3539">
        <w:rPr>
          <w:kern w:val="0"/>
          <w:lang w:val="en-CA"/>
        </w:rPr>
        <w:t>ant</w:t>
      </w:r>
      <w:r w:rsidR="0044261D" w:rsidRPr="000A3539">
        <w:rPr>
          <w:kern w:val="0"/>
          <w:lang w:val="en-CA"/>
        </w:rPr>
        <w:t xml:space="preserve"> in support of its argument requiring </w:t>
      </w:r>
      <w:r w:rsidR="003824A3">
        <w:rPr>
          <w:kern w:val="0"/>
          <w:lang w:val="en-CA"/>
        </w:rPr>
        <w:t>proof</w:t>
      </w:r>
      <w:r w:rsidR="003824A3" w:rsidRPr="000A3539">
        <w:rPr>
          <w:kern w:val="0"/>
          <w:lang w:val="en-CA"/>
        </w:rPr>
        <w:t xml:space="preserve"> </w:t>
      </w:r>
      <w:r w:rsidR="00B01B24" w:rsidRPr="000A3539">
        <w:rPr>
          <w:kern w:val="0"/>
          <w:lang w:val="en-CA"/>
        </w:rPr>
        <w:t>of a pre</w:t>
      </w:r>
      <w:r w:rsidR="00AD06D3" w:rsidRPr="000A3539">
        <w:rPr>
          <w:kern w:val="0"/>
          <w:lang w:val="en-CA"/>
        </w:rPr>
        <w:t>judice</w:t>
      </w:r>
      <w:r w:rsidR="005F19A7">
        <w:rPr>
          <w:kern w:val="0"/>
          <w:lang w:val="en-CA"/>
        </w:rPr>
        <w:t>,</w:t>
      </w:r>
      <w:r w:rsidR="00AD06D3" w:rsidRPr="000A3539">
        <w:rPr>
          <w:kern w:val="0"/>
          <w:lang w:val="en-CA"/>
        </w:rPr>
        <w:t xml:space="preserve"> </w:t>
      </w:r>
      <w:r w:rsidR="00D76132" w:rsidRPr="000A3539">
        <w:rPr>
          <w:kern w:val="0"/>
          <w:lang w:val="en-CA"/>
        </w:rPr>
        <w:t>st</w:t>
      </w:r>
      <w:r w:rsidR="00AD06D3" w:rsidRPr="000A3539">
        <w:rPr>
          <w:kern w:val="0"/>
          <w:lang w:val="en-CA"/>
        </w:rPr>
        <w:t>e</w:t>
      </w:r>
      <w:r w:rsidR="00D76132" w:rsidRPr="000A3539">
        <w:rPr>
          <w:kern w:val="0"/>
          <w:lang w:val="en-CA"/>
        </w:rPr>
        <w:t>r</w:t>
      </w:r>
      <w:r w:rsidR="00AD06D3" w:rsidRPr="000A3539">
        <w:rPr>
          <w:kern w:val="0"/>
          <w:lang w:val="en-CA"/>
        </w:rPr>
        <w:t>e</w:t>
      </w:r>
      <w:r w:rsidR="00D76132" w:rsidRPr="000A3539">
        <w:rPr>
          <w:kern w:val="0"/>
          <w:lang w:val="en-CA"/>
        </w:rPr>
        <w:t>otyp</w:t>
      </w:r>
      <w:r w:rsidR="005F19A7">
        <w:rPr>
          <w:kern w:val="0"/>
          <w:lang w:val="en-CA"/>
        </w:rPr>
        <w:t>ing</w:t>
      </w:r>
      <w:r w:rsidR="00D76132" w:rsidRPr="000A3539">
        <w:rPr>
          <w:kern w:val="0"/>
          <w:lang w:val="en-CA"/>
        </w:rPr>
        <w:t xml:space="preserve"> o</w:t>
      </w:r>
      <w:r w:rsidR="00AD06D3" w:rsidRPr="000A3539">
        <w:rPr>
          <w:kern w:val="0"/>
          <w:lang w:val="en-CA"/>
        </w:rPr>
        <w:t xml:space="preserve">r the </w:t>
      </w:r>
      <w:r w:rsidR="00D76132" w:rsidRPr="000A3539">
        <w:rPr>
          <w:kern w:val="0"/>
          <w:lang w:val="en-CA"/>
        </w:rPr>
        <w:t>perp</w:t>
      </w:r>
      <w:r w:rsidR="00AD06D3" w:rsidRPr="000A3539">
        <w:rPr>
          <w:kern w:val="0"/>
          <w:lang w:val="en-CA"/>
        </w:rPr>
        <w:t>e</w:t>
      </w:r>
      <w:r w:rsidR="00D76132" w:rsidRPr="000A3539">
        <w:rPr>
          <w:kern w:val="0"/>
          <w:lang w:val="en-CA"/>
        </w:rPr>
        <w:t xml:space="preserve">tuation </w:t>
      </w:r>
      <w:r w:rsidR="00AD06D3" w:rsidRPr="000A3539">
        <w:rPr>
          <w:kern w:val="0"/>
          <w:lang w:val="en-CA"/>
        </w:rPr>
        <w:t>of a disad</w:t>
      </w:r>
      <w:r w:rsidR="00D76132" w:rsidRPr="000A3539">
        <w:rPr>
          <w:kern w:val="0"/>
          <w:lang w:val="en-CA"/>
        </w:rPr>
        <w:t>vantage</w:t>
      </w:r>
      <w:r w:rsidR="00AD06D3" w:rsidRPr="000A3539">
        <w:rPr>
          <w:kern w:val="0"/>
          <w:lang w:val="en-CA"/>
        </w:rPr>
        <w:t xml:space="preserve"> to ensure the success of an action based on </w:t>
      </w:r>
      <w:r w:rsidR="00D76132" w:rsidRPr="000A3539">
        <w:rPr>
          <w:lang w:val="en-CA"/>
        </w:rPr>
        <w:t xml:space="preserve">section 10 </w:t>
      </w:r>
      <w:r w:rsidR="00AD06D3" w:rsidRPr="000A3539">
        <w:rPr>
          <w:lang w:val="en-CA"/>
        </w:rPr>
        <w:t xml:space="preserve">of the </w:t>
      </w:r>
      <w:r w:rsidR="00DC430C" w:rsidRPr="00DC430C">
        <w:rPr>
          <w:i/>
          <w:lang w:val="en-CA"/>
        </w:rPr>
        <w:t>Quebec Charter</w:t>
      </w:r>
      <w:r w:rsidR="00D76132" w:rsidRPr="000A3539">
        <w:rPr>
          <w:lang w:val="en-CA"/>
        </w:rPr>
        <w:t>.</w:t>
      </w:r>
      <w:r w:rsidR="00AD06D3" w:rsidRPr="000A3539">
        <w:rPr>
          <w:lang w:val="en-CA"/>
        </w:rPr>
        <w:t xml:space="preserve"> Those two judgment</w:t>
      </w:r>
      <w:r w:rsidR="005F19A7">
        <w:rPr>
          <w:lang w:val="en-CA"/>
        </w:rPr>
        <w:t>s</w:t>
      </w:r>
      <w:r w:rsidR="00AD06D3" w:rsidRPr="000A3539">
        <w:rPr>
          <w:lang w:val="en-CA"/>
        </w:rPr>
        <w:t xml:space="preserve"> do not support such an argument</w:t>
      </w:r>
      <w:r w:rsidR="00D76132" w:rsidRPr="000A3539">
        <w:rPr>
          <w:lang w:val="en-CA"/>
        </w:rPr>
        <w:t>.</w:t>
      </w:r>
    </w:p>
    <w:p w14:paraId="7DE45A0C" w14:textId="20000C8C" w:rsidR="00352837" w:rsidRPr="000A3539" w:rsidRDefault="00B507F1" w:rsidP="00352837">
      <w:pPr>
        <w:pStyle w:val="Paragraphe"/>
        <w:rPr>
          <w:lang w:val="en-CA"/>
        </w:rPr>
      </w:pPr>
      <w:r w:rsidRPr="000A3539">
        <w:rPr>
          <w:lang w:val="en-CA"/>
        </w:rPr>
        <w:t xml:space="preserve">In </w:t>
      </w:r>
      <w:proofErr w:type="spellStart"/>
      <w:r w:rsidR="00D76132" w:rsidRPr="000A3539">
        <w:rPr>
          <w:i/>
          <w:lang w:val="en-CA"/>
        </w:rPr>
        <w:t>Université</w:t>
      </w:r>
      <w:proofErr w:type="spellEnd"/>
      <w:r w:rsidR="00D76132" w:rsidRPr="000A3539">
        <w:rPr>
          <w:i/>
          <w:lang w:val="en-CA"/>
        </w:rPr>
        <w:t xml:space="preserve"> de </w:t>
      </w:r>
      <w:proofErr w:type="spellStart"/>
      <w:r w:rsidR="00D76132" w:rsidRPr="000A3539">
        <w:rPr>
          <w:i/>
          <w:lang w:val="en-CA"/>
        </w:rPr>
        <w:t>Sherbrooke</w:t>
      </w:r>
      <w:proofErr w:type="spellEnd"/>
      <w:r w:rsidR="00D76132" w:rsidRPr="000A3539">
        <w:rPr>
          <w:lang w:val="en-CA"/>
        </w:rPr>
        <w:t>, the</w:t>
      </w:r>
      <w:r w:rsidRPr="000A3539">
        <w:rPr>
          <w:lang w:val="en-CA"/>
        </w:rPr>
        <w:t xml:space="preserve"> </w:t>
      </w:r>
      <w:r w:rsidR="00D76132" w:rsidRPr="000A3539">
        <w:rPr>
          <w:lang w:val="en-CA"/>
        </w:rPr>
        <w:t>Court confirme</w:t>
      </w:r>
      <w:r w:rsidRPr="000A3539">
        <w:rPr>
          <w:lang w:val="en-CA"/>
        </w:rPr>
        <w:t>d</w:t>
      </w:r>
      <w:r w:rsidR="00D76132" w:rsidRPr="000A3539">
        <w:rPr>
          <w:lang w:val="en-CA"/>
        </w:rPr>
        <w:t xml:space="preserve"> </w:t>
      </w:r>
      <w:r w:rsidRPr="000A3539">
        <w:rPr>
          <w:lang w:val="en-CA"/>
        </w:rPr>
        <w:t xml:space="preserve">the </w:t>
      </w:r>
      <w:r w:rsidR="00D76132" w:rsidRPr="000A3539">
        <w:rPr>
          <w:lang w:val="en-CA"/>
        </w:rPr>
        <w:t>decision rend</w:t>
      </w:r>
      <w:r w:rsidRPr="000A3539">
        <w:rPr>
          <w:lang w:val="en-CA"/>
        </w:rPr>
        <w:t xml:space="preserve">ered by the Human Rights </w:t>
      </w:r>
      <w:r w:rsidR="00D76132" w:rsidRPr="000A3539">
        <w:rPr>
          <w:lang w:val="en-CA"/>
        </w:rPr>
        <w:t>Tribunal</w:t>
      </w:r>
      <w:r w:rsidRPr="000A3539">
        <w:rPr>
          <w:lang w:val="en-CA"/>
        </w:rPr>
        <w:t xml:space="preserve"> finding that the </w:t>
      </w:r>
      <w:r w:rsidR="00D76132" w:rsidRPr="000A3539">
        <w:rPr>
          <w:lang w:val="en-CA"/>
        </w:rPr>
        <w:t xml:space="preserve">clause </w:t>
      </w:r>
      <w:r w:rsidRPr="000A3539">
        <w:rPr>
          <w:lang w:val="en-CA"/>
        </w:rPr>
        <w:t xml:space="preserve">of the </w:t>
      </w:r>
      <w:r w:rsidR="00D76132" w:rsidRPr="000A3539">
        <w:rPr>
          <w:lang w:val="en-CA"/>
        </w:rPr>
        <w:t>collective</w:t>
      </w:r>
      <w:r w:rsidR="00C8439C" w:rsidRPr="000A3539">
        <w:rPr>
          <w:lang w:val="en-CA"/>
        </w:rPr>
        <w:t xml:space="preserve"> </w:t>
      </w:r>
      <w:r w:rsidR="00D76132" w:rsidRPr="000A3539">
        <w:rPr>
          <w:lang w:val="en-CA"/>
        </w:rPr>
        <w:t>agreement</w:t>
      </w:r>
      <w:r w:rsidR="00C8439C" w:rsidRPr="000A3539">
        <w:rPr>
          <w:lang w:val="en-CA"/>
        </w:rPr>
        <w:t xml:space="preserve"> </w:t>
      </w:r>
      <w:r w:rsidR="00D76132" w:rsidRPr="000A3539">
        <w:rPr>
          <w:lang w:val="en-CA"/>
        </w:rPr>
        <w:t>at</w:t>
      </w:r>
      <w:r w:rsidR="00C8439C" w:rsidRPr="000A3539">
        <w:rPr>
          <w:lang w:val="en-CA"/>
        </w:rPr>
        <w:t xml:space="preserve"> </w:t>
      </w:r>
      <w:r w:rsidR="00D76132" w:rsidRPr="000A3539">
        <w:rPr>
          <w:lang w:val="en-CA"/>
        </w:rPr>
        <w:t>issue</w:t>
      </w:r>
      <w:r w:rsidR="00C8439C" w:rsidRPr="000A3539">
        <w:rPr>
          <w:lang w:val="en-CA"/>
        </w:rPr>
        <w:t xml:space="preserve"> was </w:t>
      </w:r>
      <w:r w:rsidR="00D76132" w:rsidRPr="000A3539">
        <w:rPr>
          <w:lang w:val="en-CA"/>
        </w:rPr>
        <w:t>discriminator</w:t>
      </w:r>
      <w:r w:rsidR="0004393B" w:rsidRPr="000A3539">
        <w:rPr>
          <w:lang w:val="en-CA"/>
        </w:rPr>
        <w:t xml:space="preserve">y </w:t>
      </w:r>
      <w:r w:rsidR="00D76132" w:rsidRPr="000A3539">
        <w:rPr>
          <w:lang w:val="en-CA"/>
        </w:rPr>
        <w:t>within</w:t>
      </w:r>
      <w:r w:rsidR="0004393B" w:rsidRPr="000A3539">
        <w:rPr>
          <w:lang w:val="en-CA"/>
        </w:rPr>
        <w:t xml:space="preserve"> </w:t>
      </w:r>
      <w:r w:rsidR="00D76132" w:rsidRPr="000A3539">
        <w:rPr>
          <w:lang w:val="en-CA"/>
        </w:rPr>
        <w:t>the</w:t>
      </w:r>
      <w:r w:rsidR="0004393B" w:rsidRPr="000A3539">
        <w:rPr>
          <w:lang w:val="en-CA"/>
        </w:rPr>
        <w:t xml:space="preserve"> </w:t>
      </w:r>
      <w:r w:rsidR="00D76132" w:rsidRPr="000A3539">
        <w:rPr>
          <w:lang w:val="en-CA"/>
        </w:rPr>
        <w:t>meaning</w:t>
      </w:r>
      <w:r w:rsidR="0004393B" w:rsidRPr="000A3539">
        <w:rPr>
          <w:lang w:val="en-CA"/>
        </w:rPr>
        <w:t xml:space="preserve"> </w:t>
      </w:r>
      <w:r w:rsidR="00D76132" w:rsidRPr="000A3539">
        <w:rPr>
          <w:lang w:val="en-CA"/>
        </w:rPr>
        <w:t>of</w:t>
      </w:r>
      <w:r w:rsidR="0004393B" w:rsidRPr="000A3539">
        <w:rPr>
          <w:lang w:val="en-CA"/>
        </w:rPr>
        <w:t xml:space="preserve"> </w:t>
      </w:r>
      <w:r w:rsidR="00D76132" w:rsidRPr="000A3539">
        <w:rPr>
          <w:lang w:val="en-CA"/>
        </w:rPr>
        <w:t>section</w:t>
      </w:r>
      <w:r w:rsidR="0004393B" w:rsidRPr="000A3539">
        <w:rPr>
          <w:lang w:val="en-CA"/>
        </w:rPr>
        <w:t>s</w:t>
      </w:r>
      <w:r w:rsidR="00D76132" w:rsidRPr="000A3539">
        <w:rPr>
          <w:lang w:val="en-CA"/>
        </w:rPr>
        <w:t> 10, 13</w:t>
      </w:r>
      <w:r w:rsidR="0004393B" w:rsidRPr="000A3539">
        <w:rPr>
          <w:lang w:val="en-CA"/>
        </w:rPr>
        <w:t xml:space="preserve">, and </w:t>
      </w:r>
      <w:r w:rsidR="00D76132" w:rsidRPr="000A3539">
        <w:rPr>
          <w:lang w:val="en-CA"/>
        </w:rPr>
        <w:t xml:space="preserve">16 </w:t>
      </w:r>
      <w:r w:rsidR="0004393B" w:rsidRPr="000A3539">
        <w:rPr>
          <w:lang w:val="en-CA"/>
        </w:rPr>
        <w:t xml:space="preserve">of the </w:t>
      </w:r>
      <w:r w:rsidR="00DC430C" w:rsidRPr="00DC430C">
        <w:rPr>
          <w:i/>
          <w:lang w:val="en-CA"/>
        </w:rPr>
        <w:t>Quebec Charter</w:t>
      </w:r>
      <w:r w:rsidR="00D76132" w:rsidRPr="000A3539">
        <w:rPr>
          <w:lang w:val="en-CA"/>
        </w:rPr>
        <w:t>.</w:t>
      </w:r>
      <w:r w:rsidR="0004393B" w:rsidRPr="000A3539">
        <w:rPr>
          <w:lang w:val="en-CA"/>
        </w:rPr>
        <w:t xml:space="preserve"> That case is </w:t>
      </w:r>
      <w:r w:rsidR="009D7346">
        <w:rPr>
          <w:lang w:val="en-CA"/>
        </w:rPr>
        <w:t>particular</w:t>
      </w:r>
      <w:r w:rsidR="0004393B" w:rsidRPr="000A3539">
        <w:rPr>
          <w:lang w:val="en-CA"/>
        </w:rPr>
        <w:t xml:space="preserve"> in that the </w:t>
      </w:r>
      <w:r w:rsidR="00D76132" w:rsidRPr="000A3539">
        <w:rPr>
          <w:lang w:val="en-CA"/>
        </w:rPr>
        <w:t>Court</w:t>
      </w:r>
      <w:r w:rsidR="0004393B" w:rsidRPr="000A3539">
        <w:rPr>
          <w:lang w:val="en-CA"/>
        </w:rPr>
        <w:t xml:space="preserve"> was asked to rule on the trial judge’s </w:t>
      </w:r>
      <w:r w:rsidR="00D76132" w:rsidRPr="000A3539">
        <w:rPr>
          <w:lang w:val="en-CA"/>
        </w:rPr>
        <w:t>interpretation</w:t>
      </w:r>
      <w:r w:rsidR="0004393B" w:rsidRPr="000A3539">
        <w:rPr>
          <w:lang w:val="en-CA"/>
        </w:rPr>
        <w:t xml:space="preserve"> of the </w:t>
      </w:r>
      <w:r w:rsidR="00D76132" w:rsidRPr="000A3539">
        <w:rPr>
          <w:lang w:val="en-CA"/>
        </w:rPr>
        <w:t>Supreme</w:t>
      </w:r>
      <w:r w:rsidR="0004393B" w:rsidRPr="000A3539">
        <w:rPr>
          <w:lang w:val="en-CA"/>
        </w:rPr>
        <w:t xml:space="preserve"> </w:t>
      </w:r>
      <w:r w:rsidR="00D76132" w:rsidRPr="000A3539">
        <w:rPr>
          <w:lang w:val="en-CA"/>
        </w:rPr>
        <w:t>Court</w:t>
      </w:r>
      <w:r w:rsidR="0004393B" w:rsidRPr="000A3539">
        <w:rPr>
          <w:lang w:val="en-CA"/>
        </w:rPr>
        <w:t xml:space="preserve">’s judgment in </w:t>
      </w:r>
      <w:r w:rsidR="00D76132" w:rsidRPr="000A3539">
        <w:rPr>
          <w:i/>
          <w:lang w:val="en-CA"/>
        </w:rPr>
        <w:t>Qu</w:t>
      </w:r>
      <w:r w:rsidR="0004393B" w:rsidRPr="000A3539">
        <w:rPr>
          <w:i/>
          <w:lang w:val="en-CA"/>
        </w:rPr>
        <w:t>e</w:t>
      </w:r>
      <w:r w:rsidR="00D76132" w:rsidRPr="000A3539">
        <w:rPr>
          <w:i/>
          <w:lang w:val="en-CA"/>
        </w:rPr>
        <w:t>bec (Attorney</w:t>
      </w:r>
      <w:r w:rsidR="0004393B" w:rsidRPr="000A3539">
        <w:rPr>
          <w:i/>
          <w:lang w:val="en-CA"/>
        </w:rPr>
        <w:t xml:space="preserve"> </w:t>
      </w:r>
      <w:r w:rsidR="00D76132" w:rsidRPr="000A3539">
        <w:rPr>
          <w:i/>
          <w:lang w:val="en-CA"/>
        </w:rPr>
        <w:t xml:space="preserve">General) v. A, </w:t>
      </w:r>
      <w:r w:rsidR="0004393B" w:rsidRPr="000A3539">
        <w:rPr>
          <w:lang w:val="en-CA"/>
        </w:rPr>
        <w:t xml:space="preserve">a case dealing with </w:t>
      </w:r>
      <w:r w:rsidR="00D76132" w:rsidRPr="000A3539">
        <w:rPr>
          <w:lang w:val="en-CA"/>
        </w:rPr>
        <w:t>section</w:t>
      </w:r>
      <w:r w:rsidR="0004393B" w:rsidRPr="000A3539">
        <w:rPr>
          <w:lang w:val="en-CA"/>
        </w:rPr>
        <w:t xml:space="preserve"> </w:t>
      </w:r>
      <w:r w:rsidR="00D76132" w:rsidRPr="000A3539">
        <w:rPr>
          <w:lang w:val="en-CA"/>
        </w:rPr>
        <w:t xml:space="preserve">15 </w:t>
      </w:r>
      <w:r w:rsidR="0004393B" w:rsidRPr="000A3539">
        <w:rPr>
          <w:lang w:val="en-CA"/>
        </w:rPr>
        <w:t xml:space="preserve">of the </w:t>
      </w:r>
      <w:r w:rsidR="00D76132" w:rsidRPr="000A3539">
        <w:rPr>
          <w:i/>
          <w:lang w:val="en-CA"/>
        </w:rPr>
        <w:t>Canadian</w:t>
      </w:r>
      <w:r w:rsidR="0004393B" w:rsidRPr="000A3539">
        <w:rPr>
          <w:i/>
          <w:lang w:val="en-CA"/>
        </w:rPr>
        <w:t xml:space="preserve"> </w:t>
      </w:r>
      <w:r w:rsidR="00D76132" w:rsidRPr="000A3539">
        <w:rPr>
          <w:i/>
          <w:lang w:val="en-CA"/>
        </w:rPr>
        <w:t>Charter</w:t>
      </w:r>
      <w:bookmarkStart w:id="20" w:name="_Ref71624949"/>
      <w:r w:rsidR="0004393B" w:rsidRPr="000A3539">
        <w:rPr>
          <w:lang w:val="en-CA"/>
        </w:rPr>
        <w:t>.</w:t>
      </w:r>
      <w:r w:rsidR="00D76132" w:rsidRPr="000A3539">
        <w:rPr>
          <w:rStyle w:val="Appelnotedebasdep"/>
          <w:lang w:val="en-CA"/>
        </w:rPr>
        <w:footnoteReference w:id="67"/>
      </w:r>
      <w:bookmarkEnd w:id="20"/>
      <w:r w:rsidR="0004393B" w:rsidRPr="000A3539">
        <w:rPr>
          <w:lang w:val="en-CA"/>
        </w:rPr>
        <w:t xml:space="preserve"> The </w:t>
      </w:r>
      <w:r w:rsidR="00D76132" w:rsidRPr="000A3539">
        <w:rPr>
          <w:lang w:val="en-CA"/>
        </w:rPr>
        <w:t>trial</w:t>
      </w:r>
      <w:r w:rsidR="008420E0" w:rsidRPr="000A3539">
        <w:rPr>
          <w:lang w:val="en-CA"/>
        </w:rPr>
        <w:t xml:space="preserve"> </w:t>
      </w:r>
      <w:r w:rsidR="00D76132" w:rsidRPr="000A3539">
        <w:rPr>
          <w:lang w:val="en-CA"/>
        </w:rPr>
        <w:t>judge</w:t>
      </w:r>
      <w:r w:rsidR="008420E0" w:rsidRPr="000A3539">
        <w:rPr>
          <w:lang w:val="en-CA"/>
        </w:rPr>
        <w:t xml:space="preserve"> had expressed the opinion that, because of </w:t>
      </w:r>
      <w:proofErr w:type="spellStart"/>
      <w:r w:rsidR="00D76132" w:rsidRPr="000A3539">
        <w:rPr>
          <w:lang w:val="en-CA"/>
        </w:rPr>
        <w:t>Abella</w:t>
      </w:r>
      <w:proofErr w:type="spellEnd"/>
      <w:r w:rsidR="008420E0" w:rsidRPr="000A3539">
        <w:rPr>
          <w:lang w:val="en-CA"/>
        </w:rPr>
        <w:t xml:space="preserve">, J.’s remarks in </w:t>
      </w:r>
      <w:r w:rsidR="00D76132" w:rsidRPr="000A3539">
        <w:rPr>
          <w:i/>
          <w:lang w:val="en-CA"/>
        </w:rPr>
        <w:t>A</w:t>
      </w:r>
      <w:r w:rsidR="00D76132" w:rsidRPr="000A3539">
        <w:rPr>
          <w:lang w:val="en-CA"/>
        </w:rPr>
        <w:t xml:space="preserve">, </w:t>
      </w:r>
      <w:r w:rsidR="008420E0" w:rsidRPr="000A3539">
        <w:rPr>
          <w:lang w:val="en-CA"/>
        </w:rPr>
        <w:t xml:space="preserve">it was no longer necessary to prove that the alleged </w:t>
      </w:r>
      <w:r w:rsidR="00D76132" w:rsidRPr="000A3539">
        <w:rPr>
          <w:lang w:val="en-CA"/>
        </w:rPr>
        <w:t xml:space="preserve">distinction </w:t>
      </w:r>
      <w:r w:rsidR="008420E0" w:rsidRPr="000A3539">
        <w:rPr>
          <w:lang w:val="en-CA"/>
        </w:rPr>
        <w:t>perpetuated stereotyp</w:t>
      </w:r>
      <w:r w:rsidR="00C10A07">
        <w:rPr>
          <w:lang w:val="en-CA"/>
        </w:rPr>
        <w:t>ing</w:t>
      </w:r>
      <w:r w:rsidR="008420E0" w:rsidRPr="000A3539">
        <w:rPr>
          <w:lang w:val="en-CA"/>
        </w:rPr>
        <w:t xml:space="preserve"> or prejudice. The </w:t>
      </w:r>
      <w:r w:rsidR="00D76132" w:rsidRPr="000A3539">
        <w:rPr>
          <w:lang w:val="en-CA"/>
        </w:rPr>
        <w:t>Court</w:t>
      </w:r>
      <w:r w:rsidR="008420E0" w:rsidRPr="000A3539">
        <w:rPr>
          <w:lang w:val="en-CA"/>
        </w:rPr>
        <w:t xml:space="preserve"> assessed the </w:t>
      </w:r>
      <w:r w:rsidR="005A0EA1" w:rsidRPr="000A3539">
        <w:rPr>
          <w:lang w:val="en-CA"/>
        </w:rPr>
        <w:t xml:space="preserve">trial judge’s reasoning in the context of a </w:t>
      </w:r>
      <w:r w:rsidR="00D76132" w:rsidRPr="000A3539">
        <w:rPr>
          <w:lang w:val="en-CA"/>
        </w:rPr>
        <w:t>judicial</w:t>
      </w:r>
      <w:r w:rsidR="005A0EA1" w:rsidRPr="000A3539">
        <w:rPr>
          <w:lang w:val="en-CA"/>
        </w:rPr>
        <w:t xml:space="preserve"> </w:t>
      </w:r>
      <w:r w:rsidR="00D76132" w:rsidRPr="000A3539">
        <w:rPr>
          <w:lang w:val="en-CA"/>
        </w:rPr>
        <w:t>review</w:t>
      </w:r>
      <w:r w:rsidR="005A0EA1" w:rsidRPr="000A3539">
        <w:rPr>
          <w:lang w:val="en-CA"/>
        </w:rPr>
        <w:t xml:space="preserve"> </w:t>
      </w:r>
      <w:r w:rsidR="00917507">
        <w:rPr>
          <w:lang w:val="en-CA"/>
        </w:rPr>
        <w:t xml:space="preserve">applying </w:t>
      </w:r>
      <w:r w:rsidR="005A0EA1" w:rsidRPr="000A3539">
        <w:rPr>
          <w:lang w:val="en-CA"/>
        </w:rPr>
        <w:t xml:space="preserve">the standard of </w:t>
      </w:r>
      <w:r w:rsidR="00D76132" w:rsidRPr="000A3539">
        <w:rPr>
          <w:lang w:val="en-CA"/>
        </w:rPr>
        <w:t>reasonable</w:t>
      </w:r>
      <w:r w:rsidR="00C106E3" w:rsidRPr="000A3539">
        <w:rPr>
          <w:lang w:val="en-CA"/>
        </w:rPr>
        <w:t xml:space="preserve">ness </w:t>
      </w:r>
      <w:r w:rsidR="00D76132" w:rsidRPr="000A3539">
        <w:rPr>
          <w:lang w:val="en-CA"/>
        </w:rPr>
        <w:t>(</w:t>
      </w:r>
      <w:r w:rsidR="00C106E3" w:rsidRPr="000A3539">
        <w:rPr>
          <w:lang w:val="en-CA"/>
        </w:rPr>
        <w:t>the case was decided before</w:t>
      </w:r>
      <w:r w:rsidR="00D76132" w:rsidRPr="000A3539">
        <w:rPr>
          <w:lang w:val="en-CA"/>
        </w:rPr>
        <w:t xml:space="preserve"> </w:t>
      </w:r>
      <w:proofErr w:type="spellStart"/>
      <w:r w:rsidR="00D76132" w:rsidRPr="000A3539">
        <w:rPr>
          <w:i/>
          <w:lang w:val="en-CA"/>
        </w:rPr>
        <w:t>Vavilov</w:t>
      </w:r>
      <w:proofErr w:type="spellEnd"/>
      <w:r w:rsidR="00D76132" w:rsidRPr="000A3539">
        <w:rPr>
          <w:rStyle w:val="Appelnotedebasdep"/>
          <w:lang w:val="en-CA"/>
        </w:rPr>
        <w:footnoteReference w:id="68"/>
      </w:r>
      <w:r w:rsidR="00D76132" w:rsidRPr="000A3539">
        <w:rPr>
          <w:lang w:val="en-CA"/>
        </w:rPr>
        <w:t xml:space="preserve">). </w:t>
      </w:r>
      <w:r w:rsidR="00D22B0F" w:rsidRPr="000A3539">
        <w:rPr>
          <w:lang w:val="en-CA"/>
        </w:rPr>
        <w:t xml:space="preserve">In </w:t>
      </w:r>
      <w:r w:rsidR="00D76132" w:rsidRPr="000A3539">
        <w:rPr>
          <w:lang w:val="en-CA"/>
        </w:rPr>
        <w:t>the</w:t>
      </w:r>
      <w:r w:rsidR="00D22B0F" w:rsidRPr="000A3539">
        <w:rPr>
          <w:lang w:val="en-CA"/>
        </w:rPr>
        <w:t xml:space="preserve"> </w:t>
      </w:r>
      <w:r w:rsidR="00D76132" w:rsidRPr="000A3539">
        <w:rPr>
          <w:lang w:val="en-CA"/>
        </w:rPr>
        <w:t>Court</w:t>
      </w:r>
      <w:r w:rsidR="00D22B0F" w:rsidRPr="000A3539">
        <w:rPr>
          <w:lang w:val="en-CA"/>
        </w:rPr>
        <w:t xml:space="preserve">’s view, the trial judge’s </w:t>
      </w:r>
      <w:r w:rsidR="00D76132" w:rsidRPr="000A3539">
        <w:rPr>
          <w:lang w:val="en-CA"/>
        </w:rPr>
        <w:t xml:space="preserve">decision </w:t>
      </w:r>
      <w:r w:rsidR="00D22B0F" w:rsidRPr="000A3539">
        <w:rPr>
          <w:lang w:val="en-CA"/>
        </w:rPr>
        <w:t xml:space="preserve">was </w:t>
      </w:r>
      <w:r w:rsidR="00D76132" w:rsidRPr="000A3539">
        <w:rPr>
          <w:lang w:val="en-CA"/>
        </w:rPr>
        <w:t xml:space="preserve">reasonable </w:t>
      </w:r>
      <w:r w:rsidR="00E8380C" w:rsidRPr="000A3539">
        <w:rPr>
          <w:lang w:val="en-CA"/>
        </w:rPr>
        <w:t xml:space="preserve">because the employees in question had been the </w:t>
      </w:r>
      <w:r w:rsidR="00D76132" w:rsidRPr="000A3539">
        <w:rPr>
          <w:lang w:val="en-CA"/>
        </w:rPr>
        <w:t>victims</w:t>
      </w:r>
      <w:r w:rsidR="00E8380C" w:rsidRPr="000A3539">
        <w:rPr>
          <w:lang w:val="en-CA"/>
        </w:rPr>
        <w:t xml:space="preserve"> </w:t>
      </w:r>
      <w:r w:rsidR="00D76132" w:rsidRPr="000A3539">
        <w:rPr>
          <w:lang w:val="en-CA"/>
        </w:rPr>
        <w:t>of</w:t>
      </w:r>
      <w:r w:rsidR="00E8380C" w:rsidRPr="000A3539">
        <w:rPr>
          <w:lang w:val="en-CA"/>
        </w:rPr>
        <w:t xml:space="preserve"> </w:t>
      </w:r>
      <w:r w:rsidR="00D76132" w:rsidRPr="000A3539">
        <w:rPr>
          <w:lang w:val="en-CA"/>
        </w:rPr>
        <w:t>discrimination r</w:t>
      </w:r>
      <w:r w:rsidR="00E8380C" w:rsidRPr="000A3539">
        <w:rPr>
          <w:lang w:val="en-CA"/>
        </w:rPr>
        <w:t>e</w:t>
      </w:r>
      <w:r w:rsidR="00D76132" w:rsidRPr="000A3539">
        <w:rPr>
          <w:lang w:val="en-CA"/>
        </w:rPr>
        <w:t>sult</w:t>
      </w:r>
      <w:r w:rsidR="00E8380C" w:rsidRPr="000A3539">
        <w:rPr>
          <w:lang w:val="en-CA"/>
        </w:rPr>
        <w:t xml:space="preserve">ing from arbitrary </w:t>
      </w:r>
      <w:r w:rsidR="00D76132" w:rsidRPr="000A3539">
        <w:rPr>
          <w:lang w:val="en-CA"/>
        </w:rPr>
        <w:t>d</w:t>
      </w:r>
      <w:r w:rsidR="00E8380C" w:rsidRPr="000A3539">
        <w:rPr>
          <w:lang w:val="en-CA"/>
        </w:rPr>
        <w:t>isad</w:t>
      </w:r>
      <w:r w:rsidR="00D76132" w:rsidRPr="000A3539">
        <w:rPr>
          <w:lang w:val="en-CA"/>
        </w:rPr>
        <w:t xml:space="preserve">vantage </w:t>
      </w:r>
      <w:r w:rsidR="00E8380C" w:rsidRPr="000A3539">
        <w:rPr>
          <w:lang w:val="en-CA"/>
        </w:rPr>
        <w:t xml:space="preserve">caused by the </w:t>
      </w:r>
      <w:r w:rsidR="00D76132" w:rsidRPr="000A3539">
        <w:rPr>
          <w:lang w:val="en-CA"/>
        </w:rPr>
        <w:t>collective</w:t>
      </w:r>
      <w:r w:rsidR="00E8380C" w:rsidRPr="000A3539">
        <w:rPr>
          <w:lang w:val="en-CA"/>
        </w:rPr>
        <w:t xml:space="preserve"> </w:t>
      </w:r>
      <w:r w:rsidR="00D76132" w:rsidRPr="000A3539">
        <w:rPr>
          <w:lang w:val="en-CA"/>
        </w:rPr>
        <w:t>agreement</w:t>
      </w:r>
      <w:r w:rsidR="00E8380C" w:rsidRPr="000A3539">
        <w:rPr>
          <w:lang w:val="en-CA"/>
        </w:rPr>
        <w:t xml:space="preserve"> to certain employees because of their age. T</w:t>
      </w:r>
      <w:r w:rsidR="00D76132" w:rsidRPr="000A3539">
        <w:rPr>
          <w:lang w:val="en-CA"/>
        </w:rPr>
        <w:t>he</w:t>
      </w:r>
      <w:r w:rsidR="00E8380C" w:rsidRPr="000A3539">
        <w:rPr>
          <w:lang w:val="en-CA"/>
        </w:rPr>
        <w:t xml:space="preserve"> </w:t>
      </w:r>
      <w:r w:rsidR="00D76132" w:rsidRPr="000A3539">
        <w:rPr>
          <w:lang w:val="en-CA"/>
        </w:rPr>
        <w:t>Court</w:t>
      </w:r>
      <w:r w:rsidR="00E8380C" w:rsidRPr="000A3539">
        <w:rPr>
          <w:lang w:val="en-CA"/>
        </w:rPr>
        <w:t xml:space="preserve"> did not </w:t>
      </w:r>
      <w:r w:rsidR="00D76132" w:rsidRPr="000A3539">
        <w:rPr>
          <w:lang w:val="en-CA"/>
        </w:rPr>
        <w:t>transpos</w:t>
      </w:r>
      <w:r w:rsidR="00A454DF" w:rsidRPr="000A3539">
        <w:rPr>
          <w:lang w:val="en-CA"/>
        </w:rPr>
        <w:t xml:space="preserve">e the </w:t>
      </w:r>
      <w:r w:rsidR="00486E3D">
        <w:rPr>
          <w:lang w:val="en-CA"/>
        </w:rPr>
        <w:t xml:space="preserve">tests </w:t>
      </w:r>
      <w:r w:rsidR="003824A3">
        <w:rPr>
          <w:lang w:val="en-CA"/>
        </w:rPr>
        <w:t>for</w:t>
      </w:r>
      <w:r w:rsidR="00A454DF" w:rsidRPr="000A3539">
        <w:rPr>
          <w:lang w:val="en-CA"/>
        </w:rPr>
        <w:t xml:space="preserve"> </w:t>
      </w:r>
      <w:r w:rsidR="00D76132" w:rsidRPr="000A3539">
        <w:rPr>
          <w:lang w:val="en-CA"/>
        </w:rPr>
        <w:t xml:space="preserve">section 15 </w:t>
      </w:r>
      <w:r w:rsidR="00A454DF" w:rsidRPr="000A3539">
        <w:rPr>
          <w:lang w:val="en-CA"/>
        </w:rPr>
        <w:t xml:space="preserve">of the </w:t>
      </w:r>
      <w:r w:rsidR="00D76132" w:rsidRPr="000A3539">
        <w:rPr>
          <w:i/>
          <w:lang w:val="en-CA"/>
        </w:rPr>
        <w:t>Canadian</w:t>
      </w:r>
      <w:r w:rsidR="00A454DF" w:rsidRPr="000A3539">
        <w:rPr>
          <w:i/>
          <w:lang w:val="en-CA"/>
        </w:rPr>
        <w:t xml:space="preserve"> </w:t>
      </w:r>
      <w:r w:rsidR="00D76132" w:rsidRPr="000A3539">
        <w:rPr>
          <w:i/>
          <w:lang w:val="en-CA"/>
        </w:rPr>
        <w:t>Charter</w:t>
      </w:r>
      <w:r w:rsidR="00D76132" w:rsidRPr="000A3539">
        <w:rPr>
          <w:lang w:val="en-CA"/>
        </w:rPr>
        <w:t xml:space="preserve"> </w:t>
      </w:r>
      <w:r w:rsidR="002A37BB" w:rsidRPr="000A3539">
        <w:rPr>
          <w:lang w:val="en-CA"/>
        </w:rPr>
        <w:t xml:space="preserve">to an action based on </w:t>
      </w:r>
      <w:r w:rsidR="00D76132" w:rsidRPr="000A3539">
        <w:rPr>
          <w:lang w:val="en-CA"/>
        </w:rPr>
        <w:t xml:space="preserve">section 10 </w:t>
      </w:r>
      <w:r w:rsidR="002A37BB" w:rsidRPr="000A3539">
        <w:rPr>
          <w:lang w:val="en-CA"/>
        </w:rPr>
        <w:t xml:space="preserve">of the </w:t>
      </w:r>
      <w:r w:rsidR="00DC430C" w:rsidRPr="00DC430C">
        <w:rPr>
          <w:i/>
          <w:lang w:val="en-CA"/>
        </w:rPr>
        <w:t>Quebec Charter</w:t>
      </w:r>
      <w:r w:rsidR="002A37BB" w:rsidRPr="000A3539">
        <w:rPr>
          <w:i/>
          <w:lang w:val="en-CA"/>
        </w:rPr>
        <w:t xml:space="preserve"> </w:t>
      </w:r>
      <w:r w:rsidR="002A37BB" w:rsidRPr="000A3539">
        <w:rPr>
          <w:lang w:val="en-CA"/>
        </w:rPr>
        <w:t xml:space="preserve">but explained the </w:t>
      </w:r>
      <w:r w:rsidR="00486E3D">
        <w:rPr>
          <w:lang w:val="en-CA"/>
        </w:rPr>
        <w:t xml:space="preserve">test </w:t>
      </w:r>
      <w:r w:rsidR="002A37BB" w:rsidRPr="000A3539">
        <w:rPr>
          <w:lang w:val="en-CA"/>
        </w:rPr>
        <w:t xml:space="preserve">developed by </w:t>
      </w:r>
      <w:proofErr w:type="spellStart"/>
      <w:r w:rsidR="00D76132" w:rsidRPr="000A3539">
        <w:rPr>
          <w:lang w:val="en-CA"/>
        </w:rPr>
        <w:t>Abella</w:t>
      </w:r>
      <w:proofErr w:type="spellEnd"/>
      <w:r w:rsidR="00D76132" w:rsidRPr="000A3539">
        <w:rPr>
          <w:lang w:val="en-CA"/>
        </w:rPr>
        <w:t>,</w:t>
      </w:r>
      <w:r w:rsidR="002A37BB" w:rsidRPr="000A3539">
        <w:rPr>
          <w:lang w:val="en-CA"/>
        </w:rPr>
        <w:t xml:space="preserve"> J., as the </w:t>
      </w:r>
      <w:r w:rsidR="00D76132" w:rsidRPr="000A3539">
        <w:rPr>
          <w:lang w:val="en-CA"/>
        </w:rPr>
        <w:t>parties</w:t>
      </w:r>
      <w:r w:rsidR="003824A3">
        <w:rPr>
          <w:lang w:val="en-CA"/>
        </w:rPr>
        <w:t xml:space="preserve"> had</w:t>
      </w:r>
      <w:r w:rsidR="002A37BB" w:rsidRPr="000A3539">
        <w:rPr>
          <w:lang w:val="en-CA"/>
        </w:rPr>
        <w:t xml:space="preserve"> invited it to do. On this specific issue, </w:t>
      </w:r>
      <w:r w:rsidR="00D76132" w:rsidRPr="000A3539">
        <w:rPr>
          <w:lang w:val="en-CA"/>
        </w:rPr>
        <w:t>Bouchard</w:t>
      </w:r>
      <w:r w:rsidR="002A37BB" w:rsidRPr="000A3539">
        <w:rPr>
          <w:lang w:val="en-CA"/>
        </w:rPr>
        <w:t>, J.A. stated:</w:t>
      </w:r>
      <w:r w:rsidR="00D76132" w:rsidRPr="000A3539">
        <w:rPr>
          <w:rStyle w:val="Appelnotedebasdep"/>
          <w:lang w:val="en-CA"/>
        </w:rPr>
        <w:footnoteReference w:id="69"/>
      </w:r>
      <w:r w:rsidR="00D76132" w:rsidRPr="000A3539">
        <w:rPr>
          <w:lang w:val="en-CA"/>
        </w:rPr>
        <w:t xml:space="preserve"> </w:t>
      </w:r>
    </w:p>
    <w:p w14:paraId="0EDA59E6" w14:textId="120ECE3F" w:rsidR="002A37BB" w:rsidRPr="000A3539" w:rsidRDefault="002A37BB" w:rsidP="00352837">
      <w:pPr>
        <w:pStyle w:val="Citationenretrait"/>
        <w:rPr>
          <w:lang w:val="en-CA" w:eastAsia="fr-CA"/>
        </w:rPr>
      </w:pPr>
      <w:r w:rsidRPr="000A3539">
        <w:rPr>
          <w:lang w:val="en-CA" w:eastAsia="fr-CA"/>
        </w:rPr>
        <w:t>[</w:t>
      </w:r>
      <w:r w:rsidRPr="000A3539">
        <w:rPr>
          <w:smallCaps/>
          <w:lang w:val="en-CA" w:eastAsia="fr-CA"/>
        </w:rPr>
        <w:t>translation</w:t>
      </w:r>
      <w:r w:rsidRPr="000A3539">
        <w:rPr>
          <w:lang w:val="en-CA" w:eastAsia="fr-CA"/>
        </w:rPr>
        <w:t>]</w:t>
      </w:r>
    </w:p>
    <w:p w14:paraId="3C5F7E30" w14:textId="67153FCE" w:rsidR="00352837" w:rsidRPr="000A3539" w:rsidRDefault="00D76132" w:rsidP="00352837">
      <w:pPr>
        <w:pStyle w:val="Citationenretrait"/>
        <w:rPr>
          <w:lang w:val="en-CA" w:eastAsia="fr-CA"/>
        </w:rPr>
      </w:pPr>
      <w:r w:rsidRPr="000A3539">
        <w:rPr>
          <w:lang w:val="en-CA" w:eastAsia="fr-CA"/>
        </w:rPr>
        <w:t>[54]  </w:t>
      </w:r>
      <w:r w:rsidR="00D41746" w:rsidRPr="000A3539">
        <w:rPr>
          <w:rFonts w:cs="Arial"/>
          <w:color w:val="000000"/>
          <w:lang w:val="en-CA"/>
        </w:rPr>
        <w:t xml:space="preserve"> I understand from the reasons of </w:t>
      </w:r>
      <w:proofErr w:type="spellStart"/>
      <w:r w:rsidR="00D41746" w:rsidRPr="000A3539">
        <w:rPr>
          <w:rFonts w:cs="Arial"/>
          <w:color w:val="000000"/>
          <w:lang w:val="en-CA"/>
        </w:rPr>
        <w:t>Abella</w:t>
      </w:r>
      <w:proofErr w:type="spellEnd"/>
      <w:r w:rsidR="00A11574">
        <w:rPr>
          <w:rFonts w:cs="Arial"/>
          <w:color w:val="000000"/>
          <w:lang w:val="en-CA"/>
        </w:rPr>
        <w:t>,</w:t>
      </w:r>
      <w:r w:rsidR="00D41746" w:rsidRPr="000A3539">
        <w:rPr>
          <w:rFonts w:cs="Arial"/>
          <w:color w:val="000000"/>
          <w:lang w:val="en-CA"/>
        </w:rPr>
        <w:t xml:space="preserve"> J. that it is </w:t>
      </w:r>
      <w:r w:rsidR="00D41746" w:rsidRPr="000A3539">
        <w:rPr>
          <w:rFonts w:cs="Arial"/>
          <w:color w:val="000000"/>
          <w:u w:val="single"/>
          <w:lang w:val="en-CA"/>
        </w:rPr>
        <w:t>proof of an arbitrary disadvantage that must now serve as the ultimate guide to a finding of </w:t>
      </w:r>
      <w:r w:rsidR="00D41746" w:rsidRPr="000A3539">
        <w:rPr>
          <w:rFonts w:cs="Arial"/>
          <w:i/>
          <w:iCs/>
          <w:color w:val="000000"/>
          <w:u w:val="single"/>
          <w:lang w:val="en-CA"/>
        </w:rPr>
        <w:t>prima facie </w:t>
      </w:r>
      <w:r w:rsidR="00D41746" w:rsidRPr="000A3539">
        <w:rPr>
          <w:rFonts w:cs="Arial"/>
          <w:color w:val="000000"/>
          <w:u w:val="single"/>
          <w:lang w:val="en-CA"/>
        </w:rPr>
        <w:t>discrimination, and that the perpetuation of stereotypes or prejudice constitutes merely a relevant factor for the purposes of the analysis</w:t>
      </w:r>
      <w:r w:rsidR="00D41746" w:rsidRPr="000A3539">
        <w:rPr>
          <w:rFonts w:cs="Arial"/>
          <w:color w:val="000000"/>
          <w:lang w:val="en-CA"/>
        </w:rPr>
        <w:t xml:space="preserve">. Professor Christian </w:t>
      </w:r>
      <w:proofErr w:type="spellStart"/>
      <w:r w:rsidR="00D41746" w:rsidRPr="000A3539">
        <w:rPr>
          <w:rFonts w:cs="Arial"/>
          <w:color w:val="000000"/>
          <w:lang w:val="en-CA"/>
        </w:rPr>
        <w:t>Brunelle</w:t>
      </w:r>
      <w:proofErr w:type="spellEnd"/>
      <w:r w:rsidR="00D41746" w:rsidRPr="000A3539">
        <w:rPr>
          <w:rFonts w:cs="Arial"/>
          <w:color w:val="000000"/>
          <w:lang w:val="en-CA"/>
        </w:rPr>
        <w:t xml:space="preserve"> interprets the scope of </w:t>
      </w:r>
      <w:proofErr w:type="spellStart"/>
      <w:r w:rsidR="00D41746" w:rsidRPr="000A3539">
        <w:rPr>
          <w:rFonts w:cs="Arial"/>
          <w:color w:val="000000"/>
          <w:lang w:val="en-CA"/>
        </w:rPr>
        <w:t>Abella</w:t>
      </w:r>
      <w:proofErr w:type="spellEnd"/>
      <w:r w:rsidR="00A11574">
        <w:rPr>
          <w:rFonts w:cs="Arial"/>
          <w:color w:val="000000"/>
          <w:lang w:val="en-CA"/>
        </w:rPr>
        <w:t>,</w:t>
      </w:r>
      <w:r w:rsidR="00D41746" w:rsidRPr="000A3539">
        <w:rPr>
          <w:rFonts w:cs="Arial"/>
          <w:color w:val="000000"/>
          <w:lang w:val="en-CA"/>
        </w:rPr>
        <w:t xml:space="preserve"> J.’s comments in the same way</w:t>
      </w:r>
      <w:r w:rsidRPr="000A3539">
        <w:rPr>
          <w:lang w:val="en-CA" w:eastAsia="fr-CA"/>
        </w:rPr>
        <w:t>:</w:t>
      </w:r>
    </w:p>
    <w:p w14:paraId="2CB47587" w14:textId="57D38201" w:rsidR="00D41746" w:rsidRPr="007B57EB" w:rsidRDefault="00D41746" w:rsidP="00352837">
      <w:pPr>
        <w:pStyle w:val="Citationenretrait"/>
        <w:ind w:left="1440" w:right="1440"/>
        <w:rPr>
          <w:rStyle w:val="Citationintgre"/>
          <w:sz w:val="20"/>
          <w:lang w:val="en-CA"/>
        </w:rPr>
      </w:pPr>
      <w:r w:rsidRPr="007B57EB">
        <w:rPr>
          <w:rStyle w:val="Citationintgre"/>
          <w:sz w:val="20"/>
          <w:lang w:val="en-CA"/>
        </w:rPr>
        <w:t>[</w:t>
      </w:r>
      <w:r w:rsidRPr="007B57EB">
        <w:rPr>
          <w:rStyle w:val="Citationintgre"/>
          <w:smallCaps/>
          <w:sz w:val="20"/>
          <w:lang w:val="en-CA"/>
        </w:rPr>
        <w:t>translation</w:t>
      </w:r>
      <w:r w:rsidRPr="007B57EB">
        <w:rPr>
          <w:rStyle w:val="Citationintgre"/>
          <w:sz w:val="20"/>
          <w:lang w:val="en-CA"/>
        </w:rPr>
        <w:t>]</w:t>
      </w:r>
    </w:p>
    <w:p w14:paraId="3678CCC8" w14:textId="04B49BC2" w:rsidR="00352837" w:rsidRPr="007B57EB" w:rsidRDefault="004B320C" w:rsidP="00352837">
      <w:pPr>
        <w:pStyle w:val="Citationenretrait"/>
        <w:ind w:left="1440" w:right="1440"/>
        <w:rPr>
          <w:rStyle w:val="Citationintgre"/>
          <w:sz w:val="20"/>
          <w:lang w:val="en-CA"/>
        </w:rPr>
      </w:pPr>
      <w:r w:rsidRPr="00FD1FB8">
        <w:rPr>
          <w:rFonts w:cs="Arial"/>
          <w:i/>
          <w:color w:val="000000"/>
          <w:sz w:val="20"/>
          <w:szCs w:val="22"/>
          <w:lang w:val="en-CA"/>
        </w:rPr>
        <w:t>[</w:t>
      </w:r>
      <w:r w:rsidR="00D41746" w:rsidRPr="00FD1FB8">
        <w:rPr>
          <w:rFonts w:cs="Arial"/>
          <w:i/>
          <w:color w:val="000000"/>
          <w:sz w:val="20"/>
          <w:szCs w:val="22"/>
          <w:lang w:val="en-CA"/>
        </w:rPr>
        <w:t>…</w:t>
      </w:r>
      <w:r w:rsidRPr="00FD1FB8">
        <w:rPr>
          <w:rFonts w:cs="Arial"/>
          <w:i/>
          <w:color w:val="000000"/>
          <w:sz w:val="20"/>
          <w:szCs w:val="22"/>
          <w:lang w:val="en-CA"/>
        </w:rPr>
        <w:t>]</w:t>
      </w:r>
      <w:r w:rsidR="00D41746" w:rsidRPr="00FD1FB8">
        <w:rPr>
          <w:rFonts w:cs="Arial"/>
          <w:i/>
          <w:color w:val="000000"/>
          <w:sz w:val="20"/>
          <w:szCs w:val="22"/>
          <w:lang w:val="en-CA"/>
        </w:rPr>
        <w:t xml:space="preserve"> Certainly, a person who alleges suffering from discrimination must show that the distinction they have been subjected to creates a prejudice or disadvantage for them. There is no doubt that such evidence will be more convincing if the victim is able to establish that this disadvantage also results from a prejudice or a stereotype, but the state of the law in this regard still needs to be clarified. While some judgments tend to require a </w:t>
      </w:r>
      <w:r w:rsidR="00D41746" w:rsidRPr="00FD1FB8">
        <w:rPr>
          <w:rFonts w:cs="Arial"/>
          <w:i/>
          <w:color w:val="000000"/>
          <w:sz w:val="20"/>
          <w:szCs w:val="22"/>
          <w:lang w:val="en-CA"/>
        </w:rPr>
        <w:lastRenderedPageBreak/>
        <w:t>strict demonstration that a negative stereotype or prejudice is at the origin of the disadvantage likely to destroy or compromise the right to equality under the </w:t>
      </w:r>
      <w:r w:rsidR="00D41746" w:rsidRPr="00FD1FB8">
        <w:rPr>
          <w:rFonts w:cs="Arial"/>
          <w:i/>
          <w:sz w:val="20"/>
          <w:szCs w:val="22"/>
          <w:lang w:val="en-CA"/>
        </w:rPr>
        <w:t>Quebec </w:t>
      </w:r>
      <w:r w:rsidR="00D41746" w:rsidRPr="007B57EB">
        <w:rPr>
          <w:rFonts w:cs="Arial"/>
          <w:i/>
          <w:iCs/>
          <w:sz w:val="20"/>
          <w:szCs w:val="22"/>
          <w:lang w:val="en-CA"/>
        </w:rPr>
        <w:t>Charter</w:t>
      </w:r>
      <w:r w:rsidR="00D41746" w:rsidRPr="00FD1FB8">
        <w:rPr>
          <w:rFonts w:cs="Arial"/>
          <w:i/>
          <w:color w:val="000000"/>
          <w:sz w:val="20"/>
          <w:szCs w:val="22"/>
          <w:lang w:val="en-CA"/>
        </w:rPr>
        <w:t>, a recent judgment of the Supreme Court of Canada seems instead to favour the dissociation of the disadvantage and the prejudice/stereotype, such that mere proof of a disadvantage – regardless of its causal connection with a prejudice or stereotype – is sufficient to conclude that there is discrimination. From this point of view, it must be concluded that there is [</w:t>
      </w:r>
      <w:r w:rsidR="00D41746" w:rsidRPr="00FD1FB8">
        <w:rPr>
          <w:rFonts w:cs="Arial"/>
          <w:i/>
          <w:smallCaps/>
          <w:color w:val="000000"/>
          <w:sz w:val="20"/>
          <w:szCs w:val="22"/>
          <w:lang w:val="en-CA"/>
        </w:rPr>
        <w:t>translation</w:t>
      </w:r>
      <w:r w:rsidR="00D41746" w:rsidRPr="00FD1FB8">
        <w:rPr>
          <w:rFonts w:cs="Arial"/>
          <w:i/>
          <w:color w:val="000000"/>
          <w:sz w:val="20"/>
          <w:szCs w:val="22"/>
          <w:lang w:val="en-CA"/>
        </w:rPr>
        <w:t>] “</w:t>
      </w:r>
      <w:r w:rsidR="00D41746" w:rsidRPr="007B57EB">
        <w:rPr>
          <w:rFonts w:cs="Arial"/>
          <w:i/>
          <w:iCs/>
          <w:color w:val="000000"/>
          <w:sz w:val="20"/>
          <w:szCs w:val="22"/>
          <w:lang w:val="en-CA"/>
        </w:rPr>
        <w:t>prima facie</w:t>
      </w:r>
      <w:r w:rsidR="00D41746" w:rsidRPr="00FD1FB8">
        <w:rPr>
          <w:rFonts w:cs="Arial"/>
          <w:i/>
          <w:color w:val="000000"/>
          <w:sz w:val="20"/>
          <w:szCs w:val="22"/>
          <w:lang w:val="en-CA"/>
        </w:rPr>
        <w:t> proof of discrimination” once the person subject to the distinction [</w:t>
      </w:r>
      <w:r w:rsidR="00D41746" w:rsidRPr="00FD1FB8">
        <w:rPr>
          <w:rFonts w:cs="Arial"/>
          <w:i/>
          <w:smallCaps/>
          <w:color w:val="000000"/>
          <w:sz w:val="20"/>
          <w:szCs w:val="22"/>
          <w:lang w:val="en-CA"/>
        </w:rPr>
        <w:t>translation</w:t>
      </w:r>
      <w:r w:rsidR="00D41746" w:rsidRPr="00FD1FB8">
        <w:rPr>
          <w:rFonts w:cs="Arial"/>
          <w:i/>
          <w:color w:val="000000"/>
          <w:sz w:val="20"/>
          <w:szCs w:val="22"/>
          <w:lang w:val="en-CA"/>
        </w:rPr>
        <w:t>] “establishes a prejudice and connection with the prohibited ground of discrimination”.</w:t>
      </w:r>
      <w:r w:rsidR="00D41746" w:rsidRPr="007B57EB">
        <w:rPr>
          <w:rStyle w:val="Citationintgre"/>
          <w:sz w:val="20"/>
          <w:lang w:val="en-CA"/>
        </w:rPr>
        <w:t xml:space="preserve"> </w:t>
      </w:r>
    </w:p>
    <w:p w14:paraId="5354EA39" w14:textId="3CEE0A1C" w:rsidR="00352837" w:rsidRPr="000A3539" w:rsidRDefault="009F6B5E" w:rsidP="00352837">
      <w:pPr>
        <w:pStyle w:val="Citationenretrait"/>
        <w:jc w:val="right"/>
        <w:rPr>
          <w:rStyle w:val="Citationintgre"/>
          <w:i w:val="0"/>
          <w:lang w:val="en-CA"/>
        </w:rPr>
      </w:pPr>
      <w:r w:rsidRPr="000A3539">
        <w:rPr>
          <w:rStyle w:val="Citationintgre"/>
          <w:i w:val="0"/>
          <w:lang w:val="en-CA"/>
        </w:rPr>
        <w:t>[Emphasis added]</w:t>
      </w:r>
    </w:p>
    <w:p w14:paraId="7BAA772D" w14:textId="03B2EABB" w:rsidR="00352837" w:rsidRPr="000A3539" w:rsidRDefault="00D76132" w:rsidP="00352837">
      <w:pPr>
        <w:pStyle w:val="Paragraphe"/>
        <w:rPr>
          <w:lang w:val="en-CA"/>
        </w:rPr>
      </w:pPr>
      <w:bookmarkStart w:id="21" w:name="_Toc57866710"/>
      <w:r w:rsidRPr="000A3539">
        <w:rPr>
          <w:i/>
          <w:lang w:val="en-CA"/>
        </w:rPr>
        <w:t>Québec (</w:t>
      </w:r>
      <w:proofErr w:type="spellStart"/>
      <w:r w:rsidRPr="000A3539">
        <w:rPr>
          <w:i/>
          <w:lang w:val="en-CA"/>
        </w:rPr>
        <w:t>Procureur</w:t>
      </w:r>
      <w:proofErr w:type="spellEnd"/>
      <w:r w:rsidR="00265A84" w:rsidRPr="000A3539">
        <w:rPr>
          <w:i/>
          <w:lang w:val="en-CA"/>
        </w:rPr>
        <w:t xml:space="preserve"> </w:t>
      </w:r>
      <w:proofErr w:type="spellStart"/>
      <w:r w:rsidRPr="000A3539">
        <w:rPr>
          <w:i/>
          <w:lang w:val="en-CA"/>
        </w:rPr>
        <w:t>général</w:t>
      </w:r>
      <w:proofErr w:type="spellEnd"/>
      <w:r w:rsidRPr="000A3539">
        <w:rPr>
          <w:i/>
          <w:lang w:val="en-CA"/>
        </w:rPr>
        <w:t>) c. Commission</w:t>
      </w:r>
      <w:r w:rsidR="00265A84" w:rsidRPr="000A3539">
        <w:rPr>
          <w:i/>
          <w:lang w:val="en-CA"/>
        </w:rPr>
        <w:t xml:space="preserve"> </w:t>
      </w:r>
      <w:r w:rsidRPr="000A3539">
        <w:rPr>
          <w:i/>
          <w:lang w:val="en-CA"/>
        </w:rPr>
        <w:t>des</w:t>
      </w:r>
      <w:r w:rsidR="00265A84" w:rsidRPr="000A3539">
        <w:rPr>
          <w:i/>
          <w:lang w:val="en-CA"/>
        </w:rPr>
        <w:t xml:space="preserve"> </w:t>
      </w:r>
      <w:r w:rsidRPr="000A3539">
        <w:rPr>
          <w:i/>
          <w:lang w:val="en-CA"/>
        </w:rPr>
        <w:t>droits</w:t>
      </w:r>
      <w:r w:rsidR="00265A84" w:rsidRPr="000A3539">
        <w:rPr>
          <w:i/>
          <w:lang w:val="en-CA"/>
        </w:rPr>
        <w:t xml:space="preserve"> </w:t>
      </w:r>
      <w:r w:rsidRPr="000A3539">
        <w:rPr>
          <w:i/>
          <w:lang w:val="en-CA"/>
        </w:rPr>
        <w:t>de</w:t>
      </w:r>
      <w:r w:rsidR="00265A84" w:rsidRPr="000A3539">
        <w:rPr>
          <w:i/>
          <w:lang w:val="en-CA"/>
        </w:rPr>
        <w:t xml:space="preserve"> </w:t>
      </w:r>
      <w:r w:rsidRPr="000A3539">
        <w:rPr>
          <w:i/>
          <w:lang w:val="en-CA"/>
        </w:rPr>
        <w:t>la</w:t>
      </w:r>
      <w:r w:rsidR="00265A84" w:rsidRPr="000A3539">
        <w:rPr>
          <w:i/>
          <w:lang w:val="en-CA"/>
        </w:rPr>
        <w:t xml:space="preserve"> </w:t>
      </w:r>
      <w:r w:rsidRPr="000A3539">
        <w:rPr>
          <w:i/>
          <w:lang w:val="en-CA"/>
        </w:rPr>
        <w:t>personne</w:t>
      </w:r>
      <w:r w:rsidRPr="000A3539">
        <w:rPr>
          <w:lang w:val="en-CA"/>
        </w:rPr>
        <w:t xml:space="preserve"> </w:t>
      </w:r>
      <w:r w:rsidRPr="000A3539">
        <w:rPr>
          <w:i/>
          <w:lang w:val="en-CA"/>
        </w:rPr>
        <w:t>et des droits</w:t>
      </w:r>
      <w:r w:rsidR="00265A84" w:rsidRPr="000A3539">
        <w:rPr>
          <w:i/>
          <w:lang w:val="en-CA"/>
        </w:rPr>
        <w:t xml:space="preserve"> </w:t>
      </w:r>
      <w:r w:rsidRPr="000A3539">
        <w:rPr>
          <w:i/>
          <w:lang w:val="en-CA"/>
        </w:rPr>
        <w:t xml:space="preserve">de la </w:t>
      </w:r>
      <w:proofErr w:type="spellStart"/>
      <w:r w:rsidRPr="000A3539">
        <w:rPr>
          <w:i/>
          <w:lang w:val="en-CA"/>
        </w:rPr>
        <w:t>jeunesse</w:t>
      </w:r>
      <w:bookmarkEnd w:id="21"/>
      <w:proofErr w:type="spellEnd"/>
      <w:r w:rsidRPr="000A3539">
        <w:rPr>
          <w:rStyle w:val="Appelnotedebasdep"/>
          <w:lang w:val="en-CA"/>
        </w:rPr>
        <w:footnoteReference w:id="70"/>
      </w:r>
      <w:r w:rsidRPr="000A3539">
        <w:rPr>
          <w:lang w:val="en-CA"/>
        </w:rPr>
        <w:t xml:space="preserve"> </w:t>
      </w:r>
      <w:r w:rsidR="00265A84" w:rsidRPr="000A3539">
        <w:rPr>
          <w:lang w:val="en-CA"/>
        </w:rPr>
        <w:t xml:space="preserve">addressed the </w:t>
      </w:r>
      <w:r w:rsidRPr="000A3539">
        <w:rPr>
          <w:lang w:val="en-CA"/>
        </w:rPr>
        <w:t>discriminator</w:t>
      </w:r>
      <w:r w:rsidR="00265A84" w:rsidRPr="000A3539">
        <w:rPr>
          <w:lang w:val="en-CA"/>
        </w:rPr>
        <w:t xml:space="preserve">y nature of the </w:t>
      </w:r>
      <w:r w:rsidRPr="000A3539">
        <w:rPr>
          <w:lang w:val="en-CA"/>
        </w:rPr>
        <w:t xml:space="preserve">clauses </w:t>
      </w:r>
      <w:r w:rsidR="00660AD3">
        <w:rPr>
          <w:lang w:val="en-CA"/>
        </w:rPr>
        <w:t>in</w:t>
      </w:r>
      <w:r w:rsidR="00660AD3" w:rsidRPr="000A3539">
        <w:rPr>
          <w:lang w:val="en-CA"/>
        </w:rPr>
        <w:t xml:space="preserve"> </w:t>
      </w:r>
      <w:r w:rsidR="00265A84" w:rsidRPr="000A3539">
        <w:rPr>
          <w:lang w:val="en-CA"/>
        </w:rPr>
        <w:t xml:space="preserve">the </w:t>
      </w:r>
      <w:r w:rsidRPr="000A3539">
        <w:rPr>
          <w:lang w:val="en-CA"/>
        </w:rPr>
        <w:t>collective</w:t>
      </w:r>
      <w:r w:rsidR="00265A84" w:rsidRPr="000A3539">
        <w:rPr>
          <w:lang w:val="en-CA"/>
        </w:rPr>
        <w:t xml:space="preserve"> </w:t>
      </w:r>
      <w:r w:rsidRPr="000A3539">
        <w:rPr>
          <w:lang w:val="en-CA"/>
        </w:rPr>
        <w:t xml:space="preserve">agreement </w:t>
      </w:r>
      <w:r w:rsidR="00265A84" w:rsidRPr="000A3539">
        <w:rPr>
          <w:lang w:val="en-CA"/>
        </w:rPr>
        <w:t xml:space="preserve">of the government’s special </w:t>
      </w:r>
      <w:r w:rsidRPr="000A3539">
        <w:rPr>
          <w:lang w:val="en-CA"/>
        </w:rPr>
        <w:t>constables</w:t>
      </w:r>
      <w:r w:rsidR="00265A84" w:rsidRPr="000A3539">
        <w:rPr>
          <w:lang w:val="en-CA"/>
        </w:rPr>
        <w:t xml:space="preserve"> providing for a reduction in wages</w:t>
      </w:r>
      <w:r w:rsidR="004A290C" w:rsidRPr="000A3539">
        <w:rPr>
          <w:lang w:val="en-CA"/>
        </w:rPr>
        <w:t xml:space="preserve"> for [</w:t>
      </w:r>
      <w:r w:rsidR="004A290C" w:rsidRPr="000A3539">
        <w:rPr>
          <w:smallCaps/>
          <w:lang w:val="en-CA"/>
        </w:rPr>
        <w:t>translation</w:t>
      </w:r>
      <w:r w:rsidR="004A290C" w:rsidRPr="000A3539">
        <w:rPr>
          <w:lang w:val="en-CA"/>
        </w:rPr>
        <w:t xml:space="preserve">] “casual” </w:t>
      </w:r>
      <w:r w:rsidRPr="000A3539">
        <w:rPr>
          <w:lang w:val="en-CA"/>
        </w:rPr>
        <w:t xml:space="preserve">constables. </w:t>
      </w:r>
      <w:r w:rsidR="002713C7" w:rsidRPr="000A3539">
        <w:rPr>
          <w:lang w:val="en-CA"/>
        </w:rPr>
        <w:t>T</w:t>
      </w:r>
      <w:r w:rsidRPr="000A3539">
        <w:rPr>
          <w:lang w:val="en-CA"/>
        </w:rPr>
        <w:t>he</w:t>
      </w:r>
      <w:r w:rsidR="002713C7" w:rsidRPr="000A3539">
        <w:rPr>
          <w:lang w:val="en-CA"/>
        </w:rPr>
        <w:t xml:space="preserve"> </w:t>
      </w:r>
      <w:r w:rsidRPr="000A3539">
        <w:rPr>
          <w:lang w:val="en-CA"/>
        </w:rPr>
        <w:t>Court</w:t>
      </w:r>
      <w:r w:rsidR="002713C7" w:rsidRPr="000A3539">
        <w:rPr>
          <w:lang w:val="en-CA"/>
        </w:rPr>
        <w:t xml:space="preserve"> </w:t>
      </w:r>
      <w:r w:rsidRPr="000A3539">
        <w:rPr>
          <w:lang w:val="en-CA"/>
        </w:rPr>
        <w:t>reverse</w:t>
      </w:r>
      <w:r w:rsidR="002713C7" w:rsidRPr="000A3539">
        <w:rPr>
          <w:lang w:val="en-CA"/>
        </w:rPr>
        <w:t>d the decision of the Human R</w:t>
      </w:r>
      <w:r w:rsidRPr="000A3539">
        <w:rPr>
          <w:lang w:val="en-CA"/>
        </w:rPr>
        <w:t>ights</w:t>
      </w:r>
      <w:r w:rsidR="002713C7" w:rsidRPr="000A3539">
        <w:rPr>
          <w:lang w:val="en-CA"/>
        </w:rPr>
        <w:t xml:space="preserve"> Tribunal and found that there was no </w:t>
      </w:r>
      <w:r w:rsidRPr="000A3539">
        <w:rPr>
          <w:lang w:val="en-CA"/>
        </w:rPr>
        <w:t xml:space="preserve">discrimination </w:t>
      </w:r>
      <w:r w:rsidR="002713C7" w:rsidRPr="000A3539">
        <w:rPr>
          <w:lang w:val="en-CA"/>
        </w:rPr>
        <w:t xml:space="preserve">based on age in that case. </w:t>
      </w:r>
      <w:r w:rsidR="001017BA" w:rsidRPr="000A3539">
        <w:rPr>
          <w:lang w:val="en-CA"/>
        </w:rPr>
        <w:t>F</w:t>
      </w:r>
      <w:r w:rsidR="002713C7" w:rsidRPr="000A3539">
        <w:rPr>
          <w:lang w:val="en-CA"/>
        </w:rPr>
        <w:t>irst</w:t>
      </w:r>
      <w:r w:rsidR="001017BA" w:rsidRPr="000A3539">
        <w:rPr>
          <w:lang w:val="en-CA"/>
        </w:rPr>
        <w:t>, it</w:t>
      </w:r>
      <w:r w:rsidR="002713C7" w:rsidRPr="000A3539">
        <w:rPr>
          <w:lang w:val="en-CA"/>
        </w:rPr>
        <w:t xml:space="preserve"> noted </w:t>
      </w:r>
      <w:r w:rsidR="001017BA" w:rsidRPr="000A3539">
        <w:rPr>
          <w:lang w:val="en-CA"/>
        </w:rPr>
        <w:t>that the action was prescribed.</w:t>
      </w:r>
      <w:r w:rsidRPr="000A3539">
        <w:rPr>
          <w:vertAlign w:val="superscript"/>
          <w:lang w:val="en-CA"/>
        </w:rPr>
        <w:footnoteReference w:id="71"/>
      </w:r>
      <w:r w:rsidRPr="000A3539">
        <w:rPr>
          <w:lang w:val="en-CA"/>
        </w:rPr>
        <w:t xml:space="preserve"> </w:t>
      </w:r>
      <w:r w:rsidR="001017BA" w:rsidRPr="000A3539">
        <w:rPr>
          <w:lang w:val="en-CA"/>
        </w:rPr>
        <w:t xml:space="preserve">Next, it found that the statistical </w:t>
      </w:r>
      <w:r w:rsidRPr="000A3539">
        <w:rPr>
          <w:lang w:val="en-CA"/>
        </w:rPr>
        <w:t>evidence</w:t>
      </w:r>
      <w:r w:rsidR="001017BA" w:rsidRPr="000A3539">
        <w:rPr>
          <w:lang w:val="en-CA"/>
        </w:rPr>
        <w:t xml:space="preserve"> did not establish that the </w:t>
      </w:r>
      <w:r w:rsidRPr="000A3539">
        <w:rPr>
          <w:lang w:val="en-CA"/>
        </w:rPr>
        <w:t xml:space="preserve">distinction </w:t>
      </w:r>
      <w:r w:rsidR="001017BA" w:rsidRPr="000A3539">
        <w:rPr>
          <w:lang w:val="en-CA"/>
        </w:rPr>
        <w:t>between permanent and casual c</w:t>
      </w:r>
      <w:r w:rsidRPr="000A3539">
        <w:rPr>
          <w:lang w:val="en-CA"/>
        </w:rPr>
        <w:t>onstables</w:t>
      </w:r>
      <w:r w:rsidR="001017BA" w:rsidRPr="000A3539">
        <w:rPr>
          <w:lang w:val="en-CA"/>
        </w:rPr>
        <w:t xml:space="preserve"> </w:t>
      </w:r>
      <w:r w:rsidR="005D568A">
        <w:rPr>
          <w:lang w:val="en-CA"/>
        </w:rPr>
        <w:t>was the result of</w:t>
      </w:r>
      <w:r w:rsidR="001017BA" w:rsidRPr="000A3539">
        <w:rPr>
          <w:lang w:val="en-CA"/>
        </w:rPr>
        <w:t xml:space="preserve"> a </w:t>
      </w:r>
      <w:r w:rsidRPr="000A3539">
        <w:rPr>
          <w:lang w:val="en-CA"/>
        </w:rPr>
        <w:t xml:space="preserve">distinction </w:t>
      </w:r>
      <w:r w:rsidR="001017BA" w:rsidRPr="000A3539">
        <w:rPr>
          <w:lang w:val="en-CA"/>
        </w:rPr>
        <w:t>based on age.</w:t>
      </w:r>
      <w:r w:rsidRPr="000A3539">
        <w:rPr>
          <w:vertAlign w:val="superscript"/>
          <w:lang w:val="en-CA"/>
        </w:rPr>
        <w:footnoteReference w:id="72"/>
      </w:r>
      <w:r w:rsidRPr="000A3539">
        <w:rPr>
          <w:lang w:val="en-CA"/>
        </w:rPr>
        <w:t xml:space="preserve"> Final</w:t>
      </w:r>
      <w:r w:rsidR="001017BA" w:rsidRPr="000A3539">
        <w:rPr>
          <w:lang w:val="en-CA"/>
        </w:rPr>
        <w:t xml:space="preserve">ly, the </w:t>
      </w:r>
      <w:r w:rsidRPr="000A3539">
        <w:rPr>
          <w:lang w:val="en-CA"/>
        </w:rPr>
        <w:t>Court</w:t>
      </w:r>
      <w:r w:rsidR="001017BA" w:rsidRPr="000A3539">
        <w:rPr>
          <w:lang w:val="en-CA"/>
        </w:rPr>
        <w:t xml:space="preserve"> found that the </w:t>
      </w:r>
      <w:r w:rsidRPr="000A3539">
        <w:rPr>
          <w:lang w:val="en-CA"/>
        </w:rPr>
        <w:t>evidence</w:t>
      </w:r>
      <w:r w:rsidR="001017BA" w:rsidRPr="000A3539">
        <w:rPr>
          <w:lang w:val="en-CA"/>
        </w:rPr>
        <w:t xml:space="preserve"> of a </w:t>
      </w:r>
      <w:r w:rsidRPr="000A3539">
        <w:rPr>
          <w:lang w:val="en-CA"/>
        </w:rPr>
        <w:t>pr</w:t>
      </w:r>
      <w:r w:rsidR="001017BA" w:rsidRPr="000A3539">
        <w:rPr>
          <w:lang w:val="en-CA"/>
        </w:rPr>
        <w:t>e</w:t>
      </w:r>
      <w:r w:rsidRPr="000A3539">
        <w:rPr>
          <w:lang w:val="en-CA"/>
        </w:rPr>
        <w:t xml:space="preserve">judice </w:t>
      </w:r>
      <w:r w:rsidR="001017BA" w:rsidRPr="000A3539">
        <w:rPr>
          <w:lang w:val="en-CA"/>
        </w:rPr>
        <w:t>suffered by the complainants was not conclusive.</w:t>
      </w:r>
      <w:r w:rsidRPr="000A3539">
        <w:rPr>
          <w:vertAlign w:val="superscript"/>
          <w:lang w:val="en-CA"/>
        </w:rPr>
        <w:footnoteReference w:id="73"/>
      </w:r>
      <w:r w:rsidRPr="000A3539">
        <w:rPr>
          <w:lang w:val="en-CA"/>
        </w:rPr>
        <w:t xml:space="preserve"> </w:t>
      </w:r>
      <w:r w:rsidR="00660AD3">
        <w:rPr>
          <w:lang w:val="en-CA"/>
        </w:rPr>
        <w:t>Admittedly</w:t>
      </w:r>
      <w:r w:rsidR="00201DE4" w:rsidRPr="000A3539">
        <w:rPr>
          <w:lang w:val="en-CA"/>
        </w:rPr>
        <w:t xml:space="preserve">, the </w:t>
      </w:r>
      <w:r w:rsidRPr="000A3539">
        <w:rPr>
          <w:lang w:val="en-CA"/>
        </w:rPr>
        <w:t xml:space="preserve">Court </w:t>
      </w:r>
      <w:r w:rsidR="00201DE4" w:rsidRPr="000A3539">
        <w:rPr>
          <w:lang w:val="en-CA"/>
        </w:rPr>
        <w:t xml:space="preserve">did add the following </w:t>
      </w:r>
      <w:r w:rsidRPr="000A3539">
        <w:rPr>
          <w:lang w:val="en-CA"/>
        </w:rPr>
        <w:t xml:space="preserve">passage </w:t>
      </w:r>
      <w:r w:rsidR="00201DE4" w:rsidRPr="000A3539">
        <w:rPr>
          <w:lang w:val="en-CA"/>
        </w:rPr>
        <w:t xml:space="preserve">after concluding that there was no </w:t>
      </w:r>
      <w:r w:rsidRPr="000A3539">
        <w:rPr>
          <w:lang w:val="en-CA"/>
        </w:rPr>
        <w:t xml:space="preserve">discrimination, </w:t>
      </w:r>
      <w:r w:rsidR="00201DE4" w:rsidRPr="000A3539">
        <w:rPr>
          <w:lang w:val="en-CA"/>
        </w:rPr>
        <w:t xml:space="preserve">but it should be noted that this comment is merely </w:t>
      </w:r>
      <w:r w:rsidRPr="000A3539">
        <w:rPr>
          <w:i/>
          <w:lang w:val="en-CA"/>
        </w:rPr>
        <w:t>obiter dictum</w:t>
      </w:r>
      <w:r w:rsidRPr="000A3539">
        <w:rPr>
          <w:lang w:val="en-CA"/>
        </w:rPr>
        <w:t> </w:t>
      </w:r>
      <w:r w:rsidR="00201DE4" w:rsidRPr="000A3539">
        <w:rPr>
          <w:lang w:val="en-CA"/>
        </w:rPr>
        <w:t xml:space="preserve">with the reduced weight </w:t>
      </w:r>
      <w:r w:rsidR="00CA65F6" w:rsidRPr="000A3539">
        <w:rPr>
          <w:lang w:val="en-CA"/>
        </w:rPr>
        <w:t>attached thereto</w:t>
      </w:r>
      <w:r w:rsidRPr="000A3539">
        <w:rPr>
          <w:lang w:val="en-CA"/>
        </w:rPr>
        <w:t xml:space="preserve">: </w:t>
      </w:r>
    </w:p>
    <w:p w14:paraId="322FAD24" w14:textId="1E725FBE" w:rsidR="00CA65F6" w:rsidRPr="000A3539" w:rsidRDefault="00CA65F6" w:rsidP="00352837">
      <w:pPr>
        <w:spacing w:before="120" w:after="120"/>
        <w:ind w:left="720" w:right="720"/>
        <w:jc w:val="both"/>
        <w:rPr>
          <w:kern w:val="24"/>
          <w:sz w:val="22"/>
          <w:lang w:val="en-CA"/>
        </w:rPr>
      </w:pPr>
      <w:r w:rsidRPr="000A3539">
        <w:rPr>
          <w:kern w:val="24"/>
          <w:sz w:val="22"/>
          <w:lang w:val="en-CA"/>
        </w:rPr>
        <w:t>[</w:t>
      </w:r>
      <w:r w:rsidRPr="000A3539">
        <w:rPr>
          <w:smallCaps/>
          <w:kern w:val="24"/>
          <w:sz w:val="22"/>
          <w:lang w:val="en-CA"/>
        </w:rPr>
        <w:t>translation]</w:t>
      </w:r>
    </w:p>
    <w:p w14:paraId="55AAFDD2" w14:textId="7D950010" w:rsidR="00352837" w:rsidRPr="000A3539" w:rsidRDefault="00D76132" w:rsidP="00352837">
      <w:pPr>
        <w:spacing w:before="120" w:after="120"/>
        <w:ind w:left="720" w:right="720"/>
        <w:jc w:val="both"/>
        <w:rPr>
          <w:kern w:val="24"/>
          <w:sz w:val="22"/>
          <w:lang w:val="en-CA"/>
        </w:rPr>
      </w:pPr>
      <w:r w:rsidRPr="000A3539">
        <w:rPr>
          <w:kern w:val="24"/>
          <w:sz w:val="22"/>
          <w:lang w:val="en-CA"/>
        </w:rPr>
        <w:t>[84]  </w:t>
      </w:r>
      <w:r w:rsidR="00CA65F6" w:rsidRPr="000A3539">
        <w:rPr>
          <w:kern w:val="24"/>
          <w:sz w:val="22"/>
          <w:lang w:val="en-CA"/>
        </w:rPr>
        <w:t>I</w:t>
      </w:r>
      <w:r w:rsidRPr="000A3539">
        <w:rPr>
          <w:kern w:val="24"/>
          <w:sz w:val="22"/>
          <w:lang w:val="en-CA"/>
        </w:rPr>
        <w:t>n</w:t>
      </w:r>
      <w:r w:rsidR="00CA65F6" w:rsidRPr="000A3539">
        <w:rPr>
          <w:kern w:val="24"/>
          <w:sz w:val="22"/>
          <w:lang w:val="en-CA"/>
        </w:rPr>
        <w:t xml:space="preserve"> </w:t>
      </w:r>
      <w:r w:rsidRPr="000A3539">
        <w:rPr>
          <w:kern w:val="24"/>
          <w:sz w:val="22"/>
          <w:lang w:val="en-CA"/>
        </w:rPr>
        <w:t>addition,</w:t>
      </w:r>
      <w:r w:rsidR="00CA65F6" w:rsidRPr="000A3539">
        <w:rPr>
          <w:kern w:val="24"/>
          <w:sz w:val="22"/>
          <w:lang w:val="en-CA"/>
        </w:rPr>
        <w:t xml:space="preserve"> no study or other </w:t>
      </w:r>
      <w:r w:rsidRPr="000A3539">
        <w:rPr>
          <w:kern w:val="24"/>
          <w:sz w:val="22"/>
          <w:lang w:val="en-CA"/>
        </w:rPr>
        <w:t xml:space="preserve">document </w:t>
      </w:r>
      <w:r w:rsidR="00CA65F6" w:rsidRPr="000A3539">
        <w:rPr>
          <w:kern w:val="24"/>
          <w:sz w:val="22"/>
          <w:lang w:val="en-CA"/>
        </w:rPr>
        <w:t xml:space="preserve">directly connected to the complainants’ </w:t>
      </w:r>
      <w:r w:rsidRPr="000A3539">
        <w:rPr>
          <w:kern w:val="24"/>
          <w:sz w:val="22"/>
          <w:lang w:val="en-CA"/>
        </w:rPr>
        <w:t>condition</w:t>
      </w:r>
      <w:r w:rsidR="00CA65F6" w:rsidRPr="000A3539">
        <w:rPr>
          <w:kern w:val="24"/>
          <w:sz w:val="22"/>
          <w:lang w:val="en-CA"/>
        </w:rPr>
        <w:t xml:space="preserve"> shows that their </w:t>
      </w:r>
      <w:r w:rsidRPr="000A3539">
        <w:rPr>
          <w:kern w:val="24"/>
          <w:sz w:val="22"/>
          <w:lang w:val="en-CA"/>
        </w:rPr>
        <w:t>group</w:t>
      </w:r>
      <w:r w:rsidR="00CA65F6" w:rsidRPr="000A3539">
        <w:rPr>
          <w:kern w:val="24"/>
          <w:sz w:val="22"/>
          <w:lang w:val="en-CA"/>
        </w:rPr>
        <w:t xml:space="preserve"> is </w:t>
      </w:r>
      <w:r w:rsidRPr="000A3539">
        <w:rPr>
          <w:kern w:val="24"/>
          <w:sz w:val="22"/>
          <w:lang w:val="en-CA"/>
        </w:rPr>
        <w:t>compose</w:t>
      </w:r>
      <w:r w:rsidR="00CA65F6" w:rsidRPr="000A3539">
        <w:rPr>
          <w:kern w:val="24"/>
          <w:sz w:val="22"/>
          <w:lang w:val="en-CA"/>
        </w:rPr>
        <w:t xml:space="preserve">d of persons who are </w:t>
      </w:r>
      <w:r w:rsidRPr="000A3539">
        <w:rPr>
          <w:kern w:val="24"/>
          <w:sz w:val="22"/>
          <w:lang w:val="en-CA"/>
        </w:rPr>
        <w:t>vuln</w:t>
      </w:r>
      <w:r w:rsidR="00CA65F6" w:rsidRPr="000A3539">
        <w:rPr>
          <w:kern w:val="24"/>
          <w:sz w:val="22"/>
          <w:lang w:val="en-CA"/>
        </w:rPr>
        <w:t>e</w:t>
      </w:r>
      <w:r w:rsidRPr="000A3539">
        <w:rPr>
          <w:kern w:val="24"/>
          <w:sz w:val="22"/>
          <w:lang w:val="en-CA"/>
        </w:rPr>
        <w:t>rable</w:t>
      </w:r>
      <w:r w:rsidR="00CA65F6" w:rsidRPr="000A3539">
        <w:rPr>
          <w:kern w:val="24"/>
          <w:sz w:val="22"/>
          <w:lang w:val="en-CA"/>
        </w:rPr>
        <w:t xml:space="preserve">, </w:t>
      </w:r>
      <w:r w:rsidRPr="000A3539">
        <w:rPr>
          <w:kern w:val="24"/>
          <w:sz w:val="22"/>
          <w:lang w:val="en-CA"/>
        </w:rPr>
        <w:t>histori</w:t>
      </w:r>
      <w:r w:rsidR="00CA65F6" w:rsidRPr="000A3539">
        <w:rPr>
          <w:kern w:val="24"/>
          <w:sz w:val="22"/>
          <w:lang w:val="en-CA"/>
        </w:rPr>
        <w:t xml:space="preserve">cally disadvantaged, or likely to be the victims of </w:t>
      </w:r>
      <w:r w:rsidRPr="000A3539">
        <w:rPr>
          <w:kern w:val="24"/>
          <w:sz w:val="22"/>
          <w:lang w:val="en-CA"/>
        </w:rPr>
        <w:t>pr</w:t>
      </w:r>
      <w:r w:rsidR="00CA65F6" w:rsidRPr="000A3539">
        <w:rPr>
          <w:kern w:val="24"/>
          <w:sz w:val="22"/>
          <w:lang w:val="en-CA"/>
        </w:rPr>
        <w:t>e</w:t>
      </w:r>
      <w:r w:rsidRPr="000A3539">
        <w:rPr>
          <w:kern w:val="24"/>
          <w:sz w:val="22"/>
          <w:lang w:val="en-CA"/>
        </w:rPr>
        <w:t>ju</w:t>
      </w:r>
      <w:r w:rsidR="00CA65F6" w:rsidRPr="000A3539">
        <w:rPr>
          <w:kern w:val="24"/>
          <w:sz w:val="22"/>
          <w:lang w:val="en-CA"/>
        </w:rPr>
        <w:t xml:space="preserve">dice or </w:t>
      </w:r>
      <w:r w:rsidRPr="000A3539">
        <w:rPr>
          <w:kern w:val="24"/>
          <w:sz w:val="22"/>
          <w:lang w:val="en-CA"/>
        </w:rPr>
        <w:t>st</w:t>
      </w:r>
      <w:r w:rsidR="00CA65F6" w:rsidRPr="000A3539">
        <w:rPr>
          <w:kern w:val="24"/>
          <w:sz w:val="22"/>
          <w:lang w:val="en-CA"/>
        </w:rPr>
        <w:t>e</w:t>
      </w:r>
      <w:r w:rsidRPr="000A3539">
        <w:rPr>
          <w:kern w:val="24"/>
          <w:sz w:val="22"/>
          <w:lang w:val="en-CA"/>
        </w:rPr>
        <w:t>r</w:t>
      </w:r>
      <w:r w:rsidR="00CA65F6" w:rsidRPr="000A3539">
        <w:rPr>
          <w:kern w:val="24"/>
          <w:sz w:val="22"/>
          <w:lang w:val="en-CA"/>
        </w:rPr>
        <w:t>e</w:t>
      </w:r>
      <w:r w:rsidRPr="000A3539">
        <w:rPr>
          <w:kern w:val="24"/>
          <w:sz w:val="22"/>
          <w:lang w:val="en-CA"/>
        </w:rPr>
        <w:t xml:space="preserve">otypes. </w:t>
      </w:r>
      <w:r w:rsidR="00CA65F6" w:rsidRPr="000A3539">
        <w:rPr>
          <w:kern w:val="24"/>
          <w:sz w:val="22"/>
          <w:lang w:val="en-CA"/>
        </w:rPr>
        <w:t xml:space="preserve">In short, to the extent that a </w:t>
      </w:r>
      <w:r w:rsidRPr="000A3539">
        <w:rPr>
          <w:kern w:val="24"/>
          <w:sz w:val="22"/>
          <w:lang w:val="en-CA"/>
        </w:rPr>
        <w:t xml:space="preserve">distinction </w:t>
      </w:r>
      <w:r w:rsidR="00CA65F6" w:rsidRPr="000A3539">
        <w:rPr>
          <w:kern w:val="24"/>
          <w:sz w:val="22"/>
          <w:lang w:val="en-CA"/>
        </w:rPr>
        <w:t xml:space="preserve">was indeed established, the </w:t>
      </w:r>
      <w:r w:rsidRPr="000A3539">
        <w:rPr>
          <w:kern w:val="24"/>
          <w:sz w:val="22"/>
          <w:lang w:val="en-CA"/>
        </w:rPr>
        <w:t>evidence</w:t>
      </w:r>
      <w:r w:rsidR="00CA65F6" w:rsidRPr="000A3539">
        <w:rPr>
          <w:kern w:val="24"/>
          <w:sz w:val="22"/>
          <w:lang w:val="en-CA"/>
        </w:rPr>
        <w:t xml:space="preserve"> did not show that it created a disadvantage </w:t>
      </w:r>
      <w:r w:rsidR="00DE677A" w:rsidRPr="000A3539">
        <w:rPr>
          <w:kern w:val="24"/>
          <w:sz w:val="22"/>
          <w:lang w:val="en-CA"/>
        </w:rPr>
        <w:t>by perpetuating prejudice or negatively stereotyping</w:t>
      </w:r>
      <w:r w:rsidRPr="000A3539">
        <w:rPr>
          <w:kern w:val="24"/>
          <w:sz w:val="22"/>
          <w:lang w:val="en-CA"/>
        </w:rPr>
        <w:t>.</w:t>
      </w:r>
    </w:p>
    <w:p w14:paraId="1BD84087" w14:textId="7CE7C12E" w:rsidR="00352837" w:rsidRPr="000A3539" w:rsidRDefault="005B3EEC" w:rsidP="007619EB">
      <w:pPr>
        <w:numPr>
          <w:ilvl w:val="0"/>
          <w:numId w:val="18"/>
        </w:numPr>
        <w:spacing w:before="120" w:after="120" w:line="280" w:lineRule="atLeast"/>
        <w:jc w:val="both"/>
        <w:rPr>
          <w:kern w:val="28"/>
          <w:lang w:val="en-CA"/>
        </w:rPr>
      </w:pPr>
      <w:r w:rsidRPr="000A3539">
        <w:rPr>
          <w:kern w:val="28"/>
          <w:lang w:val="en-CA"/>
        </w:rPr>
        <w:t>Th</w:t>
      </w:r>
      <w:r w:rsidR="008A212D" w:rsidRPr="000A3539">
        <w:rPr>
          <w:kern w:val="28"/>
          <w:lang w:val="en-CA"/>
        </w:rPr>
        <w:t>is</w:t>
      </w:r>
      <w:r w:rsidRPr="000A3539">
        <w:rPr>
          <w:kern w:val="28"/>
          <w:lang w:val="en-CA"/>
        </w:rPr>
        <w:t xml:space="preserve"> </w:t>
      </w:r>
      <w:r w:rsidR="00D76132" w:rsidRPr="000A3539">
        <w:rPr>
          <w:i/>
          <w:kern w:val="28"/>
          <w:lang w:val="en-CA"/>
        </w:rPr>
        <w:t>obiter dictum</w:t>
      </w:r>
      <w:r w:rsidR="00D76132" w:rsidRPr="000A3539">
        <w:rPr>
          <w:kern w:val="28"/>
          <w:lang w:val="en-CA"/>
        </w:rPr>
        <w:t xml:space="preserve"> </w:t>
      </w:r>
      <w:r w:rsidRPr="000A3539">
        <w:rPr>
          <w:kern w:val="28"/>
          <w:lang w:val="en-CA"/>
        </w:rPr>
        <w:t xml:space="preserve">does not </w:t>
      </w:r>
      <w:r w:rsidR="008A212D" w:rsidRPr="000A3539">
        <w:rPr>
          <w:kern w:val="28"/>
          <w:lang w:val="en-CA"/>
        </w:rPr>
        <w:t xml:space="preserve">impose on a party alleging </w:t>
      </w:r>
      <w:r w:rsidR="00D76132" w:rsidRPr="000A3539">
        <w:rPr>
          <w:kern w:val="28"/>
          <w:lang w:val="en-CA"/>
        </w:rPr>
        <w:t xml:space="preserve">discrimination </w:t>
      </w:r>
      <w:r w:rsidR="008A212D" w:rsidRPr="000A3539">
        <w:rPr>
          <w:kern w:val="28"/>
          <w:lang w:val="en-CA"/>
        </w:rPr>
        <w:t xml:space="preserve">the </w:t>
      </w:r>
      <w:r w:rsidR="00D76132" w:rsidRPr="000A3539">
        <w:rPr>
          <w:kern w:val="28"/>
          <w:lang w:val="en-CA"/>
        </w:rPr>
        <w:t>burden</w:t>
      </w:r>
      <w:r w:rsidR="008A212D" w:rsidRPr="000A3539">
        <w:rPr>
          <w:kern w:val="28"/>
          <w:lang w:val="en-CA"/>
        </w:rPr>
        <w:t xml:space="preserve"> </w:t>
      </w:r>
      <w:r w:rsidR="00D76132" w:rsidRPr="000A3539">
        <w:rPr>
          <w:kern w:val="28"/>
          <w:lang w:val="en-CA"/>
        </w:rPr>
        <w:t>of</w:t>
      </w:r>
      <w:r w:rsidR="008A212D" w:rsidRPr="000A3539">
        <w:rPr>
          <w:kern w:val="28"/>
          <w:lang w:val="en-CA"/>
        </w:rPr>
        <w:t xml:space="preserve"> </w:t>
      </w:r>
      <w:r w:rsidR="00D76132" w:rsidRPr="000A3539">
        <w:rPr>
          <w:kern w:val="28"/>
          <w:lang w:val="en-CA"/>
        </w:rPr>
        <w:t>proving</w:t>
      </w:r>
      <w:r w:rsidR="008A212D" w:rsidRPr="000A3539">
        <w:rPr>
          <w:kern w:val="28"/>
          <w:lang w:val="en-CA"/>
        </w:rPr>
        <w:t xml:space="preserve"> that the discrim</w:t>
      </w:r>
      <w:r w:rsidR="00FC3354">
        <w:rPr>
          <w:kern w:val="28"/>
          <w:lang w:val="en-CA"/>
        </w:rPr>
        <w:t>in</w:t>
      </w:r>
      <w:r w:rsidR="008A212D" w:rsidRPr="000A3539">
        <w:rPr>
          <w:kern w:val="28"/>
          <w:lang w:val="en-CA"/>
        </w:rPr>
        <w:t xml:space="preserve">ated </w:t>
      </w:r>
      <w:r w:rsidR="00D76132" w:rsidRPr="000A3539">
        <w:rPr>
          <w:kern w:val="28"/>
          <w:lang w:val="en-CA"/>
        </w:rPr>
        <w:t xml:space="preserve">group </w:t>
      </w:r>
      <w:r w:rsidR="008A212D" w:rsidRPr="000A3539">
        <w:rPr>
          <w:kern w:val="28"/>
          <w:lang w:val="en-CA"/>
        </w:rPr>
        <w:t>[</w:t>
      </w:r>
      <w:r w:rsidR="008A212D" w:rsidRPr="000A3539">
        <w:rPr>
          <w:smallCaps/>
          <w:kern w:val="28"/>
          <w:lang w:val="en-CA"/>
        </w:rPr>
        <w:t>translation</w:t>
      </w:r>
      <w:r w:rsidR="008A212D" w:rsidRPr="000A3539">
        <w:rPr>
          <w:kern w:val="28"/>
          <w:lang w:val="en-CA"/>
        </w:rPr>
        <w:t>] “is composed of</w:t>
      </w:r>
      <w:r w:rsidR="00185DB6" w:rsidRPr="000A3539">
        <w:rPr>
          <w:kern w:val="28"/>
          <w:lang w:val="en-CA"/>
        </w:rPr>
        <w:t xml:space="preserve"> persons who are vulnerable, historically disadvantaged, or likely to be the victims of prejudice or </w:t>
      </w:r>
      <w:r w:rsidR="00185DB6" w:rsidRPr="000A3539">
        <w:rPr>
          <w:kern w:val="28"/>
          <w:lang w:val="en-CA"/>
        </w:rPr>
        <w:lastRenderedPageBreak/>
        <w:t>stereotyp</w:t>
      </w:r>
      <w:r w:rsidR="009D0E19">
        <w:rPr>
          <w:kern w:val="28"/>
          <w:lang w:val="en-CA"/>
        </w:rPr>
        <w:t>ing</w:t>
      </w:r>
      <w:r w:rsidR="00185DB6" w:rsidRPr="000A3539">
        <w:rPr>
          <w:kern w:val="28"/>
          <w:lang w:val="en-CA"/>
        </w:rPr>
        <w:t>”</w:t>
      </w:r>
      <w:r w:rsidR="00D76132" w:rsidRPr="000A3539">
        <w:rPr>
          <w:kern w:val="28"/>
          <w:lang w:val="en-CA"/>
        </w:rPr>
        <w:t>.</w:t>
      </w:r>
      <w:r w:rsidR="00185DB6" w:rsidRPr="000A3539">
        <w:rPr>
          <w:kern w:val="28"/>
          <w:lang w:val="en-CA"/>
        </w:rPr>
        <w:t xml:space="preserve"> According to the </w:t>
      </w:r>
      <w:r w:rsidR="00D76132" w:rsidRPr="000A3539">
        <w:rPr>
          <w:kern w:val="28"/>
          <w:lang w:val="en-CA"/>
        </w:rPr>
        <w:t>case</w:t>
      </w:r>
      <w:r w:rsidR="00185DB6" w:rsidRPr="000A3539">
        <w:rPr>
          <w:kern w:val="28"/>
          <w:lang w:val="en-CA"/>
        </w:rPr>
        <w:t xml:space="preserve"> </w:t>
      </w:r>
      <w:r w:rsidR="00D76132" w:rsidRPr="000A3539">
        <w:rPr>
          <w:kern w:val="28"/>
          <w:lang w:val="en-CA"/>
        </w:rPr>
        <w:t xml:space="preserve">law, </w:t>
      </w:r>
      <w:r w:rsidR="00185DB6" w:rsidRPr="000A3539">
        <w:rPr>
          <w:kern w:val="28"/>
          <w:lang w:val="en-CA"/>
        </w:rPr>
        <w:t xml:space="preserve">such a requirement is not an additional criterion to the three-part test reiterated numerous times by </w:t>
      </w:r>
      <w:r w:rsidR="00D76132" w:rsidRPr="000A3539">
        <w:rPr>
          <w:kern w:val="28"/>
          <w:lang w:val="en-CA"/>
        </w:rPr>
        <w:t>the</w:t>
      </w:r>
      <w:r w:rsidR="00185DB6" w:rsidRPr="000A3539">
        <w:rPr>
          <w:kern w:val="28"/>
          <w:lang w:val="en-CA"/>
        </w:rPr>
        <w:t xml:space="preserve"> </w:t>
      </w:r>
      <w:r w:rsidR="00D76132" w:rsidRPr="000A3539">
        <w:rPr>
          <w:kern w:val="28"/>
          <w:lang w:val="en-CA"/>
        </w:rPr>
        <w:t>Supreme</w:t>
      </w:r>
      <w:r w:rsidR="00185DB6" w:rsidRPr="000A3539">
        <w:rPr>
          <w:kern w:val="28"/>
          <w:lang w:val="en-CA"/>
        </w:rPr>
        <w:t xml:space="preserve"> </w:t>
      </w:r>
      <w:r w:rsidR="00D76132" w:rsidRPr="000A3539">
        <w:rPr>
          <w:kern w:val="28"/>
          <w:lang w:val="en-CA"/>
        </w:rPr>
        <w:t xml:space="preserve">Court </w:t>
      </w:r>
      <w:r w:rsidR="00185DB6" w:rsidRPr="000A3539">
        <w:rPr>
          <w:kern w:val="28"/>
          <w:lang w:val="en-CA"/>
        </w:rPr>
        <w:t xml:space="preserve">for a </w:t>
      </w:r>
      <w:r w:rsidR="00D76132" w:rsidRPr="000A3539">
        <w:rPr>
          <w:kern w:val="28"/>
          <w:lang w:val="en-CA"/>
        </w:rPr>
        <w:t xml:space="preserve">complaint </w:t>
      </w:r>
      <w:r w:rsidR="00185DB6" w:rsidRPr="000A3539">
        <w:rPr>
          <w:kern w:val="28"/>
          <w:lang w:val="en-CA"/>
        </w:rPr>
        <w:t xml:space="preserve">based on </w:t>
      </w:r>
      <w:r w:rsidR="00D76132" w:rsidRPr="000A3539">
        <w:rPr>
          <w:kern w:val="28"/>
          <w:lang w:val="en-CA"/>
        </w:rPr>
        <w:t xml:space="preserve">section 10 </w:t>
      </w:r>
      <w:r w:rsidR="00185DB6" w:rsidRPr="000A3539">
        <w:rPr>
          <w:kern w:val="28"/>
          <w:lang w:val="en-CA"/>
        </w:rPr>
        <w:t xml:space="preserve">of the </w:t>
      </w:r>
      <w:bookmarkStart w:id="22" w:name="_Ref71623811"/>
      <w:r w:rsidR="00DC430C" w:rsidRPr="00DC430C">
        <w:rPr>
          <w:i/>
          <w:kern w:val="28"/>
          <w:lang w:val="en-CA"/>
        </w:rPr>
        <w:t>Quebec Charter</w:t>
      </w:r>
      <w:r w:rsidR="00185DB6" w:rsidRPr="000A3539">
        <w:rPr>
          <w:kern w:val="28"/>
          <w:lang w:val="en-CA"/>
        </w:rPr>
        <w:t>.</w:t>
      </w:r>
      <w:r w:rsidR="00D76132" w:rsidRPr="000A3539">
        <w:rPr>
          <w:kern w:val="28"/>
          <w:vertAlign w:val="superscript"/>
          <w:lang w:val="en-CA"/>
        </w:rPr>
        <w:footnoteReference w:id="74"/>
      </w:r>
      <w:bookmarkEnd w:id="22"/>
    </w:p>
    <w:p w14:paraId="52302959" w14:textId="77777777" w:rsidR="00352837" w:rsidRPr="000A3539" w:rsidRDefault="00D76132" w:rsidP="00352837">
      <w:pPr>
        <w:spacing w:before="120" w:after="120"/>
        <w:jc w:val="center"/>
        <w:rPr>
          <w:b/>
          <w:kern w:val="28"/>
          <w:lang w:val="en-CA"/>
        </w:rPr>
      </w:pPr>
      <w:r w:rsidRPr="000A3539">
        <w:rPr>
          <w:rFonts w:cs="Arial"/>
          <w:b/>
          <w:kern w:val="28"/>
          <w:lang w:val="en-CA"/>
        </w:rPr>
        <w:t>*****</w:t>
      </w:r>
    </w:p>
    <w:p w14:paraId="1CAF1EEA" w14:textId="430A64B7" w:rsidR="00352837" w:rsidRPr="000A3539" w:rsidRDefault="00F36549" w:rsidP="00352837">
      <w:pPr>
        <w:pStyle w:val="Paragraphe"/>
        <w:rPr>
          <w:lang w:val="en-CA"/>
        </w:rPr>
      </w:pPr>
      <w:r w:rsidRPr="000A3539">
        <w:rPr>
          <w:lang w:val="en-CA"/>
        </w:rPr>
        <w:t xml:space="preserve">Let us now consider whether student status is included in the </w:t>
      </w:r>
      <w:r w:rsidR="00D76132" w:rsidRPr="000A3539">
        <w:rPr>
          <w:lang w:val="en-CA"/>
        </w:rPr>
        <w:t>ground</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discrimination</w:t>
      </w:r>
      <w:r w:rsidRPr="000A3539">
        <w:rPr>
          <w:lang w:val="en-CA"/>
        </w:rPr>
        <w:t xml:space="preserve"> of social </w:t>
      </w:r>
      <w:r w:rsidR="00D76132" w:rsidRPr="000A3539">
        <w:rPr>
          <w:lang w:val="en-CA"/>
        </w:rPr>
        <w:t>condition.</w:t>
      </w:r>
    </w:p>
    <w:p w14:paraId="0541B9D9" w14:textId="259F397E" w:rsidR="00352837" w:rsidRPr="000A3539" w:rsidRDefault="00D76132" w:rsidP="00352837">
      <w:pPr>
        <w:pStyle w:val="Style1soussous-titrenumrot"/>
        <w:spacing w:line="280" w:lineRule="exact"/>
        <w:rPr>
          <w:b/>
          <w:lang w:val="en-CA"/>
        </w:rPr>
      </w:pPr>
      <w:r w:rsidRPr="000A3539">
        <w:rPr>
          <w:b/>
          <w:lang w:val="en-CA"/>
        </w:rPr>
        <w:t>4.1.2-</w:t>
      </w:r>
      <w:r w:rsidRPr="000A3539">
        <w:rPr>
          <w:lang w:val="en-CA"/>
        </w:rPr>
        <w:tab/>
      </w:r>
      <w:r w:rsidR="006524A5" w:rsidRPr="000A3539">
        <w:rPr>
          <w:b/>
          <w:lang w:val="en-CA"/>
        </w:rPr>
        <w:t>Is s</w:t>
      </w:r>
      <w:r w:rsidR="00773824" w:rsidRPr="000A3539">
        <w:rPr>
          <w:b/>
          <w:lang w:val="en-CA"/>
        </w:rPr>
        <w:t xml:space="preserve">tudent status part of the concept of “social </w:t>
      </w:r>
      <w:r w:rsidRPr="000A3539">
        <w:rPr>
          <w:b/>
          <w:lang w:val="en-CA"/>
        </w:rPr>
        <w:t>condition</w:t>
      </w:r>
      <w:r w:rsidR="00773824" w:rsidRPr="000A3539">
        <w:rPr>
          <w:b/>
          <w:lang w:val="en-CA"/>
        </w:rPr>
        <w:t xml:space="preserve">” set out in section </w:t>
      </w:r>
      <w:r w:rsidRPr="000A3539">
        <w:rPr>
          <w:b/>
          <w:lang w:val="en-CA"/>
        </w:rPr>
        <w:t xml:space="preserve">10 </w:t>
      </w:r>
      <w:r w:rsidR="00773824" w:rsidRPr="000A3539">
        <w:rPr>
          <w:b/>
          <w:lang w:val="en-CA"/>
        </w:rPr>
        <w:t xml:space="preserve">of the </w:t>
      </w:r>
      <w:r w:rsidR="00DC430C" w:rsidRPr="00DC430C">
        <w:rPr>
          <w:b/>
          <w:i/>
          <w:lang w:val="en-CA"/>
        </w:rPr>
        <w:t>Quebec Charter</w:t>
      </w:r>
      <w:r w:rsidRPr="000A3539">
        <w:rPr>
          <w:b/>
          <w:i/>
          <w:lang w:val="en-CA"/>
        </w:rPr>
        <w:t>?</w:t>
      </w:r>
    </w:p>
    <w:p w14:paraId="45836E35" w14:textId="1D1103AD" w:rsidR="00352837" w:rsidRPr="000A3539" w:rsidRDefault="00773824" w:rsidP="00352837">
      <w:pPr>
        <w:pStyle w:val="Paragraphe"/>
        <w:rPr>
          <w:lang w:val="en-CA"/>
        </w:rPr>
      </w:pPr>
      <w:r w:rsidRPr="000A3539">
        <w:rPr>
          <w:lang w:val="en-CA"/>
        </w:rPr>
        <w:t>The appellant does not propose a</w:t>
      </w:r>
      <w:r w:rsidR="00B8619C">
        <w:rPr>
          <w:lang w:val="en-CA"/>
        </w:rPr>
        <w:t>ny</w:t>
      </w:r>
      <w:r w:rsidRPr="000A3539">
        <w:rPr>
          <w:lang w:val="en-CA"/>
        </w:rPr>
        <w:t xml:space="preserve"> de</w:t>
      </w:r>
      <w:r w:rsidR="00D76132" w:rsidRPr="000A3539">
        <w:rPr>
          <w:lang w:val="en-CA"/>
        </w:rPr>
        <w:t xml:space="preserve">finition </w:t>
      </w:r>
      <w:r w:rsidRPr="000A3539">
        <w:rPr>
          <w:lang w:val="en-CA"/>
        </w:rPr>
        <w:t xml:space="preserve">of social </w:t>
      </w:r>
      <w:r w:rsidR="00D76132" w:rsidRPr="000A3539">
        <w:rPr>
          <w:lang w:val="en-CA"/>
        </w:rPr>
        <w:t xml:space="preserve">condition. </w:t>
      </w:r>
      <w:r w:rsidRPr="000A3539">
        <w:rPr>
          <w:lang w:val="en-CA"/>
        </w:rPr>
        <w:t xml:space="preserve">It limits itself to stating that students are not included because the </w:t>
      </w:r>
      <w:r w:rsidR="00D76132" w:rsidRPr="000A3539">
        <w:rPr>
          <w:lang w:val="en-CA"/>
        </w:rPr>
        <w:t>respondent</w:t>
      </w:r>
      <w:r w:rsidRPr="000A3539">
        <w:rPr>
          <w:lang w:val="en-CA"/>
        </w:rPr>
        <w:t xml:space="preserve"> did not prove that this </w:t>
      </w:r>
      <w:r w:rsidR="00D76132" w:rsidRPr="000A3539">
        <w:rPr>
          <w:lang w:val="en-CA"/>
        </w:rPr>
        <w:t>group</w:t>
      </w:r>
      <w:r w:rsidRPr="000A3539">
        <w:rPr>
          <w:lang w:val="en-CA"/>
        </w:rPr>
        <w:t xml:space="preserve"> is in a </w:t>
      </w:r>
      <w:r w:rsidR="00D76132" w:rsidRPr="000A3539">
        <w:rPr>
          <w:lang w:val="en-CA"/>
        </w:rPr>
        <w:t xml:space="preserve">situation </w:t>
      </w:r>
      <w:r w:rsidR="00A36209" w:rsidRPr="000A3539">
        <w:rPr>
          <w:lang w:val="en-CA"/>
        </w:rPr>
        <w:t xml:space="preserve">that </w:t>
      </w:r>
      <w:r w:rsidR="00B8619C">
        <w:rPr>
          <w:lang w:val="en-CA"/>
        </w:rPr>
        <w:t>leads to</w:t>
      </w:r>
      <w:r w:rsidR="00A36209" w:rsidRPr="000A3539">
        <w:rPr>
          <w:lang w:val="en-CA"/>
        </w:rPr>
        <w:t xml:space="preserve"> </w:t>
      </w:r>
      <w:r w:rsidR="00D76132" w:rsidRPr="000A3539">
        <w:rPr>
          <w:lang w:val="en-CA"/>
        </w:rPr>
        <w:t xml:space="preserve">discrimination </w:t>
      </w:r>
      <w:r w:rsidR="00A36209" w:rsidRPr="000A3539">
        <w:rPr>
          <w:lang w:val="en-CA"/>
        </w:rPr>
        <w:t xml:space="preserve">due to prejudice, </w:t>
      </w:r>
      <w:r w:rsidR="00D76132" w:rsidRPr="000A3539">
        <w:rPr>
          <w:lang w:val="en-CA"/>
        </w:rPr>
        <w:t>st</w:t>
      </w:r>
      <w:r w:rsidR="00A36209" w:rsidRPr="000A3539">
        <w:rPr>
          <w:lang w:val="en-CA"/>
        </w:rPr>
        <w:t>e</w:t>
      </w:r>
      <w:r w:rsidR="00D76132" w:rsidRPr="000A3539">
        <w:rPr>
          <w:lang w:val="en-CA"/>
        </w:rPr>
        <w:t>r</w:t>
      </w:r>
      <w:r w:rsidR="00A36209" w:rsidRPr="000A3539">
        <w:rPr>
          <w:lang w:val="en-CA"/>
        </w:rPr>
        <w:t>e</w:t>
      </w:r>
      <w:r w:rsidR="00D76132" w:rsidRPr="000A3539">
        <w:rPr>
          <w:lang w:val="en-CA"/>
        </w:rPr>
        <w:t>otypes</w:t>
      </w:r>
      <w:r w:rsidR="00A36209" w:rsidRPr="000A3539">
        <w:rPr>
          <w:lang w:val="en-CA"/>
        </w:rPr>
        <w:t xml:space="preserve">, or the social </w:t>
      </w:r>
      <w:r w:rsidR="00D76132" w:rsidRPr="000A3539">
        <w:rPr>
          <w:lang w:val="en-CA"/>
        </w:rPr>
        <w:t xml:space="preserve">context. </w:t>
      </w:r>
    </w:p>
    <w:p w14:paraId="5E27BFD1" w14:textId="4EAC3A5F" w:rsidR="00352837" w:rsidRPr="000A3539" w:rsidRDefault="00202B65" w:rsidP="00352837">
      <w:pPr>
        <w:pStyle w:val="Paragraphe"/>
        <w:rPr>
          <w:lang w:val="en-CA"/>
        </w:rPr>
      </w:pPr>
      <w:r>
        <w:rPr>
          <w:lang w:val="en-CA"/>
        </w:rPr>
        <w:t>Yet</w:t>
      </w:r>
      <w:r w:rsidR="00A36209" w:rsidRPr="000A3539">
        <w:rPr>
          <w:lang w:val="en-CA"/>
        </w:rPr>
        <w:t>, according to the c</w:t>
      </w:r>
      <w:r w:rsidR="00D76132" w:rsidRPr="000A3539">
        <w:rPr>
          <w:lang w:val="en-CA"/>
        </w:rPr>
        <w:t>ase</w:t>
      </w:r>
      <w:r w:rsidR="00A36209" w:rsidRPr="000A3539">
        <w:rPr>
          <w:lang w:val="en-CA"/>
        </w:rPr>
        <w:t xml:space="preserve"> </w:t>
      </w:r>
      <w:r w:rsidR="00D76132" w:rsidRPr="000A3539">
        <w:rPr>
          <w:lang w:val="en-CA"/>
        </w:rPr>
        <w:t xml:space="preserve">law, </w:t>
      </w:r>
      <w:r w:rsidR="00A36209" w:rsidRPr="000A3539">
        <w:rPr>
          <w:lang w:val="en-CA"/>
        </w:rPr>
        <w:t xml:space="preserve">social </w:t>
      </w:r>
      <w:r w:rsidR="00D76132" w:rsidRPr="000A3539">
        <w:rPr>
          <w:lang w:val="en-CA"/>
        </w:rPr>
        <w:t xml:space="preserve">condition </w:t>
      </w:r>
      <w:r w:rsidR="00A36209" w:rsidRPr="000A3539">
        <w:rPr>
          <w:lang w:val="en-CA"/>
        </w:rPr>
        <w:t>is the re</w:t>
      </w:r>
      <w:r w:rsidR="00D76132" w:rsidRPr="000A3539">
        <w:rPr>
          <w:lang w:val="en-CA"/>
        </w:rPr>
        <w:t>sult</w:t>
      </w:r>
      <w:r w:rsidR="00A36209" w:rsidRPr="000A3539">
        <w:rPr>
          <w:lang w:val="en-CA"/>
        </w:rPr>
        <w:t xml:space="preserve"> of characteristics generally attributed to a person because of </w:t>
      </w:r>
      <w:r w:rsidR="00D76132" w:rsidRPr="000A3539">
        <w:rPr>
          <w:lang w:val="en-CA"/>
        </w:rPr>
        <w:t>socio-</w:t>
      </w:r>
      <w:r w:rsidR="00A36209" w:rsidRPr="000A3539">
        <w:rPr>
          <w:lang w:val="en-CA"/>
        </w:rPr>
        <w:t>e</w:t>
      </w:r>
      <w:r w:rsidR="00D76132" w:rsidRPr="000A3539">
        <w:rPr>
          <w:lang w:val="en-CA"/>
        </w:rPr>
        <w:t>conomi</w:t>
      </w:r>
      <w:r w:rsidR="00A36209" w:rsidRPr="000A3539">
        <w:rPr>
          <w:lang w:val="en-CA"/>
        </w:rPr>
        <w:t xml:space="preserve">c criteria and the underlying idea that the person </w:t>
      </w:r>
      <w:r w:rsidR="00D76132" w:rsidRPr="000A3539">
        <w:rPr>
          <w:lang w:val="en-CA"/>
        </w:rPr>
        <w:t>occup</w:t>
      </w:r>
      <w:r w:rsidR="00A36209" w:rsidRPr="000A3539">
        <w:rPr>
          <w:lang w:val="en-CA"/>
        </w:rPr>
        <w:t>i</w:t>
      </w:r>
      <w:r w:rsidR="00D76132" w:rsidRPr="000A3539">
        <w:rPr>
          <w:lang w:val="en-CA"/>
        </w:rPr>
        <w:t>e</w:t>
      </w:r>
      <w:r w:rsidR="00A36209" w:rsidRPr="000A3539">
        <w:rPr>
          <w:lang w:val="en-CA"/>
        </w:rPr>
        <w:t>s a lower position due, in particular, to his or her income</w:t>
      </w:r>
      <w:r w:rsidR="001C2DE8">
        <w:rPr>
          <w:lang w:val="en-CA"/>
        </w:rPr>
        <w:t>,</w:t>
      </w:r>
      <w:r w:rsidR="00A36209" w:rsidRPr="000A3539">
        <w:rPr>
          <w:lang w:val="en-CA"/>
        </w:rPr>
        <w:t xml:space="preserve"> such as those receiving social assistance, students, refugees, </w:t>
      </w:r>
      <w:r w:rsidR="00D76132" w:rsidRPr="000A3539">
        <w:rPr>
          <w:lang w:val="en-CA"/>
        </w:rPr>
        <w:t xml:space="preserve">etc. </w:t>
      </w:r>
      <w:r w:rsidR="00AB2B3F" w:rsidRPr="000A3539">
        <w:rPr>
          <w:lang w:val="en-CA"/>
        </w:rPr>
        <w:t>Overall</w:t>
      </w:r>
      <w:r w:rsidR="00D76132" w:rsidRPr="000A3539">
        <w:rPr>
          <w:lang w:val="en-CA"/>
        </w:rPr>
        <w:t xml:space="preserve">, </w:t>
      </w:r>
      <w:r w:rsidR="00AB2B3F" w:rsidRPr="000A3539">
        <w:rPr>
          <w:lang w:val="en-CA"/>
        </w:rPr>
        <w:t xml:space="preserve">we note that Quebec </w:t>
      </w:r>
      <w:r w:rsidR="00D76132" w:rsidRPr="000A3539">
        <w:rPr>
          <w:lang w:val="en-CA"/>
        </w:rPr>
        <w:t>case</w:t>
      </w:r>
      <w:r w:rsidR="00AB2B3F" w:rsidRPr="000A3539">
        <w:rPr>
          <w:lang w:val="en-CA"/>
        </w:rPr>
        <w:t xml:space="preserve"> law has favoured the </w:t>
      </w:r>
      <w:r w:rsidR="00D76132" w:rsidRPr="000A3539">
        <w:rPr>
          <w:lang w:val="en-CA"/>
        </w:rPr>
        <w:t xml:space="preserve">protection </w:t>
      </w:r>
      <w:r w:rsidR="00AB2B3F" w:rsidRPr="000A3539">
        <w:rPr>
          <w:lang w:val="en-CA"/>
        </w:rPr>
        <w:t xml:space="preserve">of various </w:t>
      </w:r>
      <w:r w:rsidR="00D76132" w:rsidRPr="000A3539">
        <w:rPr>
          <w:lang w:val="en-CA"/>
        </w:rPr>
        <w:t>cat</w:t>
      </w:r>
      <w:r w:rsidR="00AB2B3F" w:rsidRPr="000A3539">
        <w:rPr>
          <w:lang w:val="en-CA"/>
        </w:rPr>
        <w:t>e</w:t>
      </w:r>
      <w:r w:rsidR="00D76132" w:rsidRPr="000A3539">
        <w:rPr>
          <w:lang w:val="en-CA"/>
        </w:rPr>
        <w:t xml:space="preserve">gories </w:t>
      </w:r>
      <w:r w:rsidR="00AB2B3F" w:rsidRPr="000A3539">
        <w:rPr>
          <w:lang w:val="en-CA"/>
        </w:rPr>
        <w:t xml:space="preserve">of </w:t>
      </w:r>
      <w:r w:rsidR="00D76132" w:rsidRPr="000A3539">
        <w:rPr>
          <w:lang w:val="en-CA"/>
        </w:rPr>
        <w:t>persons</w:t>
      </w:r>
      <w:r w:rsidR="00AB2B3F" w:rsidRPr="000A3539">
        <w:rPr>
          <w:lang w:val="en-CA"/>
        </w:rPr>
        <w:t xml:space="preserve"> who generally – but not always – have as a common de</w:t>
      </w:r>
      <w:r w:rsidR="00D76132" w:rsidRPr="000A3539">
        <w:rPr>
          <w:lang w:val="en-CA"/>
        </w:rPr>
        <w:t>nominat</w:t>
      </w:r>
      <w:r w:rsidR="00AB2B3F" w:rsidRPr="000A3539">
        <w:rPr>
          <w:lang w:val="en-CA"/>
        </w:rPr>
        <w:t xml:space="preserve">or a low income or a precarious economic </w:t>
      </w:r>
      <w:r w:rsidR="00D76132" w:rsidRPr="000A3539">
        <w:rPr>
          <w:lang w:val="en-CA"/>
        </w:rPr>
        <w:t>situation.</w:t>
      </w:r>
    </w:p>
    <w:p w14:paraId="35F6A997" w14:textId="686D655F" w:rsidR="00352837" w:rsidRPr="000A3539" w:rsidRDefault="0071231E" w:rsidP="00352837">
      <w:pPr>
        <w:pStyle w:val="Paragraphe"/>
        <w:rPr>
          <w:lang w:val="en-CA"/>
        </w:rPr>
      </w:pPr>
      <w:r w:rsidRPr="000A3539">
        <w:rPr>
          <w:lang w:val="en-CA"/>
        </w:rPr>
        <w:t xml:space="preserve">The </w:t>
      </w:r>
      <w:r w:rsidR="00D76132" w:rsidRPr="000A3539">
        <w:rPr>
          <w:lang w:val="en-CA"/>
        </w:rPr>
        <w:t>Tribunal adopt</w:t>
      </w:r>
      <w:r w:rsidRPr="000A3539">
        <w:rPr>
          <w:lang w:val="en-CA"/>
        </w:rPr>
        <w:t xml:space="preserve">ed this idea. At </w:t>
      </w:r>
      <w:r w:rsidR="00D76132" w:rsidRPr="000A3539">
        <w:rPr>
          <w:lang w:val="en-CA"/>
        </w:rPr>
        <w:t xml:space="preserve">paragraph 331 </w:t>
      </w:r>
      <w:r w:rsidRPr="000A3539">
        <w:rPr>
          <w:lang w:val="en-CA"/>
        </w:rPr>
        <w:t xml:space="preserve">of its </w:t>
      </w:r>
      <w:r w:rsidR="00D76132" w:rsidRPr="000A3539">
        <w:rPr>
          <w:lang w:val="en-CA"/>
        </w:rPr>
        <w:t>ju</w:t>
      </w:r>
      <w:r w:rsidRPr="000A3539">
        <w:rPr>
          <w:lang w:val="en-CA"/>
        </w:rPr>
        <w:t>d</w:t>
      </w:r>
      <w:r w:rsidR="00D76132" w:rsidRPr="000A3539">
        <w:rPr>
          <w:lang w:val="en-CA"/>
        </w:rPr>
        <w:t>gment,</w:t>
      </w:r>
      <w:r w:rsidRPr="000A3539">
        <w:rPr>
          <w:lang w:val="en-CA"/>
        </w:rPr>
        <w:t xml:space="preserve"> it relie</w:t>
      </w:r>
      <w:r w:rsidR="00A82F88">
        <w:rPr>
          <w:lang w:val="en-CA"/>
        </w:rPr>
        <w:t>d</w:t>
      </w:r>
      <w:r w:rsidRPr="000A3539">
        <w:rPr>
          <w:lang w:val="en-CA"/>
        </w:rPr>
        <w:t xml:space="preserve"> on a </w:t>
      </w:r>
      <w:r w:rsidR="00D76132" w:rsidRPr="000A3539">
        <w:rPr>
          <w:lang w:val="en-CA"/>
        </w:rPr>
        <w:t>decision</w:t>
      </w:r>
      <w:r w:rsidRPr="000A3539">
        <w:rPr>
          <w:lang w:val="en-CA"/>
        </w:rPr>
        <w:t xml:space="preserve"> of the A</w:t>
      </w:r>
      <w:r w:rsidR="00D76132" w:rsidRPr="000A3539">
        <w:rPr>
          <w:lang w:val="en-CA"/>
        </w:rPr>
        <w:t>dministrative</w:t>
      </w:r>
      <w:r w:rsidRPr="000A3539">
        <w:rPr>
          <w:lang w:val="en-CA"/>
        </w:rPr>
        <w:t xml:space="preserve"> T</w:t>
      </w:r>
      <w:r w:rsidR="00D76132" w:rsidRPr="000A3539">
        <w:rPr>
          <w:lang w:val="en-CA"/>
        </w:rPr>
        <w:t>r</w:t>
      </w:r>
      <w:r w:rsidRPr="000A3539">
        <w:rPr>
          <w:lang w:val="en-CA"/>
        </w:rPr>
        <w:t xml:space="preserve">ibunal in which </w:t>
      </w:r>
      <w:r w:rsidR="00AF5E8A" w:rsidRPr="000A3539">
        <w:rPr>
          <w:lang w:val="en-CA"/>
        </w:rPr>
        <w:t>A</w:t>
      </w:r>
      <w:r w:rsidRPr="000A3539">
        <w:rPr>
          <w:lang w:val="en-CA"/>
        </w:rPr>
        <w:t xml:space="preserve">dministrative </w:t>
      </w:r>
      <w:r w:rsidR="00AF5E8A" w:rsidRPr="000A3539">
        <w:rPr>
          <w:lang w:val="en-CA"/>
        </w:rPr>
        <w:t>J</w:t>
      </w:r>
      <w:r w:rsidR="00D76132" w:rsidRPr="000A3539">
        <w:rPr>
          <w:lang w:val="en-CA"/>
        </w:rPr>
        <w:t>udges Dominique Bélanger (</w:t>
      </w:r>
      <w:r w:rsidRPr="000A3539">
        <w:rPr>
          <w:lang w:val="en-CA"/>
        </w:rPr>
        <w:t xml:space="preserve">now of this </w:t>
      </w:r>
      <w:r w:rsidR="00D76132" w:rsidRPr="000A3539">
        <w:rPr>
          <w:lang w:val="en-CA"/>
        </w:rPr>
        <w:t>Cour</w:t>
      </w:r>
      <w:r w:rsidRPr="000A3539">
        <w:rPr>
          <w:lang w:val="en-CA"/>
        </w:rPr>
        <w:t>t</w:t>
      </w:r>
      <w:r w:rsidR="00D76132" w:rsidRPr="000A3539">
        <w:rPr>
          <w:lang w:val="en-CA"/>
        </w:rPr>
        <w:t xml:space="preserve">) </w:t>
      </w:r>
      <w:r w:rsidRPr="000A3539">
        <w:rPr>
          <w:lang w:val="en-CA"/>
        </w:rPr>
        <w:t xml:space="preserve">and </w:t>
      </w:r>
      <w:r w:rsidR="00D76132" w:rsidRPr="000A3539">
        <w:rPr>
          <w:lang w:val="en-CA"/>
        </w:rPr>
        <w:t xml:space="preserve">Pierre </w:t>
      </w:r>
      <w:proofErr w:type="spellStart"/>
      <w:r w:rsidR="00D76132" w:rsidRPr="000A3539">
        <w:rPr>
          <w:lang w:val="en-CA"/>
        </w:rPr>
        <w:t>Lanthier</w:t>
      </w:r>
      <w:proofErr w:type="spellEnd"/>
      <w:r w:rsidR="00D76132" w:rsidRPr="000A3539">
        <w:rPr>
          <w:lang w:val="en-CA"/>
        </w:rPr>
        <w:t xml:space="preserve"> </w:t>
      </w:r>
      <w:r w:rsidR="0000186A">
        <w:rPr>
          <w:lang w:val="en-CA"/>
        </w:rPr>
        <w:t>expound</w:t>
      </w:r>
      <w:r w:rsidR="00A82F88">
        <w:rPr>
          <w:lang w:val="en-CA"/>
        </w:rPr>
        <w:t>ed</w:t>
      </w:r>
      <w:r w:rsidR="0000186A">
        <w:rPr>
          <w:lang w:val="en-CA"/>
        </w:rPr>
        <w:t xml:space="preserve"> on</w:t>
      </w:r>
      <w:r w:rsidR="0000186A" w:rsidRPr="000A3539">
        <w:rPr>
          <w:lang w:val="en-CA"/>
        </w:rPr>
        <w:t xml:space="preserve"> </w:t>
      </w:r>
      <w:r w:rsidR="00AF5E8A" w:rsidRPr="000A3539">
        <w:rPr>
          <w:lang w:val="en-CA"/>
        </w:rPr>
        <w:t xml:space="preserve">students’ </w:t>
      </w:r>
      <w:r w:rsidR="00D76132" w:rsidRPr="000A3539">
        <w:rPr>
          <w:lang w:val="en-CA"/>
        </w:rPr>
        <w:t xml:space="preserve">situation </w:t>
      </w:r>
      <w:r w:rsidR="00AF5E8A" w:rsidRPr="000A3539">
        <w:rPr>
          <w:lang w:val="en-CA"/>
        </w:rPr>
        <w:t xml:space="preserve">of economic </w:t>
      </w:r>
      <w:r w:rsidR="00D76132" w:rsidRPr="000A3539">
        <w:rPr>
          <w:lang w:val="en-CA"/>
        </w:rPr>
        <w:t>vuln</w:t>
      </w:r>
      <w:r w:rsidR="00AF5E8A" w:rsidRPr="000A3539">
        <w:rPr>
          <w:lang w:val="en-CA"/>
        </w:rPr>
        <w:t>e</w:t>
      </w:r>
      <w:r w:rsidR="00D76132" w:rsidRPr="000A3539">
        <w:rPr>
          <w:lang w:val="en-CA"/>
        </w:rPr>
        <w:t>rabilit</w:t>
      </w:r>
      <w:r w:rsidR="00AF5E8A" w:rsidRPr="000A3539">
        <w:rPr>
          <w:lang w:val="en-CA"/>
        </w:rPr>
        <w:t xml:space="preserve">y and the idea in </w:t>
      </w:r>
      <w:r w:rsidR="00A82F88">
        <w:rPr>
          <w:lang w:val="en-CA"/>
        </w:rPr>
        <w:t>Quebec</w:t>
      </w:r>
      <w:r w:rsidR="00DD51F1">
        <w:rPr>
          <w:lang w:val="en-CA"/>
        </w:rPr>
        <w:t>’s</w:t>
      </w:r>
      <w:r w:rsidR="00A82F88">
        <w:rPr>
          <w:lang w:val="en-CA"/>
        </w:rPr>
        <w:t xml:space="preserve"> </w:t>
      </w:r>
      <w:r w:rsidR="00AF5E8A" w:rsidRPr="000A3539">
        <w:rPr>
          <w:lang w:val="en-CA"/>
        </w:rPr>
        <w:t>society that they are [</w:t>
      </w:r>
      <w:r w:rsidR="00257814" w:rsidRPr="000A3539">
        <w:rPr>
          <w:smallCaps/>
          <w:lang w:val="en-CA"/>
        </w:rPr>
        <w:t>translation</w:t>
      </w:r>
      <w:r w:rsidR="00257814" w:rsidRPr="000A3539">
        <w:rPr>
          <w:lang w:val="en-CA"/>
        </w:rPr>
        <w:t>] “cheap labour”,</w:t>
      </w:r>
      <w:r w:rsidR="00D76132" w:rsidRPr="000A3539">
        <w:rPr>
          <w:rStyle w:val="Appelnotedebasdep"/>
          <w:lang w:val="en-CA"/>
        </w:rPr>
        <w:footnoteReference w:id="75"/>
      </w:r>
      <w:r w:rsidR="00257814" w:rsidRPr="000A3539">
        <w:rPr>
          <w:lang w:val="en-CA"/>
        </w:rPr>
        <w:t xml:space="preserve"> despite the </w:t>
      </w:r>
      <w:r w:rsidR="00D76132" w:rsidRPr="000A3539">
        <w:rPr>
          <w:lang w:val="en-CA"/>
        </w:rPr>
        <w:t xml:space="preserve">absence </w:t>
      </w:r>
      <w:r w:rsidR="00257814" w:rsidRPr="000A3539">
        <w:rPr>
          <w:lang w:val="en-CA"/>
        </w:rPr>
        <w:t xml:space="preserve">of expert </w:t>
      </w:r>
      <w:r w:rsidR="00D76132" w:rsidRPr="000A3539">
        <w:rPr>
          <w:lang w:val="en-CA"/>
        </w:rPr>
        <w:t>evidence:</w:t>
      </w:r>
    </w:p>
    <w:p w14:paraId="35AD9E06" w14:textId="78B71B46" w:rsidR="00257814" w:rsidRPr="000A3539" w:rsidRDefault="00257814" w:rsidP="00352837">
      <w:pPr>
        <w:pStyle w:val="Citationenretrait"/>
        <w:rPr>
          <w:lang w:val="en-CA"/>
        </w:rPr>
      </w:pPr>
      <w:r w:rsidRPr="000A3539">
        <w:rPr>
          <w:lang w:val="en-CA"/>
        </w:rPr>
        <w:t>[</w:t>
      </w:r>
      <w:r w:rsidRPr="000A3539">
        <w:rPr>
          <w:smallCaps/>
          <w:lang w:val="en-CA"/>
        </w:rPr>
        <w:t>translation</w:t>
      </w:r>
      <w:r w:rsidRPr="000A3539">
        <w:rPr>
          <w:lang w:val="en-CA"/>
        </w:rPr>
        <w:t>]</w:t>
      </w:r>
    </w:p>
    <w:p w14:paraId="52D4D893" w14:textId="2301AAD2" w:rsidR="00352837" w:rsidRPr="000A3539" w:rsidRDefault="00D76132" w:rsidP="00352837">
      <w:pPr>
        <w:pStyle w:val="Citationenretrait"/>
        <w:rPr>
          <w:lang w:val="en-CA"/>
        </w:rPr>
      </w:pPr>
      <w:r w:rsidRPr="000A3539">
        <w:rPr>
          <w:lang w:val="en-CA"/>
        </w:rPr>
        <w:t>[331]  </w:t>
      </w:r>
      <w:r w:rsidR="00257814" w:rsidRPr="000A3539">
        <w:rPr>
          <w:rFonts w:cs="Arial"/>
          <w:color w:val="000000"/>
          <w:lang w:val="en-CA"/>
        </w:rPr>
        <w:t xml:space="preserve">Students are generally considered to be a lower class of workers, as appears from the comments of Administrative Judges Dominique Bélanger and Pierre </w:t>
      </w:r>
      <w:proofErr w:type="spellStart"/>
      <w:r w:rsidR="00257814" w:rsidRPr="000A3539">
        <w:rPr>
          <w:rFonts w:cs="Arial"/>
          <w:color w:val="000000"/>
          <w:lang w:val="en-CA"/>
        </w:rPr>
        <w:t>Lanthier</w:t>
      </w:r>
      <w:proofErr w:type="spellEnd"/>
      <w:r w:rsidR="00257814" w:rsidRPr="000A3539">
        <w:rPr>
          <w:rFonts w:cs="Arial"/>
          <w:color w:val="000000"/>
          <w:lang w:val="en-CA"/>
        </w:rPr>
        <w:t>:</w:t>
      </w:r>
    </w:p>
    <w:p w14:paraId="7145F11C" w14:textId="28AE1555" w:rsidR="00257814" w:rsidRPr="000A3539" w:rsidRDefault="00257814" w:rsidP="00352837">
      <w:pPr>
        <w:pStyle w:val="Citationenretrait"/>
        <w:ind w:left="1440" w:right="1440"/>
        <w:rPr>
          <w:sz w:val="20"/>
          <w:lang w:val="en-CA"/>
        </w:rPr>
      </w:pPr>
      <w:r w:rsidRPr="000A3539">
        <w:rPr>
          <w:sz w:val="20"/>
          <w:lang w:val="en-CA"/>
        </w:rPr>
        <w:lastRenderedPageBreak/>
        <w:t>[</w:t>
      </w:r>
      <w:r w:rsidRPr="000A3539">
        <w:rPr>
          <w:smallCaps/>
          <w:sz w:val="20"/>
          <w:lang w:val="en-CA"/>
        </w:rPr>
        <w:t>translation</w:t>
      </w:r>
      <w:r w:rsidRPr="000A3539">
        <w:rPr>
          <w:sz w:val="20"/>
          <w:lang w:val="en-CA"/>
        </w:rPr>
        <w:t>]</w:t>
      </w:r>
    </w:p>
    <w:p w14:paraId="4A856D9F" w14:textId="04B97A5C" w:rsidR="00352837" w:rsidRPr="000A3539" w:rsidRDefault="00D76132" w:rsidP="00352837">
      <w:pPr>
        <w:pStyle w:val="Citationenretrait"/>
        <w:ind w:left="1440" w:right="1440"/>
        <w:rPr>
          <w:sz w:val="20"/>
          <w:lang w:val="en-CA"/>
        </w:rPr>
      </w:pPr>
      <w:r w:rsidRPr="000A3539">
        <w:rPr>
          <w:sz w:val="20"/>
          <w:lang w:val="en-CA"/>
        </w:rPr>
        <w:t>[92]  [...]</w:t>
      </w:r>
      <w:r w:rsidR="00257814" w:rsidRPr="000A3539">
        <w:rPr>
          <w:sz w:val="20"/>
          <w:lang w:val="en-CA"/>
        </w:rPr>
        <w:t xml:space="preserve"> there is this idea in Québec’s society that student labour is cheap labour. Although Placement Québec seems to convey that student labour is qualified labour, the guideline seems to convey that student labour is cheap labour. The applicant submits that the government, on the pretext of providing students with summer employment, is taking advantage of the situation to obtain the workforce it needs at lesser cost.</w:t>
      </w:r>
    </w:p>
    <w:p w14:paraId="7BCB4E04" w14:textId="28BFD95F" w:rsidR="00352837" w:rsidRPr="000A3539" w:rsidRDefault="00D76132" w:rsidP="00352837">
      <w:pPr>
        <w:pStyle w:val="Citationenretrait"/>
        <w:ind w:left="1440" w:right="1440"/>
        <w:rPr>
          <w:sz w:val="20"/>
          <w:lang w:val="en-CA"/>
        </w:rPr>
      </w:pPr>
      <w:r w:rsidRPr="000A3539">
        <w:rPr>
          <w:sz w:val="20"/>
          <w:lang w:val="en-CA"/>
        </w:rPr>
        <w:t>[93]  </w:t>
      </w:r>
      <w:r w:rsidR="008866C4" w:rsidRPr="000A3539">
        <w:rPr>
          <w:sz w:val="20"/>
          <w:lang w:val="en-CA"/>
        </w:rPr>
        <w:t>The applicant submits that students’ precarious employment situation and their socio-economic vulnerability should not allow the government to pay them almost half the wages paid to casual employees to perform the same work.</w:t>
      </w:r>
    </w:p>
    <w:p w14:paraId="417CE6D0" w14:textId="32BE4912" w:rsidR="00352837" w:rsidRPr="000A3539" w:rsidRDefault="00D76132" w:rsidP="00352837">
      <w:pPr>
        <w:pStyle w:val="Citationenretrait"/>
        <w:ind w:left="1440" w:right="1440"/>
        <w:rPr>
          <w:sz w:val="20"/>
          <w:lang w:val="en-CA"/>
        </w:rPr>
      </w:pPr>
      <w:r w:rsidRPr="000A3539">
        <w:rPr>
          <w:sz w:val="20"/>
          <w:lang w:val="en-CA"/>
        </w:rPr>
        <w:t>[94]  </w:t>
      </w:r>
      <w:r w:rsidR="00023AA5" w:rsidRPr="000A3539">
        <w:rPr>
          <w:sz w:val="20"/>
          <w:lang w:val="en-CA"/>
        </w:rPr>
        <w:t>From this perspective, the question is whether an employer may pay workers belonging to a group in a vulnerable or economically precarious situation a lower salary in relation to another group of workers, to allow them to obtain employment, and if so, to what extent. The Tribunal considers this issue very serious.</w:t>
      </w:r>
    </w:p>
    <w:p w14:paraId="6FAFA109" w14:textId="06C55BDC" w:rsidR="00352837" w:rsidRPr="000A3539" w:rsidRDefault="00D76132" w:rsidP="00352837">
      <w:pPr>
        <w:pStyle w:val="Citationenretrait"/>
        <w:ind w:left="1440" w:right="1440"/>
        <w:rPr>
          <w:sz w:val="20"/>
          <w:lang w:val="en-CA"/>
        </w:rPr>
      </w:pPr>
      <w:r w:rsidRPr="000A3539">
        <w:rPr>
          <w:sz w:val="20"/>
          <w:lang w:val="en-CA"/>
        </w:rPr>
        <w:t xml:space="preserve">[95]  [...] </w:t>
      </w:r>
      <w:r w:rsidR="00023AA5" w:rsidRPr="000A3539">
        <w:rPr>
          <w:sz w:val="20"/>
          <w:lang w:val="en-CA"/>
        </w:rPr>
        <w:t>hiring students allows a genuine need for workers to be fulfilled.</w:t>
      </w:r>
      <w:r w:rsidRPr="000A3539">
        <w:rPr>
          <w:sz w:val="20"/>
          <w:lang w:val="en-CA"/>
        </w:rPr>
        <w:t xml:space="preserve"> [...]</w:t>
      </w:r>
    </w:p>
    <w:p w14:paraId="3FC1D08E" w14:textId="4AFACCD7" w:rsidR="00352837" w:rsidRPr="000A3539" w:rsidRDefault="00F20CDD" w:rsidP="00352837">
      <w:pPr>
        <w:pStyle w:val="Paragraphe"/>
        <w:rPr>
          <w:lang w:val="en-CA" w:eastAsia="en-US"/>
        </w:rPr>
      </w:pPr>
      <w:r w:rsidRPr="000A3539">
        <w:rPr>
          <w:lang w:val="en-CA"/>
        </w:rPr>
        <w:t xml:space="preserve">Returning to the </w:t>
      </w:r>
      <w:r w:rsidR="00D76132" w:rsidRPr="000A3539">
        <w:rPr>
          <w:lang w:val="en-CA"/>
        </w:rPr>
        <w:t xml:space="preserve">existence </w:t>
      </w:r>
      <w:r w:rsidRPr="000A3539">
        <w:rPr>
          <w:lang w:val="en-CA"/>
        </w:rPr>
        <w:t xml:space="preserve">of </w:t>
      </w:r>
      <w:r w:rsidR="00D76132" w:rsidRPr="000A3539">
        <w:rPr>
          <w:lang w:val="en-CA"/>
        </w:rPr>
        <w:t>st</w:t>
      </w:r>
      <w:r w:rsidRPr="000A3539">
        <w:rPr>
          <w:lang w:val="en-CA"/>
        </w:rPr>
        <w:t>e</w:t>
      </w:r>
      <w:r w:rsidR="00D76132" w:rsidRPr="000A3539">
        <w:rPr>
          <w:lang w:val="en-CA"/>
        </w:rPr>
        <w:t>r</w:t>
      </w:r>
      <w:r w:rsidRPr="000A3539">
        <w:rPr>
          <w:lang w:val="en-CA"/>
        </w:rPr>
        <w:t>e</w:t>
      </w:r>
      <w:r w:rsidR="00D76132" w:rsidRPr="000A3539">
        <w:rPr>
          <w:lang w:val="en-CA"/>
        </w:rPr>
        <w:t>otypes,</w:t>
      </w:r>
      <w:r w:rsidRPr="000A3539">
        <w:rPr>
          <w:lang w:val="en-CA"/>
        </w:rPr>
        <w:t xml:space="preserve"> in addition to rejecting the idea that they must be present in every </w:t>
      </w:r>
      <w:r w:rsidR="00D76132" w:rsidRPr="000A3539">
        <w:rPr>
          <w:lang w:val="en-CA"/>
        </w:rPr>
        <w:t xml:space="preserve">situation </w:t>
      </w:r>
      <w:r w:rsidRPr="000A3539">
        <w:rPr>
          <w:lang w:val="en-CA"/>
        </w:rPr>
        <w:t xml:space="preserve">of </w:t>
      </w:r>
      <w:r w:rsidR="00D76132" w:rsidRPr="000A3539">
        <w:rPr>
          <w:lang w:val="en-CA"/>
        </w:rPr>
        <w:t xml:space="preserve">discrimination, </w:t>
      </w:r>
      <w:r w:rsidRPr="000A3539">
        <w:rPr>
          <w:lang w:val="en-CA"/>
        </w:rPr>
        <w:t xml:space="preserve">it is not necessary to </w:t>
      </w:r>
      <w:r w:rsidR="00C53497">
        <w:rPr>
          <w:lang w:val="en-CA"/>
        </w:rPr>
        <w:t xml:space="preserve">resort </w:t>
      </w:r>
      <w:r w:rsidRPr="000A3539">
        <w:rPr>
          <w:lang w:val="en-CA"/>
        </w:rPr>
        <w:t xml:space="preserve">to an expert to </w:t>
      </w:r>
      <w:r w:rsidR="00C53497">
        <w:rPr>
          <w:lang w:val="en-CA"/>
        </w:rPr>
        <w:t>observe</w:t>
      </w:r>
      <w:r w:rsidR="00C53497" w:rsidRPr="000A3539">
        <w:rPr>
          <w:lang w:val="en-CA"/>
        </w:rPr>
        <w:t xml:space="preserve"> </w:t>
      </w:r>
      <w:r w:rsidRPr="000A3539">
        <w:rPr>
          <w:lang w:val="en-CA"/>
        </w:rPr>
        <w:t xml:space="preserve">them. Living in society is sufficient. To be convinced of this, one need only refer to the </w:t>
      </w:r>
      <w:r w:rsidR="00D76132" w:rsidRPr="000A3539">
        <w:rPr>
          <w:lang w:val="en-CA"/>
        </w:rPr>
        <w:t>case</w:t>
      </w:r>
      <w:r w:rsidRPr="000A3539">
        <w:rPr>
          <w:lang w:val="en-CA"/>
        </w:rPr>
        <w:t xml:space="preserve"> </w:t>
      </w:r>
      <w:r w:rsidR="00D76132" w:rsidRPr="000A3539">
        <w:rPr>
          <w:lang w:val="en-CA"/>
        </w:rPr>
        <w:t>law</w:t>
      </w:r>
      <w:r w:rsidRPr="000A3539">
        <w:rPr>
          <w:lang w:val="en-CA"/>
        </w:rPr>
        <w:t xml:space="preserve"> of the </w:t>
      </w:r>
      <w:r w:rsidR="00D76132" w:rsidRPr="000A3539">
        <w:rPr>
          <w:lang w:val="en-CA"/>
        </w:rPr>
        <w:t>Supreme</w:t>
      </w:r>
      <w:r w:rsidRPr="000A3539">
        <w:rPr>
          <w:lang w:val="en-CA"/>
        </w:rPr>
        <w:t xml:space="preserve"> </w:t>
      </w:r>
      <w:r w:rsidR="00D76132" w:rsidRPr="000A3539">
        <w:rPr>
          <w:lang w:val="en-CA"/>
        </w:rPr>
        <w:t>Court,</w:t>
      </w:r>
      <w:r w:rsidRPr="000A3539">
        <w:rPr>
          <w:lang w:val="en-CA"/>
        </w:rPr>
        <w:t xml:space="preserve"> in criminal matters for example</w:t>
      </w:r>
      <w:r w:rsidR="0068114C" w:rsidRPr="000A3539">
        <w:rPr>
          <w:lang w:val="en-CA"/>
        </w:rPr>
        <w:t xml:space="preserve">, which has not hesitated to </w:t>
      </w:r>
      <w:r w:rsidR="00D76132" w:rsidRPr="000A3539">
        <w:rPr>
          <w:lang w:val="en-CA"/>
        </w:rPr>
        <w:t xml:space="preserve">characterize certain </w:t>
      </w:r>
      <w:r w:rsidR="0068114C" w:rsidRPr="000A3539">
        <w:rPr>
          <w:lang w:val="en-CA"/>
        </w:rPr>
        <w:t xml:space="preserve">conduct or comments as </w:t>
      </w:r>
      <w:r w:rsidR="00D76132" w:rsidRPr="000A3539">
        <w:rPr>
          <w:lang w:val="en-CA"/>
        </w:rPr>
        <w:t>st</w:t>
      </w:r>
      <w:r w:rsidR="0068114C" w:rsidRPr="000A3539">
        <w:rPr>
          <w:lang w:val="en-CA"/>
        </w:rPr>
        <w:t>e</w:t>
      </w:r>
      <w:r w:rsidR="00D76132" w:rsidRPr="000A3539">
        <w:rPr>
          <w:lang w:val="en-CA"/>
        </w:rPr>
        <w:t>r</w:t>
      </w:r>
      <w:r w:rsidR="0068114C" w:rsidRPr="000A3539">
        <w:rPr>
          <w:lang w:val="en-CA"/>
        </w:rPr>
        <w:t>e</w:t>
      </w:r>
      <w:r w:rsidR="00D76132" w:rsidRPr="000A3539">
        <w:rPr>
          <w:lang w:val="en-CA"/>
        </w:rPr>
        <w:t xml:space="preserve">otypes, </w:t>
      </w:r>
      <w:r w:rsidR="0068114C" w:rsidRPr="000A3539">
        <w:rPr>
          <w:lang w:val="en-CA"/>
        </w:rPr>
        <w:t xml:space="preserve">without recourse to expert </w:t>
      </w:r>
      <w:r w:rsidR="00D76132" w:rsidRPr="000A3539">
        <w:rPr>
          <w:lang w:val="en-CA"/>
        </w:rPr>
        <w:t>evidence</w:t>
      </w:r>
      <w:r w:rsidR="0068114C" w:rsidRPr="000A3539">
        <w:rPr>
          <w:lang w:val="en-CA"/>
        </w:rPr>
        <w:t>.</w:t>
      </w:r>
      <w:r w:rsidR="00D76132" w:rsidRPr="000A3539">
        <w:rPr>
          <w:rStyle w:val="Appelnotedebasdep"/>
          <w:lang w:val="en-CA"/>
        </w:rPr>
        <w:footnoteReference w:id="76"/>
      </w:r>
      <w:r w:rsidR="00D76132" w:rsidRPr="000A3539">
        <w:rPr>
          <w:lang w:val="en-CA"/>
        </w:rPr>
        <w:t xml:space="preserve"> </w:t>
      </w:r>
      <w:r w:rsidR="0068114C" w:rsidRPr="000A3539">
        <w:rPr>
          <w:lang w:val="en-CA"/>
        </w:rPr>
        <w:t xml:space="preserve">Students are the </w:t>
      </w:r>
      <w:r w:rsidR="00D76132" w:rsidRPr="000A3539">
        <w:rPr>
          <w:lang w:val="en-CA"/>
        </w:rPr>
        <w:t>victims</w:t>
      </w:r>
      <w:r w:rsidR="0068114C" w:rsidRPr="000A3539">
        <w:rPr>
          <w:lang w:val="en-CA"/>
        </w:rPr>
        <w:t xml:space="preserve"> of </w:t>
      </w:r>
      <w:r w:rsidR="00D76132" w:rsidRPr="000A3539">
        <w:rPr>
          <w:lang w:val="en-CA"/>
        </w:rPr>
        <w:t xml:space="preserve">certain </w:t>
      </w:r>
      <w:r w:rsidR="00FC3354" w:rsidRPr="000A3539">
        <w:rPr>
          <w:lang w:val="en-CA"/>
        </w:rPr>
        <w:t>stereotypes</w:t>
      </w:r>
      <w:r w:rsidR="00163731">
        <w:rPr>
          <w:lang w:val="en-CA"/>
        </w:rPr>
        <w:t xml:space="preserve">: </w:t>
      </w:r>
      <w:r w:rsidR="0068114C" w:rsidRPr="000A3539">
        <w:rPr>
          <w:lang w:val="en-CA"/>
        </w:rPr>
        <w:t xml:space="preserve">they are young; they do not have many needs, which they can in any event meet with pocket money earned in their spare time, </w:t>
      </w:r>
      <w:r w:rsidR="00163731">
        <w:rPr>
          <w:lang w:val="en-CA"/>
        </w:rPr>
        <w:t xml:space="preserve">and </w:t>
      </w:r>
      <w:r w:rsidR="0068114C" w:rsidRPr="000A3539">
        <w:rPr>
          <w:lang w:val="en-CA"/>
        </w:rPr>
        <w:t xml:space="preserve">the rest </w:t>
      </w:r>
      <w:r w:rsidR="00163731">
        <w:rPr>
          <w:lang w:val="en-CA"/>
        </w:rPr>
        <w:t>is g</w:t>
      </w:r>
      <w:r w:rsidR="0068114C" w:rsidRPr="000A3539">
        <w:rPr>
          <w:lang w:val="en-CA"/>
        </w:rPr>
        <w:t xml:space="preserve">enerally provided by their </w:t>
      </w:r>
      <w:r w:rsidR="00D76132" w:rsidRPr="000A3539">
        <w:rPr>
          <w:lang w:val="en-CA"/>
        </w:rPr>
        <w:t xml:space="preserve">parents; </w:t>
      </w:r>
      <w:r w:rsidR="0068114C" w:rsidRPr="000A3539">
        <w:rPr>
          <w:lang w:val="en-CA"/>
        </w:rPr>
        <w:t>therefore</w:t>
      </w:r>
      <w:r w:rsidR="00163731">
        <w:rPr>
          <w:lang w:val="en-CA"/>
        </w:rPr>
        <w:t>, they</w:t>
      </w:r>
      <w:r w:rsidR="0068114C" w:rsidRPr="000A3539">
        <w:rPr>
          <w:lang w:val="en-CA"/>
        </w:rPr>
        <w:t xml:space="preserve"> do not need a significant income. In fact, </w:t>
      </w:r>
      <w:r w:rsidR="00C53497">
        <w:rPr>
          <w:lang w:val="en-CA"/>
        </w:rPr>
        <w:t>there is</w:t>
      </w:r>
      <w:r w:rsidR="0068114C" w:rsidRPr="000A3539">
        <w:rPr>
          <w:lang w:val="en-CA"/>
        </w:rPr>
        <w:t xml:space="preserve"> this very stereotypical idea of students, even if </w:t>
      </w:r>
      <w:r w:rsidR="00C53497">
        <w:rPr>
          <w:lang w:val="en-CA"/>
        </w:rPr>
        <w:t>they are</w:t>
      </w:r>
      <w:r w:rsidR="0068114C" w:rsidRPr="000A3539">
        <w:rPr>
          <w:lang w:val="en-CA"/>
        </w:rPr>
        <w:t xml:space="preserve"> not consider</w:t>
      </w:r>
      <w:r w:rsidR="00C53497">
        <w:rPr>
          <w:lang w:val="en-CA"/>
        </w:rPr>
        <w:t>ed</w:t>
      </w:r>
      <w:r w:rsidR="0068114C" w:rsidRPr="000A3539">
        <w:rPr>
          <w:lang w:val="en-CA"/>
        </w:rPr>
        <w:t xml:space="preserve"> morally or socially inferior, that (1) because they do not have family or other </w:t>
      </w:r>
      <w:r w:rsidR="00D76132" w:rsidRPr="000A3539">
        <w:rPr>
          <w:lang w:val="en-CA"/>
        </w:rPr>
        <w:t>respons</w:t>
      </w:r>
      <w:r w:rsidR="0068114C" w:rsidRPr="000A3539">
        <w:rPr>
          <w:lang w:val="en-CA"/>
        </w:rPr>
        <w:t>ibilities, it is not necessary to pay them</w:t>
      </w:r>
      <w:r w:rsidR="00010281" w:rsidRPr="000A3539">
        <w:rPr>
          <w:lang w:val="en-CA"/>
        </w:rPr>
        <w:t xml:space="preserve"> as much as “regular” employees</w:t>
      </w:r>
      <w:r w:rsidR="00D76132" w:rsidRPr="000A3539">
        <w:rPr>
          <w:lang w:val="en-CA"/>
        </w:rPr>
        <w:t xml:space="preserve">; </w:t>
      </w:r>
      <w:r w:rsidR="00010281" w:rsidRPr="000A3539">
        <w:rPr>
          <w:lang w:val="en-CA"/>
        </w:rPr>
        <w:t>(</w:t>
      </w:r>
      <w:r w:rsidR="00D76132" w:rsidRPr="000A3539">
        <w:rPr>
          <w:lang w:val="en-CA"/>
        </w:rPr>
        <w:t>2</w:t>
      </w:r>
      <w:r w:rsidR="00010281" w:rsidRPr="000A3539">
        <w:rPr>
          <w:lang w:val="en-CA"/>
        </w:rPr>
        <w:t xml:space="preserve">) they do not have the same characteristics </w:t>
      </w:r>
      <w:r w:rsidR="00D76132" w:rsidRPr="000A3539">
        <w:rPr>
          <w:lang w:val="en-CA"/>
        </w:rPr>
        <w:t>(</w:t>
      </w:r>
      <w:r w:rsidR="00010281" w:rsidRPr="000A3539">
        <w:rPr>
          <w:lang w:val="en-CA"/>
        </w:rPr>
        <w:t>skills, seniority</w:t>
      </w:r>
      <w:r w:rsidR="00D76132" w:rsidRPr="000A3539">
        <w:rPr>
          <w:lang w:val="en-CA"/>
        </w:rPr>
        <w:t xml:space="preserve">, etc.) </w:t>
      </w:r>
      <w:r w:rsidR="00010281" w:rsidRPr="000A3539">
        <w:rPr>
          <w:lang w:val="en-CA"/>
        </w:rPr>
        <w:t xml:space="preserve">to do the work as well as the “real” employees </w:t>
      </w:r>
      <w:r w:rsidR="00D76132" w:rsidRPr="000A3539">
        <w:rPr>
          <w:lang w:val="en-CA"/>
        </w:rPr>
        <w:t>(</w:t>
      </w:r>
      <w:r w:rsidR="00010281" w:rsidRPr="000A3539">
        <w:rPr>
          <w:lang w:val="en-CA"/>
        </w:rPr>
        <w:t xml:space="preserve">the </w:t>
      </w:r>
      <w:r w:rsidR="00D76132" w:rsidRPr="000A3539">
        <w:rPr>
          <w:lang w:val="en-CA"/>
        </w:rPr>
        <w:t>evidence</w:t>
      </w:r>
      <w:r w:rsidR="00010281" w:rsidRPr="000A3539">
        <w:rPr>
          <w:lang w:val="en-CA"/>
        </w:rPr>
        <w:t xml:space="preserve"> establishes very clearly that this is not the case </w:t>
      </w:r>
      <w:r w:rsidR="003C623C" w:rsidRPr="000A3539">
        <w:rPr>
          <w:lang w:val="en-CA"/>
        </w:rPr>
        <w:t>at ABI</w:t>
      </w:r>
      <w:r w:rsidR="00010281" w:rsidRPr="000A3539">
        <w:rPr>
          <w:lang w:val="en-CA"/>
        </w:rPr>
        <w:t xml:space="preserve">, for all the reasons explained by the </w:t>
      </w:r>
      <w:r w:rsidR="00D76132" w:rsidRPr="000A3539">
        <w:rPr>
          <w:lang w:val="en-CA"/>
        </w:rPr>
        <w:t xml:space="preserve">Tribunal); </w:t>
      </w:r>
      <w:r w:rsidR="00010281" w:rsidRPr="000A3539">
        <w:rPr>
          <w:lang w:val="en-CA"/>
        </w:rPr>
        <w:t>and (</w:t>
      </w:r>
      <w:r w:rsidR="00D76132" w:rsidRPr="000A3539">
        <w:rPr>
          <w:lang w:val="en-CA"/>
        </w:rPr>
        <w:t>3</w:t>
      </w:r>
      <w:r w:rsidR="00010281" w:rsidRPr="000A3539">
        <w:rPr>
          <w:lang w:val="en-CA"/>
        </w:rPr>
        <w:t>)</w:t>
      </w:r>
      <w:r w:rsidR="00D76132" w:rsidRPr="000A3539">
        <w:rPr>
          <w:lang w:val="en-CA"/>
        </w:rPr>
        <w:t> </w:t>
      </w:r>
      <w:r w:rsidR="00010281" w:rsidRPr="000A3539">
        <w:rPr>
          <w:lang w:val="en-CA"/>
        </w:rPr>
        <w:t xml:space="preserve">employers are doing them a favour by hiring them, because otherwise, given their </w:t>
      </w:r>
      <w:r w:rsidR="00010281" w:rsidRPr="000A3539">
        <w:rPr>
          <w:lang w:val="en-CA"/>
        </w:rPr>
        <w:lastRenderedPageBreak/>
        <w:t>limited availability</w:t>
      </w:r>
      <w:r w:rsidR="00D76132" w:rsidRPr="000A3539">
        <w:rPr>
          <w:lang w:val="en-CA"/>
        </w:rPr>
        <w:t xml:space="preserve"> (dur</w:t>
      </w:r>
      <w:r w:rsidR="00010281" w:rsidRPr="000A3539">
        <w:rPr>
          <w:lang w:val="en-CA"/>
        </w:rPr>
        <w:t>ing the summer and part-time during the rest</w:t>
      </w:r>
      <w:r w:rsidR="00E50DBC" w:rsidRPr="000A3539">
        <w:rPr>
          <w:lang w:val="en-CA"/>
        </w:rPr>
        <w:t xml:space="preserve"> of the year</w:t>
      </w:r>
      <w:r w:rsidR="00D76132" w:rsidRPr="000A3539">
        <w:rPr>
          <w:lang w:val="en-CA"/>
        </w:rPr>
        <w:t>),</w:t>
      </w:r>
      <w:r w:rsidR="00E50DBC" w:rsidRPr="000A3539">
        <w:rPr>
          <w:lang w:val="en-CA"/>
        </w:rPr>
        <w:t xml:space="preserve"> nobody would hire them</w:t>
      </w:r>
      <w:r w:rsidR="00C819CB">
        <w:rPr>
          <w:lang w:val="en-CA"/>
        </w:rPr>
        <w:t>,</w:t>
      </w:r>
      <w:r w:rsidR="00E50DBC" w:rsidRPr="000A3539">
        <w:rPr>
          <w:lang w:val="en-CA"/>
        </w:rPr>
        <w:t xml:space="preserve"> and lower wages are therefore better than no wages at all</w:t>
      </w:r>
      <w:r w:rsidR="00D76132" w:rsidRPr="000A3539">
        <w:rPr>
          <w:lang w:val="en-CA"/>
        </w:rPr>
        <w:t>.</w:t>
      </w:r>
    </w:p>
    <w:p w14:paraId="096A9BD9" w14:textId="33770974" w:rsidR="00352837" w:rsidRPr="000A3539" w:rsidRDefault="007B6AFB" w:rsidP="00352837">
      <w:pPr>
        <w:pStyle w:val="Paragraphe"/>
        <w:rPr>
          <w:lang w:val="en-CA"/>
        </w:rPr>
      </w:pPr>
      <w:r w:rsidRPr="000A3539">
        <w:rPr>
          <w:lang w:val="en-CA"/>
        </w:rPr>
        <w:t xml:space="preserve">Let us </w:t>
      </w:r>
      <w:r w:rsidR="00F65008">
        <w:rPr>
          <w:lang w:val="en-CA"/>
        </w:rPr>
        <w:t xml:space="preserve">now </w:t>
      </w:r>
      <w:r w:rsidRPr="000A3539">
        <w:rPr>
          <w:lang w:val="en-CA"/>
        </w:rPr>
        <w:t>return to the de</w:t>
      </w:r>
      <w:r w:rsidR="00D76132" w:rsidRPr="000A3539">
        <w:rPr>
          <w:lang w:val="en-CA"/>
        </w:rPr>
        <w:t xml:space="preserve">finition </w:t>
      </w:r>
      <w:r w:rsidRPr="000A3539">
        <w:rPr>
          <w:lang w:val="en-CA"/>
        </w:rPr>
        <w:t xml:space="preserve">of social </w:t>
      </w:r>
      <w:r w:rsidR="00D76132" w:rsidRPr="000A3539">
        <w:rPr>
          <w:lang w:val="en-CA"/>
        </w:rPr>
        <w:t>condition.</w:t>
      </w:r>
      <w:r w:rsidRPr="000A3539">
        <w:rPr>
          <w:lang w:val="en-CA"/>
        </w:rPr>
        <w:t xml:space="preserve"> The </w:t>
      </w:r>
      <w:r w:rsidR="00D76132" w:rsidRPr="000A3539">
        <w:rPr>
          <w:lang w:val="en-CA"/>
        </w:rPr>
        <w:t>case</w:t>
      </w:r>
      <w:r w:rsidRPr="000A3539">
        <w:rPr>
          <w:lang w:val="en-CA"/>
        </w:rPr>
        <w:t xml:space="preserve"> </w:t>
      </w:r>
      <w:r w:rsidR="00D76132" w:rsidRPr="000A3539">
        <w:rPr>
          <w:lang w:val="en-CA"/>
        </w:rPr>
        <w:t xml:space="preserve">law </w:t>
      </w:r>
      <w:r w:rsidRPr="000A3539">
        <w:rPr>
          <w:lang w:val="en-CA"/>
        </w:rPr>
        <w:t xml:space="preserve">of the </w:t>
      </w:r>
      <w:r w:rsidR="00D76132" w:rsidRPr="000A3539">
        <w:rPr>
          <w:lang w:val="en-CA"/>
        </w:rPr>
        <w:t>Court</w:t>
      </w:r>
      <w:bookmarkStart w:id="23" w:name="_Ref71622796"/>
      <w:r w:rsidR="00D76132" w:rsidRPr="000A3539">
        <w:rPr>
          <w:rStyle w:val="Appelnotedebasdep"/>
          <w:lang w:val="en-CA"/>
        </w:rPr>
        <w:footnoteReference w:id="77"/>
      </w:r>
      <w:bookmarkEnd w:id="23"/>
      <w:r w:rsidR="00D76132" w:rsidRPr="000A3539">
        <w:rPr>
          <w:lang w:val="en-CA"/>
        </w:rPr>
        <w:t xml:space="preserve"> </w:t>
      </w:r>
      <w:r w:rsidRPr="000A3539">
        <w:rPr>
          <w:lang w:val="en-CA"/>
        </w:rPr>
        <w:t xml:space="preserve">and of the Human Rights </w:t>
      </w:r>
      <w:r w:rsidR="00D76132" w:rsidRPr="000A3539">
        <w:rPr>
          <w:lang w:val="en-CA"/>
        </w:rPr>
        <w:t>Tribunal</w:t>
      </w:r>
      <w:bookmarkStart w:id="24" w:name="_Ref71622540"/>
      <w:r w:rsidR="00D76132" w:rsidRPr="000A3539">
        <w:rPr>
          <w:rStyle w:val="Appelnotedebasdep"/>
          <w:lang w:val="en-CA"/>
        </w:rPr>
        <w:footnoteReference w:id="78"/>
      </w:r>
      <w:bookmarkEnd w:id="24"/>
      <w:r w:rsidR="00D76132" w:rsidRPr="000A3539">
        <w:rPr>
          <w:lang w:val="en-CA"/>
        </w:rPr>
        <w:t xml:space="preserve"> </w:t>
      </w:r>
      <w:r w:rsidRPr="000A3539">
        <w:rPr>
          <w:lang w:val="en-CA"/>
        </w:rPr>
        <w:t>ha</w:t>
      </w:r>
      <w:r w:rsidR="00C819CB">
        <w:rPr>
          <w:lang w:val="en-CA"/>
        </w:rPr>
        <w:t>s on several occasions relied on</w:t>
      </w:r>
      <w:r w:rsidRPr="000A3539">
        <w:rPr>
          <w:lang w:val="en-CA"/>
        </w:rPr>
        <w:t xml:space="preserve"> the de</w:t>
      </w:r>
      <w:r w:rsidR="00D76132" w:rsidRPr="000A3539">
        <w:rPr>
          <w:lang w:val="en-CA"/>
        </w:rPr>
        <w:t xml:space="preserve">finition </w:t>
      </w:r>
      <w:r w:rsidRPr="000A3539">
        <w:rPr>
          <w:lang w:val="en-CA"/>
        </w:rPr>
        <w:t xml:space="preserve">of social </w:t>
      </w:r>
      <w:r w:rsidR="00D76132" w:rsidRPr="000A3539">
        <w:rPr>
          <w:lang w:val="en-CA"/>
        </w:rPr>
        <w:t>condition propos</w:t>
      </w:r>
      <w:r w:rsidRPr="000A3539">
        <w:rPr>
          <w:lang w:val="en-CA"/>
        </w:rPr>
        <w:t xml:space="preserve">ed by </w:t>
      </w:r>
      <w:proofErr w:type="spellStart"/>
      <w:r w:rsidR="00D76132" w:rsidRPr="000A3539">
        <w:rPr>
          <w:lang w:val="en-CA"/>
        </w:rPr>
        <w:t>Tôth</w:t>
      </w:r>
      <w:proofErr w:type="spellEnd"/>
      <w:r w:rsidRPr="000A3539">
        <w:rPr>
          <w:lang w:val="en-CA"/>
        </w:rPr>
        <w:t xml:space="preserve">, J. in a case that dates back to </w:t>
      </w:r>
      <w:r w:rsidR="00D76132" w:rsidRPr="000A3539">
        <w:rPr>
          <w:lang w:val="en-CA"/>
        </w:rPr>
        <w:t xml:space="preserve">1978. </w:t>
      </w:r>
      <w:r w:rsidRPr="000A3539">
        <w:rPr>
          <w:lang w:val="en-CA"/>
        </w:rPr>
        <w:t xml:space="preserve">No </w:t>
      </w:r>
      <w:r w:rsidR="00C819CB">
        <w:rPr>
          <w:lang w:val="en-CA"/>
        </w:rPr>
        <w:t>c</w:t>
      </w:r>
      <w:r w:rsidRPr="000A3539">
        <w:rPr>
          <w:lang w:val="en-CA"/>
        </w:rPr>
        <w:t xml:space="preserve">ourt or administrative </w:t>
      </w:r>
      <w:r w:rsidR="00D76132" w:rsidRPr="000A3539">
        <w:rPr>
          <w:lang w:val="en-CA"/>
        </w:rPr>
        <w:t>tribunal</w:t>
      </w:r>
      <w:r w:rsidR="00D71828" w:rsidRPr="000A3539">
        <w:rPr>
          <w:lang w:val="en-CA"/>
        </w:rPr>
        <w:t xml:space="preserve"> has since set aside this de</w:t>
      </w:r>
      <w:r w:rsidR="00D76132" w:rsidRPr="000A3539">
        <w:rPr>
          <w:lang w:val="en-CA"/>
        </w:rPr>
        <w:t>finition:</w:t>
      </w:r>
    </w:p>
    <w:p w14:paraId="32EB148A" w14:textId="61F9D904" w:rsidR="003D0741" w:rsidRPr="003D0741" w:rsidRDefault="003D0741" w:rsidP="00352837">
      <w:pPr>
        <w:pStyle w:val="Citationenretrait"/>
        <w:rPr>
          <w:lang w:val="en-CA"/>
        </w:rPr>
      </w:pPr>
      <w:r>
        <w:rPr>
          <w:lang w:val="en-CA"/>
        </w:rPr>
        <w:t>[</w:t>
      </w:r>
      <w:r>
        <w:rPr>
          <w:smallCaps/>
          <w:lang w:val="en-CA"/>
        </w:rPr>
        <w:t>translation</w:t>
      </w:r>
      <w:r>
        <w:rPr>
          <w:lang w:val="en-CA"/>
        </w:rPr>
        <w:t>]</w:t>
      </w:r>
    </w:p>
    <w:p w14:paraId="59E99984" w14:textId="1EFB1841" w:rsidR="00352837" w:rsidRPr="000A3539" w:rsidRDefault="00D35622" w:rsidP="00352837">
      <w:pPr>
        <w:pStyle w:val="Citationenretrait"/>
        <w:rPr>
          <w:lang w:val="en-CA"/>
        </w:rPr>
      </w:pPr>
      <w:r w:rsidRPr="000A3539">
        <w:rPr>
          <w:lang w:val="en-CA"/>
        </w:rPr>
        <w:t xml:space="preserve">The applicant’s learned </w:t>
      </w:r>
      <w:r w:rsidR="00D76132" w:rsidRPr="000A3539">
        <w:rPr>
          <w:lang w:val="en-CA"/>
        </w:rPr>
        <w:t>counsel</w:t>
      </w:r>
      <w:r w:rsidRPr="000A3539">
        <w:rPr>
          <w:lang w:val="en-CA"/>
        </w:rPr>
        <w:t xml:space="preserve"> submitted that in common parlance, “social </w:t>
      </w:r>
      <w:r w:rsidR="00D76132" w:rsidRPr="000A3539">
        <w:rPr>
          <w:lang w:val="en-CA"/>
        </w:rPr>
        <w:t>condition</w:t>
      </w:r>
      <w:r w:rsidRPr="000A3539">
        <w:rPr>
          <w:lang w:val="en-CA"/>
        </w:rPr>
        <w:t xml:space="preserve">” refers to the rank, </w:t>
      </w:r>
      <w:r w:rsidR="00D76132" w:rsidRPr="000A3539">
        <w:rPr>
          <w:lang w:val="en-CA"/>
        </w:rPr>
        <w:t xml:space="preserve">place, </w:t>
      </w:r>
      <w:r w:rsidRPr="000A3539">
        <w:rPr>
          <w:lang w:val="en-CA"/>
        </w:rPr>
        <w:t xml:space="preserve">or </w:t>
      </w:r>
      <w:r w:rsidR="00D76132" w:rsidRPr="000A3539">
        <w:rPr>
          <w:lang w:val="en-CA"/>
        </w:rPr>
        <w:t>position occup</w:t>
      </w:r>
      <w:r w:rsidR="000D4379" w:rsidRPr="000A3539">
        <w:rPr>
          <w:lang w:val="en-CA"/>
        </w:rPr>
        <w:t>i</w:t>
      </w:r>
      <w:r w:rsidR="00D76132" w:rsidRPr="000A3539">
        <w:rPr>
          <w:lang w:val="en-CA"/>
        </w:rPr>
        <w:t>e</w:t>
      </w:r>
      <w:r w:rsidR="000D4379" w:rsidRPr="000A3539">
        <w:rPr>
          <w:lang w:val="en-CA"/>
        </w:rPr>
        <w:t>d by an</w:t>
      </w:r>
      <w:r w:rsidR="00D76132" w:rsidRPr="000A3539">
        <w:rPr>
          <w:lang w:val="en-CA"/>
        </w:rPr>
        <w:t xml:space="preserve"> individu</w:t>
      </w:r>
      <w:r w:rsidR="000D4379" w:rsidRPr="000A3539">
        <w:rPr>
          <w:lang w:val="en-CA"/>
        </w:rPr>
        <w:t>al in society</w:t>
      </w:r>
      <w:r w:rsidR="003D0741">
        <w:rPr>
          <w:lang w:val="en-CA"/>
        </w:rPr>
        <w:t xml:space="preserve"> – </w:t>
      </w:r>
      <w:r w:rsidR="000D4379" w:rsidRPr="000A3539">
        <w:rPr>
          <w:lang w:val="en-CA"/>
        </w:rPr>
        <w:t>by birth, income, level of e</w:t>
      </w:r>
      <w:r w:rsidR="00D76132" w:rsidRPr="000A3539">
        <w:rPr>
          <w:lang w:val="en-CA"/>
        </w:rPr>
        <w:t xml:space="preserve">ducation, </w:t>
      </w:r>
      <w:r w:rsidR="000D4379" w:rsidRPr="000A3539">
        <w:rPr>
          <w:lang w:val="en-CA"/>
        </w:rPr>
        <w:t xml:space="preserve">or </w:t>
      </w:r>
      <w:r w:rsidR="00D76132" w:rsidRPr="000A3539">
        <w:rPr>
          <w:lang w:val="en-CA"/>
        </w:rPr>
        <w:t>occupation</w:t>
      </w:r>
      <w:r w:rsidR="003D0741">
        <w:rPr>
          <w:lang w:val="en-CA"/>
        </w:rPr>
        <w:t xml:space="preserve"> – </w:t>
      </w:r>
      <w:r w:rsidR="000D4379" w:rsidRPr="000A3539">
        <w:rPr>
          <w:lang w:val="en-CA"/>
        </w:rPr>
        <w:t xml:space="preserve">or to all the </w:t>
      </w:r>
      <w:r w:rsidR="00D76132" w:rsidRPr="000A3539">
        <w:rPr>
          <w:lang w:val="en-CA"/>
        </w:rPr>
        <w:t>circumstances</w:t>
      </w:r>
      <w:r w:rsidR="000D4379" w:rsidRPr="000A3539">
        <w:rPr>
          <w:lang w:val="en-CA"/>
        </w:rPr>
        <w:t xml:space="preserve"> and events that cause a person or group to occupy such a </w:t>
      </w:r>
      <w:r w:rsidR="00D76132" w:rsidRPr="000A3539">
        <w:rPr>
          <w:lang w:val="en-CA"/>
        </w:rPr>
        <w:t xml:space="preserve">situation </w:t>
      </w:r>
      <w:r w:rsidR="000D4379" w:rsidRPr="000A3539">
        <w:rPr>
          <w:lang w:val="en-CA"/>
        </w:rPr>
        <w:t xml:space="preserve">or </w:t>
      </w:r>
      <w:r w:rsidR="00D76132" w:rsidRPr="000A3539">
        <w:rPr>
          <w:lang w:val="en-CA"/>
        </w:rPr>
        <w:t xml:space="preserve">position </w:t>
      </w:r>
      <w:r w:rsidR="000D4379" w:rsidRPr="000A3539">
        <w:rPr>
          <w:lang w:val="en-CA"/>
        </w:rPr>
        <w:t xml:space="preserve">in society. </w:t>
      </w:r>
      <w:r w:rsidR="009F6B5E" w:rsidRPr="000A3539">
        <w:rPr>
          <w:lang w:val="en-CA"/>
        </w:rPr>
        <w:t>The Court agrees with this submission.</w:t>
      </w:r>
      <w:r w:rsidR="00D76132" w:rsidRPr="000A3539">
        <w:rPr>
          <w:rStyle w:val="Appelnotedebasdep"/>
          <w:lang w:val="en-CA"/>
        </w:rPr>
        <w:footnoteReference w:id="79"/>
      </w:r>
    </w:p>
    <w:p w14:paraId="71B333F1" w14:textId="338D5B50" w:rsidR="00352837" w:rsidRPr="000A3539" w:rsidRDefault="000D4379" w:rsidP="00352837">
      <w:pPr>
        <w:pStyle w:val="Paragraphe"/>
        <w:rPr>
          <w:rFonts w:ascii="Times New Roman" w:hAnsi="Times New Roman"/>
          <w:color w:val="000000"/>
          <w:sz w:val="27"/>
          <w:szCs w:val="27"/>
          <w:lang w:val="en-CA" w:eastAsia="fr-CA"/>
        </w:rPr>
      </w:pPr>
      <w:r w:rsidRPr="000A3539">
        <w:rPr>
          <w:lang w:val="en-CA"/>
        </w:rPr>
        <w:t xml:space="preserve">In </w:t>
      </w:r>
      <w:r w:rsidR="00D76132" w:rsidRPr="000A3539">
        <w:rPr>
          <w:i/>
          <w:lang w:val="en-CA"/>
        </w:rPr>
        <w:t>Commission</w:t>
      </w:r>
      <w:r w:rsidRPr="000A3539">
        <w:rPr>
          <w:i/>
          <w:lang w:val="en-CA"/>
        </w:rPr>
        <w:t xml:space="preserve"> </w:t>
      </w:r>
      <w:r w:rsidR="00D76132" w:rsidRPr="000A3539">
        <w:rPr>
          <w:i/>
          <w:lang w:val="en-CA"/>
        </w:rPr>
        <w:t>des</w:t>
      </w:r>
      <w:r w:rsidRPr="000A3539">
        <w:rPr>
          <w:i/>
          <w:lang w:val="en-CA"/>
        </w:rPr>
        <w:t xml:space="preserve"> </w:t>
      </w:r>
      <w:r w:rsidR="00D76132" w:rsidRPr="000A3539">
        <w:rPr>
          <w:i/>
          <w:lang w:val="en-CA"/>
        </w:rPr>
        <w:t>droits</w:t>
      </w:r>
      <w:r w:rsidRPr="000A3539">
        <w:rPr>
          <w:i/>
          <w:lang w:val="en-CA"/>
        </w:rPr>
        <w:t xml:space="preserve"> </w:t>
      </w:r>
      <w:r w:rsidR="00D76132" w:rsidRPr="000A3539">
        <w:rPr>
          <w:i/>
          <w:lang w:val="en-CA"/>
        </w:rPr>
        <w:t>de</w:t>
      </w:r>
      <w:r w:rsidRPr="000A3539">
        <w:rPr>
          <w:i/>
          <w:lang w:val="en-CA"/>
        </w:rPr>
        <w:t xml:space="preserve"> </w:t>
      </w:r>
      <w:r w:rsidR="00D76132" w:rsidRPr="000A3539">
        <w:rPr>
          <w:i/>
          <w:lang w:val="en-CA"/>
        </w:rPr>
        <w:t>la</w:t>
      </w:r>
      <w:r w:rsidRPr="000A3539">
        <w:rPr>
          <w:i/>
          <w:lang w:val="en-CA"/>
        </w:rPr>
        <w:t xml:space="preserve"> </w:t>
      </w:r>
      <w:r w:rsidR="00D76132" w:rsidRPr="000A3539">
        <w:rPr>
          <w:i/>
          <w:lang w:val="en-CA"/>
        </w:rPr>
        <w:t>personne c. Gauthier</w:t>
      </w:r>
      <w:r w:rsidR="003E0C08" w:rsidRPr="000A3539">
        <w:rPr>
          <w:lang w:val="en-CA"/>
        </w:rPr>
        <w:t>,</w:t>
      </w:r>
      <w:r w:rsidR="00D76132" w:rsidRPr="000A3539">
        <w:rPr>
          <w:rStyle w:val="Appelnotedebasdep"/>
          <w:lang w:val="en-CA"/>
        </w:rPr>
        <w:footnoteReference w:id="80"/>
      </w:r>
      <w:r w:rsidR="00D76132" w:rsidRPr="000A3539">
        <w:rPr>
          <w:i/>
          <w:lang w:val="en-CA"/>
        </w:rPr>
        <w:t xml:space="preserve"> </w:t>
      </w:r>
      <w:r w:rsidR="003E0C08" w:rsidRPr="000A3539">
        <w:rPr>
          <w:lang w:val="en-CA"/>
        </w:rPr>
        <w:t xml:space="preserve">the Human Rights </w:t>
      </w:r>
      <w:r w:rsidR="00D76132" w:rsidRPr="000A3539">
        <w:rPr>
          <w:lang w:val="en-CA"/>
        </w:rPr>
        <w:t>Tribunal</w:t>
      </w:r>
      <w:r w:rsidR="003E0C08" w:rsidRPr="000A3539">
        <w:rPr>
          <w:lang w:val="en-CA"/>
        </w:rPr>
        <w:t xml:space="preserve"> first </w:t>
      </w:r>
      <w:r w:rsidR="008E01C3">
        <w:rPr>
          <w:lang w:val="en-CA"/>
        </w:rPr>
        <w:t xml:space="preserve">noted </w:t>
      </w:r>
      <w:r w:rsidR="003E0C08" w:rsidRPr="000A3539">
        <w:rPr>
          <w:lang w:val="en-CA"/>
        </w:rPr>
        <w:t xml:space="preserve">that the Court of Appeal </w:t>
      </w:r>
      <w:r w:rsidR="00860EDD" w:rsidRPr="000A3539">
        <w:rPr>
          <w:lang w:val="en-CA"/>
        </w:rPr>
        <w:t>endorsed this de</w:t>
      </w:r>
      <w:r w:rsidR="00D76132" w:rsidRPr="000A3539">
        <w:rPr>
          <w:lang w:val="en-CA"/>
        </w:rPr>
        <w:t xml:space="preserve">finition </w:t>
      </w:r>
      <w:r w:rsidR="00860EDD" w:rsidRPr="000A3539">
        <w:rPr>
          <w:lang w:val="en-CA"/>
        </w:rPr>
        <w:t xml:space="preserve">and even added that social </w:t>
      </w:r>
      <w:r w:rsidR="00D76132" w:rsidRPr="000A3539">
        <w:rPr>
          <w:lang w:val="en-CA"/>
        </w:rPr>
        <w:t xml:space="preserve">condition </w:t>
      </w:r>
      <w:r w:rsidR="00860EDD" w:rsidRPr="000A3539">
        <w:rPr>
          <w:lang w:val="en-CA"/>
        </w:rPr>
        <w:t>may be a temporary state.</w:t>
      </w:r>
      <w:r w:rsidR="00D76132" w:rsidRPr="000A3539">
        <w:rPr>
          <w:rStyle w:val="Appelnotedebasdep"/>
          <w:lang w:val="en-CA"/>
        </w:rPr>
        <w:footnoteReference w:id="81"/>
      </w:r>
      <w:r w:rsidR="00860EDD" w:rsidRPr="000A3539">
        <w:rPr>
          <w:lang w:val="en-CA"/>
        </w:rPr>
        <w:t xml:space="preserve"> The </w:t>
      </w:r>
      <w:r w:rsidR="00D76132" w:rsidRPr="000A3539">
        <w:rPr>
          <w:lang w:val="en-CA"/>
        </w:rPr>
        <w:t>Tribunal</w:t>
      </w:r>
      <w:r w:rsidR="00860EDD" w:rsidRPr="000A3539">
        <w:rPr>
          <w:lang w:val="en-CA"/>
        </w:rPr>
        <w:t xml:space="preserve"> then explained that this de</w:t>
      </w:r>
      <w:r w:rsidR="00D76132" w:rsidRPr="000A3539">
        <w:rPr>
          <w:lang w:val="en-CA"/>
        </w:rPr>
        <w:t xml:space="preserve">finition </w:t>
      </w:r>
      <w:r w:rsidR="00860EDD" w:rsidRPr="000A3539">
        <w:rPr>
          <w:lang w:val="en-CA"/>
        </w:rPr>
        <w:t xml:space="preserve">of social </w:t>
      </w:r>
      <w:r w:rsidR="00D76132" w:rsidRPr="000A3539">
        <w:rPr>
          <w:lang w:val="en-CA"/>
        </w:rPr>
        <w:t xml:space="preserve">condition </w:t>
      </w:r>
      <w:r w:rsidR="00860EDD" w:rsidRPr="000A3539">
        <w:rPr>
          <w:lang w:val="en-CA"/>
        </w:rPr>
        <w:t xml:space="preserve">has two aspects </w:t>
      </w:r>
      <w:r w:rsidR="00D76132" w:rsidRPr="000A3539">
        <w:rPr>
          <w:lang w:val="en-CA"/>
        </w:rPr>
        <w:t xml:space="preserve">– objective </w:t>
      </w:r>
      <w:r w:rsidR="00860EDD" w:rsidRPr="000A3539">
        <w:rPr>
          <w:lang w:val="en-CA"/>
        </w:rPr>
        <w:t>and</w:t>
      </w:r>
      <w:r w:rsidR="00D76132" w:rsidRPr="000A3539">
        <w:rPr>
          <w:lang w:val="en-CA"/>
        </w:rPr>
        <w:t xml:space="preserve"> subjective – </w:t>
      </w:r>
      <w:r w:rsidR="00860EDD" w:rsidRPr="000A3539">
        <w:rPr>
          <w:lang w:val="en-CA"/>
        </w:rPr>
        <w:t>and that it is inappropriate to require complainant</w:t>
      </w:r>
      <w:r w:rsidR="008E01C3">
        <w:rPr>
          <w:lang w:val="en-CA"/>
        </w:rPr>
        <w:t>s</w:t>
      </w:r>
      <w:r w:rsidR="00860EDD" w:rsidRPr="000A3539">
        <w:rPr>
          <w:lang w:val="en-CA"/>
        </w:rPr>
        <w:t xml:space="preserve"> to demonstrate </w:t>
      </w:r>
      <w:r w:rsidR="008F6CC9">
        <w:rPr>
          <w:lang w:val="en-CA"/>
        </w:rPr>
        <w:t>both</w:t>
      </w:r>
      <w:r w:rsidR="008F6CC9" w:rsidRPr="000A3539">
        <w:rPr>
          <w:lang w:val="en-CA"/>
        </w:rPr>
        <w:t xml:space="preserve"> </w:t>
      </w:r>
      <w:r w:rsidR="00860EDD" w:rsidRPr="000A3539">
        <w:rPr>
          <w:lang w:val="en-CA"/>
        </w:rPr>
        <w:t xml:space="preserve">of them. It is </w:t>
      </w:r>
      <w:r w:rsidR="008F6CC9">
        <w:rPr>
          <w:lang w:val="en-CA"/>
        </w:rPr>
        <w:t>enough</w:t>
      </w:r>
      <w:r w:rsidR="008F6CC9" w:rsidRPr="000A3539">
        <w:rPr>
          <w:lang w:val="en-CA"/>
        </w:rPr>
        <w:t xml:space="preserve"> </w:t>
      </w:r>
      <w:r w:rsidR="00860EDD" w:rsidRPr="000A3539">
        <w:rPr>
          <w:lang w:val="en-CA"/>
        </w:rPr>
        <w:t>for complainant</w:t>
      </w:r>
      <w:r w:rsidR="008E01C3">
        <w:rPr>
          <w:lang w:val="en-CA"/>
        </w:rPr>
        <w:t>s</w:t>
      </w:r>
      <w:r w:rsidR="00860EDD" w:rsidRPr="000A3539">
        <w:rPr>
          <w:lang w:val="en-CA"/>
        </w:rPr>
        <w:t xml:space="preserve"> to establish that </w:t>
      </w:r>
      <w:r w:rsidR="008E01C3">
        <w:rPr>
          <w:lang w:val="en-CA"/>
        </w:rPr>
        <w:t xml:space="preserve">they are </w:t>
      </w:r>
      <w:r w:rsidR="00860EDD" w:rsidRPr="000A3539">
        <w:rPr>
          <w:lang w:val="en-CA"/>
        </w:rPr>
        <w:t xml:space="preserve">part of an identifiable social group and that </w:t>
      </w:r>
      <w:r w:rsidR="008E01C3">
        <w:rPr>
          <w:lang w:val="en-CA"/>
        </w:rPr>
        <w:t xml:space="preserve">they </w:t>
      </w:r>
      <w:r w:rsidR="0005544F" w:rsidRPr="000A3539">
        <w:rPr>
          <w:lang w:val="en-CA"/>
        </w:rPr>
        <w:t>suffer</w:t>
      </w:r>
      <w:r w:rsidR="00D76132" w:rsidRPr="000A3539">
        <w:rPr>
          <w:lang w:val="en-CA"/>
        </w:rPr>
        <w:t xml:space="preserve"> discrimination </w:t>
      </w:r>
      <w:r w:rsidR="0005544F" w:rsidRPr="000A3539">
        <w:rPr>
          <w:lang w:val="en-CA"/>
        </w:rPr>
        <w:t xml:space="preserve">as a result of belonging to this social </w:t>
      </w:r>
      <w:r w:rsidR="00D76132" w:rsidRPr="000A3539">
        <w:rPr>
          <w:lang w:val="en-CA"/>
        </w:rPr>
        <w:t>group:</w:t>
      </w:r>
    </w:p>
    <w:p w14:paraId="75D825B1" w14:textId="281D814A" w:rsidR="009F6B5E" w:rsidRPr="000A3539" w:rsidRDefault="009F6B5E" w:rsidP="00352837">
      <w:pPr>
        <w:pStyle w:val="Citationenretrait"/>
        <w:rPr>
          <w:lang w:val="en-CA" w:eastAsia="fr-CA"/>
        </w:rPr>
      </w:pPr>
      <w:r w:rsidRPr="000A3539">
        <w:rPr>
          <w:lang w:val="en-CA" w:eastAsia="fr-CA"/>
        </w:rPr>
        <w:t>[</w:t>
      </w:r>
      <w:r w:rsidRPr="000A3539">
        <w:rPr>
          <w:smallCaps/>
          <w:lang w:val="en-CA" w:eastAsia="fr-CA"/>
        </w:rPr>
        <w:t>translation</w:t>
      </w:r>
      <w:r w:rsidRPr="000A3539">
        <w:rPr>
          <w:lang w:val="en-CA" w:eastAsia="fr-CA"/>
        </w:rPr>
        <w:t>]</w:t>
      </w:r>
    </w:p>
    <w:p w14:paraId="02DCA056" w14:textId="5A2DEE3E" w:rsidR="00352837" w:rsidRPr="000A3539" w:rsidRDefault="009F6B5E" w:rsidP="00352837">
      <w:pPr>
        <w:pStyle w:val="Citationenretrait"/>
        <w:rPr>
          <w:lang w:val="en-CA" w:eastAsia="fr-CA"/>
        </w:rPr>
      </w:pPr>
      <w:r w:rsidRPr="000A3539">
        <w:rPr>
          <w:lang w:val="en-CA" w:eastAsia="fr-CA"/>
        </w:rPr>
        <w:t>In this context, it appears that social condition may be define</w:t>
      </w:r>
      <w:r w:rsidR="00CF58D0" w:rsidRPr="000A3539">
        <w:rPr>
          <w:lang w:val="en-CA" w:eastAsia="fr-CA"/>
        </w:rPr>
        <w:t>d</w:t>
      </w:r>
      <w:r w:rsidRPr="000A3539">
        <w:rPr>
          <w:lang w:val="en-CA" w:eastAsia="fr-CA"/>
        </w:rPr>
        <w:t xml:space="preserve"> as the situation that a person occupies within a community, in particular because of </w:t>
      </w:r>
      <w:r w:rsidR="00CE6FA8">
        <w:rPr>
          <w:lang w:val="en-CA" w:eastAsia="fr-CA"/>
        </w:rPr>
        <w:t xml:space="preserve">their </w:t>
      </w:r>
      <w:r w:rsidRPr="000A3539">
        <w:rPr>
          <w:lang w:val="en-CA" w:eastAsia="fr-CA"/>
        </w:rPr>
        <w:t>origin, level of education, occupation, and income, and by the perceptions and representations attached to these various objective data within that community.</w:t>
      </w:r>
    </w:p>
    <w:p w14:paraId="64FFB96A" w14:textId="224B0ECA" w:rsidR="00352837" w:rsidRPr="000A3539" w:rsidRDefault="005F0D86" w:rsidP="00352837">
      <w:pPr>
        <w:pStyle w:val="Citationenretrait"/>
        <w:rPr>
          <w:lang w:val="en-CA" w:eastAsia="fr-CA"/>
        </w:rPr>
      </w:pPr>
      <w:r w:rsidRPr="000A3539">
        <w:rPr>
          <w:lang w:val="en-CA" w:eastAsia="fr-CA"/>
        </w:rPr>
        <w:lastRenderedPageBreak/>
        <w:t xml:space="preserve">That being so, </w:t>
      </w:r>
      <w:r w:rsidR="00BE2BED">
        <w:rPr>
          <w:lang w:val="en-CA" w:eastAsia="fr-CA"/>
        </w:rPr>
        <w:t xml:space="preserve">one must nevertheless </w:t>
      </w:r>
      <w:r w:rsidRPr="000A3539">
        <w:rPr>
          <w:lang w:val="en-CA" w:eastAsia="fr-CA"/>
        </w:rPr>
        <w:t>acknowledge the variable role</w:t>
      </w:r>
      <w:r w:rsidR="00805191">
        <w:rPr>
          <w:lang w:val="en-CA" w:eastAsia="fr-CA"/>
        </w:rPr>
        <w:t>,</w:t>
      </w:r>
      <w:r w:rsidRPr="000A3539">
        <w:rPr>
          <w:lang w:val="en-CA" w:eastAsia="fr-CA"/>
        </w:rPr>
        <w:t xml:space="preserve"> and </w:t>
      </w:r>
      <w:r w:rsidR="00BE2BED">
        <w:rPr>
          <w:lang w:val="en-CA" w:eastAsia="fr-CA"/>
        </w:rPr>
        <w:t xml:space="preserve">even the varying </w:t>
      </w:r>
      <w:r w:rsidR="00230C22">
        <w:rPr>
          <w:lang w:val="en-CA" w:eastAsia="fr-CA"/>
        </w:rPr>
        <w:t>effect</w:t>
      </w:r>
      <w:r w:rsidR="00805191">
        <w:rPr>
          <w:lang w:val="en-CA" w:eastAsia="fr-CA"/>
        </w:rPr>
        <w:t>,</w:t>
      </w:r>
      <w:r w:rsidRPr="000A3539">
        <w:rPr>
          <w:lang w:val="en-CA" w:eastAsia="fr-CA"/>
        </w:rPr>
        <w:t xml:space="preserve"> that any </w:t>
      </w:r>
      <w:r w:rsidR="00BE2BED">
        <w:rPr>
          <w:lang w:val="en-CA" w:eastAsia="fr-CA"/>
        </w:rPr>
        <w:t xml:space="preserve">one </w:t>
      </w:r>
      <w:r w:rsidRPr="000A3539">
        <w:rPr>
          <w:lang w:val="en-CA" w:eastAsia="fr-CA"/>
        </w:rPr>
        <w:t>of these aspects may have</w:t>
      </w:r>
      <w:r w:rsidR="00D76132" w:rsidRPr="000A3539">
        <w:rPr>
          <w:lang w:val="en-CA" w:eastAsia="fr-CA"/>
        </w:rPr>
        <w:t xml:space="preserve"> </w:t>
      </w:r>
      <w:r w:rsidR="000401FE" w:rsidRPr="000A3539">
        <w:rPr>
          <w:lang w:val="en-CA" w:eastAsia="fr-CA"/>
        </w:rPr>
        <w:t>in each case. Moreover, this list is not</w:t>
      </w:r>
      <w:r w:rsidR="00D76132" w:rsidRPr="000A3539">
        <w:rPr>
          <w:lang w:val="en-CA" w:eastAsia="fr-CA"/>
        </w:rPr>
        <w:t xml:space="preserve"> exhaustive.</w:t>
      </w:r>
      <w:r w:rsidR="000401FE" w:rsidRPr="000A3539">
        <w:rPr>
          <w:lang w:val="en-CA" w:eastAsia="fr-CA"/>
        </w:rPr>
        <w:t xml:space="preserve"> </w:t>
      </w:r>
      <w:r w:rsidR="00BE2BED">
        <w:rPr>
          <w:lang w:val="en-CA" w:eastAsia="fr-CA"/>
        </w:rPr>
        <w:t>For example</w:t>
      </w:r>
      <w:r w:rsidR="000401FE" w:rsidRPr="000A3539">
        <w:rPr>
          <w:lang w:val="en-CA" w:eastAsia="fr-CA"/>
        </w:rPr>
        <w:t xml:space="preserve">, we </w:t>
      </w:r>
      <w:r w:rsidR="00BE2BED">
        <w:rPr>
          <w:lang w:val="en-CA" w:eastAsia="fr-CA"/>
        </w:rPr>
        <w:t xml:space="preserve">can </w:t>
      </w:r>
      <w:r w:rsidR="000401FE" w:rsidRPr="000A3539">
        <w:rPr>
          <w:lang w:val="en-CA" w:eastAsia="fr-CA"/>
        </w:rPr>
        <w:t xml:space="preserve">readily admit that the </w:t>
      </w:r>
      <w:r w:rsidR="00D76132" w:rsidRPr="000A3539">
        <w:rPr>
          <w:lang w:val="en-CA" w:eastAsia="fr-CA"/>
        </w:rPr>
        <w:t>circumstances</w:t>
      </w:r>
      <w:r w:rsidR="000401FE" w:rsidRPr="000A3539">
        <w:rPr>
          <w:lang w:val="en-CA" w:eastAsia="fr-CA"/>
        </w:rPr>
        <w:t xml:space="preserve"> surrounding the birth of a </w:t>
      </w:r>
      <w:r w:rsidR="00D76132" w:rsidRPr="000A3539">
        <w:rPr>
          <w:lang w:val="en-CA" w:eastAsia="fr-CA"/>
        </w:rPr>
        <w:t xml:space="preserve">person </w:t>
      </w:r>
      <w:r w:rsidR="000401FE" w:rsidRPr="000A3539">
        <w:rPr>
          <w:lang w:val="en-CA" w:eastAsia="fr-CA"/>
        </w:rPr>
        <w:t xml:space="preserve">who has reached </w:t>
      </w:r>
      <w:r w:rsidR="00D76132" w:rsidRPr="000A3539">
        <w:rPr>
          <w:lang w:val="en-CA" w:eastAsia="fr-CA"/>
        </w:rPr>
        <w:t>adult</w:t>
      </w:r>
      <w:r w:rsidR="000401FE" w:rsidRPr="000A3539">
        <w:rPr>
          <w:lang w:val="en-CA" w:eastAsia="fr-CA"/>
        </w:rPr>
        <w:t xml:space="preserve">hood often have less of an impact on </w:t>
      </w:r>
      <w:r w:rsidR="00BE2BED">
        <w:rPr>
          <w:lang w:val="en-CA" w:eastAsia="fr-CA"/>
        </w:rPr>
        <w:t xml:space="preserve">their </w:t>
      </w:r>
      <w:r w:rsidR="00D76132" w:rsidRPr="000A3539">
        <w:rPr>
          <w:lang w:val="en-CA" w:eastAsia="fr-CA"/>
        </w:rPr>
        <w:t xml:space="preserve">situation </w:t>
      </w:r>
      <w:r w:rsidR="000401FE" w:rsidRPr="000A3539">
        <w:rPr>
          <w:lang w:val="en-CA" w:eastAsia="fr-CA"/>
        </w:rPr>
        <w:t>in society than the person</w:t>
      </w:r>
      <w:r w:rsidR="00D858E4" w:rsidRPr="000A3539">
        <w:rPr>
          <w:lang w:val="en-CA" w:eastAsia="fr-CA"/>
        </w:rPr>
        <w:t xml:space="preserve">’s </w:t>
      </w:r>
      <w:r w:rsidR="00D76132" w:rsidRPr="000A3539">
        <w:rPr>
          <w:lang w:val="en-CA" w:eastAsia="fr-CA"/>
        </w:rPr>
        <w:t xml:space="preserve">occupation </w:t>
      </w:r>
      <w:r w:rsidR="00805191">
        <w:rPr>
          <w:lang w:val="en-CA" w:eastAsia="fr-CA"/>
        </w:rPr>
        <w:t xml:space="preserve">level </w:t>
      </w:r>
      <w:r w:rsidR="00D858E4" w:rsidRPr="000A3539">
        <w:rPr>
          <w:lang w:val="en-CA" w:eastAsia="fr-CA"/>
        </w:rPr>
        <w:t>in relation to the job market</w:t>
      </w:r>
      <w:r w:rsidR="00D76132" w:rsidRPr="000A3539">
        <w:rPr>
          <w:lang w:val="en-CA" w:eastAsia="fr-CA"/>
        </w:rPr>
        <w:t>.</w:t>
      </w:r>
    </w:p>
    <w:p w14:paraId="4178FDDD" w14:textId="01EC1DAF" w:rsidR="00352837" w:rsidRPr="000A3539" w:rsidRDefault="006F7EA6" w:rsidP="00352837">
      <w:pPr>
        <w:pStyle w:val="Citationenretrait"/>
        <w:rPr>
          <w:lang w:val="en-CA" w:eastAsia="fr-CA"/>
        </w:rPr>
      </w:pPr>
      <w:r w:rsidRPr="0013251F">
        <w:rPr>
          <w:u w:val="single"/>
          <w:lang w:val="en-CA" w:eastAsia="fr-CA"/>
        </w:rPr>
        <w:t xml:space="preserve">Similarly, to establish </w:t>
      </w:r>
      <w:r w:rsidR="00D76132" w:rsidRPr="0013251F">
        <w:rPr>
          <w:u w:val="single"/>
          <w:lang w:val="en-CA" w:eastAsia="fr-CA"/>
        </w:rPr>
        <w:t>evidence</w:t>
      </w:r>
      <w:r w:rsidRPr="0013251F">
        <w:rPr>
          <w:u w:val="single"/>
          <w:lang w:val="en-CA" w:eastAsia="fr-CA"/>
        </w:rPr>
        <w:t xml:space="preserve"> of </w:t>
      </w:r>
      <w:r w:rsidR="00D76132" w:rsidRPr="0013251F">
        <w:rPr>
          <w:u w:val="single"/>
          <w:lang w:val="en-CA" w:eastAsia="fr-CA"/>
        </w:rPr>
        <w:t xml:space="preserve">discrimination </w:t>
      </w:r>
      <w:r w:rsidRPr="0013251F">
        <w:rPr>
          <w:u w:val="single"/>
          <w:lang w:val="en-CA" w:eastAsia="fr-CA"/>
        </w:rPr>
        <w:t xml:space="preserve">based on social </w:t>
      </w:r>
      <w:r w:rsidR="00D76132" w:rsidRPr="0013251F">
        <w:rPr>
          <w:u w:val="single"/>
          <w:lang w:val="en-CA" w:eastAsia="fr-CA"/>
        </w:rPr>
        <w:t>condition,</w:t>
      </w:r>
      <w:r w:rsidRPr="0013251F">
        <w:rPr>
          <w:u w:val="single"/>
          <w:lang w:val="en-CA" w:eastAsia="fr-CA"/>
        </w:rPr>
        <w:t xml:space="preserve"> it would be </w:t>
      </w:r>
      <w:r w:rsidR="00D76132" w:rsidRPr="0013251F">
        <w:rPr>
          <w:u w:val="single"/>
          <w:lang w:val="en-CA" w:eastAsia="fr-CA"/>
        </w:rPr>
        <w:t>inappropri</w:t>
      </w:r>
      <w:r w:rsidRPr="0013251F">
        <w:rPr>
          <w:u w:val="single"/>
          <w:lang w:val="en-CA" w:eastAsia="fr-CA"/>
        </w:rPr>
        <w:t xml:space="preserve">ate to require a </w:t>
      </w:r>
      <w:r w:rsidR="00D76132" w:rsidRPr="0013251F">
        <w:rPr>
          <w:u w:val="single"/>
          <w:lang w:val="en-CA" w:eastAsia="fr-CA"/>
        </w:rPr>
        <w:t>complainant</w:t>
      </w:r>
      <w:r w:rsidRPr="0013251F">
        <w:rPr>
          <w:u w:val="single"/>
          <w:lang w:val="en-CA" w:eastAsia="fr-CA"/>
        </w:rPr>
        <w:t xml:space="preserve"> to establish that each element of the illustrative de</w:t>
      </w:r>
      <w:r w:rsidR="00D76132" w:rsidRPr="0013251F">
        <w:rPr>
          <w:u w:val="single"/>
          <w:lang w:val="en-CA" w:eastAsia="fr-CA"/>
        </w:rPr>
        <w:t>finition</w:t>
      </w:r>
      <w:r w:rsidR="00D76132" w:rsidRPr="000A3539">
        <w:rPr>
          <w:u w:val="single"/>
          <w:lang w:val="en-CA" w:eastAsia="fr-CA"/>
        </w:rPr>
        <w:t xml:space="preserve"> </w:t>
      </w:r>
      <w:r w:rsidRPr="000A3539">
        <w:rPr>
          <w:u w:val="single"/>
          <w:lang w:val="en-CA" w:eastAsia="fr-CA"/>
        </w:rPr>
        <w:t xml:space="preserve">set out above </w:t>
      </w:r>
      <w:r w:rsidR="00CE4C3E">
        <w:rPr>
          <w:u w:val="single"/>
          <w:lang w:val="en-CA" w:eastAsia="fr-CA"/>
        </w:rPr>
        <w:t>acts</w:t>
      </w:r>
      <w:r w:rsidR="00CE4C3E" w:rsidRPr="000A3539">
        <w:rPr>
          <w:u w:val="single"/>
          <w:lang w:val="en-CA" w:eastAsia="fr-CA"/>
        </w:rPr>
        <w:t xml:space="preserve"> </w:t>
      </w:r>
      <w:r w:rsidRPr="000A3539">
        <w:rPr>
          <w:u w:val="single"/>
          <w:lang w:val="en-CA" w:eastAsia="fr-CA"/>
        </w:rPr>
        <w:t xml:space="preserve">to cause </w:t>
      </w:r>
      <w:r w:rsidR="00781D5A">
        <w:rPr>
          <w:u w:val="single"/>
          <w:lang w:val="en-CA" w:eastAsia="fr-CA"/>
        </w:rPr>
        <w:t xml:space="preserve">them </w:t>
      </w:r>
      <w:r w:rsidRPr="000A3539">
        <w:rPr>
          <w:u w:val="single"/>
          <w:lang w:val="en-CA" w:eastAsia="fr-CA"/>
        </w:rPr>
        <w:t>pre</w:t>
      </w:r>
      <w:r w:rsidR="00D76132" w:rsidRPr="000A3539">
        <w:rPr>
          <w:u w:val="single"/>
          <w:lang w:val="en-CA" w:eastAsia="fr-CA"/>
        </w:rPr>
        <w:t>judice</w:t>
      </w:r>
      <w:r w:rsidR="00D76132" w:rsidRPr="000A3539">
        <w:rPr>
          <w:lang w:val="en-CA" w:eastAsia="fr-CA"/>
        </w:rPr>
        <w:t xml:space="preserve">. </w:t>
      </w:r>
      <w:r w:rsidRPr="000A3539">
        <w:rPr>
          <w:u w:val="single"/>
          <w:lang w:val="en-CA" w:eastAsia="fr-CA"/>
        </w:rPr>
        <w:t>While that requirement need not be met, it is nevertheless necessary for the element(</w:t>
      </w:r>
      <w:r w:rsidR="00D76132" w:rsidRPr="000A3539">
        <w:rPr>
          <w:u w:val="single"/>
          <w:lang w:val="en-CA" w:eastAsia="fr-CA"/>
        </w:rPr>
        <w:t>s)</w:t>
      </w:r>
      <w:r w:rsidRPr="000A3539">
        <w:rPr>
          <w:u w:val="single"/>
          <w:lang w:val="en-CA" w:eastAsia="fr-CA"/>
        </w:rPr>
        <w:t xml:space="preserve"> invoked in support of the alleg</w:t>
      </w:r>
      <w:r w:rsidR="00D76132" w:rsidRPr="000A3539">
        <w:rPr>
          <w:u w:val="single"/>
          <w:lang w:val="en-CA" w:eastAsia="fr-CA"/>
        </w:rPr>
        <w:t xml:space="preserve">ation </w:t>
      </w:r>
      <w:r w:rsidRPr="000A3539">
        <w:rPr>
          <w:u w:val="single"/>
          <w:lang w:val="en-CA" w:eastAsia="fr-CA"/>
        </w:rPr>
        <w:t xml:space="preserve">of </w:t>
      </w:r>
      <w:r w:rsidR="00D76132" w:rsidRPr="000A3539">
        <w:rPr>
          <w:u w:val="single"/>
          <w:lang w:val="en-CA" w:eastAsia="fr-CA"/>
        </w:rPr>
        <w:t xml:space="preserve">discrimination </w:t>
      </w:r>
      <w:r w:rsidRPr="000A3539">
        <w:rPr>
          <w:u w:val="single"/>
          <w:lang w:val="en-CA" w:eastAsia="fr-CA"/>
        </w:rPr>
        <w:t xml:space="preserve">based on social </w:t>
      </w:r>
      <w:r w:rsidR="00D76132" w:rsidRPr="000A3539">
        <w:rPr>
          <w:u w:val="single"/>
          <w:lang w:val="en-CA" w:eastAsia="fr-CA"/>
        </w:rPr>
        <w:t xml:space="preserve">condition </w:t>
      </w:r>
      <w:r w:rsidR="00F815A5" w:rsidRPr="000A3539">
        <w:rPr>
          <w:u w:val="single"/>
          <w:lang w:val="en-CA" w:eastAsia="fr-CA"/>
        </w:rPr>
        <w:t xml:space="preserve">to </w:t>
      </w:r>
      <w:r w:rsidR="00781D5A">
        <w:rPr>
          <w:u w:val="single"/>
          <w:lang w:val="en-CA" w:eastAsia="fr-CA"/>
        </w:rPr>
        <w:t>s</w:t>
      </w:r>
      <w:r w:rsidR="00BA20FB">
        <w:rPr>
          <w:u w:val="single"/>
          <w:lang w:val="en-CA" w:eastAsia="fr-CA"/>
        </w:rPr>
        <w:t xml:space="preserve">ubstantiate </w:t>
      </w:r>
      <w:r w:rsidR="00F815A5" w:rsidRPr="000A3539">
        <w:rPr>
          <w:u w:val="single"/>
          <w:lang w:val="en-CA" w:eastAsia="fr-CA"/>
        </w:rPr>
        <w:t>the complainant’s inclusion in a</w:t>
      </w:r>
      <w:r w:rsidR="00BA20FB">
        <w:rPr>
          <w:u w:val="single"/>
          <w:lang w:val="en-CA" w:eastAsia="fr-CA"/>
        </w:rPr>
        <w:t xml:space="preserve"> group that is </w:t>
      </w:r>
      <w:r w:rsidR="00F815A5" w:rsidRPr="000A3539">
        <w:rPr>
          <w:u w:val="single"/>
          <w:lang w:val="en-CA" w:eastAsia="fr-CA"/>
        </w:rPr>
        <w:t xml:space="preserve">socially </w:t>
      </w:r>
      <w:r w:rsidR="00D76132" w:rsidRPr="000A3539">
        <w:rPr>
          <w:u w:val="single"/>
          <w:lang w:val="en-CA" w:eastAsia="fr-CA"/>
        </w:rPr>
        <w:t xml:space="preserve">identifiable </w:t>
      </w:r>
      <w:r w:rsidR="00F815A5" w:rsidRPr="000A3539">
        <w:rPr>
          <w:i/>
          <w:u w:val="single"/>
          <w:lang w:val="en-CA" w:eastAsia="fr-CA"/>
        </w:rPr>
        <w:t xml:space="preserve">per se </w:t>
      </w:r>
      <w:r w:rsidR="00F815A5" w:rsidRPr="000A3539">
        <w:rPr>
          <w:u w:val="single"/>
          <w:lang w:val="en-CA" w:eastAsia="fr-CA"/>
        </w:rPr>
        <w:t>and that</w:t>
      </w:r>
      <w:r w:rsidR="00BA20FB">
        <w:rPr>
          <w:u w:val="single"/>
          <w:lang w:val="en-CA" w:eastAsia="fr-CA"/>
        </w:rPr>
        <w:t>,</w:t>
      </w:r>
      <w:r w:rsidR="00F815A5" w:rsidRPr="000A3539">
        <w:rPr>
          <w:u w:val="single"/>
          <w:lang w:val="en-CA" w:eastAsia="fr-CA"/>
        </w:rPr>
        <w:t xml:space="preserve"> as a result, is affected by the </w:t>
      </w:r>
      <w:r w:rsidR="00FC3354" w:rsidRPr="000A3539">
        <w:rPr>
          <w:u w:val="single"/>
          <w:lang w:val="en-CA" w:eastAsia="fr-CA"/>
        </w:rPr>
        <w:t>impugned</w:t>
      </w:r>
      <w:r w:rsidR="00F815A5" w:rsidRPr="000A3539">
        <w:rPr>
          <w:u w:val="single"/>
          <w:lang w:val="en-CA" w:eastAsia="fr-CA"/>
        </w:rPr>
        <w:t xml:space="preserve"> </w:t>
      </w:r>
      <w:r w:rsidR="00D76132" w:rsidRPr="0013251F">
        <w:rPr>
          <w:u w:val="single"/>
          <w:lang w:val="en-CA" w:eastAsia="fr-CA"/>
        </w:rPr>
        <w:t>differential</w:t>
      </w:r>
      <w:r w:rsidR="00F815A5" w:rsidRPr="0013251F">
        <w:rPr>
          <w:u w:val="single"/>
          <w:lang w:val="en-CA" w:eastAsia="fr-CA"/>
        </w:rPr>
        <w:t xml:space="preserve"> </w:t>
      </w:r>
      <w:r w:rsidR="00D76132" w:rsidRPr="0013251F">
        <w:rPr>
          <w:u w:val="single"/>
          <w:lang w:val="en-CA" w:eastAsia="fr-CA"/>
        </w:rPr>
        <w:t>treatment</w:t>
      </w:r>
      <w:r w:rsidR="00D76132" w:rsidRPr="000A3539">
        <w:rPr>
          <w:lang w:val="en-CA" w:eastAsia="fr-CA"/>
        </w:rPr>
        <w:t xml:space="preserve">. </w:t>
      </w:r>
      <w:r w:rsidR="006D1A01" w:rsidRPr="000A3539">
        <w:rPr>
          <w:lang w:val="en-CA" w:eastAsia="fr-CA"/>
        </w:rPr>
        <w:t>Like the other prohibited criter</w:t>
      </w:r>
      <w:r w:rsidR="00F46920" w:rsidRPr="000A3539">
        <w:rPr>
          <w:lang w:val="en-CA" w:eastAsia="fr-CA"/>
        </w:rPr>
        <w:t>i</w:t>
      </w:r>
      <w:r w:rsidR="006D1A01" w:rsidRPr="000A3539">
        <w:rPr>
          <w:lang w:val="en-CA" w:eastAsia="fr-CA"/>
        </w:rPr>
        <w:t xml:space="preserve">a, but even more so because of its intrinsic nature, social </w:t>
      </w:r>
      <w:r w:rsidR="00D76132" w:rsidRPr="000A3539">
        <w:rPr>
          <w:lang w:val="en-CA" w:eastAsia="fr-CA"/>
        </w:rPr>
        <w:t xml:space="preserve">condition </w:t>
      </w:r>
      <w:r w:rsidR="006D1A01" w:rsidRPr="000A3539">
        <w:rPr>
          <w:lang w:val="en-CA" w:eastAsia="fr-CA"/>
        </w:rPr>
        <w:t>is indeed relative in nature i</w:t>
      </w:r>
      <w:r w:rsidR="00F46920" w:rsidRPr="000A3539">
        <w:rPr>
          <w:lang w:val="en-CA" w:eastAsia="fr-CA"/>
        </w:rPr>
        <w:t>n</w:t>
      </w:r>
      <w:r w:rsidR="006D1A01" w:rsidRPr="000A3539">
        <w:rPr>
          <w:lang w:val="en-CA" w:eastAsia="fr-CA"/>
        </w:rPr>
        <w:t xml:space="preserve"> that it</w:t>
      </w:r>
      <w:r w:rsidR="00F46920" w:rsidRPr="000A3539">
        <w:rPr>
          <w:lang w:val="en-CA" w:eastAsia="fr-CA"/>
        </w:rPr>
        <w:t xml:space="preserve"> [</w:t>
      </w:r>
      <w:r w:rsidR="00F46920" w:rsidRPr="000A3539">
        <w:rPr>
          <w:smallCaps/>
          <w:lang w:val="en-CA" w:eastAsia="fr-CA"/>
        </w:rPr>
        <w:t>translation</w:t>
      </w:r>
      <w:r w:rsidR="00F46920" w:rsidRPr="000A3539">
        <w:rPr>
          <w:lang w:val="en-CA" w:eastAsia="fr-CA"/>
        </w:rPr>
        <w:t>] “</w:t>
      </w:r>
      <w:r w:rsidR="00D76132" w:rsidRPr="000A3539">
        <w:rPr>
          <w:lang w:val="en-CA" w:eastAsia="fr-CA"/>
        </w:rPr>
        <w:t>constitu</w:t>
      </w:r>
      <w:r w:rsidR="00F46920" w:rsidRPr="000A3539">
        <w:rPr>
          <w:lang w:val="en-CA" w:eastAsia="fr-CA"/>
        </w:rPr>
        <w:t>t</w:t>
      </w:r>
      <w:r w:rsidR="00D76132" w:rsidRPr="000A3539">
        <w:rPr>
          <w:lang w:val="en-CA" w:eastAsia="fr-CA"/>
        </w:rPr>
        <w:t>e</w:t>
      </w:r>
      <w:r w:rsidR="00F46920" w:rsidRPr="000A3539">
        <w:rPr>
          <w:lang w:val="en-CA" w:eastAsia="fr-CA"/>
        </w:rPr>
        <w:t>s</w:t>
      </w:r>
      <w:r w:rsidR="00D76132" w:rsidRPr="000A3539">
        <w:rPr>
          <w:lang w:val="en-CA" w:eastAsia="fr-CA"/>
        </w:rPr>
        <w:t>, concern</w:t>
      </w:r>
      <w:r w:rsidR="00F46920" w:rsidRPr="000A3539">
        <w:rPr>
          <w:lang w:val="en-CA" w:eastAsia="fr-CA"/>
        </w:rPr>
        <w:t xml:space="preserve">s, or </w:t>
      </w:r>
      <w:r w:rsidR="00CE4C3E">
        <w:rPr>
          <w:lang w:val="en-CA" w:eastAsia="fr-CA"/>
        </w:rPr>
        <w:t>involves</w:t>
      </w:r>
      <w:r w:rsidR="00CE4C3E" w:rsidRPr="000A3539">
        <w:rPr>
          <w:lang w:val="en-CA" w:eastAsia="fr-CA"/>
        </w:rPr>
        <w:t xml:space="preserve"> </w:t>
      </w:r>
      <w:r w:rsidR="00F46920" w:rsidRPr="000A3539">
        <w:rPr>
          <w:lang w:val="en-CA" w:eastAsia="fr-CA"/>
        </w:rPr>
        <w:t xml:space="preserve">a </w:t>
      </w:r>
      <w:r w:rsidR="00D76132" w:rsidRPr="000A3539">
        <w:rPr>
          <w:lang w:val="en-CA" w:eastAsia="fr-CA"/>
        </w:rPr>
        <w:t>relation</w:t>
      </w:r>
      <w:r w:rsidR="00F46920" w:rsidRPr="000A3539">
        <w:rPr>
          <w:lang w:val="en-CA" w:eastAsia="fr-CA"/>
        </w:rPr>
        <w:t xml:space="preserve">ship”. That </w:t>
      </w:r>
      <w:r w:rsidR="00D76132" w:rsidRPr="000A3539">
        <w:rPr>
          <w:lang w:val="en-CA" w:eastAsia="fr-CA"/>
        </w:rPr>
        <w:t>relation</w:t>
      </w:r>
      <w:r w:rsidR="00F46920" w:rsidRPr="000A3539">
        <w:rPr>
          <w:lang w:val="en-CA" w:eastAsia="fr-CA"/>
        </w:rPr>
        <w:t xml:space="preserve">ship may be established with other members of the </w:t>
      </w:r>
      <w:r w:rsidR="00D76132" w:rsidRPr="000A3539">
        <w:rPr>
          <w:lang w:val="en-CA" w:eastAsia="fr-CA"/>
        </w:rPr>
        <w:t>commun</w:t>
      </w:r>
      <w:r w:rsidR="00F46920" w:rsidRPr="000A3539">
        <w:rPr>
          <w:lang w:val="en-CA" w:eastAsia="fr-CA"/>
        </w:rPr>
        <w:t>ity who share common characteristics and with the other members of the community as a whole</w:t>
      </w:r>
      <w:r w:rsidR="00D76132" w:rsidRPr="000A3539">
        <w:rPr>
          <w:lang w:val="en-CA" w:eastAsia="fr-CA"/>
        </w:rPr>
        <w:t>.</w:t>
      </w:r>
    </w:p>
    <w:p w14:paraId="59AFD668" w14:textId="5A3B6916" w:rsidR="00352837" w:rsidRPr="000A3539" w:rsidRDefault="00CF58D0" w:rsidP="00352837">
      <w:pPr>
        <w:pStyle w:val="Citationenretrait"/>
        <w:jc w:val="right"/>
        <w:rPr>
          <w:lang w:val="en-CA" w:eastAsia="fr-CA"/>
        </w:rPr>
      </w:pPr>
      <w:r w:rsidRPr="000A3539">
        <w:rPr>
          <w:lang w:val="en-CA" w:eastAsia="fr-CA"/>
        </w:rPr>
        <w:t>[Underlining added; citation omitted]</w:t>
      </w:r>
      <w:r w:rsidR="00D76132" w:rsidRPr="000A3539">
        <w:rPr>
          <w:lang w:val="en-CA" w:eastAsia="fr-CA"/>
        </w:rPr>
        <w:t xml:space="preserve"> </w:t>
      </w:r>
    </w:p>
    <w:p w14:paraId="49C14CCA" w14:textId="63C95DFF" w:rsidR="00352837" w:rsidRPr="000A3539" w:rsidRDefault="0033362C" w:rsidP="00352837">
      <w:pPr>
        <w:pStyle w:val="Paragraphe"/>
        <w:rPr>
          <w:lang w:val="en-CA"/>
        </w:rPr>
      </w:pPr>
      <w:r w:rsidRPr="000A3539">
        <w:rPr>
          <w:lang w:val="en-CA"/>
        </w:rPr>
        <w:t>Applying the de</w:t>
      </w:r>
      <w:r w:rsidR="00D76132" w:rsidRPr="000A3539">
        <w:rPr>
          <w:lang w:val="en-CA"/>
        </w:rPr>
        <w:t xml:space="preserve">finition </w:t>
      </w:r>
      <w:r w:rsidRPr="000A3539">
        <w:rPr>
          <w:lang w:val="en-CA"/>
        </w:rPr>
        <w:t xml:space="preserve">set out above, it </w:t>
      </w:r>
      <w:r w:rsidR="0013251F">
        <w:rPr>
          <w:lang w:val="en-CA"/>
        </w:rPr>
        <w:t>is apparent</w:t>
      </w:r>
      <w:r w:rsidRPr="000A3539">
        <w:rPr>
          <w:lang w:val="en-CA"/>
        </w:rPr>
        <w:t xml:space="preserve"> that students, people receiving social assistance, refugees, </w:t>
      </w:r>
      <w:r w:rsidR="00D76132" w:rsidRPr="000A3539">
        <w:rPr>
          <w:lang w:val="en-CA"/>
        </w:rPr>
        <w:t xml:space="preserve">etc. </w:t>
      </w:r>
      <w:r w:rsidRPr="000A3539">
        <w:rPr>
          <w:lang w:val="en-CA"/>
        </w:rPr>
        <w:t xml:space="preserve">are identifiable social </w:t>
      </w:r>
      <w:r w:rsidR="00D76132" w:rsidRPr="000A3539">
        <w:rPr>
          <w:lang w:val="en-CA"/>
        </w:rPr>
        <w:t>groups</w:t>
      </w:r>
      <w:r w:rsidRPr="000A3539">
        <w:rPr>
          <w:lang w:val="en-CA"/>
        </w:rPr>
        <w:t xml:space="preserve"> in the </w:t>
      </w:r>
      <w:r w:rsidR="00D76132" w:rsidRPr="000A3539">
        <w:rPr>
          <w:lang w:val="en-CA"/>
        </w:rPr>
        <w:t>commun</w:t>
      </w:r>
      <w:r w:rsidRPr="000A3539">
        <w:rPr>
          <w:lang w:val="en-CA"/>
        </w:rPr>
        <w:t>ity</w:t>
      </w:r>
      <w:r w:rsidR="00D76132" w:rsidRPr="000A3539">
        <w:rPr>
          <w:lang w:val="en-CA"/>
        </w:rPr>
        <w:t xml:space="preserve">. </w:t>
      </w:r>
      <w:r w:rsidR="00835289">
        <w:rPr>
          <w:lang w:val="en-CA"/>
        </w:rPr>
        <w:t>W</w:t>
      </w:r>
      <w:r w:rsidR="00572CF3" w:rsidRPr="000A3539">
        <w:rPr>
          <w:lang w:val="en-CA"/>
        </w:rPr>
        <w:t>ith respect to students</w:t>
      </w:r>
      <w:r w:rsidR="00835289">
        <w:rPr>
          <w:lang w:val="en-CA"/>
        </w:rPr>
        <w:t xml:space="preserve"> in particular</w:t>
      </w:r>
      <w:r w:rsidR="00572CF3" w:rsidRPr="000A3539">
        <w:rPr>
          <w:lang w:val="en-CA"/>
        </w:rPr>
        <w:t xml:space="preserve">, </w:t>
      </w:r>
      <w:r w:rsidR="00E94936">
        <w:rPr>
          <w:lang w:val="en-CA"/>
        </w:rPr>
        <w:t>as noted above</w:t>
      </w:r>
      <w:r w:rsidR="00835289">
        <w:rPr>
          <w:lang w:val="en-CA"/>
        </w:rPr>
        <w:t>,</w:t>
      </w:r>
      <w:r w:rsidR="00E94936">
        <w:rPr>
          <w:lang w:val="en-CA"/>
        </w:rPr>
        <w:t xml:space="preserve"> </w:t>
      </w:r>
      <w:r w:rsidR="00572CF3" w:rsidRPr="000A3539">
        <w:rPr>
          <w:lang w:val="en-CA"/>
        </w:rPr>
        <w:t>e</w:t>
      </w:r>
      <w:r w:rsidR="00D76132" w:rsidRPr="000A3539">
        <w:rPr>
          <w:lang w:val="en-CA"/>
        </w:rPr>
        <w:t>ducation</w:t>
      </w:r>
      <w:r w:rsidR="00DA021E">
        <w:rPr>
          <w:lang w:val="en-CA"/>
        </w:rPr>
        <w:t xml:space="preserve"> level</w:t>
      </w:r>
      <w:r w:rsidR="00D76132" w:rsidRPr="000A3539">
        <w:rPr>
          <w:lang w:val="en-CA"/>
        </w:rPr>
        <w:t xml:space="preserve"> </w:t>
      </w:r>
      <w:r w:rsidR="00572CF3" w:rsidRPr="000A3539">
        <w:rPr>
          <w:lang w:val="en-CA"/>
        </w:rPr>
        <w:t xml:space="preserve">is </w:t>
      </w:r>
      <w:r w:rsidR="00886244">
        <w:rPr>
          <w:lang w:val="en-CA"/>
        </w:rPr>
        <w:t>one of the</w:t>
      </w:r>
      <w:r w:rsidR="00886244" w:rsidRPr="000A3539">
        <w:rPr>
          <w:lang w:val="en-CA"/>
        </w:rPr>
        <w:t xml:space="preserve"> </w:t>
      </w:r>
      <w:r w:rsidR="00572CF3" w:rsidRPr="000A3539">
        <w:rPr>
          <w:lang w:val="en-CA"/>
        </w:rPr>
        <w:t>parameter</w:t>
      </w:r>
      <w:r w:rsidR="00886244">
        <w:rPr>
          <w:lang w:val="en-CA"/>
        </w:rPr>
        <w:t>s</w:t>
      </w:r>
      <w:r w:rsidR="00572CF3" w:rsidRPr="000A3539">
        <w:rPr>
          <w:lang w:val="en-CA"/>
        </w:rPr>
        <w:t xml:space="preserve"> of social </w:t>
      </w:r>
      <w:r w:rsidR="00D76132" w:rsidRPr="000A3539">
        <w:rPr>
          <w:lang w:val="en-CA"/>
        </w:rPr>
        <w:t xml:space="preserve">condition, </w:t>
      </w:r>
      <w:r w:rsidR="00572CF3" w:rsidRPr="000A3539">
        <w:rPr>
          <w:lang w:val="en-CA"/>
        </w:rPr>
        <w:t>as set out in the de</w:t>
      </w:r>
      <w:r w:rsidR="00D76132" w:rsidRPr="000A3539">
        <w:rPr>
          <w:lang w:val="en-CA"/>
        </w:rPr>
        <w:t>finition propos</w:t>
      </w:r>
      <w:r w:rsidR="00572CF3" w:rsidRPr="000A3539">
        <w:rPr>
          <w:lang w:val="en-CA"/>
        </w:rPr>
        <w:t xml:space="preserve">ed by </w:t>
      </w:r>
      <w:proofErr w:type="spellStart"/>
      <w:r w:rsidR="00D76132" w:rsidRPr="000A3539">
        <w:rPr>
          <w:lang w:val="en-CA"/>
        </w:rPr>
        <w:t>Tôth</w:t>
      </w:r>
      <w:proofErr w:type="spellEnd"/>
      <w:r w:rsidR="00572CF3" w:rsidRPr="000A3539">
        <w:rPr>
          <w:lang w:val="en-CA"/>
        </w:rPr>
        <w:t xml:space="preserve">, J. over </w:t>
      </w:r>
      <w:r w:rsidR="00D76132" w:rsidRPr="000A3539">
        <w:rPr>
          <w:lang w:val="en-CA"/>
        </w:rPr>
        <w:t xml:space="preserve">40 </w:t>
      </w:r>
      <w:r w:rsidR="00572CF3" w:rsidRPr="000A3539">
        <w:rPr>
          <w:lang w:val="en-CA"/>
        </w:rPr>
        <w:t>years ago and applied</w:t>
      </w:r>
      <w:r w:rsidR="00886244">
        <w:rPr>
          <w:lang w:val="en-CA"/>
        </w:rPr>
        <w:t xml:space="preserve"> ever</w:t>
      </w:r>
      <w:r w:rsidR="00572CF3" w:rsidRPr="000A3539">
        <w:rPr>
          <w:lang w:val="en-CA"/>
        </w:rPr>
        <w:t xml:space="preserve"> since </w:t>
      </w:r>
      <w:r w:rsidR="00887841" w:rsidRPr="000A3539">
        <w:rPr>
          <w:lang w:val="en-CA"/>
        </w:rPr>
        <w:t>in</w:t>
      </w:r>
      <w:r w:rsidR="00572CF3" w:rsidRPr="000A3539">
        <w:rPr>
          <w:lang w:val="en-CA"/>
        </w:rPr>
        <w:t xml:space="preserve"> Quebec </w:t>
      </w:r>
      <w:r w:rsidR="00D76132" w:rsidRPr="000A3539">
        <w:rPr>
          <w:lang w:val="en-CA"/>
        </w:rPr>
        <w:t>case</w:t>
      </w:r>
      <w:r w:rsidR="00572CF3" w:rsidRPr="000A3539">
        <w:rPr>
          <w:lang w:val="en-CA"/>
        </w:rPr>
        <w:t xml:space="preserve"> </w:t>
      </w:r>
      <w:r w:rsidR="00D76132" w:rsidRPr="000A3539">
        <w:rPr>
          <w:lang w:val="en-CA"/>
        </w:rPr>
        <w:t xml:space="preserve">law. </w:t>
      </w:r>
      <w:r w:rsidR="00572CF3" w:rsidRPr="000A3539">
        <w:rPr>
          <w:lang w:val="en-CA"/>
        </w:rPr>
        <w:t>Yet, students employed by the appellant were</w:t>
      </w:r>
      <w:r w:rsidR="00145DE4" w:rsidRPr="000A3539">
        <w:rPr>
          <w:lang w:val="en-CA"/>
        </w:rPr>
        <w:t xml:space="preserve"> deprived of the </w:t>
      </w:r>
      <w:r w:rsidR="00D76132" w:rsidRPr="000A3539">
        <w:rPr>
          <w:lang w:val="en-CA"/>
        </w:rPr>
        <w:t>fundamental</w:t>
      </w:r>
      <w:r w:rsidR="00145DE4" w:rsidRPr="000A3539">
        <w:rPr>
          <w:lang w:val="en-CA"/>
        </w:rPr>
        <w:t xml:space="preserve"> </w:t>
      </w:r>
      <w:r w:rsidR="00D76132" w:rsidRPr="000A3539">
        <w:rPr>
          <w:lang w:val="en-CA"/>
        </w:rPr>
        <w:t>right</w:t>
      </w:r>
      <w:r w:rsidR="00145DE4" w:rsidRPr="000A3539">
        <w:rPr>
          <w:lang w:val="en-CA"/>
        </w:rPr>
        <w:t xml:space="preserve"> to receive the same wages as the other employees for the same work, due solely to the fact that they belong to th</w:t>
      </w:r>
      <w:r w:rsidR="008C009A">
        <w:rPr>
          <w:lang w:val="en-CA"/>
        </w:rPr>
        <w:t>is</w:t>
      </w:r>
      <w:r w:rsidR="00145DE4" w:rsidRPr="000A3539">
        <w:rPr>
          <w:lang w:val="en-CA"/>
        </w:rPr>
        <w:t xml:space="preserve"> identifiable social group</w:t>
      </w:r>
      <w:r w:rsidR="008C009A">
        <w:rPr>
          <w:lang w:val="en-CA"/>
        </w:rPr>
        <w:t xml:space="preserve"> –</w:t>
      </w:r>
      <w:r w:rsidR="00145DE4" w:rsidRPr="000A3539">
        <w:rPr>
          <w:lang w:val="en-CA"/>
        </w:rPr>
        <w:t xml:space="preserve"> students</w:t>
      </w:r>
      <w:r w:rsidR="00D76132" w:rsidRPr="000A3539">
        <w:rPr>
          <w:lang w:val="en-CA"/>
        </w:rPr>
        <w:t>.</w:t>
      </w:r>
    </w:p>
    <w:p w14:paraId="17ABC8A3" w14:textId="7B3E5BE8" w:rsidR="00352837" w:rsidRPr="000A3539" w:rsidRDefault="00902E88" w:rsidP="00352837">
      <w:pPr>
        <w:pStyle w:val="Paragraphe"/>
        <w:rPr>
          <w:lang w:val="en-CA"/>
        </w:rPr>
      </w:pPr>
      <w:r w:rsidRPr="000A3539">
        <w:rPr>
          <w:lang w:val="en-CA"/>
        </w:rPr>
        <w:t xml:space="preserve">In </w:t>
      </w:r>
      <w:proofErr w:type="spellStart"/>
      <w:r w:rsidR="00D76132" w:rsidRPr="000A3539">
        <w:rPr>
          <w:i/>
          <w:lang w:val="en-CA"/>
        </w:rPr>
        <w:t>Ordre</w:t>
      </w:r>
      <w:proofErr w:type="spellEnd"/>
      <w:r w:rsidR="00D76132" w:rsidRPr="000A3539">
        <w:rPr>
          <w:i/>
          <w:lang w:val="en-CA"/>
        </w:rPr>
        <w:t xml:space="preserve"> des </w:t>
      </w:r>
      <w:proofErr w:type="spellStart"/>
      <w:r w:rsidR="00D76132" w:rsidRPr="000A3539">
        <w:rPr>
          <w:i/>
          <w:lang w:val="en-CA"/>
        </w:rPr>
        <w:t>comptables</w:t>
      </w:r>
      <w:proofErr w:type="spellEnd"/>
      <w:r w:rsidR="00D76132" w:rsidRPr="000A3539">
        <w:rPr>
          <w:i/>
          <w:lang w:val="en-CA"/>
        </w:rPr>
        <w:t xml:space="preserve"> </w:t>
      </w:r>
      <w:proofErr w:type="spellStart"/>
      <w:r w:rsidR="00D76132" w:rsidRPr="000A3539">
        <w:rPr>
          <w:i/>
          <w:lang w:val="en-CA"/>
        </w:rPr>
        <w:t>agréés</w:t>
      </w:r>
      <w:proofErr w:type="spellEnd"/>
      <w:r w:rsidR="00D76132" w:rsidRPr="000A3539">
        <w:rPr>
          <w:i/>
          <w:lang w:val="en-CA"/>
        </w:rPr>
        <w:t xml:space="preserve"> du Québec c. Québec (</w:t>
      </w:r>
      <w:proofErr w:type="spellStart"/>
      <w:r w:rsidR="00D76132" w:rsidRPr="000A3539">
        <w:rPr>
          <w:i/>
          <w:lang w:val="en-CA"/>
        </w:rPr>
        <w:t>Procureur</w:t>
      </w:r>
      <w:proofErr w:type="spellEnd"/>
      <w:r w:rsidRPr="000A3539">
        <w:rPr>
          <w:i/>
          <w:lang w:val="en-CA"/>
        </w:rPr>
        <w:t xml:space="preserve"> </w:t>
      </w:r>
      <w:proofErr w:type="spellStart"/>
      <w:r w:rsidR="00D76132" w:rsidRPr="000A3539">
        <w:rPr>
          <w:i/>
          <w:lang w:val="en-CA"/>
        </w:rPr>
        <w:t>général</w:t>
      </w:r>
      <w:proofErr w:type="spellEnd"/>
      <w:r w:rsidR="00D76132" w:rsidRPr="000A3539">
        <w:rPr>
          <w:lang w:val="en-CA"/>
        </w:rPr>
        <w:t>)</w:t>
      </w:r>
      <w:bookmarkStart w:id="25" w:name="_Ref71624658"/>
      <w:r w:rsidRPr="000A3539">
        <w:rPr>
          <w:lang w:val="en-CA"/>
        </w:rPr>
        <w:t>,</w:t>
      </w:r>
      <w:r w:rsidR="00D76132" w:rsidRPr="000A3539">
        <w:rPr>
          <w:rStyle w:val="Appelnotedebasdep"/>
          <w:lang w:val="en-CA"/>
        </w:rPr>
        <w:footnoteReference w:id="82"/>
      </w:r>
      <w:bookmarkEnd w:id="25"/>
      <w:r w:rsidRPr="000A3539">
        <w:rPr>
          <w:lang w:val="en-CA"/>
        </w:rPr>
        <w:t xml:space="preserve"> the </w:t>
      </w:r>
      <w:r w:rsidR="00D76132" w:rsidRPr="000A3539">
        <w:rPr>
          <w:lang w:val="en-CA"/>
        </w:rPr>
        <w:t xml:space="preserve">Court </w:t>
      </w:r>
      <w:r w:rsidR="007E711A" w:rsidRPr="000A3539">
        <w:rPr>
          <w:lang w:val="en-CA"/>
        </w:rPr>
        <w:t xml:space="preserve">reiterated this </w:t>
      </w:r>
      <w:r w:rsidR="00D76132" w:rsidRPr="000A3539">
        <w:rPr>
          <w:lang w:val="en-CA"/>
        </w:rPr>
        <w:t>d</w:t>
      </w:r>
      <w:r w:rsidR="007E711A" w:rsidRPr="000A3539">
        <w:rPr>
          <w:lang w:val="en-CA"/>
        </w:rPr>
        <w:t>e</w:t>
      </w:r>
      <w:r w:rsidR="00D76132" w:rsidRPr="000A3539">
        <w:rPr>
          <w:lang w:val="en-CA"/>
        </w:rPr>
        <w:t>finition</w:t>
      </w:r>
      <w:r w:rsidR="006B10E5">
        <w:rPr>
          <w:lang w:val="en-CA"/>
        </w:rPr>
        <w:t xml:space="preserve"> –</w:t>
      </w:r>
      <w:r w:rsidR="007E711A" w:rsidRPr="000A3539">
        <w:rPr>
          <w:lang w:val="en-CA"/>
        </w:rPr>
        <w:t xml:space="preserve"> which</w:t>
      </w:r>
      <w:r w:rsidR="00390B7B">
        <w:rPr>
          <w:lang w:val="en-CA"/>
        </w:rPr>
        <w:t>,</w:t>
      </w:r>
      <w:r w:rsidR="007E711A" w:rsidRPr="000A3539">
        <w:rPr>
          <w:lang w:val="en-CA"/>
        </w:rPr>
        <w:t xml:space="preserve"> we repeat</w:t>
      </w:r>
      <w:r w:rsidR="00D76132" w:rsidRPr="000A3539">
        <w:rPr>
          <w:lang w:val="en-CA"/>
        </w:rPr>
        <w:t>,</w:t>
      </w:r>
      <w:r w:rsidR="007E711A" w:rsidRPr="000A3539">
        <w:rPr>
          <w:lang w:val="en-CA"/>
        </w:rPr>
        <w:t xml:space="preserve"> has been unanimously accepted in the </w:t>
      </w:r>
      <w:r w:rsidR="00D76132" w:rsidRPr="000A3539">
        <w:rPr>
          <w:lang w:val="en-CA"/>
        </w:rPr>
        <w:t>case</w:t>
      </w:r>
      <w:r w:rsidR="007E711A" w:rsidRPr="000A3539">
        <w:rPr>
          <w:lang w:val="en-CA"/>
        </w:rPr>
        <w:t xml:space="preserve"> </w:t>
      </w:r>
      <w:r w:rsidR="00D76132" w:rsidRPr="000A3539">
        <w:rPr>
          <w:lang w:val="en-CA"/>
        </w:rPr>
        <w:t>law</w:t>
      </w:r>
      <w:r w:rsidR="007E711A" w:rsidRPr="000A3539">
        <w:rPr>
          <w:lang w:val="en-CA"/>
        </w:rPr>
        <w:t xml:space="preserve"> and according to which the concept of social </w:t>
      </w:r>
      <w:r w:rsidR="00D76132" w:rsidRPr="000A3539">
        <w:rPr>
          <w:lang w:val="en-CA"/>
        </w:rPr>
        <w:t xml:space="preserve">condition </w:t>
      </w:r>
      <w:r w:rsidR="007E711A" w:rsidRPr="000A3539">
        <w:rPr>
          <w:lang w:val="en-CA"/>
        </w:rPr>
        <w:t>generally refers to the rank and place a person occupies in society</w:t>
      </w:r>
      <w:r w:rsidR="006B10E5">
        <w:rPr>
          <w:lang w:val="en-CA"/>
        </w:rPr>
        <w:t xml:space="preserve"> –</w:t>
      </w:r>
      <w:r w:rsidR="00D76132" w:rsidRPr="000A3539">
        <w:rPr>
          <w:lang w:val="en-CA"/>
        </w:rPr>
        <w:t xml:space="preserve"> </w:t>
      </w:r>
      <w:r w:rsidR="007E711A" w:rsidRPr="000A3539">
        <w:rPr>
          <w:lang w:val="en-CA"/>
        </w:rPr>
        <w:t xml:space="preserve">while pointing out that in the </w:t>
      </w:r>
      <w:r w:rsidR="00D76132" w:rsidRPr="000A3539">
        <w:rPr>
          <w:lang w:val="en-CA"/>
        </w:rPr>
        <w:t xml:space="preserve">context </w:t>
      </w:r>
      <w:r w:rsidR="007E711A" w:rsidRPr="000A3539">
        <w:rPr>
          <w:lang w:val="en-CA"/>
        </w:rPr>
        <w:t>of an a</w:t>
      </w:r>
      <w:r w:rsidR="00D76132" w:rsidRPr="000A3539">
        <w:rPr>
          <w:lang w:val="en-CA"/>
        </w:rPr>
        <w:t>ll</w:t>
      </w:r>
      <w:r w:rsidR="007E711A" w:rsidRPr="000A3539">
        <w:rPr>
          <w:lang w:val="en-CA"/>
        </w:rPr>
        <w:t>e</w:t>
      </w:r>
      <w:r w:rsidR="00D76132" w:rsidRPr="000A3539">
        <w:rPr>
          <w:lang w:val="en-CA"/>
        </w:rPr>
        <w:t xml:space="preserve">gation </w:t>
      </w:r>
      <w:r w:rsidR="007E711A" w:rsidRPr="000A3539">
        <w:rPr>
          <w:lang w:val="en-CA"/>
        </w:rPr>
        <w:t xml:space="preserve">of </w:t>
      </w:r>
      <w:r w:rsidR="00D76132" w:rsidRPr="000A3539">
        <w:rPr>
          <w:lang w:val="en-CA"/>
        </w:rPr>
        <w:t xml:space="preserve">discrimination, </w:t>
      </w:r>
      <w:r w:rsidR="007E711A" w:rsidRPr="000A3539">
        <w:rPr>
          <w:lang w:val="en-CA"/>
        </w:rPr>
        <w:t>this c</w:t>
      </w:r>
      <w:r w:rsidR="00D76132" w:rsidRPr="000A3539">
        <w:rPr>
          <w:lang w:val="en-CA"/>
        </w:rPr>
        <w:t xml:space="preserve">ondition </w:t>
      </w:r>
      <w:r w:rsidR="00887841" w:rsidRPr="000A3539">
        <w:rPr>
          <w:lang w:val="en-CA"/>
        </w:rPr>
        <w:t>has generally</w:t>
      </w:r>
      <w:r w:rsidR="00D76132" w:rsidRPr="000A3539">
        <w:rPr>
          <w:lang w:val="en-CA"/>
        </w:rPr>
        <w:t xml:space="preserve"> (</w:t>
      </w:r>
      <w:r w:rsidR="00887841" w:rsidRPr="000A3539">
        <w:rPr>
          <w:lang w:val="en-CA"/>
        </w:rPr>
        <w:t>but not always</w:t>
      </w:r>
      <w:r w:rsidR="00D76132" w:rsidRPr="000A3539">
        <w:rPr>
          <w:lang w:val="en-CA"/>
        </w:rPr>
        <w:t>)</w:t>
      </w:r>
      <w:r w:rsidR="00887841" w:rsidRPr="000A3539">
        <w:rPr>
          <w:lang w:val="en-CA"/>
        </w:rPr>
        <w:t xml:space="preserve"> been applied to disadvantaged or vulnerable </w:t>
      </w:r>
      <w:r w:rsidR="00D76132" w:rsidRPr="000A3539">
        <w:rPr>
          <w:lang w:val="en-CA"/>
        </w:rPr>
        <w:t>persons</w:t>
      </w:r>
      <w:r w:rsidR="00887841" w:rsidRPr="000A3539">
        <w:rPr>
          <w:lang w:val="en-CA"/>
        </w:rPr>
        <w:t xml:space="preserve"> who </w:t>
      </w:r>
      <w:r w:rsidR="00390B7B">
        <w:rPr>
          <w:lang w:val="en-CA"/>
        </w:rPr>
        <w:t>endure</w:t>
      </w:r>
      <w:r w:rsidR="00390B7B" w:rsidRPr="000A3539">
        <w:rPr>
          <w:lang w:val="en-CA"/>
        </w:rPr>
        <w:t xml:space="preserve"> </w:t>
      </w:r>
      <w:r w:rsidR="00887841" w:rsidRPr="000A3539">
        <w:rPr>
          <w:lang w:val="en-CA"/>
        </w:rPr>
        <w:t xml:space="preserve">their social </w:t>
      </w:r>
      <w:r w:rsidR="00D76132" w:rsidRPr="000A3539">
        <w:rPr>
          <w:lang w:val="en-CA"/>
        </w:rPr>
        <w:t xml:space="preserve">situation </w:t>
      </w:r>
      <w:r w:rsidR="00887841" w:rsidRPr="000A3539">
        <w:rPr>
          <w:lang w:val="en-CA"/>
        </w:rPr>
        <w:t xml:space="preserve">rather than </w:t>
      </w:r>
      <w:r w:rsidR="00EC1DAE" w:rsidRPr="000A3539">
        <w:rPr>
          <w:lang w:val="en-CA"/>
        </w:rPr>
        <w:t>benefit from it</w:t>
      </w:r>
      <w:r w:rsidR="00D76132" w:rsidRPr="000A3539">
        <w:rPr>
          <w:lang w:val="en-CA"/>
        </w:rPr>
        <w:t>.</w:t>
      </w:r>
    </w:p>
    <w:p w14:paraId="343CD43B" w14:textId="77777777" w:rsidR="00352837" w:rsidRPr="000A3539" w:rsidRDefault="00D76132" w:rsidP="00352837">
      <w:pPr>
        <w:pStyle w:val="Paragraphe"/>
        <w:numPr>
          <w:ilvl w:val="0"/>
          <w:numId w:val="0"/>
        </w:numPr>
        <w:jc w:val="center"/>
        <w:rPr>
          <w:b/>
          <w:lang w:val="en-CA"/>
        </w:rPr>
      </w:pPr>
      <w:r w:rsidRPr="000A3539">
        <w:rPr>
          <w:rFonts w:cs="Arial"/>
          <w:b/>
          <w:lang w:val="en-CA"/>
        </w:rPr>
        <w:t>*****</w:t>
      </w:r>
    </w:p>
    <w:p w14:paraId="1CA6AC0F" w14:textId="4EC9400D" w:rsidR="00352837" w:rsidRPr="000A3539" w:rsidRDefault="00B401C0" w:rsidP="00352837">
      <w:pPr>
        <w:pStyle w:val="Paragraphe"/>
        <w:rPr>
          <w:lang w:val="en-CA"/>
        </w:rPr>
      </w:pPr>
      <w:r w:rsidRPr="00374E00">
        <w:rPr>
          <w:lang w:val="en-CA"/>
        </w:rPr>
        <w:lastRenderedPageBreak/>
        <w:t xml:space="preserve">Further </w:t>
      </w:r>
      <w:r w:rsidR="00FC3354" w:rsidRPr="00374E00">
        <w:rPr>
          <w:lang w:val="en-CA"/>
        </w:rPr>
        <w:t>parenthetical</w:t>
      </w:r>
      <w:r w:rsidRPr="000A3539">
        <w:rPr>
          <w:lang w:val="en-CA"/>
        </w:rPr>
        <w:t xml:space="preserve"> remarks are in order to address the judgments rendered by the C</w:t>
      </w:r>
      <w:r w:rsidR="00D76132" w:rsidRPr="000A3539">
        <w:rPr>
          <w:lang w:val="en-CA"/>
        </w:rPr>
        <w:t>our</w:t>
      </w:r>
      <w:r w:rsidRPr="000A3539">
        <w:rPr>
          <w:lang w:val="en-CA"/>
        </w:rPr>
        <w:t xml:space="preserve">t in </w:t>
      </w:r>
      <w:r w:rsidR="00D76132" w:rsidRPr="000A3539">
        <w:rPr>
          <w:i/>
          <w:lang w:val="en-CA"/>
        </w:rPr>
        <w:t>Lévesque c. Québec (</w:t>
      </w:r>
      <w:proofErr w:type="spellStart"/>
      <w:r w:rsidR="00D76132" w:rsidRPr="000A3539">
        <w:rPr>
          <w:i/>
          <w:lang w:val="en-CA"/>
        </w:rPr>
        <w:t>Procureur</w:t>
      </w:r>
      <w:proofErr w:type="spellEnd"/>
      <w:r w:rsidRPr="000A3539">
        <w:rPr>
          <w:i/>
          <w:lang w:val="en-CA"/>
        </w:rPr>
        <w:t xml:space="preserve"> </w:t>
      </w:r>
      <w:proofErr w:type="spellStart"/>
      <w:r w:rsidR="00D76132" w:rsidRPr="000A3539">
        <w:rPr>
          <w:i/>
          <w:lang w:val="en-CA"/>
        </w:rPr>
        <w:t>général</w:t>
      </w:r>
      <w:proofErr w:type="spellEnd"/>
      <w:r w:rsidR="00D76132" w:rsidRPr="000A3539">
        <w:rPr>
          <w:i/>
          <w:lang w:val="en-CA"/>
        </w:rPr>
        <w:t>)</w:t>
      </w:r>
      <w:r w:rsidR="00D76132" w:rsidRPr="000A3539">
        <w:rPr>
          <w:rStyle w:val="Appelnotedebasdep"/>
          <w:lang w:val="en-CA"/>
        </w:rPr>
        <w:footnoteReference w:id="83"/>
      </w:r>
      <w:r w:rsidR="00D76132" w:rsidRPr="000A3539">
        <w:rPr>
          <w:lang w:val="en-CA"/>
        </w:rPr>
        <w:t xml:space="preserve"> </w:t>
      </w:r>
      <w:r w:rsidRPr="000A3539">
        <w:rPr>
          <w:lang w:val="en-CA"/>
        </w:rPr>
        <w:t>and</w:t>
      </w:r>
      <w:r w:rsidR="00D76132" w:rsidRPr="000A3539">
        <w:rPr>
          <w:lang w:val="en-CA"/>
        </w:rPr>
        <w:t xml:space="preserve"> </w:t>
      </w:r>
      <w:r w:rsidR="00D76132" w:rsidRPr="000A3539">
        <w:rPr>
          <w:i/>
          <w:lang w:val="en-CA"/>
        </w:rPr>
        <w:t>Québec (</w:t>
      </w:r>
      <w:proofErr w:type="spellStart"/>
      <w:r w:rsidR="00D76132" w:rsidRPr="000A3539">
        <w:rPr>
          <w:i/>
          <w:lang w:val="en-CA"/>
        </w:rPr>
        <w:t>Procureur</w:t>
      </w:r>
      <w:proofErr w:type="spellEnd"/>
      <w:r w:rsidRPr="000A3539">
        <w:rPr>
          <w:i/>
          <w:lang w:val="en-CA"/>
        </w:rPr>
        <w:t xml:space="preserve"> </w:t>
      </w:r>
      <w:proofErr w:type="spellStart"/>
      <w:r w:rsidR="00D76132" w:rsidRPr="000A3539">
        <w:rPr>
          <w:i/>
          <w:lang w:val="en-CA"/>
        </w:rPr>
        <w:t>général</w:t>
      </w:r>
      <w:proofErr w:type="spellEnd"/>
      <w:r w:rsidR="00D76132" w:rsidRPr="000A3539">
        <w:rPr>
          <w:i/>
          <w:lang w:val="en-CA"/>
        </w:rPr>
        <w:t>) c. Champagne</w:t>
      </w:r>
      <w:bookmarkStart w:id="26" w:name="_Ref71623570"/>
      <w:r w:rsidR="00D76132" w:rsidRPr="000A3539">
        <w:rPr>
          <w:rStyle w:val="Appelnotedebasdep"/>
          <w:lang w:val="en-CA"/>
        </w:rPr>
        <w:footnoteReference w:id="84"/>
      </w:r>
      <w:bookmarkEnd w:id="26"/>
      <w:r w:rsidR="00D76132" w:rsidRPr="000A3539">
        <w:rPr>
          <w:lang w:val="en-CA"/>
        </w:rPr>
        <w:t xml:space="preserve"> </w:t>
      </w:r>
      <w:r w:rsidR="00600786" w:rsidRPr="000A3539">
        <w:rPr>
          <w:lang w:val="en-CA"/>
        </w:rPr>
        <w:t xml:space="preserve">because they </w:t>
      </w:r>
      <w:r w:rsidR="00C60640">
        <w:rPr>
          <w:lang w:val="en-CA"/>
        </w:rPr>
        <w:t>contain</w:t>
      </w:r>
      <w:r w:rsidR="00C60640" w:rsidRPr="000A3539">
        <w:rPr>
          <w:lang w:val="en-CA"/>
        </w:rPr>
        <w:t xml:space="preserve"> </w:t>
      </w:r>
      <w:r w:rsidR="00600786" w:rsidRPr="000A3539">
        <w:rPr>
          <w:lang w:val="en-CA"/>
        </w:rPr>
        <w:t>a certain</w:t>
      </w:r>
      <w:r w:rsidR="00D76132" w:rsidRPr="000A3539">
        <w:rPr>
          <w:lang w:val="en-CA"/>
        </w:rPr>
        <w:t xml:space="preserve"> ambig</w:t>
      </w:r>
      <w:r w:rsidR="00600786" w:rsidRPr="000A3539">
        <w:rPr>
          <w:lang w:val="en-CA"/>
        </w:rPr>
        <w:t>uity</w:t>
      </w:r>
      <w:r w:rsidR="00D76132" w:rsidRPr="000A3539">
        <w:rPr>
          <w:lang w:val="en-CA"/>
        </w:rPr>
        <w:t xml:space="preserve"> – </w:t>
      </w:r>
      <w:r w:rsidR="00600786" w:rsidRPr="000A3539">
        <w:rPr>
          <w:lang w:val="en-CA"/>
        </w:rPr>
        <w:t>which should be dispelled</w:t>
      </w:r>
      <w:r w:rsidR="00D76132" w:rsidRPr="000A3539">
        <w:rPr>
          <w:lang w:val="en-CA"/>
        </w:rPr>
        <w:t xml:space="preserve"> – </w:t>
      </w:r>
      <w:r w:rsidR="00600786" w:rsidRPr="000A3539">
        <w:rPr>
          <w:lang w:val="en-CA"/>
        </w:rPr>
        <w:t xml:space="preserve">regarding the steps to take with respect to </w:t>
      </w:r>
      <w:r w:rsidR="00C60640" w:rsidRPr="000A3539">
        <w:rPr>
          <w:lang w:val="en-CA"/>
        </w:rPr>
        <w:t xml:space="preserve">discrimination </w:t>
      </w:r>
      <w:r w:rsidR="00D76132" w:rsidRPr="000A3539">
        <w:rPr>
          <w:lang w:val="en-CA"/>
        </w:rPr>
        <w:t>complaint</w:t>
      </w:r>
      <w:r w:rsidR="00600786" w:rsidRPr="000A3539">
        <w:rPr>
          <w:lang w:val="en-CA"/>
        </w:rPr>
        <w:t xml:space="preserve">s based on the </w:t>
      </w:r>
      <w:r w:rsidR="00DC430C" w:rsidRPr="00DC430C">
        <w:rPr>
          <w:i/>
          <w:lang w:val="en-CA"/>
        </w:rPr>
        <w:t>Quebec Charter</w:t>
      </w:r>
      <w:r w:rsidR="00D76132" w:rsidRPr="000A3539">
        <w:rPr>
          <w:lang w:val="en-CA"/>
        </w:rPr>
        <w:t>.</w:t>
      </w:r>
    </w:p>
    <w:p w14:paraId="41238002" w14:textId="54D0E22B" w:rsidR="00352837" w:rsidRPr="000A3539" w:rsidRDefault="006300F4" w:rsidP="00503250">
      <w:pPr>
        <w:pStyle w:val="Paragraphe"/>
        <w:rPr>
          <w:lang w:val="en-CA"/>
        </w:rPr>
      </w:pPr>
      <w:r w:rsidRPr="000A3539">
        <w:rPr>
          <w:lang w:val="en-CA"/>
        </w:rPr>
        <w:t xml:space="preserve">In </w:t>
      </w:r>
      <w:r w:rsidR="00D76132" w:rsidRPr="000A3539">
        <w:rPr>
          <w:i/>
          <w:lang w:val="en-CA"/>
        </w:rPr>
        <w:t xml:space="preserve">Lévesque, </w:t>
      </w:r>
      <w:r w:rsidR="00D76132" w:rsidRPr="000A3539">
        <w:rPr>
          <w:lang w:val="en-CA"/>
        </w:rPr>
        <w:t>the</w:t>
      </w:r>
      <w:r w:rsidRPr="000A3539">
        <w:rPr>
          <w:lang w:val="en-CA"/>
        </w:rPr>
        <w:t xml:space="preserve"> </w:t>
      </w:r>
      <w:r w:rsidR="00D76132" w:rsidRPr="000A3539">
        <w:rPr>
          <w:lang w:val="en-CA"/>
        </w:rPr>
        <w:t>Court confirm</w:t>
      </w:r>
      <w:r w:rsidRPr="000A3539">
        <w:rPr>
          <w:lang w:val="en-CA"/>
        </w:rPr>
        <w:t xml:space="preserve">ed the </w:t>
      </w:r>
      <w:r w:rsidR="00D76132" w:rsidRPr="000A3539">
        <w:rPr>
          <w:lang w:val="en-CA"/>
        </w:rPr>
        <w:t>ju</w:t>
      </w:r>
      <w:r w:rsidRPr="000A3539">
        <w:rPr>
          <w:lang w:val="en-CA"/>
        </w:rPr>
        <w:t>d</w:t>
      </w:r>
      <w:r w:rsidR="00D76132" w:rsidRPr="000A3539">
        <w:rPr>
          <w:lang w:val="en-CA"/>
        </w:rPr>
        <w:t xml:space="preserve">gment </w:t>
      </w:r>
      <w:r w:rsidRPr="000A3539">
        <w:rPr>
          <w:lang w:val="en-CA"/>
        </w:rPr>
        <w:t xml:space="preserve">of the </w:t>
      </w:r>
      <w:r w:rsidR="00D76132" w:rsidRPr="000A3539">
        <w:rPr>
          <w:lang w:val="en-CA"/>
        </w:rPr>
        <w:t>Superior</w:t>
      </w:r>
      <w:r w:rsidRPr="000A3539">
        <w:rPr>
          <w:lang w:val="en-CA"/>
        </w:rPr>
        <w:t xml:space="preserve"> </w:t>
      </w:r>
      <w:r w:rsidR="00D76132" w:rsidRPr="000A3539">
        <w:rPr>
          <w:lang w:val="en-CA"/>
        </w:rPr>
        <w:t>Court</w:t>
      </w:r>
      <w:r w:rsidRPr="000A3539">
        <w:rPr>
          <w:lang w:val="en-CA"/>
        </w:rPr>
        <w:t xml:space="preserve"> finding that it was not necessary to review the </w:t>
      </w:r>
      <w:r w:rsidR="00D76132" w:rsidRPr="000A3539">
        <w:rPr>
          <w:lang w:val="en-CA"/>
        </w:rPr>
        <w:t>decision</w:t>
      </w:r>
      <w:r w:rsidRPr="000A3539">
        <w:rPr>
          <w:lang w:val="en-CA"/>
        </w:rPr>
        <w:t xml:space="preserve"> of the </w:t>
      </w:r>
      <w:r w:rsidR="00503250" w:rsidRPr="00503250">
        <w:rPr>
          <w:lang w:val="en-CA"/>
        </w:rPr>
        <w:t xml:space="preserve">Commission des affaires </w:t>
      </w:r>
      <w:proofErr w:type="spellStart"/>
      <w:r w:rsidR="00503250" w:rsidRPr="00503250">
        <w:rPr>
          <w:lang w:val="en-CA"/>
        </w:rPr>
        <w:t>sociales</w:t>
      </w:r>
      <w:proofErr w:type="spellEnd"/>
      <w:r w:rsidR="00D76132" w:rsidRPr="000A3539">
        <w:rPr>
          <w:lang w:val="en-CA"/>
        </w:rPr>
        <w:t xml:space="preserve">. </w:t>
      </w:r>
      <w:r w:rsidR="008C42FD" w:rsidRPr="000A3539">
        <w:rPr>
          <w:lang w:val="en-CA"/>
        </w:rPr>
        <w:t xml:space="preserve">The </w:t>
      </w:r>
      <w:r w:rsidR="00D76132" w:rsidRPr="000A3539">
        <w:rPr>
          <w:lang w:val="en-CA"/>
        </w:rPr>
        <w:t>C</w:t>
      </w:r>
      <w:r w:rsidR="008C42FD" w:rsidRPr="000A3539">
        <w:rPr>
          <w:lang w:val="en-CA"/>
        </w:rPr>
        <w:t>ommission had refused</w:t>
      </w:r>
      <w:r w:rsidR="00225630" w:rsidRPr="000A3539">
        <w:rPr>
          <w:lang w:val="en-CA"/>
        </w:rPr>
        <w:t xml:space="preserve"> to grant social </w:t>
      </w:r>
      <w:r w:rsidR="00D76132" w:rsidRPr="000A3539">
        <w:rPr>
          <w:lang w:val="en-CA"/>
        </w:rPr>
        <w:t>assistance</w:t>
      </w:r>
      <w:r w:rsidR="00225630" w:rsidRPr="000A3539">
        <w:rPr>
          <w:lang w:val="en-CA"/>
        </w:rPr>
        <w:t xml:space="preserve"> benefits to a single mother because she had returned to school. In addition to </w:t>
      </w:r>
      <w:r w:rsidR="00D76132" w:rsidRPr="000A3539">
        <w:rPr>
          <w:lang w:val="en-CA"/>
        </w:rPr>
        <w:t xml:space="preserve">arguments </w:t>
      </w:r>
      <w:r w:rsidR="00225630" w:rsidRPr="000A3539">
        <w:rPr>
          <w:lang w:val="en-CA"/>
        </w:rPr>
        <w:t xml:space="preserve">related to the </w:t>
      </w:r>
      <w:r w:rsidR="00D76132" w:rsidRPr="000A3539">
        <w:rPr>
          <w:lang w:val="en-CA"/>
        </w:rPr>
        <w:t>reasonableness</w:t>
      </w:r>
      <w:r w:rsidR="00225630" w:rsidRPr="000A3539">
        <w:rPr>
          <w:lang w:val="en-CA"/>
        </w:rPr>
        <w:t xml:space="preserve"> of the </w:t>
      </w:r>
      <w:r w:rsidR="00D76132" w:rsidRPr="000A3539">
        <w:rPr>
          <w:lang w:val="en-CA"/>
        </w:rPr>
        <w:t>refus</w:t>
      </w:r>
      <w:r w:rsidR="00225630" w:rsidRPr="000A3539">
        <w:rPr>
          <w:lang w:val="en-CA"/>
        </w:rPr>
        <w:t>al</w:t>
      </w:r>
      <w:r w:rsidR="00D76132" w:rsidRPr="000A3539">
        <w:rPr>
          <w:lang w:val="en-CA"/>
        </w:rPr>
        <w:t>, the</w:t>
      </w:r>
      <w:r w:rsidR="00225630" w:rsidRPr="000A3539">
        <w:rPr>
          <w:lang w:val="en-CA"/>
        </w:rPr>
        <w:t xml:space="preserve"> </w:t>
      </w:r>
      <w:r w:rsidR="00D76132" w:rsidRPr="000A3539">
        <w:rPr>
          <w:lang w:val="en-CA"/>
        </w:rPr>
        <w:t xml:space="preserve">Court </w:t>
      </w:r>
      <w:r w:rsidR="00225630" w:rsidRPr="000A3539">
        <w:rPr>
          <w:lang w:val="en-CA"/>
        </w:rPr>
        <w:t xml:space="preserve">considered the </w:t>
      </w:r>
      <w:r w:rsidR="00D76132" w:rsidRPr="000A3539">
        <w:rPr>
          <w:lang w:val="en-CA"/>
        </w:rPr>
        <w:t>constitution</w:t>
      </w:r>
      <w:r w:rsidR="00225630" w:rsidRPr="000A3539">
        <w:rPr>
          <w:lang w:val="en-CA"/>
        </w:rPr>
        <w:t>al</w:t>
      </w:r>
      <w:r w:rsidR="0064460E">
        <w:rPr>
          <w:lang w:val="en-CA"/>
        </w:rPr>
        <w:t xml:space="preserve"> validity</w:t>
      </w:r>
      <w:r w:rsidR="00225630" w:rsidRPr="000A3539">
        <w:rPr>
          <w:lang w:val="en-CA"/>
        </w:rPr>
        <w:t xml:space="preserve"> of </w:t>
      </w:r>
      <w:r w:rsidR="00D76132" w:rsidRPr="000A3539">
        <w:rPr>
          <w:lang w:val="en-CA"/>
        </w:rPr>
        <w:t xml:space="preserve">section 7 </w:t>
      </w:r>
      <w:r w:rsidR="00225630" w:rsidRPr="000A3539">
        <w:rPr>
          <w:lang w:val="en-CA"/>
        </w:rPr>
        <w:t xml:space="preserve">of the </w:t>
      </w:r>
      <w:r w:rsidR="00225630" w:rsidRPr="000A3539">
        <w:rPr>
          <w:i/>
          <w:lang w:val="en-CA"/>
        </w:rPr>
        <w:t>Social Aid Act</w:t>
      </w:r>
      <w:r w:rsidR="00225630" w:rsidRPr="000A3539">
        <w:rPr>
          <w:lang w:val="en-CA"/>
        </w:rPr>
        <w:t>,</w:t>
      </w:r>
      <w:bookmarkStart w:id="27" w:name="_Ref71623896"/>
      <w:r w:rsidR="00D76132" w:rsidRPr="000A3539">
        <w:rPr>
          <w:vertAlign w:val="superscript"/>
          <w:lang w:val="en-CA"/>
        </w:rPr>
        <w:footnoteReference w:id="85"/>
      </w:r>
      <w:bookmarkEnd w:id="27"/>
      <w:r w:rsidR="00225630" w:rsidRPr="000A3539">
        <w:rPr>
          <w:lang w:val="en-CA"/>
        </w:rPr>
        <w:t xml:space="preserve"> which denied the </w:t>
      </w:r>
      <w:r w:rsidR="00D76132" w:rsidRPr="000A3539">
        <w:rPr>
          <w:lang w:val="en-CA"/>
        </w:rPr>
        <w:t>right</w:t>
      </w:r>
      <w:r w:rsidR="00225630" w:rsidRPr="000A3539">
        <w:rPr>
          <w:lang w:val="en-CA"/>
        </w:rPr>
        <w:t xml:space="preserve"> to </w:t>
      </w:r>
      <w:r w:rsidR="00D76132" w:rsidRPr="000A3539">
        <w:rPr>
          <w:lang w:val="en-CA"/>
        </w:rPr>
        <w:t>social</w:t>
      </w:r>
      <w:r w:rsidR="00225630" w:rsidRPr="000A3539">
        <w:rPr>
          <w:lang w:val="en-CA"/>
        </w:rPr>
        <w:t xml:space="preserve"> </w:t>
      </w:r>
      <w:r w:rsidR="00D76132" w:rsidRPr="000A3539">
        <w:rPr>
          <w:lang w:val="en-CA"/>
        </w:rPr>
        <w:t>assistance</w:t>
      </w:r>
      <w:r w:rsidR="00225630" w:rsidRPr="000A3539">
        <w:rPr>
          <w:lang w:val="en-CA"/>
        </w:rPr>
        <w:t xml:space="preserve"> to “</w:t>
      </w:r>
      <w:r w:rsidR="00B21983" w:rsidRPr="000A3539">
        <w:rPr>
          <w:lang w:val="en-CA"/>
        </w:rPr>
        <w:t xml:space="preserve">an individual who attends an educational institution at the college or university level as a day student </w:t>
      </w:r>
      <w:r w:rsidR="00552712">
        <w:rPr>
          <w:lang w:val="en-CA"/>
        </w:rPr>
        <w:t>[</w:t>
      </w:r>
      <w:r w:rsidR="00B21983" w:rsidRPr="000A3539">
        <w:rPr>
          <w:lang w:val="en-CA"/>
        </w:rPr>
        <w:t>…</w:t>
      </w:r>
      <w:r w:rsidR="00552712">
        <w:rPr>
          <w:lang w:val="en-CA"/>
        </w:rPr>
        <w:t>]</w:t>
      </w:r>
      <w:r w:rsidR="00B21983" w:rsidRPr="000A3539">
        <w:rPr>
          <w:lang w:val="en-CA"/>
        </w:rPr>
        <w:t xml:space="preserve"> except where such aid is necessary to prevent </w:t>
      </w:r>
      <w:r w:rsidR="00552712">
        <w:rPr>
          <w:lang w:val="en-CA"/>
        </w:rPr>
        <w:t>[</w:t>
      </w:r>
      <w:r w:rsidR="00B21983" w:rsidRPr="000A3539">
        <w:rPr>
          <w:lang w:val="en-CA"/>
        </w:rPr>
        <w:t>…</w:t>
      </w:r>
      <w:r w:rsidR="00552712">
        <w:rPr>
          <w:lang w:val="en-CA"/>
        </w:rPr>
        <w:t>]</w:t>
      </w:r>
      <w:r w:rsidR="00B21983" w:rsidRPr="000A3539">
        <w:rPr>
          <w:lang w:val="en-CA"/>
        </w:rPr>
        <w:t xml:space="preserve"> a situation which endangers to health”</w:t>
      </w:r>
      <w:r w:rsidR="00D76132" w:rsidRPr="000A3539">
        <w:rPr>
          <w:lang w:val="en-CA"/>
        </w:rPr>
        <w:t>.</w:t>
      </w:r>
    </w:p>
    <w:p w14:paraId="09F2AE49" w14:textId="21934AF8" w:rsidR="00352837" w:rsidRPr="000A3539" w:rsidRDefault="006C2F43" w:rsidP="00352837">
      <w:pPr>
        <w:pStyle w:val="Paragraphe"/>
        <w:rPr>
          <w:lang w:val="en-CA"/>
        </w:rPr>
      </w:pPr>
      <w:r w:rsidRPr="000A3539">
        <w:rPr>
          <w:lang w:val="en-CA"/>
        </w:rPr>
        <w:t>T</w:t>
      </w:r>
      <w:r w:rsidR="00D76132" w:rsidRPr="000A3539">
        <w:rPr>
          <w:lang w:val="en-CA"/>
        </w:rPr>
        <w:t>he</w:t>
      </w:r>
      <w:r w:rsidRPr="000A3539">
        <w:rPr>
          <w:lang w:val="en-CA"/>
        </w:rPr>
        <w:t xml:space="preserve"> </w:t>
      </w:r>
      <w:r w:rsidR="00D76132" w:rsidRPr="000A3539">
        <w:rPr>
          <w:lang w:val="en-CA"/>
        </w:rPr>
        <w:t>Court</w:t>
      </w:r>
      <w:r w:rsidRPr="000A3539">
        <w:rPr>
          <w:lang w:val="en-CA"/>
        </w:rPr>
        <w:t xml:space="preserve"> found that, in the context of th</w:t>
      </w:r>
      <w:r w:rsidR="0064460E">
        <w:rPr>
          <w:lang w:val="en-CA"/>
        </w:rPr>
        <w:t>at</w:t>
      </w:r>
      <w:r w:rsidRPr="000A3539">
        <w:rPr>
          <w:lang w:val="en-CA"/>
        </w:rPr>
        <w:t xml:space="preserve"> </w:t>
      </w:r>
      <w:r w:rsidR="00D76132" w:rsidRPr="000A3539">
        <w:rPr>
          <w:lang w:val="en-CA"/>
        </w:rPr>
        <w:t>provision,</w:t>
      </w:r>
      <w:r w:rsidRPr="000A3539">
        <w:rPr>
          <w:lang w:val="en-CA"/>
        </w:rPr>
        <w:t xml:space="preserve"> being a student was not a social condition because of the </w:t>
      </w:r>
      <w:r w:rsidR="00D76132" w:rsidRPr="000A3539">
        <w:rPr>
          <w:lang w:val="en-CA"/>
        </w:rPr>
        <w:t>legislative</w:t>
      </w:r>
      <w:r w:rsidRPr="000A3539">
        <w:rPr>
          <w:lang w:val="en-CA"/>
        </w:rPr>
        <w:t xml:space="preserve"> </w:t>
      </w:r>
      <w:r w:rsidR="00D76132" w:rsidRPr="000A3539">
        <w:rPr>
          <w:lang w:val="en-CA"/>
        </w:rPr>
        <w:t>objectives </w:t>
      </w:r>
      <w:r w:rsidRPr="000A3539">
        <w:rPr>
          <w:lang w:val="en-CA"/>
        </w:rPr>
        <w:t xml:space="preserve">of the </w:t>
      </w:r>
      <w:r w:rsidR="009C4147" w:rsidRPr="00FD1FB8">
        <w:rPr>
          <w:i/>
          <w:lang w:val="en-CA"/>
        </w:rPr>
        <w:t>Social Aid</w:t>
      </w:r>
      <w:r w:rsidR="009C4147">
        <w:rPr>
          <w:lang w:val="en-CA"/>
        </w:rPr>
        <w:t xml:space="preserve"> </w:t>
      </w:r>
      <w:r w:rsidRPr="000A3539">
        <w:rPr>
          <w:i/>
          <w:lang w:val="en-CA"/>
        </w:rPr>
        <w:t>Act</w:t>
      </w:r>
      <w:r w:rsidR="00D76132" w:rsidRPr="000A3539">
        <w:rPr>
          <w:lang w:val="en-CA"/>
        </w:rPr>
        <w:t xml:space="preserve">: </w:t>
      </w:r>
    </w:p>
    <w:p w14:paraId="72FBB2FC" w14:textId="329CB12E" w:rsidR="006C2F43" w:rsidRPr="000A3539" w:rsidRDefault="006C2F43" w:rsidP="00352837">
      <w:pPr>
        <w:spacing w:before="120" w:after="120"/>
        <w:ind w:left="720" w:right="720"/>
        <w:jc w:val="both"/>
        <w:rPr>
          <w:kern w:val="24"/>
          <w:sz w:val="22"/>
          <w:lang w:val="en-CA"/>
        </w:rPr>
      </w:pPr>
      <w:r w:rsidRPr="000A3539">
        <w:rPr>
          <w:kern w:val="24"/>
          <w:sz w:val="22"/>
          <w:lang w:val="en-CA"/>
        </w:rPr>
        <w:t>[</w:t>
      </w:r>
      <w:r w:rsidRPr="000A3539">
        <w:rPr>
          <w:smallCaps/>
          <w:kern w:val="24"/>
          <w:sz w:val="22"/>
          <w:lang w:val="en-CA"/>
        </w:rPr>
        <w:t>translation</w:t>
      </w:r>
      <w:r w:rsidRPr="000A3539">
        <w:rPr>
          <w:kern w:val="24"/>
          <w:sz w:val="22"/>
          <w:lang w:val="en-CA"/>
        </w:rPr>
        <w:t>]</w:t>
      </w:r>
    </w:p>
    <w:p w14:paraId="3E14ED07" w14:textId="3E5A0C4B" w:rsidR="00352837" w:rsidRPr="000A3539" w:rsidRDefault="00381FBB" w:rsidP="00352837">
      <w:pPr>
        <w:spacing w:before="120" w:after="120"/>
        <w:ind w:left="720" w:right="720"/>
        <w:jc w:val="both"/>
        <w:rPr>
          <w:kern w:val="24"/>
          <w:sz w:val="22"/>
          <w:lang w:val="en-CA"/>
        </w:rPr>
      </w:pPr>
      <w:r w:rsidRPr="000A3539">
        <w:rPr>
          <w:kern w:val="24"/>
          <w:sz w:val="22"/>
          <w:lang w:val="en-CA"/>
        </w:rPr>
        <w:t xml:space="preserve">But here, we must ask whether, in the </w:t>
      </w:r>
      <w:r w:rsidR="00D76132" w:rsidRPr="000A3539">
        <w:rPr>
          <w:kern w:val="24"/>
          <w:sz w:val="22"/>
          <w:lang w:val="en-CA"/>
        </w:rPr>
        <w:t xml:space="preserve">context </w:t>
      </w:r>
      <w:r w:rsidRPr="000A3539">
        <w:rPr>
          <w:kern w:val="24"/>
          <w:sz w:val="22"/>
          <w:lang w:val="en-CA"/>
        </w:rPr>
        <w:t xml:space="preserve">of </w:t>
      </w:r>
      <w:r w:rsidR="00D76132" w:rsidRPr="000A3539">
        <w:rPr>
          <w:kern w:val="24"/>
          <w:sz w:val="22"/>
          <w:lang w:val="en-CA"/>
        </w:rPr>
        <w:t>section 7 of</w:t>
      </w:r>
      <w:r w:rsidRPr="000A3539">
        <w:rPr>
          <w:kern w:val="24"/>
          <w:sz w:val="22"/>
          <w:lang w:val="en-CA"/>
        </w:rPr>
        <w:t xml:space="preserve"> </w:t>
      </w:r>
      <w:r w:rsidR="00D76132" w:rsidRPr="000A3539">
        <w:rPr>
          <w:kern w:val="24"/>
          <w:sz w:val="22"/>
          <w:lang w:val="en-CA"/>
        </w:rPr>
        <w:t>the</w:t>
      </w:r>
      <w:r w:rsidRPr="000A3539">
        <w:rPr>
          <w:kern w:val="24"/>
          <w:sz w:val="22"/>
          <w:lang w:val="en-CA"/>
        </w:rPr>
        <w:t xml:space="preserve"> </w:t>
      </w:r>
      <w:r w:rsidR="00D76132" w:rsidRPr="000A3539">
        <w:rPr>
          <w:i/>
          <w:kern w:val="24"/>
          <w:sz w:val="22"/>
          <w:lang w:val="en-CA"/>
        </w:rPr>
        <w:t>Act</w:t>
      </w:r>
      <w:r w:rsidR="00D76132" w:rsidRPr="000A3539">
        <w:rPr>
          <w:kern w:val="24"/>
          <w:sz w:val="22"/>
          <w:lang w:val="en-CA"/>
        </w:rPr>
        <w:t xml:space="preserve">, </w:t>
      </w:r>
      <w:r w:rsidRPr="000A3539">
        <w:rPr>
          <w:kern w:val="24"/>
          <w:sz w:val="22"/>
          <w:lang w:val="en-CA"/>
        </w:rPr>
        <w:t xml:space="preserve">the fact of being a full-time student at the college or university level </w:t>
      </w:r>
      <w:r w:rsidR="009B56A5">
        <w:rPr>
          <w:kern w:val="24"/>
          <w:sz w:val="22"/>
          <w:lang w:val="en-CA"/>
        </w:rPr>
        <w:t xml:space="preserve">can </w:t>
      </w:r>
      <w:r w:rsidR="00D76132" w:rsidRPr="000A3539">
        <w:rPr>
          <w:kern w:val="24"/>
          <w:sz w:val="22"/>
          <w:lang w:val="en-CA"/>
        </w:rPr>
        <w:t>constitu</w:t>
      </w:r>
      <w:r w:rsidRPr="000A3539">
        <w:rPr>
          <w:kern w:val="24"/>
          <w:sz w:val="22"/>
          <w:lang w:val="en-CA"/>
        </w:rPr>
        <w:t>t</w:t>
      </w:r>
      <w:r w:rsidR="00D76132" w:rsidRPr="000A3539">
        <w:rPr>
          <w:kern w:val="24"/>
          <w:sz w:val="22"/>
          <w:lang w:val="en-CA"/>
        </w:rPr>
        <w:t>e</w:t>
      </w:r>
      <w:r w:rsidRPr="000A3539">
        <w:rPr>
          <w:kern w:val="24"/>
          <w:sz w:val="22"/>
          <w:lang w:val="en-CA"/>
        </w:rPr>
        <w:t xml:space="preserve"> a social c</w:t>
      </w:r>
      <w:r w:rsidR="00D76132" w:rsidRPr="000A3539">
        <w:rPr>
          <w:kern w:val="24"/>
          <w:sz w:val="22"/>
          <w:lang w:val="en-CA"/>
        </w:rPr>
        <w:t xml:space="preserve">ondition? </w:t>
      </w:r>
      <w:r w:rsidRPr="000A3539">
        <w:rPr>
          <w:kern w:val="24"/>
          <w:sz w:val="22"/>
          <w:lang w:val="en-CA"/>
        </w:rPr>
        <w:t>I answer this question in the ne</w:t>
      </w:r>
      <w:r w:rsidR="00D76132" w:rsidRPr="000A3539">
        <w:rPr>
          <w:kern w:val="24"/>
          <w:sz w:val="22"/>
          <w:lang w:val="en-CA"/>
        </w:rPr>
        <w:t xml:space="preserve">gative, </w:t>
      </w:r>
      <w:r w:rsidRPr="000A3539">
        <w:rPr>
          <w:kern w:val="24"/>
          <w:sz w:val="22"/>
          <w:lang w:val="en-CA"/>
        </w:rPr>
        <w:t xml:space="preserve">relying on the fact that if </w:t>
      </w:r>
      <w:r w:rsidR="00D76132" w:rsidRPr="000A3539">
        <w:rPr>
          <w:kern w:val="24"/>
          <w:sz w:val="22"/>
          <w:lang w:val="en-CA"/>
        </w:rPr>
        <w:t>section 7 of</w:t>
      </w:r>
      <w:r w:rsidR="00AD1C0C" w:rsidRPr="000A3539">
        <w:rPr>
          <w:kern w:val="24"/>
          <w:sz w:val="22"/>
          <w:lang w:val="en-CA"/>
        </w:rPr>
        <w:t xml:space="preserve"> </w:t>
      </w:r>
      <w:r w:rsidR="00D76132" w:rsidRPr="000A3539">
        <w:rPr>
          <w:kern w:val="24"/>
          <w:sz w:val="22"/>
          <w:lang w:val="en-CA"/>
        </w:rPr>
        <w:t>the</w:t>
      </w:r>
      <w:r w:rsidR="00AD1C0C" w:rsidRPr="000A3539">
        <w:rPr>
          <w:kern w:val="24"/>
          <w:sz w:val="22"/>
          <w:lang w:val="en-CA"/>
        </w:rPr>
        <w:t xml:space="preserve"> </w:t>
      </w:r>
      <w:r w:rsidR="00D76132" w:rsidRPr="000A3539">
        <w:rPr>
          <w:i/>
          <w:kern w:val="24"/>
          <w:sz w:val="22"/>
          <w:lang w:val="en-CA"/>
        </w:rPr>
        <w:t>Act</w:t>
      </w:r>
      <w:r w:rsidR="00D76132" w:rsidRPr="000A3539">
        <w:rPr>
          <w:kern w:val="24"/>
          <w:sz w:val="22"/>
          <w:lang w:val="en-CA"/>
        </w:rPr>
        <w:t xml:space="preserve"> exist</w:t>
      </w:r>
      <w:r w:rsidR="00AD1C0C" w:rsidRPr="000A3539">
        <w:rPr>
          <w:kern w:val="24"/>
          <w:sz w:val="22"/>
          <w:lang w:val="en-CA"/>
        </w:rPr>
        <w:t>s</w:t>
      </w:r>
      <w:r w:rsidR="00D76132" w:rsidRPr="000A3539">
        <w:rPr>
          <w:kern w:val="24"/>
          <w:sz w:val="22"/>
          <w:lang w:val="en-CA"/>
        </w:rPr>
        <w:t xml:space="preserve"> </w:t>
      </w:r>
      <w:r w:rsidR="00664A7E">
        <w:rPr>
          <w:kern w:val="24"/>
          <w:sz w:val="22"/>
          <w:lang w:val="en-CA"/>
        </w:rPr>
        <w:t xml:space="preserve">as </w:t>
      </w:r>
      <w:r w:rsidR="00AD1C0C" w:rsidRPr="000A3539">
        <w:rPr>
          <w:kern w:val="24"/>
          <w:sz w:val="22"/>
          <w:lang w:val="en-CA"/>
        </w:rPr>
        <w:t xml:space="preserve">drafted in </w:t>
      </w:r>
      <w:r w:rsidR="00D76132" w:rsidRPr="000A3539">
        <w:rPr>
          <w:kern w:val="24"/>
          <w:sz w:val="22"/>
          <w:lang w:val="en-CA"/>
        </w:rPr>
        <w:t>1981,</w:t>
      </w:r>
      <w:r w:rsidR="00323068" w:rsidRPr="000A3539">
        <w:rPr>
          <w:kern w:val="24"/>
          <w:sz w:val="22"/>
          <w:lang w:val="en-CA"/>
        </w:rPr>
        <w:t xml:space="preserve"> it is because full-time students at the college or university level are eligible for other </w:t>
      </w:r>
      <w:r w:rsidR="00D76132" w:rsidRPr="000A3539">
        <w:rPr>
          <w:kern w:val="24"/>
          <w:sz w:val="22"/>
          <w:lang w:val="en-CA"/>
        </w:rPr>
        <w:t>social</w:t>
      </w:r>
      <w:r w:rsidR="00323068" w:rsidRPr="000A3539">
        <w:rPr>
          <w:kern w:val="24"/>
          <w:sz w:val="22"/>
          <w:lang w:val="en-CA"/>
        </w:rPr>
        <w:t xml:space="preserve"> subsidies such as loans and bursaries</w:t>
      </w:r>
      <w:r w:rsidR="00D76132" w:rsidRPr="000A3539">
        <w:rPr>
          <w:kern w:val="24"/>
          <w:sz w:val="22"/>
          <w:lang w:val="en-CA"/>
        </w:rPr>
        <w:t>.</w:t>
      </w:r>
      <w:r w:rsidR="00D76132" w:rsidRPr="000A3539">
        <w:rPr>
          <w:kern w:val="24"/>
          <w:sz w:val="22"/>
          <w:vertAlign w:val="superscript"/>
          <w:lang w:val="en-CA"/>
        </w:rPr>
        <w:footnoteReference w:id="86"/>
      </w:r>
    </w:p>
    <w:p w14:paraId="43D5FC76" w14:textId="7484C0A8" w:rsidR="00352837" w:rsidRPr="000A3539" w:rsidRDefault="00902BCD" w:rsidP="00352837">
      <w:pPr>
        <w:pStyle w:val="Paragraphe"/>
        <w:rPr>
          <w:lang w:val="en-CA"/>
        </w:rPr>
      </w:pPr>
      <w:r w:rsidRPr="000A3539">
        <w:rPr>
          <w:lang w:val="en-CA"/>
        </w:rPr>
        <w:t xml:space="preserve">This </w:t>
      </w:r>
      <w:r w:rsidR="00D76132" w:rsidRPr="000A3539">
        <w:rPr>
          <w:lang w:val="en-CA"/>
        </w:rPr>
        <w:t>appro</w:t>
      </w:r>
      <w:r w:rsidRPr="000A3539">
        <w:rPr>
          <w:lang w:val="en-CA"/>
        </w:rPr>
        <w:t>a</w:t>
      </w:r>
      <w:r w:rsidR="00D76132" w:rsidRPr="000A3539">
        <w:rPr>
          <w:lang w:val="en-CA"/>
        </w:rPr>
        <w:t xml:space="preserve">ch </w:t>
      </w:r>
      <w:r w:rsidRPr="000A3539">
        <w:rPr>
          <w:lang w:val="en-CA"/>
        </w:rPr>
        <w:t xml:space="preserve">was also </w:t>
      </w:r>
      <w:r w:rsidR="00B93B34" w:rsidRPr="000A3539">
        <w:rPr>
          <w:lang w:val="en-CA"/>
        </w:rPr>
        <w:t>u</w:t>
      </w:r>
      <w:r w:rsidRPr="000A3539">
        <w:rPr>
          <w:lang w:val="en-CA"/>
        </w:rPr>
        <w:t xml:space="preserve">sed by the Administrative </w:t>
      </w:r>
      <w:r w:rsidR="00D76132" w:rsidRPr="000A3539">
        <w:rPr>
          <w:lang w:val="en-CA"/>
        </w:rPr>
        <w:t>Tribunal</w:t>
      </w:r>
      <w:r w:rsidRPr="000A3539">
        <w:rPr>
          <w:lang w:val="en-CA"/>
        </w:rPr>
        <w:t xml:space="preserve"> of </w:t>
      </w:r>
      <w:r w:rsidR="00D76132" w:rsidRPr="000A3539">
        <w:rPr>
          <w:lang w:val="en-CA"/>
        </w:rPr>
        <w:t xml:space="preserve">Québec </w:t>
      </w:r>
      <w:r w:rsidRPr="000A3539">
        <w:rPr>
          <w:lang w:val="en-CA"/>
        </w:rPr>
        <w:t xml:space="preserve">in </w:t>
      </w:r>
      <w:r w:rsidR="00D76132" w:rsidRPr="000A3539">
        <w:rPr>
          <w:i/>
          <w:lang w:val="en-CA"/>
        </w:rPr>
        <w:t>Champagne</w:t>
      </w:r>
      <w:r w:rsidRPr="000A3539">
        <w:rPr>
          <w:lang w:val="en-CA"/>
        </w:rPr>
        <w:t>.</w:t>
      </w:r>
      <w:r w:rsidR="00D76132" w:rsidRPr="000A3539">
        <w:rPr>
          <w:vertAlign w:val="superscript"/>
          <w:lang w:val="en-CA"/>
        </w:rPr>
        <w:footnoteReference w:id="87"/>
      </w:r>
      <w:r w:rsidRPr="000A3539">
        <w:rPr>
          <w:lang w:val="en-CA"/>
        </w:rPr>
        <w:t xml:space="preserve"> The Tribunal found that the </w:t>
      </w:r>
      <w:r w:rsidR="00D76132" w:rsidRPr="000A3539">
        <w:rPr>
          <w:lang w:val="en-CA"/>
        </w:rPr>
        <w:t xml:space="preserve">distinctions </w:t>
      </w:r>
      <w:r w:rsidRPr="000A3539">
        <w:rPr>
          <w:lang w:val="en-CA"/>
        </w:rPr>
        <w:t xml:space="preserve">made in the </w:t>
      </w:r>
      <w:r w:rsidRPr="000A3539">
        <w:rPr>
          <w:i/>
          <w:lang w:val="en-CA"/>
        </w:rPr>
        <w:t>A</w:t>
      </w:r>
      <w:r w:rsidR="00D76132" w:rsidRPr="000A3539">
        <w:rPr>
          <w:i/>
          <w:lang w:val="en-CA"/>
        </w:rPr>
        <w:t>utomobile</w:t>
      </w:r>
      <w:r w:rsidR="003E70F2" w:rsidRPr="000A3539">
        <w:rPr>
          <w:i/>
          <w:lang w:val="en-CA"/>
        </w:rPr>
        <w:t xml:space="preserve"> I</w:t>
      </w:r>
      <w:r w:rsidR="00D76132" w:rsidRPr="000A3539">
        <w:rPr>
          <w:i/>
          <w:lang w:val="en-CA"/>
        </w:rPr>
        <w:t>nsurance</w:t>
      </w:r>
      <w:r w:rsidR="003E70F2" w:rsidRPr="000A3539">
        <w:rPr>
          <w:i/>
          <w:lang w:val="en-CA"/>
        </w:rPr>
        <w:t xml:space="preserve"> A</w:t>
      </w:r>
      <w:r w:rsidR="00D76132" w:rsidRPr="000A3539">
        <w:rPr>
          <w:i/>
          <w:lang w:val="en-CA"/>
        </w:rPr>
        <w:t>ct</w:t>
      </w:r>
      <w:r w:rsidR="00D76132" w:rsidRPr="000A3539">
        <w:rPr>
          <w:vertAlign w:val="superscript"/>
          <w:lang w:val="en-CA"/>
        </w:rPr>
        <w:footnoteReference w:id="88"/>
      </w:r>
      <w:r w:rsidR="00D76132" w:rsidRPr="000A3539">
        <w:rPr>
          <w:lang w:val="en-CA"/>
        </w:rPr>
        <w:t xml:space="preserve"> </w:t>
      </w:r>
      <w:r w:rsidR="003E70F2" w:rsidRPr="000A3539">
        <w:rPr>
          <w:lang w:val="en-CA"/>
        </w:rPr>
        <w:t xml:space="preserve">between the level of education of automobile </w:t>
      </w:r>
      <w:r w:rsidR="00D76132" w:rsidRPr="000A3539">
        <w:rPr>
          <w:lang w:val="en-CA"/>
        </w:rPr>
        <w:t xml:space="preserve">accident </w:t>
      </w:r>
      <w:r w:rsidR="003E70F2" w:rsidRPr="000A3539">
        <w:rPr>
          <w:lang w:val="en-CA"/>
        </w:rPr>
        <w:t>victims to de</w:t>
      </w:r>
      <w:r w:rsidR="00D76132" w:rsidRPr="000A3539">
        <w:rPr>
          <w:lang w:val="en-CA"/>
        </w:rPr>
        <w:t xml:space="preserve">termine </w:t>
      </w:r>
      <w:r w:rsidR="00B93B34" w:rsidRPr="000A3539">
        <w:rPr>
          <w:lang w:val="en-CA"/>
        </w:rPr>
        <w:t xml:space="preserve">their </w:t>
      </w:r>
      <w:r w:rsidR="00D76132" w:rsidRPr="000A3539">
        <w:rPr>
          <w:lang w:val="en-CA"/>
        </w:rPr>
        <w:t xml:space="preserve">indemnity </w:t>
      </w:r>
      <w:r w:rsidR="00B93B34" w:rsidRPr="000A3539">
        <w:rPr>
          <w:lang w:val="en-CA"/>
        </w:rPr>
        <w:t xml:space="preserve">were relevant </w:t>
      </w:r>
      <w:r w:rsidR="00D76132" w:rsidRPr="000A3539">
        <w:rPr>
          <w:lang w:val="en-CA"/>
        </w:rPr>
        <w:t xml:space="preserve">distinctions </w:t>
      </w:r>
      <w:r w:rsidR="00906094">
        <w:rPr>
          <w:lang w:val="en-CA"/>
        </w:rPr>
        <w:t>according to</w:t>
      </w:r>
      <w:r w:rsidR="00B93B34" w:rsidRPr="000A3539">
        <w:rPr>
          <w:lang w:val="en-CA"/>
        </w:rPr>
        <w:t xml:space="preserve"> the purpose of the </w:t>
      </w:r>
      <w:r w:rsidR="00D76132" w:rsidRPr="000A3539">
        <w:rPr>
          <w:i/>
          <w:lang w:val="en-CA"/>
        </w:rPr>
        <w:t>Act</w:t>
      </w:r>
      <w:r w:rsidR="00D76132" w:rsidRPr="000A3539">
        <w:rPr>
          <w:lang w:val="en-CA"/>
        </w:rPr>
        <w:t xml:space="preserve"> </w:t>
      </w:r>
      <w:r w:rsidR="00B93B34" w:rsidRPr="000A3539">
        <w:rPr>
          <w:lang w:val="en-CA"/>
        </w:rPr>
        <w:t xml:space="preserve">and, consequently, that level of education was not a social </w:t>
      </w:r>
      <w:r w:rsidR="00D76132" w:rsidRPr="000A3539">
        <w:rPr>
          <w:lang w:val="en-CA"/>
        </w:rPr>
        <w:t xml:space="preserve">condition </w:t>
      </w:r>
      <w:r w:rsidR="00B93B34" w:rsidRPr="000A3539">
        <w:rPr>
          <w:lang w:val="en-CA"/>
        </w:rPr>
        <w:t xml:space="preserve">in the </w:t>
      </w:r>
      <w:r w:rsidR="00D76132" w:rsidRPr="000A3539">
        <w:rPr>
          <w:lang w:val="en-CA"/>
        </w:rPr>
        <w:t>circumstances</w:t>
      </w:r>
      <w:r w:rsidR="00B93B34" w:rsidRPr="000A3539">
        <w:rPr>
          <w:lang w:val="en-CA"/>
        </w:rPr>
        <w:t>.</w:t>
      </w:r>
      <w:r w:rsidR="00D76132" w:rsidRPr="000A3539">
        <w:rPr>
          <w:vertAlign w:val="superscript"/>
          <w:lang w:val="en-CA"/>
        </w:rPr>
        <w:footnoteReference w:id="89"/>
      </w:r>
      <w:r w:rsidR="00D76132" w:rsidRPr="000A3539">
        <w:rPr>
          <w:lang w:val="en-CA"/>
        </w:rPr>
        <w:t xml:space="preserve"> </w:t>
      </w:r>
      <w:r w:rsidR="00B93B34" w:rsidRPr="000A3539">
        <w:rPr>
          <w:lang w:val="en-CA"/>
        </w:rPr>
        <w:t xml:space="preserve">That </w:t>
      </w:r>
      <w:r w:rsidR="00D76132" w:rsidRPr="000A3539">
        <w:rPr>
          <w:lang w:val="en-CA"/>
        </w:rPr>
        <w:t>decision</w:t>
      </w:r>
      <w:r w:rsidR="00B93B34" w:rsidRPr="000A3539">
        <w:rPr>
          <w:lang w:val="en-CA"/>
        </w:rPr>
        <w:t xml:space="preserve"> was reversed by the </w:t>
      </w:r>
      <w:r w:rsidR="00D76132" w:rsidRPr="000A3539">
        <w:rPr>
          <w:lang w:val="en-CA"/>
        </w:rPr>
        <w:t>Superior</w:t>
      </w:r>
      <w:r w:rsidR="00B93B34" w:rsidRPr="000A3539">
        <w:rPr>
          <w:lang w:val="en-CA"/>
        </w:rPr>
        <w:t xml:space="preserve"> </w:t>
      </w:r>
      <w:r w:rsidR="00D76132" w:rsidRPr="000A3539">
        <w:rPr>
          <w:lang w:val="en-CA"/>
        </w:rPr>
        <w:t>Court</w:t>
      </w:r>
      <w:r w:rsidR="00B93B34" w:rsidRPr="000A3539">
        <w:rPr>
          <w:lang w:val="en-CA"/>
        </w:rPr>
        <w:t>,</w:t>
      </w:r>
      <w:r w:rsidR="00D76132" w:rsidRPr="000A3539">
        <w:rPr>
          <w:vertAlign w:val="superscript"/>
          <w:lang w:val="en-CA"/>
        </w:rPr>
        <w:footnoteReference w:id="90"/>
      </w:r>
      <w:r w:rsidR="00B93B34" w:rsidRPr="000A3539">
        <w:rPr>
          <w:lang w:val="en-CA"/>
        </w:rPr>
        <w:t xml:space="preserve"> but restored by the </w:t>
      </w:r>
      <w:r w:rsidR="00D76132" w:rsidRPr="000A3539">
        <w:rPr>
          <w:lang w:val="en-CA"/>
        </w:rPr>
        <w:t>Cour</w:t>
      </w:r>
      <w:r w:rsidR="00B93B34" w:rsidRPr="000A3539">
        <w:rPr>
          <w:lang w:val="en-CA"/>
        </w:rPr>
        <w:t>t of Appeal,</w:t>
      </w:r>
      <w:r w:rsidR="00D76132" w:rsidRPr="000A3539">
        <w:rPr>
          <w:vertAlign w:val="superscript"/>
          <w:lang w:val="en-CA"/>
        </w:rPr>
        <w:footnoteReference w:id="91"/>
      </w:r>
      <w:r w:rsidR="00B93B34" w:rsidRPr="000A3539">
        <w:rPr>
          <w:lang w:val="en-CA"/>
        </w:rPr>
        <w:t xml:space="preserve"> which did not provide reasons for its </w:t>
      </w:r>
      <w:r w:rsidR="00D76132" w:rsidRPr="000A3539">
        <w:rPr>
          <w:lang w:val="en-CA"/>
        </w:rPr>
        <w:t>decision.</w:t>
      </w:r>
      <w:r w:rsidR="00B93B34" w:rsidRPr="000A3539">
        <w:rPr>
          <w:lang w:val="en-CA"/>
        </w:rPr>
        <w:t xml:space="preserve"> Accordingly, it is </w:t>
      </w:r>
      <w:r w:rsidR="00D76132" w:rsidRPr="000A3539">
        <w:rPr>
          <w:lang w:val="en-CA"/>
        </w:rPr>
        <w:t xml:space="preserve">impossible </w:t>
      </w:r>
      <w:r w:rsidR="003A272D" w:rsidRPr="000A3539">
        <w:rPr>
          <w:lang w:val="en-CA"/>
        </w:rPr>
        <w:t xml:space="preserve">to identify a </w:t>
      </w:r>
      <w:r w:rsidR="00D76132" w:rsidRPr="000A3539">
        <w:rPr>
          <w:i/>
          <w:lang w:val="en-CA"/>
        </w:rPr>
        <w:t>ratio </w:t>
      </w:r>
      <w:proofErr w:type="spellStart"/>
      <w:r w:rsidR="00D76132" w:rsidRPr="000A3539">
        <w:rPr>
          <w:i/>
          <w:lang w:val="en-CA"/>
        </w:rPr>
        <w:t>decidendi</w:t>
      </w:r>
      <w:proofErr w:type="spellEnd"/>
      <w:r w:rsidR="00D76132" w:rsidRPr="000A3539">
        <w:rPr>
          <w:lang w:val="en-CA"/>
        </w:rPr>
        <w:t xml:space="preserve"> </w:t>
      </w:r>
      <w:r w:rsidR="003A272D" w:rsidRPr="000A3539">
        <w:rPr>
          <w:lang w:val="en-CA"/>
        </w:rPr>
        <w:t xml:space="preserve">that would </w:t>
      </w:r>
      <w:r w:rsidR="00A613A7">
        <w:rPr>
          <w:lang w:val="en-CA"/>
        </w:rPr>
        <w:t>give it</w:t>
      </w:r>
      <w:r w:rsidR="00A613A7" w:rsidRPr="000A3539">
        <w:rPr>
          <w:lang w:val="en-CA"/>
        </w:rPr>
        <w:t xml:space="preserve"> </w:t>
      </w:r>
      <w:r w:rsidR="003A272D" w:rsidRPr="000A3539">
        <w:rPr>
          <w:lang w:val="en-CA"/>
        </w:rPr>
        <w:t>binding authority</w:t>
      </w:r>
      <w:r w:rsidR="00D76132" w:rsidRPr="000A3539">
        <w:rPr>
          <w:lang w:val="en-CA"/>
        </w:rPr>
        <w:t>.</w:t>
      </w:r>
    </w:p>
    <w:p w14:paraId="03430952" w14:textId="29CDABFE" w:rsidR="00352837" w:rsidRPr="000A3539" w:rsidRDefault="00FB45BA" w:rsidP="00352837">
      <w:pPr>
        <w:pStyle w:val="Paragraphe"/>
        <w:rPr>
          <w:lang w:val="en-CA"/>
        </w:rPr>
      </w:pPr>
      <w:r w:rsidRPr="000A3539">
        <w:rPr>
          <w:lang w:val="en-CA"/>
        </w:rPr>
        <w:lastRenderedPageBreak/>
        <w:t>While</w:t>
      </w:r>
      <w:r w:rsidR="00097B17" w:rsidRPr="000A3539">
        <w:rPr>
          <w:lang w:val="en-CA"/>
        </w:rPr>
        <w:t xml:space="preserve"> the Court’s </w:t>
      </w:r>
      <w:r w:rsidR="00D76132" w:rsidRPr="000A3539">
        <w:rPr>
          <w:lang w:val="en-CA"/>
        </w:rPr>
        <w:t>conclusion</w:t>
      </w:r>
      <w:r w:rsidR="00097B17" w:rsidRPr="000A3539">
        <w:rPr>
          <w:lang w:val="en-CA"/>
        </w:rPr>
        <w:t>s in these cases are well-founded, the method used is inappropriate for two reasons</w:t>
      </w:r>
      <w:r w:rsidR="00D76132" w:rsidRPr="000A3539">
        <w:rPr>
          <w:lang w:val="en-CA"/>
        </w:rPr>
        <w:t xml:space="preserve">. </w:t>
      </w:r>
      <w:r w:rsidR="00097B17" w:rsidRPr="000A3539">
        <w:rPr>
          <w:lang w:val="en-CA"/>
        </w:rPr>
        <w:t xml:space="preserve">First, </w:t>
      </w:r>
      <w:r w:rsidR="00FE319D">
        <w:rPr>
          <w:lang w:val="en-CA"/>
        </w:rPr>
        <w:t xml:space="preserve">given </w:t>
      </w:r>
      <w:r w:rsidR="00097B17" w:rsidRPr="000A3539">
        <w:rPr>
          <w:lang w:val="en-CA"/>
        </w:rPr>
        <w:t>the subsequent case</w:t>
      </w:r>
      <w:r w:rsidR="009A28A3" w:rsidRPr="000A3539">
        <w:rPr>
          <w:lang w:val="en-CA"/>
        </w:rPr>
        <w:t xml:space="preserve"> </w:t>
      </w:r>
      <w:r w:rsidR="00097B17" w:rsidRPr="000A3539">
        <w:rPr>
          <w:lang w:val="en-CA"/>
        </w:rPr>
        <w:t xml:space="preserve">law of the </w:t>
      </w:r>
      <w:r w:rsidR="00D76132" w:rsidRPr="000A3539">
        <w:rPr>
          <w:lang w:val="en-CA"/>
        </w:rPr>
        <w:t>Supreme</w:t>
      </w:r>
      <w:r w:rsidR="00097B17" w:rsidRPr="000A3539">
        <w:rPr>
          <w:lang w:val="en-CA"/>
        </w:rPr>
        <w:t xml:space="preserve"> </w:t>
      </w:r>
      <w:r w:rsidR="00D76132" w:rsidRPr="000A3539">
        <w:rPr>
          <w:lang w:val="en-CA"/>
        </w:rPr>
        <w:t>Court</w:t>
      </w:r>
      <w:r w:rsidR="00097B17" w:rsidRPr="000A3539">
        <w:rPr>
          <w:lang w:val="en-CA"/>
        </w:rPr>
        <w:t xml:space="preserve"> in</w:t>
      </w:r>
      <w:r w:rsidR="00010139" w:rsidRPr="000A3539">
        <w:rPr>
          <w:lang w:val="en-CA"/>
        </w:rPr>
        <w:t xml:space="preserve"> matters of r</w:t>
      </w:r>
      <w:r w:rsidR="00D76132" w:rsidRPr="000A3539">
        <w:rPr>
          <w:lang w:val="en-CA"/>
        </w:rPr>
        <w:t>ights</w:t>
      </w:r>
      <w:r w:rsidR="00010139" w:rsidRPr="000A3539">
        <w:rPr>
          <w:lang w:val="en-CA"/>
        </w:rPr>
        <w:t xml:space="preserve"> </w:t>
      </w:r>
      <w:r w:rsidR="00D76132" w:rsidRPr="000A3539">
        <w:rPr>
          <w:lang w:val="en-CA"/>
        </w:rPr>
        <w:t>and</w:t>
      </w:r>
      <w:r w:rsidR="00010139" w:rsidRPr="000A3539">
        <w:rPr>
          <w:lang w:val="en-CA"/>
        </w:rPr>
        <w:t xml:space="preserve"> </w:t>
      </w:r>
      <w:r w:rsidR="00D76132" w:rsidRPr="000A3539">
        <w:rPr>
          <w:lang w:val="en-CA"/>
        </w:rPr>
        <w:t>freedoms</w:t>
      </w:r>
      <w:r w:rsidR="00D13C14" w:rsidRPr="000A3539">
        <w:rPr>
          <w:lang w:val="en-CA"/>
        </w:rPr>
        <w:t xml:space="preserve">, the </w:t>
      </w:r>
      <w:r w:rsidR="00DC430C" w:rsidRPr="00DC430C">
        <w:rPr>
          <w:i/>
          <w:lang w:val="en-CA"/>
        </w:rPr>
        <w:t>Quebec Charter</w:t>
      </w:r>
      <w:r w:rsidR="00D13C14" w:rsidRPr="000A3539">
        <w:rPr>
          <w:i/>
          <w:lang w:val="en-CA"/>
        </w:rPr>
        <w:t xml:space="preserve"> </w:t>
      </w:r>
      <w:r w:rsidR="00D13C14" w:rsidRPr="000A3539">
        <w:rPr>
          <w:lang w:val="en-CA"/>
        </w:rPr>
        <w:t xml:space="preserve">must be given a </w:t>
      </w:r>
      <w:r w:rsidR="00D76132" w:rsidRPr="000A3539">
        <w:rPr>
          <w:lang w:val="en-CA"/>
        </w:rPr>
        <w:t>large</w:t>
      </w:r>
      <w:r w:rsidR="00D13C14" w:rsidRPr="000A3539">
        <w:rPr>
          <w:lang w:val="en-CA"/>
        </w:rPr>
        <w:t xml:space="preserve"> </w:t>
      </w:r>
      <w:r w:rsidR="00D76132" w:rsidRPr="000A3539">
        <w:rPr>
          <w:lang w:val="en-CA"/>
        </w:rPr>
        <w:t>and</w:t>
      </w:r>
      <w:r w:rsidR="00D13C14" w:rsidRPr="000A3539">
        <w:rPr>
          <w:lang w:val="en-CA"/>
        </w:rPr>
        <w:t xml:space="preserve"> </w:t>
      </w:r>
      <w:r w:rsidR="00D76132" w:rsidRPr="000A3539">
        <w:rPr>
          <w:lang w:val="en-CA"/>
        </w:rPr>
        <w:t>liberal</w:t>
      </w:r>
      <w:r w:rsidR="00D13C14" w:rsidRPr="000A3539">
        <w:rPr>
          <w:lang w:val="en-CA"/>
        </w:rPr>
        <w:t xml:space="preserve"> </w:t>
      </w:r>
      <w:r w:rsidR="00D76132" w:rsidRPr="000A3539">
        <w:rPr>
          <w:lang w:val="en-CA"/>
        </w:rPr>
        <w:t>interpretation</w:t>
      </w:r>
      <w:r w:rsidR="00D13C14" w:rsidRPr="000A3539">
        <w:rPr>
          <w:lang w:val="en-CA"/>
        </w:rPr>
        <w:t>.</w:t>
      </w:r>
      <w:r w:rsidR="00D76132" w:rsidRPr="000A3539">
        <w:rPr>
          <w:vertAlign w:val="superscript"/>
          <w:lang w:val="en-CA"/>
        </w:rPr>
        <w:footnoteReference w:id="92"/>
      </w:r>
      <w:r w:rsidR="00D13C14" w:rsidRPr="000A3539">
        <w:rPr>
          <w:lang w:val="en-CA"/>
        </w:rPr>
        <w:t xml:space="preserve"> Second, a</w:t>
      </w:r>
      <w:r w:rsidR="00E10B87" w:rsidRPr="000A3539">
        <w:rPr>
          <w:lang w:val="en-CA"/>
        </w:rPr>
        <w:t>nd</w:t>
      </w:r>
      <w:r w:rsidR="00D13C14" w:rsidRPr="000A3539">
        <w:rPr>
          <w:lang w:val="en-CA"/>
        </w:rPr>
        <w:t xml:space="preserve"> this is </w:t>
      </w:r>
      <w:r w:rsidR="009A28A3" w:rsidRPr="000A3539">
        <w:rPr>
          <w:lang w:val="en-CA"/>
        </w:rPr>
        <w:t xml:space="preserve">the </w:t>
      </w:r>
      <w:r w:rsidR="00D13C14" w:rsidRPr="000A3539">
        <w:rPr>
          <w:lang w:val="en-CA"/>
        </w:rPr>
        <w:t>f</w:t>
      </w:r>
      <w:r w:rsidR="00D76132" w:rsidRPr="000A3539">
        <w:rPr>
          <w:lang w:val="en-CA"/>
        </w:rPr>
        <w:t>undamental</w:t>
      </w:r>
      <w:r w:rsidR="009A28A3" w:rsidRPr="000A3539">
        <w:rPr>
          <w:lang w:val="en-CA"/>
        </w:rPr>
        <w:t xml:space="preserve"> point</w:t>
      </w:r>
      <w:r w:rsidR="00D13C14" w:rsidRPr="000A3539">
        <w:rPr>
          <w:lang w:val="en-CA"/>
        </w:rPr>
        <w:t>, these cases</w:t>
      </w:r>
      <w:r w:rsidR="00E10B87" w:rsidRPr="000A3539">
        <w:rPr>
          <w:lang w:val="en-CA"/>
        </w:rPr>
        <w:t xml:space="preserve"> unduly </w:t>
      </w:r>
      <w:r w:rsidR="00D76132" w:rsidRPr="000A3539">
        <w:rPr>
          <w:lang w:val="en-CA"/>
        </w:rPr>
        <w:t>introdu</w:t>
      </w:r>
      <w:r w:rsidR="00E10B87" w:rsidRPr="000A3539">
        <w:rPr>
          <w:lang w:val="en-CA"/>
        </w:rPr>
        <w:t xml:space="preserve">ced the </w:t>
      </w:r>
      <w:r w:rsidR="00D76132" w:rsidRPr="000A3539">
        <w:rPr>
          <w:lang w:val="en-CA"/>
        </w:rPr>
        <w:t xml:space="preserve">notion </w:t>
      </w:r>
      <w:r w:rsidR="00E10B87" w:rsidRPr="000A3539">
        <w:rPr>
          <w:lang w:val="en-CA"/>
        </w:rPr>
        <w:t xml:space="preserve">of </w:t>
      </w:r>
      <w:r w:rsidR="00D76132" w:rsidRPr="000A3539">
        <w:rPr>
          <w:lang w:val="en-CA"/>
        </w:rPr>
        <w:t xml:space="preserve">justification </w:t>
      </w:r>
      <w:r w:rsidR="00E10B87" w:rsidRPr="000A3539">
        <w:rPr>
          <w:lang w:val="en-CA"/>
        </w:rPr>
        <w:t xml:space="preserve">at the stage of determining what </w:t>
      </w:r>
      <w:r w:rsidR="00D76132" w:rsidRPr="000A3539">
        <w:rPr>
          <w:lang w:val="en-CA"/>
        </w:rPr>
        <w:t>constitu</w:t>
      </w:r>
      <w:r w:rsidR="00E10B87" w:rsidRPr="000A3539">
        <w:rPr>
          <w:lang w:val="en-CA"/>
        </w:rPr>
        <w:t xml:space="preserve">tes </w:t>
      </w:r>
      <w:r w:rsidR="00E10B87" w:rsidRPr="000A3539">
        <w:rPr>
          <w:i/>
          <w:lang w:val="en-CA"/>
        </w:rPr>
        <w:t xml:space="preserve">prima facie </w:t>
      </w:r>
      <w:r w:rsidR="00D76132" w:rsidRPr="000A3539">
        <w:rPr>
          <w:lang w:val="en-CA"/>
        </w:rPr>
        <w:t xml:space="preserve">discrimination. </w:t>
      </w:r>
      <w:r w:rsidR="000F0B86" w:rsidRPr="000A3539">
        <w:rPr>
          <w:lang w:val="en-CA"/>
        </w:rPr>
        <w:t xml:space="preserve">The underlying purpose of a measure or its </w:t>
      </w:r>
      <w:r w:rsidR="00D76132" w:rsidRPr="000A3539">
        <w:rPr>
          <w:lang w:val="en-CA"/>
        </w:rPr>
        <w:t xml:space="preserve">justification </w:t>
      </w:r>
      <w:r w:rsidR="000F0B86" w:rsidRPr="000A3539">
        <w:rPr>
          <w:lang w:val="en-CA"/>
        </w:rPr>
        <w:t xml:space="preserve">is certainly a relevant </w:t>
      </w:r>
      <w:r w:rsidR="00D76132" w:rsidRPr="000A3539">
        <w:rPr>
          <w:lang w:val="en-CA"/>
        </w:rPr>
        <w:t>consid</w:t>
      </w:r>
      <w:r w:rsidR="000F0B86" w:rsidRPr="000A3539">
        <w:rPr>
          <w:lang w:val="en-CA"/>
        </w:rPr>
        <w:t>e</w:t>
      </w:r>
      <w:r w:rsidR="00D76132" w:rsidRPr="000A3539">
        <w:rPr>
          <w:lang w:val="en-CA"/>
        </w:rPr>
        <w:t xml:space="preserve">ration </w:t>
      </w:r>
      <w:r w:rsidR="000F0B86" w:rsidRPr="000A3539">
        <w:rPr>
          <w:lang w:val="en-CA"/>
        </w:rPr>
        <w:t xml:space="preserve">in the overall </w:t>
      </w:r>
      <w:r w:rsidR="00D76132" w:rsidRPr="000A3539">
        <w:rPr>
          <w:lang w:val="en-CA"/>
        </w:rPr>
        <w:t>analys</w:t>
      </w:r>
      <w:r w:rsidR="000F0B86" w:rsidRPr="000A3539">
        <w:rPr>
          <w:lang w:val="en-CA"/>
        </w:rPr>
        <w:t>is to de</w:t>
      </w:r>
      <w:r w:rsidR="00D76132" w:rsidRPr="000A3539">
        <w:rPr>
          <w:lang w:val="en-CA"/>
        </w:rPr>
        <w:t>termine</w:t>
      </w:r>
      <w:r w:rsidR="000F0B86" w:rsidRPr="000A3539">
        <w:rPr>
          <w:lang w:val="en-CA"/>
        </w:rPr>
        <w:t xml:space="preserve"> whether there is </w:t>
      </w:r>
      <w:r w:rsidR="00D76132" w:rsidRPr="000A3539">
        <w:rPr>
          <w:lang w:val="en-CA"/>
        </w:rPr>
        <w:t>discrimination,</w:t>
      </w:r>
      <w:r w:rsidR="000F0B86" w:rsidRPr="000A3539">
        <w:rPr>
          <w:lang w:val="en-CA"/>
        </w:rPr>
        <w:t xml:space="preserve"> but according to the </w:t>
      </w:r>
      <w:r w:rsidR="00D76132" w:rsidRPr="000A3539">
        <w:rPr>
          <w:lang w:val="en-CA"/>
        </w:rPr>
        <w:t>Supreme</w:t>
      </w:r>
      <w:r w:rsidR="000F0B86" w:rsidRPr="000A3539">
        <w:rPr>
          <w:lang w:val="en-CA"/>
        </w:rPr>
        <w:t xml:space="preserve"> </w:t>
      </w:r>
      <w:r w:rsidR="00D76132" w:rsidRPr="000A3539">
        <w:rPr>
          <w:lang w:val="en-CA"/>
        </w:rPr>
        <w:t xml:space="preserve">Court, </w:t>
      </w:r>
      <w:r w:rsidRPr="000A3539">
        <w:rPr>
          <w:lang w:val="en-CA"/>
        </w:rPr>
        <w:t xml:space="preserve">that issue is to be considered at the </w:t>
      </w:r>
      <w:r w:rsidR="00D76132" w:rsidRPr="000A3539">
        <w:rPr>
          <w:lang w:val="en-CA"/>
        </w:rPr>
        <w:t>second</w:t>
      </w:r>
      <w:r w:rsidRPr="000A3539">
        <w:rPr>
          <w:lang w:val="en-CA"/>
        </w:rPr>
        <w:t xml:space="preserve"> stage of the </w:t>
      </w:r>
      <w:r w:rsidR="00D76132" w:rsidRPr="000A3539">
        <w:rPr>
          <w:lang w:val="en-CA"/>
        </w:rPr>
        <w:t>analys</w:t>
      </w:r>
      <w:r w:rsidRPr="000A3539">
        <w:rPr>
          <w:lang w:val="en-CA"/>
        </w:rPr>
        <w:t xml:space="preserve">is, after considering the issue of </w:t>
      </w:r>
      <w:r w:rsidRPr="000A3539">
        <w:rPr>
          <w:i/>
          <w:lang w:val="en-CA"/>
        </w:rPr>
        <w:t xml:space="preserve">prima facie </w:t>
      </w:r>
      <w:r w:rsidR="00D76132" w:rsidRPr="000A3539">
        <w:rPr>
          <w:lang w:val="en-CA"/>
        </w:rPr>
        <w:t xml:space="preserve">discrimination. </w:t>
      </w:r>
      <w:r w:rsidRPr="000A3539">
        <w:rPr>
          <w:lang w:val="en-CA"/>
        </w:rPr>
        <w:t xml:space="preserve">It must be inferred that had the Supreme Court’s analysis in </w:t>
      </w:r>
      <w:r w:rsidR="00D76132" w:rsidRPr="000A3539">
        <w:rPr>
          <w:i/>
          <w:lang w:val="en-CA"/>
        </w:rPr>
        <w:t>Bombardier</w:t>
      </w:r>
      <w:r w:rsidR="00D76132" w:rsidRPr="000A3539">
        <w:rPr>
          <w:lang w:val="en-CA"/>
        </w:rPr>
        <w:t xml:space="preserve"> </w:t>
      </w:r>
      <w:r w:rsidRPr="000A3539">
        <w:rPr>
          <w:lang w:val="en-CA"/>
        </w:rPr>
        <w:t xml:space="preserve">been known, the </w:t>
      </w:r>
      <w:r w:rsidR="00D76132" w:rsidRPr="000A3539">
        <w:rPr>
          <w:lang w:val="en-CA"/>
        </w:rPr>
        <w:t>Court</w:t>
      </w:r>
      <w:r w:rsidRPr="000A3539">
        <w:rPr>
          <w:lang w:val="en-CA"/>
        </w:rPr>
        <w:t xml:space="preserve"> should have first found that there was </w:t>
      </w:r>
      <w:r w:rsidRPr="000A3539">
        <w:rPr>
          <w:i/>
          <w:lang w:val="en-CA"/>
        </w:rPr>
        <w:t xml:space="preserve">prima facie </w:t>
      </w:r>
      <w:r w:rsidR="00D76132" w:rsidRPr="000A3539">
        <w:rPr>
          <w:lang w:val="en-CA"/>
        </w:rPr>
        <w:t>discrimination</w:t>
      </w:r>
      <w:r w:rsidR="009A28A3" w:rsidRPr="000A3539">
        <w:rPr>
          <w:lang w:val="en-CA"/>
        </w:rPr>
        <w:t xml:space="preserve"> and then that it was </w:t>
      </w:r>
      <w:r w:rsidR="00D76132" w:rsidRPr="000A3539">
        <w:rPr>
          <w:lang w:val="en-CA"/>
        </w:rPr>
        <w:t>justifi</w:t>
      </w:r>
      <w:r w:rsidR="009A28A3" w:rsidRPr="000A3539">
        <w:rPr>
          <w:lang w:val="en-CA"/>
        </w:rPr>
        <w:t xml:space="preserve">ed by the </w:t>
      </w:r>
      <w:r w:rsidR="00D76132" w:rsidRPr="000A3539">
        <w:rPr>
          <w:lang w:val="en-CA"/>
        </w:rPr>
        <w:t>circumstances</w:t>
      </w:r>
      <w:r w:rsidR="009A28A3" w:rsidRPr="000A3539">
        <w:rPr>
          <w:lang w:val="en-CA"/>
        </w:rPr>
        <w:t xml:space="preserve"> of the case</w:t>
      </w:r>
      <w:r w:rsidR="00D76132" w:rsidRPr="000A3539">
        <w:rPr>
          <w:lang w:val="en-CA"/>
        </w:rPr>
        <w:t xml:space="preserve">. </w:t>
      </w:r>
    </w:p>
    <w:p w14:paraId="3DC94915" w14:textId="1392D79A" w:rsidR="00352837" w:rsidRPr="000A3539" w:rsidRDefault="000A573A" w:rsidP="00352837">
      <w:pPr>
        <w:pStyle w:val="Paragraphe"/>
        <w:rPr>
          <w:lang w:val="en-CA"/>
        </w:rPr>
      </w:pPr>
      <w:r w:rsidRPr="000A3539">
        <w:rPr>
          <w:lang w:val="en-CA"/>
        </w:rPr>
        <w:t>For example, the de</w:t>
      </w:r>
      <w:r w:rsidR="00D76132" w:rsidRPr="000A3539">
        <w:rPr>
          <w:lang w:val="en-CA"/>
        </w:rPr>
        <w:t>finition</w:t>
      </w:r>
      <w:r w:rsidRPr="000A3539">
        <w:rPr>
          <w:lang w:val="en-CA"/>
        </w:rPr>
        <w:t>s of “</w:t>
      </w:r>
      <w:r w:rsidR="00D76132" w:rsidRPr="000A3539">
        <w:rPr>
          <w:lang w:val="en-CA"/>
        </w:rPr>
        <w:t>political</w:t>
      </w:r>
      <w:r w:rsidRPr="000A3539">
        <w:rPr>
          <w:lang w:val="en-CA"/>
        </w:rPr>
        <w:t xml:space="preserve"> </w:t>
      </w:r>
      <w:r w:rsidR="00D76132" w:rsidRPr="000A3539">
        <w:rPr>
          <w:lang w:val="en-CA"/>
        </w:rPr>
        <w:t>conviction</w:t>
      </w:r>
      <w:r w:rsidRPr="000A3539">
        <w:rPr>
          <w:lang w:val="en-CA"/>
        </w:rPr>
        <w:t>”</w:t>
      </w:r>
      <w:r w:rsidR="00D76132" w:rsidRPr="000A3539">
        <w:rPr>
          <w:lang w:val="en-CA"/>
        </w:rPr>
        <w:t>,</w:t>
      </w:r>
      <w:r w:rsidRPr="000A3539">
        <w:rPr>
          <w:lang w:val="en-CA"/>
        </w:rPr>
        <w:t xml:space="preserve"> “</w:t>
      </w:r>
      <w:r w:rsidR="00FC3354" w:rsidRPr="000A3539">
        <w:rPr>
          <w:lang w:val="en-CA"/>
        </w:rPr>
        <w:t>ethnic</w:t>
      </w:r>
      <w:r w:rsidRPr="000A3539">
        <w:rPr>
          <w:lang w:val="en-CA"/>
        </w:rPr>
        <w:t xml:space="preserve"> origin”, or “gender expression” </w:t>
      </w:r>
      <w:r w:rsidR="00D76132" w:rsidRPr="000A3539">
        <w:rPr>
          <w:lang w:val="en-CA"/>
        </w:rPr>
        <w:t>within</w:t>
      </w:r>
      <w:r w:rsidRPr="000A3539">
        <w:rPr>
          <w:lang w:val="en-CA"/>
        </w:rPr>
        <w:t xml:space="preserve"> </w:t>
      </w:r>
      <w:r w:rsidR="00D76132" w:rsidRPr="000A3539">
        <w:rPr>
          <w:lang w:val="en-CA"/>
        </w:rPr>
        <w:t>the</w:t>
      </w:r>
      <w:r w:rsidRPr="000A3539">
        <w:rPr>
          <w:lang w:val="en-CA"/>
        </w:rPr>
        <w:t xml:space="preserve"> </w:t>
      </w:r>
      <w:r w:rsidR="00D76132" w:rsidRPr="000A3539">
        <w:rPr>
          <w:lang w:val="en-CA"/>
        </w:rPr>
        <w:t>meaning</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 xml:space="preserve">section 10 </w:t>
      </w:r>
      <w:r w:rsidRPr="000A3539">
        <w:rPr>
          <w:lang w:val="en-CA"/>
        </w:rPr>
        <w:t xml:space="preserve">of the </w:t>
      </w:r>
      <w:r w:rsidR="00DC430C" w:rsidRPr="00DC430C">
        <w:rPr>
          <w:i/>
          <w:lang w:val="en-CA"/>
        </w:rPr>
        <w:t>Quebec Charter</w:t>
      </w:r>
      <w:r w:rsidR="00D76132" w:rsidRPr="000A3539">
        <w:rPr>
          <w:lang w:val="en-CA"/>
        </w:rPr>
        <w:t xml:space="preserve"> </w:t>
      </w:r>
      <w:r w:rsidR="00877FA5">
        <w:rPr>
          <w:lang w:val="en-CA"/>
        </w:rPr>
        <w:t>are</w:t>
      </w:r>
      <w:r w:rsidRPr="000A3539">
        <w:rPr>
          <w:lang w:val="en-CA"/>
        </w:rPr>
        <w:t xml:space="preserve"> not depend</w:t>
      </w:r>
      <w:r w:rsidR="00162C6E">
        <w:rPr>
          <w:lang w:val="en-CA"/>
        </w:rPr>
        <w:t>e</w:t>
      </w:r>
      <w:r w:rsidRPr="000A3539">
        <w:rPr>
          <w:lang w:val="en-CA"/>
        </w:rPr>
        <w:t>nt o</w:t>
      </w:r>
      <w:r w:rsidR="00877FA5">
        <w:rPr>
          <w:lang w:val="en-CA"/>
        </w:rPr>
        <w:t>n</w:t>
      </w:r>
      <w:r w:rsidRPr="000A3539">
        <w:rPr>
          <w:lang w:val="en-CA"/>
        </w:rPr>
        <w:t xml:space="preserve"> the j</w:t>
      </w:r>
      <w:r w:rsidR="00D76132" w:rsidRPr="000A3539">
        <w:rPr>
          <w:lang w:val="en-CA"/>
        </w:rPr>
        <w:t xml:space="preserve">ustification </w:t>
      </w:r>
      <w:r w:rsidRPr="000A3539">
        <w:rPr>
          <w:lang w:val="en-CA"/>
        </w:rPr>
        <w:t xml:space="preserve">invoked by a </w:t>
      </w:r>
      <w:r w:rsidR="00D76132" w:rsidRPr="000A3539">
        <w:rPr>
          <w:lang w:val="en-CA"/>
        </w:rPr>
        <w:t>defendant</w:t>
      </w:r>
      <w:r w:rsidRPr="000A3539">
        <w:rPr>
          <w:lang w:val="en-CA"/>
        </w:rPr>
        <w:t xml:space="preserve"> to explain his or her conduct. Similarly, the reasons invoked to </w:t>
      </w:r>
      <w:r w:rsidR="00D76132" w:rsidRPr="000A3539">
        <w:rPr>
          <w:lang w:val="en-CA"/>
        </w:rPr>
        <w:t>justif</w:t>
      </w:r>
      <w:r w:rsidRPr="000A3539">
        <w:rPr>
          <w:lang w:val="en-CA"/>
        </w:rPr>
        <w:t xml:space="preserve">y the </w:t>
      </w:r>
      <w:r w:rsidR="00D76132" w:rsidRPr="000A3539">
        <w:rPr>
          <w:lang w:val="en-CA"/>
        </w:rPr>
        <w:t xml:space="preserve">distinction </w:t>
      </w:r>
      <w:r w:rsidRPr="000A3539">
        <w:rPr>
          <w:lang w:val="en-CA"/>
        </w:rPr>
        <w:t xml:space="preserve">established by the </w:t>
      </w:r>
      <w:r w:rsidRPr="000A3539">
        <w:rPr>
          <w:i/>
          <w:lang w:val="en-CA"/>
        </w:rPr>
        <w:t>Social Aid Act</w:t>
      </w:r>
      <w:r w:rsidR="00D76132" w:rsidRPr="000A3539">
        <w:rPr>
          <w:vertAlign w:val="superscript"/>
          <w:lang w:val="en-CA"/>
        </w:rPr>
        <w:footnoteReference w:id="93"/>
      </w:r>
      <w:r w:rsidR="00D76132" w:rsidRPr="000A3539">
        <w:rPr>
          <w:lang w:val="en-CA"/>
        </w:rPr>
        <w:t xml:space="preserve"> </w:t>
      </w:r>
      <w:r w:rsidRPr="000A3539">
        <w:rPr>
          <w:lang w:val="en-CA"/>
        </w:rPr>
        <w:t xml:space="preserve">between </w:t>
      </w:r>
      <w:r w:rsidR="00D76132" w:rsidRPr="000A3539">
        <w:rPr>
          <w:lang w:val="en-CA"/>
        </w:rPr>
        <w:t>persons</w:t>
      </w:r>
      <w:r w:rsidRPr="000A3539">
        <w:rPr>
          <w:lang w:val="en-CA"/>
        </w:rPr>
        <w:t xml:space="preserve"> who are students and those who are not should not have led the </w:t>
      </w:r>
      <w:r w:rsidR="00D76132" w:rsidRPr="000A3539">
        <w:rPr>
          <w:lang w:val="en-CA"/>
        </w:rPr>
        <w:t>Court</w:t>
      </w:r>
      <w:r w:rsidRPr="000A3539">
        <w:rPr>
          <w:lang w:val="en-CA"/>
        </w:rPr>
        <w:t xml:space="preserve"> to conclude that being a student was not</w:t>
      </w:r>
      <w:r w:rsidR="007E4ECD" w:rsidRPr="000A3539">
        <w:rPr>
          <w:lang w:val="en-CA"/>
        </w:rPr>
        <w:t xml:space="preserve"> a social </w:t>
      </w:r>
      <w:r w:rsidR="00D76132" w:rsidRPr="000A3539">
        <w:rPr>
          <w:lang w:val="en-CA"/>
        </w:rPr>
        <w:t>condition.</w:t>
      </w:r>
      <w:r w:rsidR="007E4ECD" w:rsidRPr="000A3539">
        <w:rPr>
          <w:lang w:val="en-CA"/>
        </w:rPr>
        <w:t xml:space="preserve"> These reasons instead show that the </w:t>
      </w:r>
      <w:r w:rsidR="00D76132" w:rsidRPr="000A3539">
        <w:rPr>
          <w:lang w:val="en-CA"/>
        </w:rPr>
        <w:t xml:space="preserve">distinction, </w:t>
      </w:r>
      <w:r w:rsidR="00877FA5">
        <w:rPr>
          <w:lang w:val="en-CA"/>
        </w:rPr>
        <w:t>although</w:t>
      </w:r>
      <w:r w:rsidR="007E4ECD" w:rsidRPr="000A3539">
        <w:rPr>
          <w:lang w:val="en-CA"/>
        </w:rPr>
        <w:t xml:space="preserve"> based on student status, which is included in the concept of social </w:t>
      </w:r>
      <w:r w:rsidR="00D76132" w:rsidRPr="000A3539">
        <w:rPr>
          <w:lang w:val="en-CA"/>
        </w:rPr>
        <w:t>condition</w:t>
      </w:r>
      <w:r w:rsidR="007E4ECD" w:rsidRPr="000A3539">
        <w:rPr>
          <w:lang w:val="en-CA"/>
        </w:rPr>
        <w:t xml:space="preserve">, is </w:t>
      </w:r>
      <w:r w:rsidR="00D76132" w:rsidRPr="000A3539">
        <w:rPr>
          <w:lang w:val="en-CA"/>
        </w:rPr>
        <w:t>justifi</w:t>
      </w:r>
      <w:r w:rsidR="007E4ECD" w:rsidRPr="000A3539">
        <w:rPr>
          <w:lang w:val="en-CA"/>
        </w:rPr>
        <w:t>ed</w:t>
      </w:r>
      <w:r w:rsidR="00D76132" w:rsidRPr="000A3539">
        <w:rPr>
          <w:lang w:val="en-CA"/>
        </w:rPr>
        <w:t>.</w:t>
      </w:r>
    </w:p>
    <w:p w14:paraId="6E05909B" w14:textId="53B28B0F" w:rsidR="00352837" w:rsidRPr="000A3539" w:rsidRDefault="005D2F09" w:rsidP="00352837">
      <w:pPr>
        <w:pStyle w:val="Paragraphe"/>
        <w:rPr>
          <w:lang w:val="en-CA"/>
        </w:rPr>
      </w:pPr>
      <w:r w:rsidRPr="000A3539">
        <w:rPr>
          <w:lang w:val="en-CA"/>
        </w:rPr>
        <w:t xml:space="preserve">In this regard, the following remarks </w:t>
      </w:r>
      <w:r w:rsidR="00EF7377" w:rsidRPr="000A3539">
        <w:rPr>
          <w:lang w:val="en-CA"/>
        </w:rPr>
        <w:t xml:space="preserve">of </w:t>
      </w:r>
      <w:r w:rsidR="00D76132" w:rsidRPr="000A3539">
        <w:rPr>
          <w:lang w:val="en-CA"/>
        </w:rPr>
        <w:t xml:space="preserve">Professor </w:t>
      </w:r>
      <w:proofErr w:type="spellStart"/>
      <w:r w:rsidR="00D76132" w:rsidRPr="000A3539">
        <w:rPr>
          <w:lang w:val="en-CA"/>
        </w:rPr>
        <w:t>Proulx</w:t>
      </w:r>
      <w:proofErr w:type="spellEnd"/>
      <w:r w:rsidR="00D76132" w:rsidRPr="000A3539">
        <w:rPr>
          <w:lang w:val="en-CA"/>
        </w:rPr>
        <w:t xml:space="preserve"> </w:t>
      </w:r>
      <w:r w:rsidR="00EF7377" w:rsidRPr="000A3539">
        <w:rPr>
          <w:lang w:val="en-CA"/>
        </w:rPr>
        <w:t xml:space="preserve">are </w:t>
      </w:r>
      <w:r w:rsidR="003C3B94">
        <w:rPr>
          <w:lang w:val="en-CA"/>
        </w:rPr>
        <w:t>accurate</w:t>
      </w:r>
      <w:r w:rsidR="00D76132" w:rsidRPr="000A3539">
        <w:rPr>
          <w:lang w:val="en-CA"/>
        </w:rPr>
        <w:t xml:space="preserve">. </w:t>
      </w:r>
      <w:r w:rsidR="00EF7377" w:rsidRPr="000A3539">
        <w:rPr>
          <w:lang w:val="en-CA"/>
        </w:rPr>
        <w:t xml:space="preserve">He explains that </w:t>
      </w:r>
      <w:r w:rsidR="000651CF" w:rsidRPr="000A3539">
        <w:rPr>
          <w:lang w:val="en-CA"/>
        </w:rPr>
        <w:t xml:space="preserve">the </w:t>
      </w:r>
      <w:r w:rsidR="00D76132" w:rsidRPr="000A3539">
        <w:rPr>
          <w:lang w:val="en-CA"/>
        </w:rPr>
        <w:t xml:space="preserve">justification </w:t>
      </w:r>
      <w:r w:rsidR="000651CF" w:rsidRPr="000A3539">
        <w:rPr>
          <w:lang w:val="en-CA"/>
        </w:rPr>
        <w:t xml:space="preserve">for a measure is </w:t>
      </w:r>
      <w:r w:rsidR="00D76132" w:rsidRPr="000A3539">
        <w:rPr>
          <w:lang w:val="en-CA"/>
        </w:rPr>
        <w:t>inadmissible</w:t>
      </w:r>
      <w:r w:rsidR="000651CF" w:rsidRPr="000A3539">
        <w:rPr>
          <w:lang w:val="en-CA"/>
        </w:rPr>
        <w:t xml:space="preserve"> at the </w:t>
      </w:r>
      <w:r w:rsidR="00D76132" w:rsidRPr="000A3539">
        <w:rPr>
          <w:lang w:val="en-CA"/>
        </w:rPr>
        <w:t>first</w:t>
      </w:r>
      <w:r w:rsidR="000651CF" w:rsidRPr="000A3539">
        <w:rPr>
          <w:lang w:val="en-CA"/>
        </w:rPr>
        <w:t xml:space="preserve"> stage of the </w:t>
      </w:r>
      <w:r w:rsidR="00D76132" w:rsidRPr="000A3539">
        <w:rPr>
          <w:lang w:val="en-CA"/>
        </w:rPr>
        <w:t>analys</w:t>
      </w:r>
      <w:r w:rsidR="000651CF" w:rsidRPr="000A3539">
        <w:rPr>
          <w:lang w:val="en-CA"/>
        </w:rPr>
        <w:t xml:space="preserve">is of </w:t>
      </w:r>
      <w:r w:rsidR="000651CF" w:rsidRPr="000A3539">
        <w:rPr>
          <w:i/>
          <w:lang w:val="en-CA"/>
        </w:rPr>
        <w:t xml:space="preserve">prima facie </w:t>
      </w:r>
      <w:r w:rsidR="00D76132" w:rsidRPr="000A3539">
        <w:rPr>
          <w:lang w:val="en-CA"/>
        </w:rPr>
        <w:t xml:space="preserve">discrimination </w:t>
      </w:r>
      <w:r w:rsidR="000651CF" w:rsidRPr="000A3539">
        <w:rPr>
          <w:lang w:val="en-CA"/>
        </w:rPr>
        <w:t xml:space="preserve">where the only relevant issue is whether the </w:t>
      </w:r>
      <w:r w:rsidR="00D76132" w:rsidRPr="000A3539">
        <w:rPr>
          <w:lang w:val="en-CA"/>
        </w:rPr>
        <w:t>prohibited</w:t>
      </w:r>
      <w:r w:rsidR="000651CF" w:rsidRPr="000A3539">
        <w:rPr>
          <w:lang w:val="en-CA"/>
        </w:rPr>
        <w:t xml:space="preserve"> </w:t>
      </w:r>
      <w:r w:rsidR="00D76132" w:rsidRPr="000A3539">
        <w:rPr>
          <w:lang w:val="en-CA"/>
        </w:rPr>
        <w:t>ground</w:t>
      </w:r>
      <w:r w:rsidR="000651CF" w:rsidRPr="000A3539">
        <w:rPr>
          <w:lang w:val="en-CA"/>
        </w:rPr>
        <w:t xml:space="preserve"> was a</w:t>
      </w:r>
      <w:r w:rsidR="00D76132" w:rsidRPr="000A3539">
        <w:rPr>
          <w:lang w:val="en-CA"/>
        </w:rPr>
        <w:t xml:space="preserve"> fact</w:t>
      </w:r>
      <w:r w:rsidR="000651CF" w:rsidRPr="000A3539">
        <w:rPr>
          <w:lang w:val="en-CA"/>
        </w:rPr>
        <w:t xml:space="preserve">or in the impugned </w:t>
      </w:r>
      <w:r w:rsidR="00D76132" w:rsidRPr="000A3539">
        <w:rPr>
          <w:lang w:val="en-CA"/>
        </w:rPr>
        <w:t>decision:</w:t>
      </w:r>
    </w:p>
    <w:p w14:paraId="15075C65" w14:textId="22D29A63" w:rsidR="000651CF" w:rsidRPr="000A3539" w:rsidRDefault="000651CF" w:rsidP="00352837">
      <w:pPr>
        <w:spacing w:before="120" w:after="120"/>
        <w:ind w:left="720" w:right="720"/>
        <w:jc w:val="both"/>
        <w:rPr>
          <w:kern w:val="24"/>
          <w:sz w:val="22"/>
          <w:lang w:val="en-CA"/>
        </w:rPr>
      </w:pPr>
      <w:r w:rsidRPr="000A3539">
        <w:rPr>
          <w:kern w:val="24"/>
          <w:sz w:val="22"/>
          <w:lang w:val="en-CA"/>
        </w:rPr>
        <w:t>[</w:t>
      </w:r>
      <w:r w:rsidRPr="000A3539">
        <w:rPr>
          <w:smallCaps/>
          <w:kern w:val="24"/>
          <w:sz w:val="22"/>
          <w:lang w:val="en-CA"/>
        </w:rPr>
        <w:t>translation</w:t>
      </w:r>
      <w:r w:rsidRPr="000A3539">
        <w:rPr>
          <w:kern w:val="24"/>
          <w:sz w:val="22"/>
          <w:lang w:val="en-CA"/>
        </w:rPr>
        <w:t>]</w:t>
      </w:r>
    </w:p>
    <w:p w14:paraId="66898351" w14:textId="17E0B32A" w:rsidR="00352837" w:rsidRPr="000A3539" w:rsidRDefault="006006B1" w:rsidP="00352837">
      <w:pPr>
        <w:spacing w:before="120" w:after="120"/>
        <w:ind w:left="720" w:right="720"/>
        <w:jc w:val="both"/>
        <w:rPr>
          <w:kern w:val="24"/>
          <w:sz w:val="22"/>
          <w:lang w:val="en-CA"/>
        </w:rPr>
      </w:pPr>
      <w:r w:rsidRPr="000A3539">
        <w:rPr>
          <w:kern w:val="24"/>
          <w:sz w:val="22"/>
          <w:lang w:val="en-CA"/>
        </w:rPr>
        <w:t>T</w:t>
      </w:r>
      <w:r w:rsidR="00D76132" w:rsidRPr="000A3539">
        <w:rPr>
          <w:kern w:val="24"/>
          <w:sz w:val="22"/>
          <w:lang w:val="en-CA"/>
        </w:rPr>
        <w:t>hat</w:t>
      </w:r>
      <w:r w:rsidRPr="000A3539">
        <w:rPr>
          <w:kern w:val="24"/>
          <w:sz w:val="22"/>
          <w:lang w:val="en-CA"/>
        </w:rPr>
        <w:t xml:space="preserve"> </w:t>
      </w:r>
      <w:r w:rsidR="00D76132" w:rsidRPr="000A3539">
        <w:rPr>
          <w:kern w:val="24"/>
          <w:sz w:val="22"/>
          <w:lang w:val="en-CA"/>
        </w:rPr>
        <w:t>being</w:t>
      </w:r>
      <w:r w:rsidRPr="000A3539">
        <w:rPr>
          <w:kern w:val="24"/>
          <w:sz w:val="22"/>
          <w:lang w:val="en-CA"/>
        </w:rPr>
        <w:t xml:space="preserve"> </w:t>
      </w:r>
      <w:r w:rsidR="00D76132" w:rsidRPr="000A3539">
        <w:rPr>
          <w:kern w:val="24"/>
          <w:sz w:val="22"/>
          <w:lang w:val="en-CA"/>
        </w:rPr>
        <w:t xml:space="preserve">said, </w:t>
      </w:r>
      <w:r w:rsidR="00014B51" w:rsidRPr="000A3539">
        <w:rPr>
          <w:kern w:val="24"/>
          <w:sz w:val="22"/>
          <w:lang w:val="en-CA"/>
        </w:rPr>
        <w:t xml:space="preserve">although </w:t>
      </w:r>
      <w:r w:rsidRPr="000A3539">
        <w:rPr>
          <w:kern w:val="24"/>
          <w:sz w:val="22"/>
          <w:lang w:val="en-CA"/>
        </w:rPr>
        <w:t xml:space="preserve">the reasons invoked in </w:t>
      </w:r>
      <w:r w:rsidR="00D76132" w:rsidRPr="000A3539">
        <w:rPr>
          <w:kern w:val="24"/>
          <w:sz w:val="22"/>
          <w:lang w:val="en-CA"/>
        </w:rPr>
        <w:t>d</w:t>
      </w:r>
      <w:r w:rsidRPr="000A3539">
        <w:rPr>
          <w:kern w:val="24"/>
          <w:sz w:val="22"/>
          <w:lang w:val="en-CA"/>
        </w:rPr>
        <w:t>e</w:t>
      </w:r>
      <w:r w:rsidR="00D76132" w:rsidRPr="000A3539">
        <w:rPr>
          <w:kern w:val="24"/>
          <w:sz w:val="22"/>
          <w:lang w:val="en-CA"/>
        </w:rPr>
        <w:t>fen</w:t>
      </w:r>
      <w:r w:rsidRPr="000A3539">
        <w:rPr>
          <w:kern w:val="24"/>
          <w:sz w:val="22"/>
          <w:lang w:val="en-CA"/>
        </w:rPr>
        <w:t>c</w:t>
      </w:r>
      <w:r w:rsidR="00D76132" w:rsidRPr="000A3539">
        <w:rPr>
          <w:kern w:val="24"/>
          <w:sz w:val="22"/>
          <w:lang w:val="en-CA"/>
        </w:rPr>
        <w:t xml:space="preserve">e </w:t>
      </w:r>
      <w:r w:rsidRPr="000A3539">
        <w:rPr>
          <w:kern w:val="24"/>
          <w:sz w:val="22"/>
          <w:lang w:val="en-CA"/>
        </w:rPr>
        <w:t>to e</w:t>
      </w:r>
      <w:r w:rsidR="00D76132" w:rsidRPr="000A3539">
        <w:rPr>
          <w:kern w:val="24"/>
          <w:sz w:val="22"/>
          <w:lang w:val="en-CA"/>
        </w:rPr>
        <w:t>xpl</w:t>
      </w:r>
      <w:r w:rsidRPr="000A3539">
        <w:rPr>
          <w:kern w:val="24"/>
          <w:sz w:val="22"/>
          <w:lang w:val="en-CA"/>
        </w:rPr>
        <w:t xml:space="preserve">ain or </w:t>
      </w:r>
      <w:r w:rsidR="00D76132" w:rsidRPr="000A3539">
        <w:rPr>
          <w:kern w:val="24"/>
          <w:sz w:val="22"/>
          <w:lang w:val="en-CA"/>
        </w:rPr>
        <w:t>justif</w:t>
      </w:r>
      <w:r w:rsidRPr="000A3539">
        <w:rPr>
          <w:kern w:val="24"/>
          <w:sz w:val="22"/>
          <w:lang w:val="en-CA"/>
        </w:rPr>
        <w:t xml:space="preserve">y </w:t>
      </w:r>
      <w:r w:rsidR="00014B51" w:rsidRPr="000A3539">
        <w:rPr>
          <w:kern w:val="24"/>
          <w:sz w:val="22"/>
          <w:lang w:val="en-CA"/>
        </w:rPr>
        <w:t xml:space="preserve">discriminatory </w:t>
      </w:r>
      <w:r w:rsidR="00D76132" w:rsidRPr="000A3539">
        <w:rPr>
          <w:kern w:val="24"/>
          <w:sz w:val="22"/>
          <w:lang w:val="en-CA"/>
        </w:rPr>
        <w:t>differentia</w:t>
      </w:r>
      <w:r w:rsidR="00014B51" w:rsidRPr="000A3539">
        <w:rPr>
          <w:kern w:val="24"/>
          <w:sz w:val="22"/>
          <w:lang w:val="en-CA"/>
        </w:rPr>
        <w:t xml:space="preserve">l </w:t>
      </w:r>
      <w:r w:rsidR="00D76132" w:rsidRPr="000A3539">
        <w:rPr>
          <w:kern w:val="24"/>
          <w:sz w:val="22"/>
          <w:lang w:val="en-CA"/>
        </w:rPr>
        <w:t xml:space="preserve">treatment </w:t>
      </w:r>
      <w:r w:rsidR="00014B51" w:rsidRPr="000A3539">
        <w:rPr>
          <w:kern w:val="24"/>
          <w:sz w:val="22"/>
          <w:lang w:val="en-CA"/>
        </w:rPr>
        <w:t xml:space="preserve">may be legitimate, they remain </w:t>
      </w:r>
      <w:r w:rsidR="00D76132" w:rsidRPr="000A3539">
        <w:rPr>
          <w:kern w:val="24"/>
          <w:sz w:val="22"/>
          <w:lang w:val="en-CA"/>
        </w:rPr>
        <w:t>inadmissible</w:t>
      </w:r>
      <w:r w:rsidR="00014B51" w:rsidRPr="000A3539">
        <w:rPr>
          <w:kern w:val="24"/>
          <w:sz w:val="22"/>
          <w:lang w:val="en-CA"/>
        </w:rPr>
        <w:t xml:space="preserve"> at the first stage of the </w:t>
      </w:r>
      <w:r w:rsidR="00D76132" w:rsidRPr="000A3539">
        <w:rPr>
          <w:kern w:val="24"/>
          <w:sz w:val="22"/>
          <w:lang w:val="en-CA"/>
        </w:rPr>
        <w:t>analys</w:t>
      </w:r>
      <w:r w:rsidR="00014B51" w:rsidRPr="000A3539">
        <w:rPr>
          <w:kern w:val="24"/>
          <w:sz w:val="22"/>
          <w:lang w:val="en-CA"/>
        </w:rPr>
        <w:t xml:space="preserve">is, i.e., </w:t>
      </w:r>
      <w:r w:rsidR="003C3B94">
        <w:rPr>
          <w:kern w:val="24"/>
          <w:sz w:val="22"/>
          <w:lang w:val="en-CA"/>
        </w:rPr>
        <w:t>proof</w:t>
      </w:r>
      <w:r w:rsidR="003C3B94" w:rsidRPr="000A3539">
        <w:rPr>
          <w:kern w:val="24"/>
          <w:sz w:val="22"/>
          <w:lang w:val="en-CA"/>
        </w:rPr>
        <w:t xml:space="preserve"> </w:t>
      </w:r>
      <w:r w:rsidR="00014B51" w:rsidRPr="000A3539">
        <w:rPr>
          <w:kern w:val="24"/>
          <w:sz w:val="22"/>
          <w:lang w:val="en-CA"/>
        </w:rPr>
        <w:t xml:space="preserve">of </w:t>
      </w:r>
      <w:r w:rsidR="00D76132" w:rsidRPr="000A3539">
        <w:rPr>
          <w:kern w:val="24"/>
          <w:sz w:val="22"/>
          <w:lang w:val="en-CA"/>
        </w:rPr>
        <w:t>discrimination</w:t>
      </w:r>
      <w:r w:rsidR="00014B51" w:rsidRPr="000A3539">
        <w:rPr>
          <w:kern w:val="24"/>
          <w:sz w:val="22"/>
          <w:lang w:val="en-CA"/>
        </w:rPr>
        <w:t xml:space="preserve"> under </w:t>
      </w:r>
      <w:r w:rsidR="00D76132" w:rsidRPr="000A3539">
        <w:rPr>
          <w:kern w:val="24"/>
          <w:sz w:val="22"/>
          <w:lang w:val="en-CA"/>
        </w:rPr>
        <w:t xml:space="preserve">section 10. </w:t>
      </w:r>
      <w:r w:rsidR="00014B51" w:rsidRPr="000A3539">
        <w:rPr>
          <w:kern w:val="24"/>
          <w:sz w:val="22"/>
          <w:u w:val="single"/>
          <w:lang w:val="en-CA"/>
        </w:rPr>
        <w:t xml:space="preserve">At this stage, the only relevant </w:t>
      </w:r>
      <w:r w:rsidR="00D76132" w:rsidRPr="000A3539">
        <w:rPr>
          <w:kern w:val="24"/>
          <w:sz w:val="22"/>
          <w:u w:val="single"/>
          <w:lang w:val="en-CA"/>
        </w:rPr>
        <w:t xml:space="preserve">question </w:t>
      </w:r>
      <w:r w:rsidR="00014B51" w:rsidRPr="000A3539">
        <w:rPr>
          <w:kern w:val="24"/>
          <w:sz w:val="22"/>
          <w:u w:val="single"/>
          <w:lang w:val="en-CA"/>
        </w:rPr>
        <w:t xml:space="preserve">is whether </w:t>
      </w:r>
      <w:r w:rsidR="00D76132" w:rsidRPr="00877FA5">
        <w:rPr>
          <w:kern w:val="24"/>
          <w:sz w:val="22"/>
          <w:u w:val="single"/>
          <w:lang w:val="en-CA"/>
        </w:rPr>
        <w:t>civil</w:t>
      </w:r>
      <w:r w:rsidR="00014B51" w:rsidRPr="00877FA5">
        <w:rPr>
          <w:kern w:val="24"/>
          <w:sz w:val="22"/>
          <w:u w:val="single"/>
          <w:lang w:val="en-CA"/>
        </w:rPr>
        <w:t xml:space="preserve"> </w:t>
      </w:r>
      <w:r w:rsidR="00D76132" w:rsidRPr="00877FA5">
        <w:rPr>
          <w:kern w:val="24"/>
          <w:sz w:val="22"/>
          <w:u w:val="single"/>
          <w:lang w:val="en-CA"/>
        </w:rPr>
        <w:t>status</w:t>
      </w:r>
      <w:r w:rsidR="00014B51" w:rsidRPr="00877FA5">
        <w:rPr>
          <w:kern w:val="24"/>
          <w:sz w:val="22"/>
          <w:u w:val="single"/>
          <w:lang w:val="en-CA"/>
        </w:rPr>
        <w:t xml:space="preserve"> </w:t>
      </w:r>
      <w:r w:rsidR="00D76132" w:rsidRPr="00877FA5">
        <w:rPr>
          <w:kern w:val="24"/>
          <w:sz w:val="22"/>
          <w:u w:val="single"/>
          <w:lang w:val="en-CA"/>
        </w:rPr>
        <w:t>(o</w:t>
      </w:r>
      <w:r w:rsidR="00014B51" w:rsidRPr="00877FA5">
        <w:rPr>
          <w:kern w:val="24"/>
          <w:sz w:val="22"/>
          <w:u w:val="single"/>
          <w:lang w:val="en-CA"/>
        </w:rPr>
        <w:t xml:space="preserve">r another enumerated </w:t>
      </w:r>
      <w:r w:rsidR="00D76132" w:rsidRPr="00877FA5">
        <w:rPr>
          <w:kern w:val="24"/>
          <w:sz w:val="22"/>
          <w:u w:val="single"/>
          <w:lang w:val="en-CA"/>
        </w:rPr>
        <w:t>ground) contribu</w:t>
      </w:r>
      <w:r w:rsidR="00014B51" w:rsidRPr="00877FA5">
        <w:rPr>
          <w:kern w:val="24"/>
          <w:sz w:val="22"/>
          <w:u w:val="single"/>
          <w:lang w:val="en-CA"/>
        </w:rPr>
        <w:t xml:space="preserve">ted to the </w:t>
      </w:r>
      <w:r w:rsidR="00D76132" w:rsidRPr="00877FA5">
        <w:rPr>
          <w:kern w:val="24"/>
          <w:sz w:val="22"/>
          <w:u w:val="single"/>
          <w:lang w:val="en-CA"/>
        </w:rPr>
        <w:t xml:space="preserve">exclusion </w:t>
      </w:r>
      <w:r w:rsidR="00014B51" w:rsidRPr="00877FA5">
        <w:rPr>
          <w:kern w:val="24"/>
          <w:sz w:val="22"/>
          <w:u w:val="single"/>
          <w:lang w:val="en-CA"/>
        </w:rPr>
        <w:t xml:space="preserve">of the complainant or rather, in accordance with the new </w:t>
      </w:r>
      <w:r w:rsidR="00D76132" w:rsidRPr="00877FA5">
        <w:rPr>
          <w:kern w:val="24"/>
          <w:sz w:val="22"/>
          <w:u w:val="single"/>
          <w:lang w:val="en-CA"/>
        </w:rPr>
        <w:t>terminolog</w:t>
      </w:r>
      <w:r w:rsidR="00014B51" w:rsidRPr="00877FA5">
        <w:rPr>
          <w:kern w:val="24"/>
          <w:sz w:val="22"/>
          <w:u w:val="single"/>
          <w:lang w:val="en-CA"/>
        </w:rPr>
        <w:t xml:space="preserve">y of the </w:t>
      </w:r>
      <w:r w:rsidR="00D76132" w:rsidRPr="00877FA5">
        <w:rPr>
          <w:kern w:val="24"/>
          <w:sz w:val="22"/>
          <w:u w:val="single"/>
          <w:lang w:val="en-CA"/>
        </w:rPr>
        <w:t>Supreme</w:t>
      </w:r>
      <w:r w:rsidR="00014B51" w:rsidRPr="00877FA5">
        <w:rPr>
          <w:kern w:val="24"/>
          <w:sz w:val="22"/>
          <w:u w:val="single"/>
          <w:lang w:val="en-CA"/>
        </w:rPr>
        <w:t xml:space="preserve"> </w:t>
      </w:r>
      <w:r w:rsidR="00D76132" w:rsidRPr="00877FA5">
        <w:rPr>
          <w:kern w:val="24"/>
          <w:sz w:val="22"/>
          <w:u w:val="single"/>
          <w:lang w:val="en-CA"/>
        </w:rPr>
        <w:t xml:space="preserve">Court, </w:t>
      </w:r>
      <w:r w:rsidR="00C61435" w:rsidRPr="00877FA5">
        <w:rPr>
          <w:kern w:val="24"/>
          <w:sz w:val="22"/>
          <w:u w:val="single"/>
          <w:lang w:val="en-CA"/>
        </w:rPr>
        <w:t xml:space="preserve">was a </w:t>
      </w:r>
      <w:r w:rsidR="00D76132" w:rsidRPr="00877FA5">
        <w:rPr>
          <w:kern w:val="24"/>
          <w:sz w:val="22"/>
          <w:u w:val="single"/>
          <w:lang w:val="en-CA"/>
        </w:rPr>
        <w:t>fact</w:t>
      </w:r>
      <w:r w:rsidR="00C61435" w:rsidRPr="00877FA5">
        <w:rPr>
          <w:kern w:val="24"/>
          <w:sz w:val="22"/>
          <w:u w:val="single"/>
          <w:lang w:val="en-CA"/>
        </w:rPr>
        <w:t>o</w:t>
      </w:r>
      <w:r w:rsidR="00D76132" w:rsidRPr="00877FA5">
        <w:rPr>
          <w:kern w:val="24"/>
          <w:sz w:val="22"/>
          <w:u w:val="single"/>
          <w:lang w:val="en-CA"/>
        </w:rPr>
        <w:t>r</w:t>
      </w:r>
      <w:r w:rsidR="00C61435" w:rsidRPr="00877FA5">
        <w:rPr>
          <w:kern w:val="24"/>
          <w:sz w:val="22"/>
          <w:u w:val="single"/>
          <w:lang w:val="en-CA"/>
        </w:rPr>
        <w:t xml:space="preserve"> in the decision to exclude the complainant</w:t>
      </w:r>
      <w:r w:rsidR="00D76132" w:rsidRPr="000A3539">
        <w:rPr>
          <w:kern w:val="24"/>
          <w:sz w:val="22"/>
          <w:lang w:val="en-CA"/>
        </w:rPr>
        <w:t xml:space="preserve">. </w:t>
      </w:r>
      <w:r w:rsidR="00C61435" w:rsidRPr="000A3539">
        <w:rPr>
          <w:kern w:val="24"/>
          <w:sz w:val="22"/>
          <w:lang w:val="en-CA"/>
        </w:rPr>
        <w:t xml:space="preserve">If so, the analysis shifts to the second stage, that of the </w:t>
      </w:r>
      <w:r w:rsidR="00D76132" w:rsidRPr="000A3539">
        <w:rPr>
          <w:kern w:val="24"/>
          <w:sz w:val="22"/>
          <w:lang w:val="en-CA"/>
        </w:rPr>
        <w:lastRenderedPageBreak/>
        <w:t>justification</w:t>
      </w:r>
      <w:r w:rsidR="00C61435" w:rsidRPr="000A3539">
        <w:rPr>
          <w:kern w:val="24"/>
          <w:sz w:val="22"/>
          <w:lang w:val="en-CA"/>
        </w:rPr>
        <w:t xml:space="preserve"> for the discriminatory </w:t>
      </w:r>
      <w:r w:rsidR="00D76132" w:rsidRPr="000A3539">
        <w:rPr>
          <w:kern w:val="24"/>
          <w:sz w:val="22"/>
          <w:lang w:val="en-CA"/>
        </w:rPr>
        <w:t>decision</w:t>
      </w:r>
      <w:r w:rsidR="00C61435" w:rsidRPr="000A3539">
        <w:rPr>
          <w:kern w:val="24"/>
          <w:sz w:val="22"/>
          <w:lang w:val="en-CA"/>
        </w:rPr>
        <w:t xml:space="preserve">, which falls under other </w:t>
      </w:r>
      <w:r w:rsidR="00D76132" w:rsidRPr="000A3539">
        <w:rPr>
          <w:kern w:val="24"/>
          <w:sz w:val="22"/>
          <w:lang w:val="en-CA"/>
        </w:rPr>
        <w:t>provisions,</w:t>
      </w:r>
      <w:r w:rsidR="00C61435" w:rsidRPr="000A3539">
        <w:rPr>
          <w:kern w:val="24"/>
          <w:sz w:val="22"/>
          <w:lang w:val="en-CA"/>
        </w:rPr>
        <w:t xml:space="preserve"> in particular </w:t>
      </w:r>
      <w:r w:rsidR="00D76132" w:rsidRPr="000A3539">
        <w:rPr>
          <w:kern w:val="24"/>
          <w:sz w:val="22"/>
          <w:lang w:val="en-CA"/>
        </w:rPr>
        <w:t xml:space="preserve">section 20 </w:t>
      </w:r>
      <w:r w:rsidR="00C61435" w:rsidRPr="000A3539">
        <w:rPr>
          <w:kern w:val="24"/>
          <w:sz w:val="22"/>
          <w:lang w:val="en-CA"/>
        </w:rPr>
        <w:t>in employment matters</w:t>
      </w:r>
      <w:r w:rsidR="00D76132" w:rsidRPr="000A3539">
        <w:rPr>
          <w:kern w:val="24"/>
          <w:sz w:val="22"/>
          <w:lang w:val="en-CA"/>
        </w:rPr>
        <w:t xml:space="preserve">, </w:t>
      </w:r>
      <w:r w:rsidR="00C61435" w:rsidRPr="000A3539">
        <w:rPr>
          <w:kern w:val="24"/>
          <w:sz w:val="22"/>
          <w:lang w:val="en-CA"/>
        </w:rPr>
        <w:t xml:space="preserve">and for which the </w:t>
      </w:r>
      <w:r w:rsidR="00D76132" w:rsidRPr="000A3539">
        <w:rPr>
          <w:kern w:val="24"/>
          <w:sz w:val="22"/>
          <w:lang w:val="en-CA"/>
        </w:rPr>
        <w:t>burden</w:t>
      </w:r>
      <w:r w:rsidR="00C61435" w:rsidRPr="000A3539">
        <w:rPr>
          <w:kern w:val="24"/>
          <w:sz w:val="22"/>
          <w:lang w:val="en-CA"/>
        </w:rPr>
        <w:t xml:space="preserve"> </w:t>
      </w:r>
      <w:r w:rsidR="00D76132" w:rsidRPr="000A3539">
        <w:rPr>
          <w:kern w:val="24"/>
          <w:sz w:val="22"/>
          <w:lang w:val="en-CA"/>
        </w:rPr>
        <w:t>of</w:t>
      </w:r>
      <w:r w:rsidR="00C61435" w:rsidRPr="000A3539">
        <w:rPr>
          <w:kern w:val="24"/>
          <w:sz w:val="22"/>
          <w:lang w:val="en-CA"/>
        </w:rPr>
        <w:t xml:space="preserve"> </w:t>
      </w:r>
      <w:r w:rsidR="00D76132" w:rsidRPr="000A3539">
        <w:rPr>
          <w:kern w:val="24"/>
          <w:sz w:val="22"/>
          <w:lang w:val="en-CA"/>
        </w:rPr>
        <w:t>proof</w:t>
      </w:r>
      <w:r w:rsidR="00C61435" w:rsidRPr="000A3539">
        <w:rPr>
          <w:kern w:val="24"/>
          <w:sz w:val="22"/>
          <w:lang w:val="en-CA"/>
        </w:rPr>
        <w:t xml:space="preserve"> rests with the perpetrator of the differential treatment.</w:t>
      </w:r>
      <w:r w:rsidR="00D76132" w:rsidRPr="000A3539">
        <w:rPr>
          <w:kern w:val="24"/>
          <w:sz w:val="22"/>
          <w:vertAlign w:val="superscript"/>
          <w:lang w:val="en-CA"/>
        </w:rPr>
        <w:footnoteReference w:id="94"/>
      </w:r>
    </w:p>
    <w:p w14:paraId="447FA1C0" w14:textId="0365F3BC" w:rsidR="00352837" w:rsidRPr="000A3539" w:rsidRDefault="00CF58D0" w:rsidP="00352837">
      <w:pPr>
        <w:spacing w:before="120" w:after="120"/>
        <w:ind w:left="720" w:right="720"/>
        <w:jc w:val="right"/>
        <w:rPr>
          <w:kern w:val="24"/>
          <w:sz w:val="22"/>
          <w:lang w:val="en-CA"/>
        </w:rPr>
      </w:pPr>
      <w:r w:rsidRPr="000A3539">
        <w:rPr>
          <w:kern w:val="24"/>
          <w:sz w:val="22"/>
          <w:lang w:val="en-CA"/>
        </w:rPr>
        <w:t>[Emphasis added]</w:t>
      </w:r>
    </w:p>
    <w:p w14:paraId="6F6D2F18" w14:textId="1B651754" w:rsidR="00352837" w:rsidRPr="000A3539" w:rsidRDefault="00D76132" w:rsidP="00352837">
      <w:pPr>
        <w:pStyle w:val="Paragraphe"/>
        <w:numPr>
          <w:ilvl w:val="0"/>
          <w:numId w:val="0"/>
        </w:numPr>
        <w:jc w:val="center"/>
        <w:rPr>
          <w:b/>
          <w:lang w:val="en-CA"/>
        </w:rPr>
      </w:pPr>
      <w:r w:rsidRPr="000A3539">
        <w:rPr>
          <w:rFonts w:cs="Arial"/>
          <w:b/>
          <w:lang w:val="en-CA"/>
        </w:rPr>
        <w:t>*****</w:t>
      </w:r>
    </w:p>
    <w:p w14:paraId="4AB49E95" w14:textId="24E20421" w:rsidR="00352837" w:rsidRPr="000A3539" w:rsidRDefault="00322783" w:rsidP="00352837">
      <w:pPr>
        <w:pStyle w:val="Paragraphe"/>
        <w:rPr>
          <w:lang w:val="en-CA"/>
        </w:rPr>
      </w:pPr>
      <w:r w:rsidRPr="000A3539">
        <w:rPr>
          <w:lang w:val="en-CA"/>
        </w:rPr>
        <w:t xml:space="preserve">Before concluding on the issue of whether student status is included in the </w:t>
      </w:r>
      <w:r w:rsidR="00D76132" w:rsidRPr="000A3539">
        <w:rPr>
          <w:lang w:val="en-CA"/>
        </w:rPr>
        <w:t>ground</w:t>
      </w:r>
      <w:r w:rsidRPr="000A3539">
        <w:rPr>
          <w:lang w:val="en-CA"/>
        </w:rPr>
        <w:t xml:space="preserve"> of social </w:t>
      </w:r>
      <w:r w:rsidR="00D76132" w:rsidRPr="000A3539">
        <w:rPr>
          <w:lang w:val="en-CA"/>
        </w:rPr>
        <w:t xml:space="preserve">condition, </w:t>
      </w:r>
      <w:r w:rsidRPr="000A3539">
        <w:rPr>
          <w:lang w:val="en-CA"/>
        </w:rPr>
        <w:t xml:space="preserve">it is useful to address </w:t>
      </w:r>
      <w:r w:rsidR="00175C43">
        <w:rPr>
          <w:lang w:val="en-CA"/>
        </w:rPr>
        <w:t>a few</w:t>
      </w:r>
      <w:r w:rsidRPr="000A3539">
        <w:rPr>
          <w:lang w:val="en-CA"/>
        </w:rPr>
        <w:t xml:space="preserve"> more peripheral issues </w:t>
      </w:r>
      <w:r w:rsidR="00D76132" w:rsidRPr="000A3539">
        <w:rPr>
          <w:lang w:val="en-CA"/>
        </w:rPr>
        <w:t>concern</w:t>
      </w:r>
      <w:r w:rsidRPr="000A3539">
        <w:rPr>
          <w:lang w:val="en-CA"/>
        </w:rPr>
        <w:t>ing</w:t>
      </w:r>
      <w:r w:rsidR="00D76132" w:rsidRPr="000A3539">
        <w:rPr>
          <w:lang w:val="en-CA"/>
        </w:rPr>
        <w:t>: (</w:t>
      </w:r>
      <w:proofErr w:type="spellStart"/>
      <w:r w:rsidR="00D76132" w:rsidRPr="000A3539">
        <w:rPr>
          <w:lang w:val="en-CA"/>
        </w:rPr>
        <w:t>i</w:t>
      </w:r>
      <w:proofErr w:type="spellEnd"/>
      <w:r w:rsidR="00D76132" w:rsidRPr="000A3539">
        <w:rPr>
          <w:lang w:val="en-CA"/>
        </w:rPr>
        <w:t xml:space="preserve">) </w:t>
      </w:r>
      <w:r w:rsidRPr="000A3539">
        <w:rPr>
          <w:lang w:val="en-CA"/>
        </w:rPr>
        <w:t>the idea that student status results from a personal choice made by the persons in question</w:t>
      </w:r>
      <w:r w:rsidR="00D76132" w:rsidRPr="000A3539">
        <w:rPr>
          <w:lang w:val="en-CA"/>
        </w:rPr>
        <w:t>;</w:t>
      </w:r>
      <w:r w:rsidRPr="000A3539">
        <w:rPr>
          <w:lang w:val="en-CA"/>
        </w:rPr>
        <w:t xml:space="preserve"> </w:t>
      </w:r>
      <w:r w:rsidR="00D76132" w:rsidRPr="000A3539">
        <w:rPr>
          <w:lang w:val="en-CA"/>
        </w:rPr>
        <w:t xml:space="preserve">(ii) </w:t>
      </w:r>
      <w:r w:rsidRPr="000A3539">
        <w:rPr>
          <w:lang w:val="en-CA"/>
        </w:rPr>
        <w:t>that these persons occupy an ad</w:t>
      </w:r>
      <w:r w:rsidR="00FE3F17" w:rsidRPr="000A3539">
        <w:rPr>
          <w:lang w:val="en-CA"/>
        </w:rPr>
        <w:t>vantageous place in society</w:t>
      </w:r>
      <w:r w:rsidR="00D76132" w:rsidRPr="000A3539">
        <w:rPr>
          <w:lang w:val="en-CA"/>
        </w:rPr>
        <w:t xml:space="preserve">; (iii) </w:t>
      </w:r>
      <w:r w:rsidR="00FE3F17" w:rsidRPr="000A3539">
        <w:rPr>
          <w:lang w:val="en-CA"/>
        </w:rPr>
        <w:t xml:space="preserve">the </w:t>
      </w:r>
      <w:r w:rsidR="00D76132" w:rsidRPr="000A3539">
        <w:rPr>
          <w:lang w:val="en-CA"/>
        </w:rPr>
        <w:t>relevance</w:t>
      </w:r>
      <w:r w:rsidR="00FE3F17" w:rsidRPr="000A3539">
        <w:rPr>
          <w:lang w:val="en-CA"/>
        </w:rPr>
        <w:t xml:space="preserve"> of the </w:t>
      </w:r>
      <w:r w:rsidR="00D76132" w:rsidRPr="000A3539">
        <w:rPr>
          <w:lang w:val="en-CA"/>
        </w:rPr>
        <w:t xml:space="preserve">legislation </w:t>
      </w:r>
      <w:r w:rsidR="00FE3F17" w:rsidRPr="000A3539">
        <w:rPr>
          <w:lang w:val="en-CA"/>
        </w:rPr>
        <w:t xml:space="preserve">of the other </w:t>
      </w:r>
      <w:r w:rsidR="00D76132" w:rsidRPr="000A3539">
        <w:rPr>
          <w:lang w:val="en-CA"/>
        </w:rPr>
        <w:t xml:space="preserve">provinces </w:t>
      </w:r>
      <w:r w:rsidR="00FE3F17" w:rsidRPr="000A3539">
        <w:rPr>
          <w:lang w:val="en-CA"/>
        </w:rPr>
        <w:t xml:space="preserve">in the </w:t>
      </w:r>
      <w:r w:rsidR="00D76132" w:rsidRPr="000A3539">
        <w:rPr>
          <w:lang w:val="en-CA"/>
        </w:rPr>
        <w:t>analys</w:t>
      </w:r>
      <w:r w:rsidR="00FE3F17" w:rsidRPr="000A3539">
        <w:rPr>
          <w:lang w:val="en-CA"/>
        </w:rPr>
        <w:t xml:space="preserve">is of the concept of social </w:t>
      </w:r>
      <w:r w:rsidR="00D76132" w:rsidRPr="000A3539">
        <w:rPr>
          <w:lang w:val="en-CA"/>
        </w:rPr>
        <w:t xml:space="preserve">condition; </w:t>
      </w:r>
      <w:r w:rsidR="00FE3F17" w:rsidRPr="000A3539">
        <w:rPr>
          <w:lang w:val="en-CA"/>
        </w:rPr>
        <w:t>and</w:t>
      </w:r>
      <w:r w:rsidR="00D76132" w:rsidRPr="000A3539">
        <w:rPr>
          <w:lang w:val="en-CA"/>
        </w:rPr>
        <w:t xml:space="preserve"> (iv) </w:t>
      </w:r>
      <w:r w:rsidR="00FE3F17" w:rsidRPr="000A3539">
        <w:rPr>
          <w:lang w:val="en-CA"/>
        </w:rPr>
        <w:t>the scope of</w:t>
      </w:r>
      <w:r w:rsidR="002057B6" w:rsidRPr="000A3539">
        <w:rPr>
          <w:lang w:val="en-CA"/>
        </w:rPr>
        <w:t xml:space="preserve"> the report of </w:t>
      </w:r>
      <w:r w:rsidR="002057B6" w:rsidRPr="000A3539">
        <w:rPr>
          <w:i/>
          <w:lang w:val="en-CA"/>
        </w:rPr>
        <w:t>the Canadian Human Rights Act</w:t>
      </w:r>
      <w:r w:rsidR="002057B6" w:rsidRPr="000A3539">
        <w:rPr>
          <w:lang w:val="en-CA"/>
        </w:rPr>
        <w:t xml:space="preserve"> Review Panel</w:t>
      </w:r>
      <w:r w:rsidR="00D76132" w:rsidRPr="000A3539">
        <w:rPr>
          <w:i/>
          <w:lang w:val="en-CA"/>
        </w:rPr>
        <w:t>.</w:t>
      </w:r>
    </w:p>
    <w:p w14:paraId="0E34A581" w14:textId="2A4608AE" w:rsidR="00352837" w:rsidRPr="000A3539" w:rsidRDefault="000B1FEF" w:rsidP="00352837">
      <w:pPr>
        <w:pStyle w:val="Paragraphe"/>
        <w:numPr>
          <w:ilvl w:val="0"/>
          <w:numId w:val="0"/>
        </w:numPr>
        <w:rPr>
          <w:b/>
          <w:i/>
          <w:lang w:val="en-CA"/>
        </w:rPr>
      </w:pPr>
      <w:r w:rsidRPr="000A3539">
        <w:rPr>
          <w:b/>
          <w:i/>
          <w:lang w:val="en-CA"/>
        </w:rPr>
        <w:t xml:space="preserve">Being a student is the </w:t>
      </w:r>
      <w:r w:rsidR="00D76132" w:rsidRPr="000A3539">
        <w:rPr>
          <w:b/>
          <w:i/>
          <w:lang w:val="en-CA"/>
        </w:rPr>
        <w:t xml:space="preserve">expression </w:t>
      </w:r>
      <w:r w:rsidRPr="000A3539">
        <w:rPr>
          <w:b/>
          <w:i/>
          <w:lang w:val="en-CA"/>
        </w:rPr>
        <w:t xml:space="preserve">of a personal choice that </w:t>
      </w:r>
      <w:r w:rsidR="00877FA5">
        <w:rPr>
          <w:b/>
          <w:i/>
          <w:lang w:val="en-CA"/>
        </w:rPr>
        <w:t>bars</w:t>
      </w:r>
      <w:r w:rsidRPr="000A3539">
        <w:rPr>
          <w:b/>
          <w:i/>
          <w:lang w:val="en-CA"/>
        </w:rPr>
        <w:t xml:space="preserve"> </w:t>
      </w:r>
      <w:r w:rsidR="00D76132" w:rsidRPr="000A3539">
        <w:rPr>
          <w:b/>
          <w:i/>
          <w:lang w:val="en-CA"/>
        </w:rPr>
        <w:t>discrimination</w:t>
      </w:r>
    </w:p>
    <w:p w14:paraId="14BE0482" w14:textId="30FD1F47" w:rsidR="00352837" w:rsidRPr="000A3539" w:rsidRDefault="000B1FEF" w:rsidP="00352837">
      <w:pPr>
        <w:pStyle w:val="Paragraphe"/>
        <w:rPr>
          <w:lang w:val="en-CA"/>
        </w:rPr>
      </w:pPr>
      <w:r w:rsidRPr="000A3539">
        <w:rPr>
          <w:lang w:val="en-CA"/>
        </w:rPr>
        <w:t>The idea that student status is the result of a</w:t>
      </w:r>
      <w:r w:rsidR="00924BDB" w:rsidRPr="000A3539">
        <w:rPr>
          <w:lang w:val="en-CA"/>
        </w:rPr>
        <w:t xml:space="preserve"> personal choice and cannot therefore support a </w:t>
      </w:r>
      <w:r w:rsidR="00D76132" w:rsidRPr="000A3539">
        <w:rPr>
          <w:lang w:val="en-CA"/>
        </w:rPr>
        <w:t>complaint</w:t>
      </w:r>
      <w:r w:rsidR="00924BDB" w:rsidRPr="000A3539">
        <w:rPr>
          <w:lang w:val="en-CA"/>
        </w:rPr>
        <w:t xml:space="preserve"> of</w:t>
      </w:r>
      <w:r w:rsidR="00D76132" w:rsidRPr="000A3539">
        <w:rPr>
          <w:lang w:val="en-CA"/>
        </w:rPr>
        <w:t xml:space="preserve"> discrimination </w:t>
      </w:r>
      <w:r w:rsidR="00175C43">
        <w:rPr>
          <w:lang w:val="en-CA"/>
        </w:rPr>
        <w:t>based on</w:t>
      </w:r>
      <w:r w:rsidR="00175C43" w:rsidRPr="000A3539">
        <w:rPr>
          <w:lang w:val="en-CA"/>
        </w:rPr>
        <w:t xml:space="preserve"> </w:t>
      </w:r>
      <w:r w:rsidR="00924BDB" w:rsidRPr="000A3539">
        <w:rPr>
          <w:lang w:val="en-CA"/>
        </w:rPr>
        <w:t xml:space="preserve">the </w:t>
      </w:r>
      <w:r w:rsidR="00D76132" w:rsidRPr="000A3539">
        <w:rPr>
          <w:lang w:val="en-CA"/>
        </w:rPr>
        <w:t>ground</w:t>
      </w:r>
      <w:r w:rsidR="00924BDB" w:rsidRPr="000A3539">
        <w:rPr>
          <w:lang w:val="en-CA"/>
        </w:rPr>
        <w:t xml:space="preserve"> of social </w:t>
      </w:r>
      <w:r w:rsidR="00D76132" w:rsidRPr="000A3539">
        <w:rPr>
          <w:lang w:val="en-CA"/>
        </w:rPr>
        <w:t>condition</w:t>
      </w:r>
      <w:r w:rsidR="00924BDB" w:rsidRPr="000A3539">
        <w:rPr>
          <w:lang w:val="en-CA"/>
        </w:rPr>
        <w:t xml:space="preserve"> must be rejected</w:t>
      </w:r>
      <w:r w:rsidR="00D76132" w:rsidRPr="000A3539">
        <w:rPr>
          <w:lang w:val="en-CA"/>
        </w:rPr>
        <w:t xml:space="preserve">. </w:t>
      </w:r>
    </w:p>
    <w:p w14:paraId="58BF9D02" w14:textId="28EF668D" w:rsidR="00352837" w:rsidRPr="000A3539" w:rsidRDefault="00200457" w:rsidP="00352837">
      <w:pPr>
        <w:pStyle w:val="Paragraphe"/>
        <w:rPr>
          <w:lang w:val="en-CA"/>
        </w:rPr>
      </w:pPr>
      <w:r w:rsidRPr="000A3539">
        <w:rPr>
          <w:lang w:val="en-CA"/>
        </w:rPr>
        <w:t>An individual’s d</w:t>
      </w:r>
      <w:r w:rsidR="00D76132" w:rsidRPr="000A3539">
        <w:rPr>
          <w:lang w:val="en-CA"/>
        </w:rPr>
        <w:t>ecision</w:t>
      </w:r>
      <w:r w:rsidRPr="000A3539">
        <w:rPr>
          <w:lang w:val="en-CA"/>
        </w:rPr>
        <w:t xml:space="preserve"> to pursue </w:t>
      </w:r>
      <w:r w:rsidR="00A751E1">
        <w:rPr>
          <w:lang w:val="en-CA"/>
        </w:rPr>
        <w:t xml:space="preserve">an education </w:t>
      </w:r>
      <w:r w:rsidRPr="000A3539">
        <w:rPr>
          <w:lang w:val="en-CA"/>
        </w:rPr>
        <w:t>beyond the</w:t>
      </w:r>
      <w:r w:rsidR="00BA4225" w:rsidRPr="000A3539">
        <w:rPr>
          <w:lang w:val="en-CA"/>
        </w:rPr>
        <w:t xml:space="preserve"> mandatory age fixed by law is, to a certain extent, the result of a choice. We must however acknowledge that this choice is not a real </w:t>
      </w:r>
      <w:r w:rsidR="00D76132" w:rsidRPr="000A3539">
        <w:rPr>
          <w:lang w:val="en-CA"/>
        </w:rPr>
        <w:t xml:space="preserve">decision. </w:t>
      </w:r>
      <w:r w:rsidR="00BA4225" w:rsidRPr="000A3539">
        <w:rPr>
          <w:lang w:val="en-CA"/>
        </w:rPr>
        <w:t xml:space="preserve">Rather, it is </w:t>
      </w:r>
      <w:r w:rsidR="00E936A0" w:rsidRPr="000A3539">
        <w:rPr>
          <w:lang w:val="en-CA"/>
        </w:rPr>
        <w:t>imposed insofar as</w:t>
      </w:r>
      <w:r w:rsidR="00642BA7">
        <w:rPr>
          <w:lang w:val="en-CA"/>
        </w:rPr>
        <w:t>,</w:t>
      </w:r>
      <w:r w:rsidR="00E936A0" w:rsidRPr="000A3539">
        <w:rPr>
          <w:lang w:val="en-CA"/>
        </w:rPr>
        <w:t xml:space="preserve"> to develop </w:t>
      </w:r>
      <w:r w:rsidR="00DE6313" w:rsidRPr="000A3539">
        <w:rPr>
          <w:lang w:val="en-CA"/>
        </w:rPr>
        <w:t>to</w:t>
      </w:r>
      <w:r w:rsidR="00E936A0" w:rsidRPr="000A3539">
        <w:rPr>
          <w:lang w:val="en-CA"/>
        </w:rPr>
        <w:t xml:space="preserve"> one’s</w:t>
      </w:r>
      <w:r w:rsidR="00DE6313" w:rsidRPr="000A3539">
        <w:rPr>
          <w:lang w:val="en-CA"/>
        </w:rPr>
        <w:t xml:space="preserve"> fullest and earn a living, every individual must acquire knowledge and skills in connection with </w:t>
      </w:r>
      <w:r w:rsidR="00A751E1">
        <w:rPr>
          <w:lang w:val="en-CA"/>
        </w:rPr>
        <w:t xml:space="preserve">their </w:t>
      </w:r>
      <w:r w:rsidR="00DE6313" w:rsidRPr="000A3539">
        <w:rPr>
          <w:lang w:val="en-CA"/>
        </w:rPr>
        <w:t xml:space="preserve">chosen </w:t>
      </w:r>
      <w:r w:rsidR="00A751E1">
        <w:rPr>
          <w:lang w:val="en-CA"/>
        </w:rPr>
        <w:t xml:space="preserve">occupation or </w:t>
      </w:r>
      <w:r w:rsidR="00D76132" w:rsidRPr="000A3539">
        <w:rPr>
          <w:lang w:val="en-CA"/>
        </w:rPr>
        <w:t xml:space="preserve">profession. </w:t>
      </w:r>
      <w:r w:rsidR="003D7409" w:rsidRPr="000A3539">
        <w:rPr>
          <w:lang w:val="en-CA"/>
        </w:rPr>
        <w:t>The means of achieving this</w:t>
      </w:r>
      <w:r w:rsidR="00836A01" w:rsidRPr="000A3539">
        <w:rPr>
          <w:lang w:val="en-CA"/>
        </w:rPr>
        <w:t xml:space="preserve"> require studies of varying </w:t>
      </w:r>
      <w:r w:rsidR="00642BA7">
        <w:rPr>
          <w:lang w:val="en-CA"/>
        </w:rPr>
        <w:t>length</w:t>
      </w:r>
      <w:r w:rsidR="00642BA7" w:rsidRPr="000A3539">
        <w:rPr>
          <w:lang w:val="en-CA"/>
        </w:rPr>
        <w:t xml:space="preserve"> </w:t>
      </w:r>
      <w:r w:rsidR="00836A01" w:rsidRPr="000A3539">
        <w:rPr>
          <w:lang w:val="en-CA"/>
        </w:rPr>
        <w:t xml:space="preserve">depending on </w:t>
      </w:r>
      <w:r w:rsidR="00877FA5" w:rsidRPr="000A3539">
        <w:rPr>
          <w:lang w:val="en-CA"/>
        </w:rPr>
        <w:t xml:space="preserve">each person’s </w:t>
      </w:r>
      <w:r w:rsidR="00836A01" w:rsidRPr="000A3539">
        <w:rPr>
          <w:lang w:val="en-CA"/>
        </w:rPr>
        <w:t xml:space="preserve">intended career and </w:t>
      </w:r>
      <w:r w:rsidR="00A751E1">
        <w:rPr>
          <w:lang w:val="en-CA"/>
        </w:rPr>
        <w:t xml:space="preserve">their </w:t>
      </w:r>
      <w:r w:rsidR="00836A01" w:rsidRPr="000A3539">
        <w:rPr>
          <w:lang w:val="en-CA"/>
        </w:rPr>
        <w:t>talent</w:t>
      </w:r>
      <w:r w:rsidR="00D76132" w:rsidRPr="000A3539">
        <w:rPr>
          <w:lang w:val="en-CA"/>
        </w:rPr>
        <w:t xml:space="preserve">. </w:t>
      </w:r>
    </w:p>
    <w:p w14:paraId="49F72EE4" w14:textId="033DF31D" w:rsidR="00352837" w:rsidRPr="000A3539" w:rsidRDefault="00673828" w:rsidP="00352837">
      <w:pPr>
        <w:pStyle w:val="Paragraphe"/>
        <w:rPr>
          <w:lang w:val="en-CA"/>
        </w:rPr>
      </w:pPr>
      <w:r w:rsidRPr="000A3539">
        <w:rPr>
          <w:lang w:val="en-CA"/>
        </w:rPr>
        <w:t xml:space="preserve">During this period of varying </w:t>
      </w:r>
      <w:r w:rsidR="007A1E49">
        <w:rPr>
          <w:lang w:val="en-CA"/>
        </w:rPr>
        <w:t>length</w:t>
      </w:r>
      <w:r w:rsidRPr="000A3539">
        <w:rPr>
          <w:lang w:val="en-CA"/>
        </w:rPr>
        <w:t>, student</w:t>
      </w:r>
      <w:r w:rsidR="000A4ECF" w:rsidRPr="000A3539">
        <w:rPr>
          <w:lang w:val="en-CA"/>
        </w:rPr>
        <w:t>s</w:t>
      </w:r>
      <w:r w:rsidRPr="000A3539">
        <w:rPr>
          <w:lang w:val="en-CA"/>
        </w:rPr>
        <w:t xml:space="preserve">, often </w:t>
      </w:r>
      <w:r w:rsidR="000A4ECF" w:rsidRPr="000A3539">
        <w:rPr>
          <w:lang w:val="en-CA"/>
        </w:rPr>
        <w:t>young adults, are placed in a</w:t>
      </w:r>
      <w:r w:rsidR="00D76132" w:rsidRPr="000A3539">
        <w:rPr>
          <w:lang w:val="en-CA"/>
        </w:rPr>
        <w:t xml:space="preserve"> vuln</w:t>
      </w:r>
      <w:r w:rsidR="000A4ECF" w:rsidRPr="000A3539">
        <w:rPr>
          <w:lang w:val="en-CA"/>
        </w:rPr>
        <w:t>e</w:t>
      </w:r>
      <w:r w:rsidR="00D76132" w:rsidRPr="000A3539">
        <w:rPr>
          <w:lang w:val="en-CA"/>
        </w:rPr>
        <w:t>rab</w:t>
      </w:r>
      <w:r w:rsidR="000A4ECF" w:rsidRPr="000A3539">
        <w:rPr>
          <w:lang w:val="en-CA"/>
        </w:rPr>
        <w:t>le e</w:t>
      </w:r>
      <w:r w:rsidR="00D76132" w:rsidRPr="000A3539">
        <w:rPr>
          <w:lang w:val="en-CA"/>
        </w:rPr>
        <w:t>conomi</w:t>
      </w:r>
      <w:r w:rsidR="000A4ECF" w:rsidRPr="000A3539">
        <w:rPr>
          <w:lang w:val="en-CA"/>
        </w:rPr>
        <w:t>c position. Because of their studies, they do not generally hold full</w:t>
      </w:r>
      <w:r w:rsidR="00BD679D">
        <w:rPr>
          <w:lang w:val="en-CA"/>
        </w:rPr>
        <w:noBreakHyphen/>
      </w:r>
      <w:r w:rsidR="000A4ECF" w:rsidRPr="000A3539">
        <w:rPr>
          <w:lang w:val="en-CA"/>
        </w:rPr>
        <w:t>time jobs, and, to meet their needs, they must rely</w:t>
      </w:r>
      <w:r w:rsidR="007A1E49">
        <w:rPr>
          <w:lang w:val="en-CA"/>
        </w:rPr>
        <w:t>, for example,</w:t>
      </w:r>
      <w:r w:rsidR="000A4ECF" w:rsidRPr="000A3539">
        <w:rPr>
          <w:lang w:val="en-CA"/>
        </w:rPr>
        <w:t xml:space="preserve"> on the generosity of their parents, government assistance, loans, and income earned from employment</w:t>
      </w:r>
      <w:r w:rsidR="00D76132" w:rsidRPr="000A3539">
        <w:rPr>
          <w:lang w:val="en-CA"/>
        </w:rPr>
        <w:t xml:space="preserve">. </w:t>
      </w:r>
    </w:p>
    <w:p w14:paraId="2ACEC083" w14:textId="0568E485" w:rsidR="00352837" w:rsidRPr="000A3539" w:rsidRDefault="00F46424" w:rsidP="00352837">
      <w:pPr>
        <w:pStyle w:val="Paragraphe"/>
        <w:rPr>
          <w:lang w:val="en-CA"/>
        </w:rPr>
      </w:pPr>
      <w:r w:rsidRPr="000A3539">
        <w:rPr>
          <w:lang w:val="en-CA"/>
        </w:rPr>
        <w:t xml:space="preserve">The idea that the personal choice of </w:t>
      </w:r>
      <w:r w:rsidR="00444DD9" w:rsidRPr="000A3539">
        <w:rPr>
          <w:lang w:val="en-CA"/>
        </w:rPr>
        <w:t xml:space="preserve">a status </w:t>
      </w:r>
      <w:r w:rsidR="00565684">
        <w:rPr>
          <w:lang w:val="en-CA"/>
        </w:rPr>
        <w:t>will prevent</w:t>
      </w:r>
      <w:r w:rsidR="00565684" w:rsidRPr="000A3539">
        <w:rPr>
          <w:lang w:val="en-CA"/>
        </w:rPr>
        <w:t xml:space="preserve"> </w:t>
      </w:r>
      <w:r w:rsidR="00444DD9" w:rsidRPr="000A3539">
        <w:rPr>
          <w:lang w:val="en-CA"/>
        </w:rPr>
        <w:t xml:space="preserve">a </w:t>
      </w:r>
      <w:r w:rsidR="00D76132" w:rsidRPr="000A3539">
        <w:rPr>
          <w:lang w:val="en-CA"/>
        </w:rPr>
        <w:t>complaint</w:t>
      </w:r>
      <w:r w:rsidR="00444DD9" w:rsidRPr="000A3539">
        <w:rPr>
          <w:lang w:val="en-CA"/>
        </w:rPr>
        <w:t xml:space="preserve"> of </w:t>
      </w:r>
      <w:r w:rsidR="00D76132" w:rsidRPr="000A3539">
        <w:rPr>
          <w:lang w:val="en-CA"/>
        </w:rPr>
        <w:t xml:space="preserve">discrimination </w:t>
      </w:r>
      <w:r w:rsidR="00B47ED9" w:rsidRPr="000A3539">
        <w:rPr>
          <w:lang w:val="en-CA"/>
        </w:rPr>
        <w:t xml:space="preserve">results from an erroneous reading of </w:t>
      </w:r>
      <w:proofErr w:type="spellStart"/>
      <w:r w:rsidR="00D76132" w:rsidRPr="000A3539">
        <w:rPr>
          <w:i/>
          <w:lang w:val="en-CA"/>
        </w:rPr>
        <w:t>Ordre</w:t>
      </w:r>
      <w:proofErr w:type="spellEnd"/>
      <w:r w:rsidR="00D76132" w:rsidRPr="000A3539">
        <w:rPr>
          <w:i/>
          <w:lang w:val="en-CA"/>
        </w:rPr>
        <w:t xml:space="preserve"> des </w:t>
      </w:r>
      <w:proofErr w:type="spellStart"/>
      <w:r w:rsidR="00D76132" w:rsidRPr="000A3539">
        <w:rPr>
          <w:i/>
          <w:lang w:val="en-CA"/>
        </w:rPr>
        <w:t>comptables</w:t>
      </w:r>
      <w:proofErr w:type="spellEnd"/>
      <w:r w:rsidR="00D76132" w:rsidRPr="000A3539">
        <w:rPr>
          <w:i/>
          <w:lang w:val="en-CA"/>
        </w:rPr>
        <w:t xml:space="preserve"> </w:t>
      </w:r>
      <w:proofErr w:type="spellStart"/>
      <w:r w:rsidR="00D76132" w:rsidRPr="000A3539">
        <w:rPr>
          <w:i/>
          <w:lang w:val="en-CA"/>
        </w:rPr>
        <w:t>généraux</w:t>
      </w:r>
      <w:proofErr w:type="spellEnd"/>
      <w:r w:rsidR="00D76132" w:rsidRPr="000A3539">
        <w:rPr>
          <w:i/>
          <w:lang w:val="en-CA"/>
        </w:rPr>
        <w:t xml:space="preserve"> </w:t>
      </w:r>
      <w:proofErr w:type="spellStart"/>
      <w:r w:rsidR="00D76132" w:rsidRPr="000A3539">
        <w:rPr>
          <w:i/>
          <w:lang w:val="en-CA"/>
        </w:rPr>
        <w:t>licenciés</w:t>
      </w:r>
      <w:proofErr w:type="spellEnd"/>
      <w:r w:rsidR="00D76132" w:rsidRPr="000A3539">
        <w:rPr>
          <w:i/>
          <w:lang w:val="en-CA"/>
        </w:rPr>
        <w:t xml:space="preserve"> du Québec c. Québec (</w:t>
      </w:r>
      <w:proofErr w:type="spellStart"/>
      <w:r w:rsidR="00D76132" w:rsidRPr="000A3539">
        <w:rPr>
          <w:i/>
          <w:lang w:val="en-CA"/>
        </w:rPr>
        <w:t>Procureur</w:t>
      </w:r>
      <w:proofErr w:type="spellEnd"/>
      <w:r w:rsidR="00B47ED9" w:rsidRPr="000A3539">
        <w:rPr>
          <w:i/>
          <w:lang w:val="en-CA"/>
        </w:rPr>
        <w:t xml:space="preserve"> </w:t>
      </w:r>
      <w:proofErr w:type="spellStart"/>
      <w:r w:rsidR="00D76132" w:rsidRPr="000A3539">
        <w:rPr>
          <w:i/>
          <w:lang w:val="en-CA"/>
        </w:rPr>
        <w:t>général</w:t>
      </w:r>
      <w:proofErr w:type="spellEnd"/>
      <w:r w:rsidR="00D76132" w:rsidRPr="000A3539">
        <w:rPr>
          <w:i/>
          <w:lang w:val="en-CA"/>
        </w:rPr>
        <w:t>)</w:t>
      </w:r>
      <w:r w:rsidR="00B47ED9" w:rsidRPr="000A3539">
        <w:rPr>
          <w:lang w:val="en-CA"/>
        </w:rPr>
        <w:t>.</w:t>
      </w:r>
      <w:r w:rsidR="00D76132" w:rsidRPr="000A3539">
        <w:rPr>
          <w:rStyle w:val="Appelnotedebasdep"/>
          <w:lang w:val="en-CA"/>
        </w:rPr>
        <w:footnoteReference w:id="95"/>
      </w:r>
      <w:r w:rsidR="00B47ED9" w:rsidRPr="000A3539">
        <w:rPr>
          <w:lang w:val="en-CA"/>
        </w:rPr>
        <w:t xml:space="preserve"> In that case, the </w:t>
      </w:r>
      <w:r w:rsidR="00D76132" w:rsidRPr="000A3539">
        <w:rPr>
          <w:lang w:val="en-CA"/>
        </w:rPr>
        <w:t>Court</w:t>
      </w:r>
      <w:r w:rsidR="00B47ED9" w:rsidRPr="000A3539">
        <w:rPr>
          <w:lang w:val="en-CA"/>
        </w:rPr>
        <w:t xml:space="preserve"> found, </w:t>
      </w:r>
      <w:r w:rsidR="00B47ED9" w:rsidRPr="000A3539">
        <w:rPr>
          <w:i/>
          <w:lang w:val="en-CA"/>
        </w:rPr>
        <w:t>inter alia</w:t>
      </w:r>
      <w:r w:rsidR="00B47ED9" w:rsidRPr="000A3539">
        <w:rPr>
          <w:lang w:val="en-CA"/>
        </w:rPr>
        <w:t xml:space="preserve">, that there was no </w:t>
      </w:r>
      <w:r w:rsidR="00D76132" w:rsidRPr="000A3539">
        <w:rPr>
          <w:lang w:val="en-CA"/>
        </w:rPr>
        <w:t>discrimination r</w:t>
      </w:r>
      <w:r w:rsidR="00B47ED9" w:rsidRPr="000A3539">
        <w:rPr>
          <w:lang w:val="en-CA"/>
        </w:rPr>
        <w:t>e</w:t>
      </w:r>
      <w:r w:rsidR="00D76132" w:rsidRPr="000A3539">
        <w:rPr>
          <w:lang w:val="en-CA"/>
        </w:rPr>
        <w:t>sult</w:t>
      </w:r>
      <w:r w:rsidR="00B47ED9" w:rsidRPr="000A3539">
        <w:rPr>
          <w:lang w:val="en-CA"/>
        </w:rPr>
        <w:t xml:space="preserve">ing from </w:t>
      </w:r>
      <w:r w:rsidR="00D76132" w:rsidRPr="000A3539">
        <w:rPr>
          <w:lang w:val="en-CA"/>
        </w:rPr>
        <w:t>section 24</w:t>
      </w:r>
      <w:r w:rsidR="00B47ED9" w:rsidRPr="000A3539">
        <w:rPr>
          <w:lang w:val="en-CA"/>
        </w:rPr>
        <w:t xml:space="preserve"> of the </w:t>
      </w:r>
      <w:r w:rsidR="00B47ED9" w:rsidRPr="000A3539">
        <w:rPr>
          <w:i/>
          <w:lang w:val="en-CA"/>
        </w:rPr>
        <w:t>Chartered Accountants Act</w:t>
      </w:r>
      <w:r w:rsidR="00B47ED9" w:rsidRPr="000A3539">
        <w:rPr>
          <w:lang w:val="en-CA"/>
        </w:rPr>
        <w:t>.</w:t>
      </w:r>
      <w:r w:rsidR="00D76132" w:rsidRPr="000A3539">
        <w:rPr>
          <w:vertAlign w:val="superscript"/>
          <w:lang w:val="en-CA"/>
        </w:rPr>
        <w:footnoteReference w:id="96"/>
      </w:r>
      <w:r w:rsidR="00D76132" w:rsidRPr="000A3539">
        <w:rPr>
          <w:lang w:val="en-CA"/>
        </w:rPr>
        <w:t xml:space="preserve"> </w:t>
      </w:r>
      <w:r w:rsidR="00E42E74" w:rsidRPr="000A3539">
        <w:rPr>
          <w:lang w:val="en-CA"/>
        </w:rPr>
        <w:t xml:space="preserve">That </w:t>
      </w:r>
      <w:r w:rsidR="00D76132" w:rsidRPr="000A3539">
        <w:rPr>
          <w:lang w:val="en-CA"/>
        </w:rPr>
        <w:t xml:space="preserve">provision </w:t>
      </w:r>
      <w:r w:rsidR="00565684" w:rsidRPr="000A3539">
        <w:rPr>
          <w:lang w:val="en-CA"/>
        </w:rPr>
        <w:t>confer</w:t>
      </w:r>
      <w:r w:rsidR="00565684">
        <w:rPr>
          <w:lang w:val="en-CA"/>
        </w:rPr>
        <w:t>red</w:t>
      </w:r>
      <w:r w:rsidR="00AD6D2F" w:rsidRPr="000A3539">
        <w:rPr>
          <w:lang w:val="en-CA"/>
        </w:rPr>
        <w:t xml:space="preserve"> exclusivity to chartered accountan</w:t>
      </w:r>
      <w:r w:rsidR="00D37AFB" w:rsidRPr="000A3539">
        <w:rPr>
          <w:lang w:val="en-CA"/>
        </w:rPr>
        <w:t>t</w:t>
      </w:r>
      <w:r w:rsidR="00AD6D2F" w:rsidRPr="000A3539">
        <w:rPr>
          <w:lang w:val="en-CA"/>
        </w:rPr>
        <w:t xml:space="preserve">s for the </w:t>
      </w:r>
      <w:r w:rsidR="00D37AFB" w:rsidRPr="000A3539">
        <w:rPr>
          <w:lang w:val="en-CA"/>
        </w:rPr>
        <w:t>preparation of financial statements to the detriment of</w:t>
      </w:r>
      <w:r w:rsidR="00FA17DD" w:rsidRPr="000A3539">
        <w:rPr>
          <w:lang w:val="en-CA"/>
        </w:rPr>
        <w:t xml:space="preserve"> certified general </w:t>
      </w:r>
      <w:r w:rsidR="00D76132" w:rsidRPr="000A3539">
        <w:rPr>
          <w:lang w:val="en-CA"/>
        </w:rPr>
        <w:t xml:space="preserve">accountants. </w:t>
      </w:r>
      <w:r w:rsidR="00C907AF" w:rsidRPr="000A3539">
        <w:rPr>
          <w:lang w:val="en-CA"/>
        </w:rPr>
        <w:t>T</w:t>
      </w:r>
      <w:r w:rsidR="00D76132" w:rsidRPr="000A3539">
        <w:rPr>
          <w:lang w:val="en-CA"/>
        </w:rPr>
        <w:t>he</w:t>
      </w:r>
      <w:r w:rsidR="00C907AF" w:rsidRPr="000A3539">
        <w:rPr>
          <w:lang w:val="en-CA"/>
        </w:rPr>
        <w:t xml:space="preserve"> </w:t>
      </w:r>
      <w:r w:rsidR="00D76132" w:rsidRPr="000A3539">
        <w:rPr>
          <w:lang w:val="en-CA"/>
        </w:rPr>
        <w:lastRenderedPageBreak/>
        <w:t xml:space="preserve">Court </w:t>
      </w:r>
      <w:r w:rsidR="00C907AF" w:rsidRPr="000A3539">
        <w:rPr>
          <w:lang w:val="en-CA"/>
        </w:rPr>
        <w:t xml:space="preserve">found that belonging to a professional order was not a </w:t>
      </w:r>
      <w:r w:rsidR="00D76132" w:rsidRPr="000A3539">
        <w:rPr>
          <w:lang w:val="en-CA"/>
        </w:rPr>
        <w:t xml:space="preserve">distinction </w:t>
      </w:r>
      <w:r w:rsidR="00C907AF" w:rsidRPr="000A3539">
        <w:rPr>
          <w:lang w:val="en-CA"/>
        </w:rPr>
        <w:t xml:space="preserve">based on social </w:t>
      </w:r>
      <w:r w:rsidR="00D76132" w:rsidRPr="000A3539">
        <w:rPr>
          <w:lang w:val="en-CA"/>
        </w:rPr>
        <w:t>condition:</w:t>
      </w:r>
    </w:p>
    <w:p w14:paraId="52398514" w14:textId="0FA98D10" w:rsidR="00C907AF" w:rsidRPr="000A3539" w:rsidRDefault="00290705" w:rsidP="00352837">
      <w:pPr>
        <w:spacing w:before="120" w:after="120"/>
        <w:ind w:left="720" w:right="720"/>
        <w:jc w:val="both"/>
        <w:rPr>
          <w:kern w:val="24"/>
          <w:sz w:val="22"/>
          <w:lang w:val="en-CA"/>
        </w:rPr>
      </w:pPr>
      <w:r w:rsidRPr="000A3539">
        <w:rPr>
          <w:kern w:val="24"/>
          <w:sz w:val="22"/>
          <w:lang w:val="en-CA"/>
        </w:rPr>
        <w:t>[</w:t>
      </w:r>
      <w:r w:rsidRPr="000A3539">
        <w:rPr>
          <w:smallCaps/>
          <w:kern w:val="24"/>
          <w:sz w:val="22"/>
          <w:lang w:val="en-CA"/>
        </w:rPr>
        <w:t>translation</w:t>
      </w:r>
      <w:r w:rsidRPr="000A3539">
        <w:rPr>
          <w:kern w:val="24"/>
          <w:sz w:val="22"/>
          <w:lang w:val="en-CA"/>
        </w:rPr>
        <w:t>]</w:t>
      </w:r>
    </w:p>
    <w:p w14:paraId="58BC39B4" w14:textId="74FEEB8D" w:rsidR="00352837" w:rsidRPr="000A3539" w:rsidRDefault="00D76132" w:rsidP="00352837">
      <w:pPr>
        <w:spacing w:before="120" w:after="120"/>
        <w:ind w:left="720" w:right="720"/>
        <w:jc w:val="both"/>
        <w:rPr>
          <w:kern w:val="24"/>
          <w:sz w:val="22"/>
          <w:lang w:val="en-CA"/>
        </w:rPr>
      </w:pPr>
      <w:r w:rsidRPr="000A3539">
        <w:rPr>
          <w:kern w:val="24"/>
          <w:sz w:val="22"/>
          <w:lang w:val="en-CA"/>
        </w:rPr>
        <w:t>[69]  </w:t>
      </w:r>
      <w:r w:rsidR="00D75D07" w:rsidRPr="000A3539">
        <w:rPr>
          <w:kern w:val="24"/>
          <w:sz w:val="22"/>
          <w:lang w:val="en-CA"/>
        </w:rPr>
        <w:t xml:space="preserve">The first </w:t>
      </w:r>
      <w:r w:rsidRPr="000A3539">
        <w:rPr>
          <w:kern w:val="24"/>
          <w:sz w:val="22"/>
          <w:lang w:val="en-CA"/>
        </w:rPr>
        <w:t xml:space="preserve">condition </w:t>
      </w:r>
      <w:r w:rsidR="00D75D07" w:rsidRPr="000A3539">
        <w:rPr>
          <w:kern w:val="24"/>
          <w:sz w:val="22"/>
          <w:lang w:val="en-CA"/>
        </w:rPr>
        <w:t xml:space="preserve">is met because </w:t>
      </w:r>
      <w:r w:rsidRPr="000A3539">
        <w:rPr>
          <w:kern w:val="24"/>
          <w:sz w:val="22"/>
          <w:lang w:val="en-CA"/>
        </w:rPr>
        <w:t xml:space="preserve">section 24 </w:t>
      </w:r>
      <w:r w:rsidR="00D75D07" w:rsidRPr="000A3539">
        <w:rPr>
          <w:kern w:val="24"/>
          <w:sz w:val="22"/>
          <w:lang w:val="en-CA"/>
        </w:rPr>
        <w:t>CAA</w:t>
      </w:r>
      <w:r w:rsidRPr="000A3539">
        <w:rPr>
          <w:kern w:val="24"/>
          <w:sz w:val="22"/>
          <w:lang w:val="en-CA"/>
        </w:rPr>
        <w:t xml:space="preserve"> </w:t>
      </w:r>
      <w:r w:rsidR="00D75D07" w:rsidRPr="000A3539">
        <w:rPr>
          <w:kern w:val="24"/>
          <w:sz w:val="22"/>
          <w:lang w:val="en-CA"/>
        </w:rPr>
        <w:t>treats those who are CAs differently from those who are not, such as CGAs</w:t>
      </w:r>
      <w:r w:rsidRPr="000A3539">
        <w:rPr>
          <w:kern w:val="24"/>
          <w:sz w:val="22"/>
          <w:lang w:val="en-CA"/>
        </w:rPr>
        <w:t>.</w:t>
      </w:r>
      <w:r w:rsidR="00D75D07" w:rsidRPr="000A3539">
        <w:rPr>
          <w:kern w:val="24"/>
          <w:sz w:val="22"/>
          <w:lang w:val="en-CA"/>
        </w:rPr>
        <w:t xml:space="preserve"> However, the </w:t>
      </w:r>
      <w:r w:rsidRPr="000A3539">
        <w:rPr>
          <w:kern w:val="24"/>
          <w:sz w:val="22"/>
          <w:lang w:val="en-CA"/>
        </w:rPr>
        <w:t>appellants</w:t>
      </w:r>
      <w:r w:rsidR="008C1871" w:rsidRPr="000A3539">
        <w:rPr>
          <w:kern w:val="24"/>
          <w:sz w:val="22"/>
          <w:lang w:val="en-CA"/>
        </w:rPr>
        <w:t xml:space="preserve"> are unable to show that the </w:t>
      </w:r>
      <w:r w:rsidRPr="000A3539">
        <w:rPr>
          <w:kern w:val="24"/>
          <w:sz w:val="22"/>
          <w:lang w:val="en-CA"/>
        </w:rPr>
        <w:t xml:space="preserve">distinction </w:t>
      </w:r>
      <w:r w:rsidR="008C1871" w:rsidRPr="000A3539">
        <w:rPr>
          <w:kern w:val="24"/>
          <w:sz w:val="22"/>
          <w:lang w:val="en-CA"/>
        </w:rPr>
        <w:t xml:space="preserve">is based on a </w:t>
      </w:r>
      <w:r w:rsidRPr="000A3539">
        <w:rPr>
          <w:kern w:val="24"/>
          <w:sz w:val="22"/>
          <w:lang w:val="en-CA"/>
        </w:rPr>
        <w:t>ground</w:t>
      </w:r>
      <w:r w:rsidR="008C1871" w:rsidRPr="000A3539">
        <w:rPr>
          <w:kern w:val="24"/>
          <w:sz w:val="22"/>
          <w:lang w:val="en-CA"/>
        </w:rPr>
        <w:t xml:space="preserve"> </w:t>
      </w:r>
      <w:r w:rsidRPr="000A3539">
        <w:rPr>
          <w:kern w:val="24"/>
          <w:sz w:val="22"/>
          <w:lang w:val="en-CA"/>
        </w:rPr>
        <w:t>of</w:t>
      </w:r>
      <w:r w:rsidR="008C1871" w:rsidRPr="000A3539">
        <w:rPr>
          <w:kern w:val="24"/>
          <w:sz w:val="22"/>
          <w:lang w:val="en-CA"/>
        </w:rPr>
        <w:t xml:space="preserve"> </w:t>
      </w:r>
      <w:r w:rsidRPr="000A3539">
        <w:rPr>
          <w:kern w:val="24"/>
          <w:sz w:val="22"/>
          <w:lang w:val="en-CA"/>
        </w:rPr>
        <w:t>discrimination</w:t>
      </w:r>
      <w:r w:rsidR="008C1871" w:rsidRPr="000A3539">
        <w:rPr>
          <w:kern w:val="24"/>
          <w:sz w:val="22"/>
          <w:lang w:val="en-CA"/>
        </w:rPr>
        <w:t xml:space="preserve"> related to any of the </w:t>
      </w:r>
      <w:r w:rsidRPr="000A3539">
        <w:rPr>
          <w:kern w:val="24"/>
          <w:sz w:val="22"/>
          <w:lang w:val="en-CA"/>
        </w:rPr>
        <w:t>personal</w:t>
      </w:r>
      <w:r w:rsidR="008C1871" w:rsidRPr="000A3539">
        <w:rPr>
          <w:kern w:val="24"/>
          <w:sz w:val="22"/>
          <w:lang w:val="en-CA"/>
        </w:rPr>
        <w:t xml:space="preserve"> </w:t>
      </w:r>
      <w:r w:rsidRPr="000A3539">
        <w:rPr>
          <w:kern w:val="24"/>
          <w:sz w:val="22"/>
          <w:lang w:val="en-CA"/>
        </w:rPr>
        <w:t>characteristics</w:t>
      </w:r>
      <w:r w:rsidR="008C1871" w:rsidRPr="000A3539">
        <w:rPr>
          <w:kern w:val="24"/>
          <w:sz w:val="22"/>
          <w:lang w:val="en-CA"/>
        </w:rPr>
        <w:t xml:space="preserve"> listed in </w:t>
      </w:r>
      <w:r w:rsidRPr="000A3539">
        <w:rPr>
          <w:kern w:val="24"/>
          <w:sz w:val="22"/>
          <w:lang w:val="en-CA"/>
        </w:rPr>
        <w:t xml:space="preserve">section 10. </w:t>
      </w:r>
      <w:r w:rsidR="008C1871" w:rsidRPr="000A3539">
        <w:rPr>
          <w:kern w:val="24"/>
          <w:sz w:val="22"/>
          <w:lang w:val="en-CA"/>
        </w:rPr>
        <w:t xml:space="preserve">The </w:t>
      </w:r>
      <w:r w:rsidRPr="000A3539">
        <w:rPr>
          <w:kern w:val="24"/>
          <w:sz w:val="22"/>
          <w:lang w:val="en-CA"/>
        </w:rPr>
        <w:t>trial</w:t>
      </w:r>
      <w:r w:rsidR="008C1871" w:rsidRPr="000A3539">
        <w:rPr>
          <w:kern w:val="24"/>
          <w:sz w:val="22"/>
          <w:lang w:val="en-CA"/>
        </w:rPr>
        <w:t xml:space="preserve"> </w:t>
      </w:r>
      <w:r w:rsidRPr="000A3539">
        <w:rPr>
          <w:kern w:val="24"/>
          <w:sz w:val="22"/>
          <w:lang w:val="en-CA"/>
        </w:rPr>
        <w:t>judge</w:t>
      </w:r>
      <w:r w:rsidR="000B2CAA">
        <w:rPr>
          <w:kern w:val="24"/>
          <w:sz w:val="22"/>
          <w:lang w:val="en-CA"/>
        </w:rPr>
        <w:t xml:space="preserve"> rightly</w:t>
      </w:r>
      <w:r w:rsidR="008C1871" w:rsidRPr="000A3539">
        <w:rPr>
          <w:kern w:val="24"/>
          <w:sz w:val="22"/>
          <w:lang w:val="en-CA"/>
        </w:rPr>
        <w:t xml:space="preserve"> refused to consider the fact of belonging to the </w:t>
      </w:r>
      <w:r w:rsidRPr="000A3539">
        <w:rPr>
          <w:kern w:val="24"/>
          <w:sz w:val="22"/>
          <w:lang w:val="en-CA"/>
        </w:rPr>
        <w:t xml:space="preserve">OCA </w:t>
      </w:r>
      <w:r w:rsidR="008C1871" w:rsidRPr="000A3539">
        <w:rPr>
          <w:kern w:val="24"/>
          <w:sz w:val="22"/>
          <w:lang w:val="en-CA"/>
        </w:rPr>
        <w:t xml:space="preserve">to be a </w:t>
      </w:r>
      <w:r w:rsidRPr="000A3539">
        <w:rPr>
          <w:kern w:val="24"/>
          <w:sz w:val="22"/>
          <w:lang w:val="en-CA"/>
        </w:rPr>
        <w:t xml:space="preserve">distinction </w:t>
      </w:r>
      <w:r w:rsidR="008C1871" w:rsidRPr="000A3539">
        <w:rPr>
          <w:kern w:val="24"/>
          <w:sz w:val="22"/>
          <w:lang w:val="en-CA"/>
        </w:rPr>
        <w:t xml:space="preserve">based on “social </w:t>
      </w:r>
      <w:r w:rsidRPr="000A3539">
        <w:rPr>
          <w:kern w:val="24"/>
          <w:sz w:val="22"/>
          <w:lang w:val="en-CA"/>
        </w:rPr>
        <w:t>condition</w:t>
      </w:r>
      <w:r w:rsidR="008C1871" w:rsidRPr="000A3539">
        <w:rPr>
          <w:kern w:val="24"/>
          <w:sz w:val="22"/>
          <w:lang w:val="en-CA"/>
        </w:rPr>
        <w:t xml:space="preserve">” </w:t>
      </w:r>
      <w:r w:rsidRPr="000A3539">
        <w:rPr>
          <w:kern w:val="24"/>
          <w:sz w:val="22"/>
          <w:lang w:val="en-CA"/>
        </w:rPr>
        <w:t>within</w:t>
      </w:r>
      <w:r w:rsidR="008C1871" w:rsidRPr="000A3539">
        <w:rPr>
          <w:kern w:val="24"/>
          <w:sz w:val="22"/>
          <w:lang w:val="en-CA"/>
        </w:rPr>
        <w:t xml:space="preserve"> </w:t>
      </w:r>
      <w:r w:rsidRPr="000A3539">
        <w:rPr>
          <w:kern w:val="24"/>
          <w:sz w:val="22"/>
          <w:lang w:val="en-CA"/>
        </w:rPr>
        <w:t>the</w:t>
      </w:r>
      <w:r w:rsidR="008C1871" w:rsidRPr="000A3539">
        <w:rPr>
          <w:kern w:val="24"/>
          <w:sz w:val="22"/>
          <w:lang w:val="en-CA"/>
        </w:rPr>
        <w:t xml:space="preserve"> </w:t>
      </w:r>
      <w:r w:rsidRPr="000A3539">
        <w:rPr>
          <w:kern w:val="24"/>
          <w:sz w:val="22"/>
          <w:lang w:val="en-CA"/>
        </w:rPr>
        <w:t>meaning</w:t>
      </w:r>
      <w:r w:rsidR="008C1871" w:rsidRPr="000A3539">
        <w:rPr>
          <w:kern w:val="24"/>
          <w:sz w:val="22"/>
          <w:lang w:val="en-CA"/>
        </w:rPr>
        <w:t xml:space="preserve"> </w:t>
      </w:r>
      <w:r w:rsidRPr="000A3539">
        <w:rPr>
          <w:kern w:val="24"/>
          <w:sz w:val="22"/>
          <w:lang w:val="en-CA"/>
        </w:rPr>
        <w:t>of</w:t>
      </w:r>
      <w:r w:rsidR="008C1871" w:rsidRPr="000A3539">
        <w:rPr>
          <w:kern w:val="24"/>
          <w:sz w:val="22"/>
          <w:lang w:val="en-CA"/>
        </w:rPr>
        <w:t xml:space="preserve"> </w:t>
      </w:r>
      <w:r w:rsidRPr="000A3539">
        <w:rPr>
          <w:kern w:val="24"/>
          <w:sz w:val="22"/>
          <w:lang w:val="en-CA"/>
        </w:rPr>
        <w:t xml:space="preserve">section 10. </w:t>
      </w:r>
      <w:r w:rsidR="00745A6B" w:rsidRPr="000A3539">
        <w:rPr>
          <w:kern w:val="24"/>
          <w:sz w:val="22"/>
          <w:lang w:val="en-CA"/>
        </w:rPr>
        <w:t>We are far</w:t>
      </w:r>
      <w:r w:rsidR="00B16A9E">
        <w:rPr>
          <w:kern w:val="24"/>
          <w:sz w:val="22"/>
          <w:lang w:val="en-CA"/>
        </w:rPr>
        <w:t xml:space="preserve"> removed</w:t>
      </w:r>
      <w:r w:rsidR="00745A6B" w:rsidRPr="000A3539">
        <w:rPr>
          <w:kern w:val="24"/>
          <w:sz w:val="22"/>
          <w:lang w:val="en-CA"/>
        </w:rPr>
        <w:t xml:space="preserve"> from the concept of social </w:t>
      </w:r>
      <w:r w:rsidRPr="000A3539">
        <w:rPr>
          <w:kern w:val="24"/>
          <w:sz w:val="22"/>
          <w:lang w:val="en-CA"/>
        </w:rPr>
        <w:t xml:space="preserve">condition </w:t>
      </w:r>
      <w:r w:rsidR="00745A6B" w:rsidRPr="000A3539">
        <w:rPr>
          <w:kern w:val="24"/>
          <w:sz w:val="22"/>
          <w:lang w:val="en-CA"/>
        </w:rPr>
        <w:t xml:space="preserve">as identified by the </w:t>
      </w:r>
      <w:r w:rsidRPr="000A3539">
        <w:rPr>
          <w:kern w:val="24"/>
          <w:sz w:val="22"/>
          <w:lang w:val="en-CA"/>
        </w:rPr>
        <w:t>case</w:t>
      </w:r>
      <w:r w:rsidR="00745A6B" w:rsidRPr="000A3539">
        <w:rPr>
          <w:kern w:val="24"/>
          <w:sz w:val="22"/>
          <w:lang w:val="en-CA"/>
        </w:rPr>
        <w:t xml:space="preserve"> </w:t>
      </w:r>
      <w:r w:rsidRPr="000A3539">
        <w:rPr>
          <w:kern w:val="24"/>
          <w:sz w:val="22"/>
          <w:lang w:val="en-CA"/>
        </w:rPr>
        <w:t>law.</w:t>
      </w:r>
      <w:r w:rsidR="00745A6B" w:rsidRPr="000A3539">
        <w:rPr>
          <w:kern w:val="24"/>
          <w:sz w:val="22"/>
          <w:lang w:val="en-CA"/>
        </w:rPr>
        <w:t xml:space="preserve"> The concept </w:t>
      </w:r>
      <w:r w:rsidR="00163114" w:rsidRPr="000A3539">
        <w:rPr>
          <w:kern w:val="24"/>
          <w:sz w:val="22"/>
          <w:lang w:val="en-CA"/>
        </w:rPr>
        <w:t xml:space="preserve">generally </w:t>
      </w:r>
      <w:r w:rsidR="00745A6B" w:rsidRPr="000A3539">
        <w:rPr>
          <w:kern w:val="24"/>
          <w:sz w:val="22"/>
          <w:lang w:val="en-CA"/>
        </w:rPr>
        <w:t xml:space="preserve">refers to the rank or place a </w:t>
      </w:r>
      <w:r w:rsidRPr="000A3539">
        <w:rPr>
          <w:kern w:val="24"/>
          <w:sz w:val="22"/>
          <w:lang w:val="en-CA"/>
        </w:rPr>
        <w:t>person</w:t>
      </w:r>
      <w:r w:rsidR="00745A6B" w:rsidRPr="000A3539">
        <w:rPr>
          <w:kern w:val="24"/>
          <w:sz w:val="22"/>
          <w:lang w:val="en-CA"/>
        </w:rPr>
        <w:t xml:space="preserve"> occupies in </w:t>
      </w:r>
      <w:r w:rsidRPr="000A3539">
        <w:rPr>
          <w:kern w:val="24"/>
          <w:sz w:val="22"/>
          <w:lang w:val="en-CA"/>
        </w:rPr>
        <w:t>soci</w:t>
      </w:r>
      <w:r w:rsidR="00745A6B" w:rsidRPr="000A3539">
        <w:rPr>
          <w:kern w:val="24"/>
          <w:sz w:val="22"/>
          <w:lang w:val="en-CA"/>
        </w:rPr>
        <w:t>ety</w:t>
      </w:r>
      <w:r w:rsidRPr="000A3539">
        <w:rPr>
          <w:kern w:val="24"/>
          <w:sz w:val="22"/>
          <w:lang w:val="en-CA"/>
        </w:rPr>
        <w:t>.</w:t>
      </w:r>
      <w:r w:rsidR="00745A6B" w:rsidRPr="000A3539">
        <w:rPr>
          <w:kern w:val="24"/>
          <w:sz w:val="22"/>
          <w:lang w:val="en-CA"/>
        </w:rPr>
        <w:t xml:space="preserve"> In the more specific context of an allegation of </w:t>
      </w:r>
      <w:r w:rsidRPr="000A3539">
        <w:rPr>
          <w:kern w:val="24"/>
          <w:sz w:val="22"/>
          <w:lang w:val="en-CA"/>
        </w:rPr>
        <w:t xml:space="preserve">discrimination, </w:t>
      </w:r>
      <w:r w:rsidR="00745A6B" w:rsidRPr="000A3539">
        <w:rPr>
          <w:kern w:val="24"/>
          <w:sz w:val="22"/>
          <w:lang w:val="en-CA"/>
        </w:rPr>
        <w:t xml:space="preserve">the concept has been applied to disadvantaged or vulnerable persons who </w:t>
      </w:r>
      <w:r w:rsidR="00163114">
        <w:rPr>
          <w:kern w:val="24"/>
          <w:sz w:val="22"/>
          <w:lang w:val="en-CA"/>
        </w:rPr>
        <w:t>endure</w:t>
      </w:r>
      <w:r w:rsidR="00163114" w:rsidRPr="000A3539">
        <w:rPr>
          <w:kern w:val="24"/>
          <w:sz w:val="22"/>
          <w:lang w:val="en-CA"/>
        </w:rPr>
        <w:t xml:space="preserve"> </w:t>
      </w:r>
      <w:r w:rsidR="00745A6B" w:rsidRPr="000A3539">
        <w:rPr>
          <w:kern w:val="24"/>
          <w:sz w:val="22"/>
          <w:lang w:val="en-CA"/>
        </w:rPr>
        <w:t>their social</w:t>
      </w:r>
      <w:r w:rsidRPr="000A3539">
        <w:rPr>
          <w:kern w:val="24"/>
          <w:sz w:val="22"/>
          <w:lang w:val="en-CA"/>
        </w:rPr>
        <w:t xml:space="preserve"> condition</w:t>
      </w:r>
      <w:r w:rsidR="00745A6B" w:rsidRPr="000A3539">
        <w:rPr>
          <w:kern w:val="24"/>
          <w:sz w:val="22"/>
          <w:lang w:val="en-CA"/>
        </w:rPr>
        <w:t xml:space="preserve"> rather than benefit from it</w:t>
      </w:r>
      <w:r w:rsidRPr="000A3539">
        <w:rPr>
          <w:kern w:val="24"/>
          <w:sz w:val="22"/>
          <w:lang w:val="en-CA"/>
        </w:rPr>
        <w:t>.</w:t>
      </w:r>
      <w:r w:rsidR="00745A6B" w:rsidRPr="000A3539">
        <w:rPr>
          <w:kern w:val="24"/>
          <w:sz w:val="22"/>
          <w:lang w:val="en-CA"/>
        </w:rPr>
        <w:t xml:space="preserve"> It is most often the result of a </w:t>
      </w:r>
      <w:r w:rsidRPr="000A3539">
        <w:rPr>
          <w:kern w:val="24"/>
          <w:sz w:val="22"/>
          <w:lang w:val="en-CA"/>
        </w:rPr>
        <w:t xml:space="preserve">situation </w:t>
      </w:r>
      <w:r w:rsidR="002D659E" w:rsidRPr="000A3539">
        <w:rPr>
          <w:kern w:val="24"/>
          <w:sz w:val="22"/>
          <w:lang w:val="en-CA"/>
        </w:rPr>
        <w:t xml:space="preserve">that the person cannot easily overcome and that is not the </w:t>
      </w:r>
      <w:r w:rsidRPr="000A3539">
        <w:rPr>
          <w:kern w:val="24"/>
          <w:sz w:val="22"/>
          <w:lang w:val="en-CA"/>
        </w:rPr>
        <w:t>cons</w:t>
      </w:r>
      <w:r w:rsidR="002D659E" w:rsidRPr="000A3539">
        <w:rPr>
          <w:kern w:val="24"/>
          <w:sz w:val="22"/>
          <w:lang w:val="en-CA"/>
        </w:rPr>
        <w:t>e</w:t>
      </w:r>
      <w:r w:rsidRPr="000A3539">
        <w:rPr>
          <w:kern w:val="24"/>
          <w:sz w:val="22"/>
          <w:lang w:val="en-CA"/>
        </w:rPr>
        <w:t xml:space="preserve">quence </w:t>
      </w:r>
      <w:r w:rsidR="002D659E" w:rsidRPr="000A3539">
        <w:rPr>
          <w:kern w:val="24"/>
          <w:sz w:val="22"/>
          <w:lang w:val="en-CA"/>
        </w:rPr>
        <w:t>of a deliberate choice</w:t>
      </w:r>
      <w:r w:rsidRPr="000A3539">
        <w:rPr>
          <w:kern w:val="24"/>
          <w:sz w:val="22"/>
          <w:lang w:val="en-CA"/>
        </w:rPr>
        <w:t>.</w:t>
      </w:r>
    </w:p>
    <w:p w14:paraId="47FE9F9B" w14:textId="4D457DE7" w:rsidR="00352837" w:rsidRPr="000A3539" w:rsidRDefault="00D76132" w:rsidP="00352837">
      <w:pPr>
        <w:spacing w:before="120" w:after="120"/>
        <w:ind w:left="720" w:right="720"/>
        <w:jc w:val="both"/>
        <w:rPr>
          <w:kern w:val="24"/>
          <w:sz w:val="22"/>
          <w:lang w:val="en-CA"/>
        </w:rPr>
      </w:pPr>
      <w:r w:rsidRPr="000A3539">
        <w:rPr>
          <w:kern w:val="24"/>
          <w:sz w:val="22"/>
          <w:lang w:val="en-CA"/>
        </w:rPr>
        <w:t>[70]  </w:t>
      </w:r>
      <w:r w:rsidR="00292E43" w:rsidRPr="000A3539">
        <w:rPr>
          <w:kern w:val="24"/>
          <w:sz w:val="22"/>
          <w:lang w:val="en-CA"/>
        </w:rPr>
        <w:t xml:space="preserve">Deliberately belonging to a </w:t>
      </w:r>
      <w:r w:rsidRPr="000A3539">
        <w:rPr>
          <w:kern w:val="24"/>
          <w:sz w:val="22"/>
          <w:lang w:val="en-CA"/>
        </w:rPr>
        <w:t xml:space="preserve">profession </w:t>
      </w:r>
      <w:r w:rsidR="00292E43" w:rsidRPr="000A3539">
        <w:rPr>
          <w:kern w:val="24"/>
          <w:sz w:val="22"/>
          <w:lang w:val="en-CA"/>
        </w:rPr>
        <w:t xml:space="preserve">may certainly </w:t>
      </w:r>
      <w:r w:rsidR="00FC3354" w:rsidRPr="000A3539">
        <w:rPr>
          <w:kern w:val="24"/>
          <w:sz w:val="22"/>
          <w:lang w:val="en-CA"/>
        </w:rPr>
        <w:t>influence</w:t>
      </w:r>
      <w:r w:rsidR="00292E43" w:rsidRPr="000A3539">
        <w:rPr>
          <w:kern w:val="24"/>
          <w:sz w:val="22"/>
          <w:lang w:val="en-CA"/>
        </w:rPr>
        <w:t xml:space="preserve"> a person’s social </w:t>
      </w:r>
      <w:r w:rsidRPr="000A3539">
        <w:rPr>
          <w:kern w:val="24"/>
          <w:sz w:val="22"/>
          <w:lang w:val="en-CA"/>
        </w:rPr>
        <w:t>condition</w:t>
      </w:r>
      <w:r w:rsidR="00292E43" w:rsidRPr="000A3539">
        <w:rPr>
          <w:kern w:val="24"/>
          <w:sz w:val="22"/>
          <w:lang w:val="en-CA"/>
        </w:rPr>
        <w:t>, [</w:t>
      </w:r>
      <w:r w:rsidR="00E064B2" w:rsidRPr="000A3539">
        <w:rPr>
          <w:smallCaps/>
          <w:kern w:val="24"/>
          <w:sz w:val="22"/>
          <w:lang w:val="en-CA"/>
        </w:rPr>
        <w:t>translation] “</w:t>
      </w:r>
      <w:r w:rsidR="00E064B2" w:rsidRPr="000A3539">
        <w:rPr>
          <w:kern w:val="24"/>
          <w:sz w:val="22"/>
          <w:lang w:val="en-CA"/>
        </w:rPr>
        <w:t xml:space="preserve">but the fact that one is a CGA rather than a CMA or a CA is not a social </w:t>
      </w:r>
      <w:r w:rsidRPr="000A3539">
        <w:rPr>
          <w:kern w:val="24"/>
          <w:sz w:val="22"/>
          <w:lang w:val="en-CA"/>
        </w:rPr>
        <w:t>condition</w:t>
      </w:r>
      <w:r w:rsidR="00E064B2" w:rsidRPr="000A3539">
        <w:rPr>
          <w:kern w:val="24"/>
          <w:sz w:val="22"/>
          <w:lang w:val="en-CA"/>
        </w:rPr>
        <w:t xml:space="preserve"> </w:t>
      </w:r>
      <w:r w:rsidR="00E064B2" w:rsidRPr="000A3539">
        <w:rPr>
          <w:i/>
          <w:kern w:val="24"/>
          <w:sz w:val="22"/>
          <w:lang w:val="en-CA"/>
        </w:rPr>
        <w:t>per se</w:t>
      </w:r>
      <w:r w:rsidRPr="000A3539">
        <w:rPr>
          <w:kern w:val="24"/>
          <w:sz w:val="22"/>
          <w:lang w:val="en-CA"/>
        </w:rPr>
        <w:t>.</w:t>
      </w:r>
      <w:r w:rsidR="00E064B2" w:rsidRPr="000A3539">
        <w:rPr>
          <w:kern w:val="24"/>
          <w:sz w:val="22"/>
          <w:lang w:val="en-CA"/>
        </w:rPr>
        <w:t xml:space="preserve"> Similarly, it cannot be said that all CGAs are part of the same social c</w:t>
      </w:r>
      <w:r w:rsidRPr="000A3539">
        <w:rPr>
          <w:kern w:val="24"/>
          <w:sz w:val="22"/>
          <w:lang w:val="en-CA"/>
        </w:rPr>
        <w:t>lass</w:t>
      </w:r>
      <w:r w:rsidR="00E064B2" w:rsidRPr="000A3539">
        <w:rPr>
          <w:kern w:val="24"/>
          <w:sz w:val="22"/>
          <w:lang w:val="en-CA"/>
        </w:rPr>
        <w:t>” </w:t>
      </w:r>
      <w:r w:rsidRPr="000A3539">
        <w:rPr>
          <w:kern w:val="24"/>
          <w:sz w:val="22"/>
          <w:lang w:val="en-CA"/>
        </w:rPr>
        <w:t>(paragraph 111</w:t>
      </w:r>
      <w:r w:rsidR="00E064B2" w:rsidRPr="000A3539">
        <w:rPr>
          <w:kern w:val="24"/>
          <w:sz w:val="22"/>
          <w:lang w:val="en-CA"/>
        </w:rPr>
        <w:t xml:space="preserve"> of the </w:t>
      </w:r>
      <w:r w:rsidRPr="000A3539">
        <w:rPr>
          <w:kern w:val="24"/>
          <w:sz w:val="22"/>
          <w:lang w:val="en-CA"/>
        </w:rPr>
        <w:t>judgment</w:t>
      </w:r>
      <w:r w:rsidR="00E064B2" w:rsidRPr="000A3539">
        <w:rPr>
          <w:kern w:val="24"/>
          <w:sz w:val="22"/>
          <w:lang w:val="en-CA"/>
        </w:rPr>
        <w:t xml:space="preserve"> under appeal</w:t>
      </w:r>
      <w:r w:rsidRPr="000A3539">
        <w:rPr>
          <w:kern w:val="24"/>
          <w:sz w:val="22"/>
          <w:lang w:val="en-CA"/>
        </w:rPr>
        <w:t>).</w:t>
      </w:r>
      <w:r w:rsidRPr="000A3539">
        <w:rPr>
          <w:kern w:val="24"/>
          <w:sz w:val="22"/>
          <w:vertAlign w:val="superscript"/>
          <w:lang w:val="en-CA"/>
        </w:rPr>
        <w:footnoteReference w:id="97"/>
      </w:r>
    </w:p>
    <w:p w14:paraId="0E3DE8C2" w14:textId="2091AA68" w:rsidR="00352837" w:rsidRPr="000A3539" w:rsidRDefault="000562ED" w:rsidP="00352837">
      <w:pPr>
        <w:pStyle w:val="Paragraphe"/>
        <w:rPr>
          <w:lang w:val="en-CA"/>
        </w:rPr>
      </w:pPr>
      <w:r w:rsidRPr="000A3539">
        <w:rPr>
          <w:lang w:val="en-CA"/>
        </w:rPr>
        <w:t xml:space="preserve">First, it is necessary to note the </w:t>
      </w:r>
      <w:r w:rsidR="00D76132" w:rsidRPr="000A3539">
        <w:rPr>
          <w:lang w:val="en-CA"/>
        </w:rPr>
        <w:t xml:space="preserve">nuance </w:t>
      </w:r>
      <w:r w:rsidRPr="000A3539">
        <w:rPr>
          <w:lang w:val="en-CA"/>
        </w:rPr>
        <w:t xml:space="preserve">made by the </w:t>
      </w:r>
      <w:r w:rsidR="00D76132" w:rsidRPr="000A3539">
        <w:rPr>
          <w:lang w:val="en-CA"/>
        </w:rPr>
        <w:t>Cour</w:t>
      </w:r>
      <w:r w:rsidRPr="000A3539">
        <w:rPr>
          <w:lang w:val="en-CA"/>
        </w:rPr>
        <w:t xml:space="preserve">t that social </w:t>
      </w:r>
      <w:r w:rsidR="00D76132" w:rsidRPr="000A3539">
        <w:rPr>
          <w:lang w:val="en-CA"/>
        </w:rPr>
        <w:t>condition</w:t>
      </w:r>
      <w:r w:rsidRPr="000A3539">
        <w:rPr>
          <w:lang w:val="en-CA"/>
        </w:rPr>
        <w:t xml:space="preserve"> [</w:t>
      </w:r>
      <w:r w:rsidRPr="000A3539">
        <w:rPr>
          <w:smallCaps/>
          <w:lang w:val="en-CA"/>
        </w:rPr>
        <w:t>translation</w:t>
      </w:r>
      <w:r w:rsidRPr="000A3539">
        <w:rPr>
          <w:lang w:val="en-CA"/>
        </w:rPr>
        <w:t>]</w:t>
      </w:r>
      <w:r w:rsidR="00D76132" w:rsidRPr="000A3539">
        <w:rPr>
          <w:lang w:val="en-CA"/>
        </w:rPr>
        <w:t xml:space="preserve"> </w:t>
      </w:r>
      <w:r w:rsidRPr="000A3539">
        <w:rPr>
          <w:lang w:val="en-CA"/>
        </w:rPr>
        <w:t>“is most often the result of a situation that the person cannot easily overcome and that is not the consequence of a deliberate choice</w:t>
      </w:r>
      <w:r w:rsidR="00DE3502" w:rsidRPr="000A3539">
        <w:rPr>
          <w:lang w:val="en-CA"/>
        </w:rPr>
        <w:t>”</w:t>
      </w:r>
      <w:r w:rsidR="00D76132" w:rsidRPr="000A3539">
        <w:rPr>
          <w:lang w:val="en-CA"/>
        </w:rPr>
        <w:t>.</w:t>
      </w:r>
      <w:r w:rsidR="00DE3502" w:rsidRPr="000A3539">
        <w:rPr>
          <w:lang w:val="en-CA"/>
        </w:rPr>
        <w:t xml:space="preserve"> Therefore, it is not a</w:t>
      </w:r>
      <w:r w:rsidR="00D76132" w:rsidRPr="000A3539">
        <w:rPr>
          <w:lang w:val="en-CA"/>
        </w:rPr>
        <w:t xml:space="preserve"> </w:t>
      </w:r>
      <w:r w:rsidR="00391F4B">
        <w:rPr>
          <w:lang w:val="en-CA"/>
        </w:rPr>
        <w:t>conclusive</w:t>
      </w:r>
      <w:r w:rsidR="0072637C" w:rsidRPr="000A3539">
        <w:rPr>
          <w:lang w:val="en-CA"/>
        </w:rPr>
        <w:t xml:space="preserve"> </w:t>
      </w:r>
      <w:r w:rsidR="00197A59" w:rsidRPr="000A3539">
        <w:rPr>
          <w:lang w:val="en-CA"/>
        </w:rPr>
        <w:t xml:space="preserve">aspect in the </w:t>
      </w:r>
      <w:r w:rsidR="00D76132" w:rsidRPr="000A3539">
        <w:rPr>
          <w:lang w:val="en-CA"/>
        </w:rPr>
        <w:t>d</w:t>
      </w:r>
      <w:r w:rsidR="00197A59" w:rsidRPr="000A3539">
        <w:rPr>
          <w:lang w:val="en-CA"/>
        </w:rPr>
        <w:t>e</w:t>
      </w:r>
      <w:r w:rsidR="00D76132" w:rsidRPr="000A3539">
        <w:rPr>
          <w:lang w:val="en-CA"/>
        </w:rPr>
        <w:t xml:space="preserve">termination </w:t>
      </w:r>
      <w:r w:rsidR="00197A59" w:rsidRPr="000A3539">
        <w:rPr>
          <w:lang w:val="en-CA"/>
        </w:rPr>
        <w:t xml:space="preserve">of what </w:t>
      </w:r>
      <w:r w:rsidR="00D76132" w:rsidRPr="000A3539">
        <w:rPr>
          <w:lang w:val="en-CA"/>
        </w:rPr>
        <w:t>constitu</w:t>
      </w:r>
      <w:r w:rsidR="00197A59" w:rsidRPr="000A3539">
        <w:rPr>
          <w:lang w:val="en-CA"/>
        </w:rPr>
        <w:t>t</w:t>
      </w:r>
      <w:r w:rsidR="00D76132" w:rsidRPr="000A3539">
        <w:rPr>
          <w:lang w:val="en-CA"/>
        </w:rPr>
        <w:t>e</w:t>
      </w:r>
      <w:r w:rsidR="00197A59" w:rsidRPr="000A3539">
        <w:rPr>
          <w:lang w:val="en-CA"/>
        </w:rPr>
        <w:t xml:space="preserve">s a social </w:t>
      </w:r>
      <w:r w:rsidR="00D76132" w:rsidRPr="000A3539">
        <w:rPr>
          <w:lang w:val="en-CA"/>
        </w:rPr>
        <w:t xml:space="preserve">condition </w:t>
      </w:r>
      <w:r w:rsidR="00197A59" w:rsidRPr="000A3539">
        <w:rPr>
          <w:lang w:val="en-CA"/>
        </w:rPr>
        <w:t xml:space="preserve">within the meaning of the </w:t>
      </w:r>
      <w:r w:rsidR="00DC430C" w:rsidRPr="00DC430C">
        <w:rPr>
          <w:i/>
          <w:lang w:val="en-CA"/>
        </w:rPr>
        <w:t>Quebec Charter</w:t>
      </w:r>
      <w:r w:rsidR="00D76132" w:rsidRPr="000A3539">
        <w:rPr>
          <w:lang w:val="en-CA"/>
        </w:rPr>
        <w:t xml:space="preserve">. </w:t>
      </w:r>
      <w:r w:rsidR="00197A59" w:rsidRPr="000A3539">
        <w:rPr>
          <w:lang w:val="en-CA"/>
        </w:rPr>
        <w:t>Moreover</w:t>
      </w:r>
      <w:r w:rsidR="00D76132" w:rsidRPr="000A3539">
        <w:rPr>
          <w:lang w:val="en-CA"/>
        </w:rPr>
        <w:t xml:space="preserve">, </w:t>
      </w:r>
      <w:r w:rsidR="00197A59" w:rsidRPr="000A3539">
        <w:rPr>
          <w:lang w:val="en-CA"/>
        </w:rPr>
        <w:t xml:space="preserve">the choice to belong to one professional order rather than another is very far removed from the </w:t>
      </w:r>
      <w:r w:rsidR="00D76132" w:rsidRPr="000A3539">
        <w:rPr>
          <w:lang w:val="en-CA"/>
        </w:rPr>
        <w:t>decision</w:t>
      </w:r>
      <w:r w:rsidR="00197A59" w:rsidRPr="000A3539">
        <w:rPr>
          <w:lang w:val="en-CA"/>
        </w:rPr>
        <w:t xml:space="preserve"> to pursue one’s studies</w:t>
      </w:r>
      <w:r w:rsidR="00D76132" w:rsidRPr="000A3539">
        <w:rPr>
          <w:lang w:val="en-CA"/>
        </w:rPr>
        <w:t xml:space="preserve">. </w:t>
      </w:r>
    </w:p>
    <w:p w14:paraId="78172015" w14:textId="0B590C69" w:rsidR="00352837" w:rsidRPr="000A3539" w:rsidRDefault="00CF58D0" w:rsidP="00352837">
      <w:pPr>
        <w:pStyle w:val="Paragraphe"/>
        <w:rPr>
          <w:lang w:val="en-CA"/>
        </w:rPr>
      </w:pPr>
      <w:r w:rsidRPr="000A3539">
        <w:rPr>
          <w:lang w:val="en-CA"/>
        </w:rPr>
        <w:t>But there is still more.</w:t>
      </w:r>
      <w:r w:rsidR="00D76132" w:rsidRPr="000A3539">
        <w:rPr>
          <w:lang w:val="en-CA"/>
        </w:rPr>
        <w:t xml:space="preserve"> </w:t>
      </w:r>
      <w:r w:rsidR="002E58E0" w:rsidRPr="000A3539">
        <w:rPr>
          <w:lang w:val="en-CA"/>
        </w:rPr>
        <w:t>T</w:t>
      </w:r>
      <w:r w:rsidR="00D76132" w:rsidRPr="000A3539">
        <w:rPr>
          <w:lang w:val="en-CA"/>
        </w:rPr>
        <w:t>he</w:t>
      </w:r>
      <w:r w:rsidR="002E58E0" w:rsidRPr="000A3539">
        <w:rPr>
          <w:lang w:val="en-CA"/>
        </w:rPr>
        <w:t xml:space="preserve"> </w:t>
      </w:r>
      <w:r w:rsidR="00D76132" w:rsidRPr="000A3539">
        <w:rPr>
          <w:lang w:val="en-CA"/>
        </w:rPr>
        <w:t>Supreme</w:t>
      </w:r>
      <w:r w:rsidR="002E58E0" w:rsidRPr="000A3539">
        <w:rPr>
          <w:lang w:val="en-CA"/>
        </w:rPr>
        <w:t xml:space="preserve"> </w:t>
      </w:r>
      <w:r w:rsidR="00D76132" w:rsidRPr="000A3539">
        <w:rPr>
          <w:lang w:val="en-CA"/>
        </w:rPr>
        <w:t>Court</w:t>
      </w:r>
      <w:r w:rsidR="002E58E0" w:rsidRPr="000A3539">
        <w:rPr>
          <w:lang w:val="en-CA"/>
        </w:rPr>
        <w:t xml:space="preserve"> has explained on several occasions that the </w:t>
      </w:r>
      <w:r w:rsidR="00D76132" w:rsidRPr="000A3539">
        <w:rPr>
          <w:lang w:val="en-CA"/>
        </w:rPr>
        <w:t xml:space="preserve">existence </w:t>
      </w:r>
      <w:r w:rsidR="002E58E0" w:rsidRPr="000A3539">
        <w:rPr>
          <w:lang w:val="en-CA"/>
        </w:rPr>
        <w:t xml:space="preserve">and the </w:t>
      </w:r>
      <w:r w:rsidR="00D76132" w:rsidRPr="000A3539">
        <w:rPr>
          <w:lang w:val="en-CA"/>
        </w:rPr>
        <w:t>exerci</w:t>
      </w:r>
      <w:r w:rsidR="002E58E0" w:rsidRPr="000A3539">
        <w:rPr>
          <w:lang w:val="en-CA"/>
        </w:rPr>
        <w:t>s</w:t>
      </w:r>
      <w:r w:rsidR="00D76132" w:rsidRPr="000A3539">
        <w:rPr>
          <w:lang w:val="en-CA"/>
        </w:rPr>
        <w:t xml:space="preserve">e </w:t>
      </w:r>
      <w:r w:rsidR="002E58E0" w:rsidRPr="000A3539">
        <w:rPr>
          <w:lang w:val="en-CA"/>
        </w:rPr>
        <w:t xml:space="preserve">of a choice are not </w:t>
      </w:r>
      <w:r w:rsidR="00D76132" w:rsidRPr="000A3539">
        <w:rPr>
          <w:lang w:val="en-CA"/>
        </w:rPr>
        <w:t xml:space="preserve">relevant </w:t>
      </w:r>
      <w:r w:rsidR="0072637C">
        <w:rPr>
          <w:lang w:val="en-CA"/>
        </w:rPr>
        <w:t>when</w:t>
      </w:r>
      <w:r w:rsidR="0072637C" w:rsidRPr="000A3539">
        <w:rPr>
          <w:lang w:val="en-CA"/>
        </w:rPr>
        <w:t xml:space="preserve"> </w:t>
      </w:r>
      <w:r w:rsidR="00913B40" w:rsidRPr="000A3539">
        <w:rPr>
          <w:lang w:val="en-CA"/>
        </w:rPr>
        <w:t>rul</w:t>
      </w:r>
      <w:r w:rsidR="0072637C">
        <w:rPr>
          <w:lang w:val="en-CA"/>
        </w:rPr>
        <w:t>ing</w:t>
      </w:r>
      <w:r w:rsidR="00913B40" w:rsidRPr="000A3539">
        <w:rPr>
          <w:lang w:val="en-CA"/>
        </w:rPr>
        <w:t xml:space="preserve"> on </w:t>
      </w:r>
      <w:r w:rsidR="00D76132" w:rsidRPr="000A3539">
        <w:rPr>
          <w:lang w:val="en-CA"/>
        </w:rPr>
        <w:t>discrimination:</w:t>
      </w:r>
    </w:p>
    <w:p w14:paraId="2A36BC04" w14:textId="0519CE56" w:rsidR="00352837" w:rsidRPr="000A3539" w:rsidRDefault="00D76132" w:rsidP="00352837">
      <w:pPr>
        <w:pStyle w:val="Citationenretrait"/>
        <w:rPr>
          <w:lang w:val="en-CA"/>
        </w:rPr>
      </w:pPr>
      <w:r w:rsidRPr="000A3539">
        <w:rPr>
          <w:lang w:val="en-CA"/>
        </w:rPr>
        <w:t>[336]  </w:t>
      </w:r>
      <w:r w:rsidR="00913B40" w:rsidRPr="000A3539">
        <w:rPr>
          <w:color w:val="000000"/>
          <w:lang w:val="en-CA"/>
        </w:rPr>
        <w:t>Moreover, this Court has repeatedly rejected arguments that choice protects a distinction from a finding of discrimination.  In </w:t>
      </w:r>
      <w:r w:rsidR="00913B40" w:rsidRPr="000A3539">
        <w:rPr>
          <w:i/>
          <w:iCs/>
          <w:color w:val="000000"/>
          <w:lang w:val="en-CA"/>
        </w:rPr>
        <w:t>Brooks v. Canada Safeway Ltd.</w:t>
      </w:r>
      <w:r w:rsidR="00913B40" w:rsidRPr="000A3539">
        <w:rPr>
          <w:color w:val="000000"/>
          <w:lang w:val="en-CA"/>
        </w:rPr>
        <w:t>, [1989] 1 S.C.R. 1219,</w:t>
      </w:r>
      <w:r w:rsidR="00913B40" w:rsidRPr="000A3539">
        <w:rPr>
          <w:i/>
          <w:iCs/>
          <w:color w:val="000000"/>
          <w:lang w:val="en-CA"/>
        </w:rPr>
        <w:t> </w:t>
      </w:r>
      <w:r w:rsidR="00913B40" w:rsidRPr="000A3539">
        <w:rPr>
          <w:color w:val="000000"/>
          <w:lang w:val="en-CA"/>
        </w:rPr>
        <w:t xml:space="preserve">the employer argued that a different amount of compensation for women who took time off from work while pregnant was not discriminatory because “pregnancy is a voluntary state and, like other forms of voluntary leave, it should not be compensated” (p. 1236).  Dickson C.J. refused to accept that pregnancy was a choice, noting that an emphasis on choice would be “against one of the purposes of anti-discrimination legislation . . . the removal of </w:t>
      </w:r>
      <w:r w:rsidR="00913B40" w:rsidRPr="000A3539">
        <w:rPr>
          <w:color w:val="000000"/>
          <w:lang w:val="en-CA"/>
        </w:rPr>
        <w:lastRenderedPageBreak/>
        <w:t>unfair disadvantages which have been imposed on individuals or groups in society” (p. 1238).  In other words, not only was pregnancy not a “true choice”, but choice was </w:t>
      </w:r>
      <w:r w:rsidR="00913B40" w:rsidRPr="000A3539">
        <w:rPr>
          <w:i/>
          <w:iCs/>
          <w:color w:val="000000"/>
          <w:lang w:val="en-CA"/>
        </w:rPr>
        <w:t>irrelevant </w:t>
      </w:r>
      <w:r w:rsidR="00913B40" w:rsidRPr="000A3539">
        <w:rPr>
          <w:color w:val="000000"/>
          <w:lang w:val="en-CA"/>
        </w:rPr>
        <w:t>to the question of discrimination.</w:t>
      </w:r>
      <w:r w:rsidRPr="000A3539">
        <w:rPr>
          <w:rStyle w:val="Appelnotedebasdep"/>
          <w:kern w:val="28"/>
          <w:lang w:val="en-CA"/>
        </w:rPr>
        <w:footnoteReference w:id="98"/>
      </w:r>
    </w:p>
    <w:p w14:paraId="10D7BEFF" w14:textId="060FA9FA" w:rsidR="00352837" w:rsidRPr="000A3539" w:rsidRDefault="0013597C" w:rsidP="00352837">
      <w:pPr>
        <w:pStyle w:val="Paragraphe"/>
        <w:rPr>
          <w:lang w:val="en-CA"/>
        </w:rPr>
      </w:pPr>
      <w:r w:rsidRPr="000A3539">
        <w:rPr>
          <w:lang w:val="en-CA"/>
        </w:rPr>
        <w:t xml:space="preserve">More recently, in </w:t>
      </w:r>
      <w:r w:rsidR="00D76132" w:rsidRPr="000A3539">
        <w:rPr>
          <w:i/>
          <w:lang w:val="en-CA"/>
        </w:rPr>
        <w:t>Fraser v. Canada (Attorney</w:t>
      </w:r>
      <w:r w:rsidRPr="000A3539">
        <w:rPr>
          <w:i/>
          <w:lang w:val="en-CA"/>
        </w:rPr>
        <w:t xml:space="preserve"> </w:t>
      </w:r>
      <w:r w:rsidR="00D76132" w:rsidRPr="000A3539">
        <w:rPr>
          <w:i/>
          <w:lang w:val="en-CA"/>
        </w:rPr>
        <w:t>General</w:t>
      </w:r>
      <w:r w:rsidR="00D76132" w:rsidRPr="000A3539">
        <w:rPr>
          <w:lang w:val="en-CA"/>
        </w:rPr>
        <w:t>)</w:t>
      </w:r>
      <w:r w:rsidRPr="000A3539">
        <w:rPr>
          <w:lang w:val="en-CA"/>
        </w:rPr>
        <w:t>,</w:t>
      </w:r>
      <w:r w:rsidR="00D76132" w:rsidRPr="000A3539">
        <w:rPr>
          <w:rStyle w:val="Appelnotedebasdep"/>
          <w:lang w:val="en-CA"/>
        </w:rPr>
        <w:footnoteReference w:id="99"/>
      </w:r>
      <w:r w:rsidR="00D76132" w:rsidRPr="000A3539">
        <w:rPr>
          <w:lang w:val="en-CA"/>
        </w:rPr>
        <w:t xml:space="preserve"> the</w:t>
      </w:r>
      <w:r w:rsidR="000D3F3C" w:rsidRPr="000A3539">
        <w:rPr>
          <w:lang w:val="en-CA"/>
        </w:rPr>
        <w:t xml:space="preserve"> </w:t>
      </w:r>
      <w:r w:rsidR="00D76132" w:rsidRPr="000A3539">
        <w:rPr>
          <w:lang w:val="en-CA"/>
        </w:rPr>
        <w:t>Supreme</w:t>
      </w:r>
      <w:r w:rsidR="000D3F3C" w:rsidRPr="000A3539">
        <w:rPr>
          <w:lang w:val="en-CA"/>
        </w:rPr>
        <w:t xml:space="preserve"> </w:t>
      </w:r>
      <w:r w:rsidR="00D76132" w:rsidRPr="000A3539">
        <w:rPr>
          <w:lang w:val="en-CA"/>
        </w:rPr>
        <w:t>Court</w:t>
      </w:r>
      <w:r w:rsidR="000D3F3C" w:rsidRPr="000A3539">
        <w:rPr>
          <w:lang w:val="en-CA"/>
        </w:rPr>
        <w:t xml:space="preserve"> reiterated its teachings that </w:t>
      </w:r>
      <w:r w:rsidR="00D76132" w:rsidRPr="000A3539">
        <w:rPr>
          <w:lang w:val="en-CA"/>
        </w:rPr>
        <w:t>differential</w:t>
      </w:r>
      <w:r w:rsidR="000D3F3C" w:rsidRPr="000A3539">
        <w:rPr>
          <w:lang w:val="en-CA"/>
        </w:rPr>
        <w:t xml:space="preserve"> </w:t>
      </w:r>
      <w:r w:rsidR="00D76132" w:rsidRPr="000A3539">
        <w:rPr>
          <w:lang w:val="en-CA"/>
        </w:rPr>
        <w:t>treatment</w:t>
      </w:r>
      <w:r w:rsidR="000D3F3C" w:rsidRPr="000A3539">
        <w:rPr>
          <w:lang w:val="en-CA"/>
        </w:rPr>
        <w:t xml:space="preserve"> may be </w:t>
      </w:r>
      <w:r w:rsidR="00D76132" w:rsidRPr="000A3539">
        <w:rPr>
          <w:lang w:val="en-CA"/>
        </w:rPr>
        <w:t>discriminator</w:t>
      </w:r>
      <w:r w:rsidR="000D3F3C" w:rsidRPr="000A3539">
        <w:rPr>
          <w:lang w:val="en-CA"/>
        </w:rPr>
        <w:t xml:space="preserve">y even if it </w:t>
      </w:r>
      <w:r w:rsidR="00685307" w:rsidRPr="000A3539">
        <w:rPr>
          <w:lang w:val="en-CA"/>
        </w:rPr>
        <w:t xml:space="preserve">is based on choices made by the </w:t>
      </w:r>
      <w:r w:rsidR="00D76132" w:rsidRPr="000A3539">
        <w:rPr>
          <w:lang w:val="en-CA"/>
        </w:rPr>
        <w:t>individu</w:t>
      </w:r>
      <w:r w:rsidR="00685307" w:rsidRPr="000A3539">
        <w:rPr>
          <w:lang w:val="en-CA"/>
        </w:rPr>
        <w:t>al or</w:t>
      </w:r>
      <w:r w:rsidR="00D76132" w:rsidRPr="000A3539">
        <w:rPr>
          <w:lang w:val="en-CA"/>
        </w:rPr>
        <w:t xml:space="preserve"> group concern</w:t>
      </w:r>
      <w:r w:rsidR="00685307" w:rsidRPr="000A3539">
        <w:rPr>
          <w:lang w:val="en-CA"/>
        </w:rPr>
        <w:t>ed</w:t>
      </w:r>
      <w:r w:rsidR="00D76132" w:rsidRPr="000A3539">
        <w:rPr>
          <w:lang w:val="en-CA"/>
        </w:rPr>
        <w:t>:</w:t>
      </w:r>
    </w:p>
    <w:p w14:paraId="3FC6F270" w14:textId="38D617A9" w:rsidR="00352837" w:rsidRPr="000A3539" w:rsidRDefault="00D76132" w:rsidP="00352837">
      <w:pPr>
        <w:pStyle w:val="Citationenretrait"/>
        <w:rPr>
          <w:lang w:val="en-CA"/>
        </w:rPr>
      </w:pPr>
      <w:r w:rsidRPr="000A3539">
        <w:rPr>
          <w:lang w:val="en-CA"/>
        </w:rPr>
        <w:t>[86]  </w:t>
      </w:r>
      <w:r w:rsidR="000019D2" w:rsidRPr="000A3539">
        <w:rPr>
          <w:lang w:val="en-CA"/>
        </w:rPr>
        <w:t> In relying on Ms. Fraser’s “choice” to job</w:t>
      </w:r>
      <w:r w:rsidR="000019D2" w:rsidRPr="000A3539">
        <w:rPr>
          <w:lang w:val="en-CA"/>
        </w:rPr>
        <w:noBreakHyphen/>
        <w:t xml:space="preserve">share as grounds for dismissing her claim, the Federal Court and Court of Appeal, with respect, misapprehended our s. 15(1) jurisprudence. This Court has consistently held that differential treatment can be discriminatory even if it is based on choices made by the affected individual or group. </w:t>
      </w:r>
    </w:p>
    <w:p w14:paraId="4E4F7633" w14:textId="0525D855" w:rsidR="00352837" w:rsidRPr="000A3539" w:rsidRDefault="00D76132" w:rsidP="00352837">
      <w:pPr>
        <w:pStyle w:val="Citationenretrait"/>
        <w:rPr>
          <w:lang w:val="en-CA"/>
        </w:rPr>
      </w:pPr>
      <w:r w:rsidRPr="000A3539">
        <w:rPr>
          <w:lang w:val="en-CA"/>
        </w:rPr>
        <w:t>[87]  </w:t>
      </w:r>
      <w:r w:rsidR="000019D2" w:rsidRPr="000A3539">
        <w:rPr>
          <w:lang w:val="en-CA"/>
        </w:rPr>
        <w:t>In </w:t>
      </w:r>
      <w:r w:rsidR="000019D2" w:rsidRPr="000A3539">
        <w:rPr>
          <w:i/>
          <w:iCs/>
          <w:lang w:val="en-CA"/>
        </w:rPr>
        <w:t>Brooks</w:t>
      </w:r>
      <w:r w:rsidR="000019D2" w:rsidRPr="000A3539">
        <w:rPr>
          <w:lang w:val="en-CA"/>
        </w:rPr>
        <w:t>, for example, Dickson C.J. rejected an employer’s argument that providing unequal benefits to pregnant women is not sex discrimination because pregnancy is “voluntary” (pp. 1237</w:t>
      </w:r>
      <w:r w:rsidR="000019D2" w:rsidRPr="000A3539">
        <w:rPr>
          <w:lang w:val="en-CA"/>
        </w:rPr>
        <w:noBreakHyphen/>
        <w:t>38). After </w:t>
      </w:r>
      <w:r w:rsidR="000019D2" w:rsidRPr="000A3539">
        <w:rPr>
          <w:i/>
          <w:iCs/>
          <w:lang w:val="en-CA"/>
        </w:rPr>
        <w:t>Brooks</w:t>
      </w:r>
      <w:r w:rsidR="000019D2" w:rsidRPr="000A3539">
        <w:rPr>
          <w:lang w:val="en-CA"/>
        </w:rPr>
        <w:t>, the Court “repeatedly rejected arguments that choice protects a distinction from a finding of discrimination” (</w:t>
      </w:r>
      <w:r w:rsidR="000019D2" w:rsidRPr="000A3539">
        <w:rPr>
          <w:i/>
          <w:iCs/>
          <w:lang w:val="en-CA"/>
        </w:rPr>
        <w:t>Quebec v</w:t>
      </w:r>
      <w:r w:rsidR="000019D2" w:rsidRPr="000A3539">
        <w:rPr>
          <w:lang w:val="en-CA"/>
        </w:rPr>
        <w:t>. </w:t>
      </w:r>
      <w:r w:rsidR="000019D2" w:rsidRPr="000A3539">
        <w:rPr>
          <w:i/>
          <w:iCs/>
          <w:lang w:val="en-CA"/>
        </w:rPr>
        <w:t>A</w:t>
      </w:r>
      <w:r w:rsidR="000019D2" w:rsidRPr="000A3539">
        <w:rPr>
          <w:lang w:val="en-CA"/>
        </w:rPr>
        <w:t>, at para. 336). In </w:t>
      </w:r>
      <w:r w:rsidR="000019D2" w:rsidRPr="000A3539">
        <w:rPr>
          <w:i/>
          <w:iCs/>
          <w:lang w:val="en-CA"/>
        </w:rPr>
        <w:t>Lavoie v. Canada</w:t>
      </w:r>
      <w:r w:rsidR="000019D2" w:rsidRPr="000A3539">
        <w:rPr>
          <w:lang w:val="en-CA"/>
        </w:rPr>
        <w:t xml:space="preserve">, [2002] 1 S.C.R. 769, for example, the Court held that a statute which gave preferential treatment to Canadian citizens infringed s. 15(1), despite the government’s argument that becoming a Canadian citizen was a choice. Chief Justice </w:t>
      </w:r>
      <w:proofErr w:type="spellStart"/>
      <w:r w:rsidR="000019D2" w:rsidRPr="000A3539">
        <w:rPr>
          <w:lang w:val="en-CA"/>
        </w:rPr>
        <w:t>McLachlin</w:t>
      </w:r>
      <w:proofErr w:type="spellEnd"/>
      <w:r w:rsidR="000019D2" w:rsidRPr="000A3539">
        <w:rPr>
          <w:lang w:val="en-CA"/>
        </w:rPr>
        <w:t xml:space="preserve"> and Justice </w:t>
      </w:r>
      <w:proofErr w:type="spellStart"/>
      <w:r w:rsidR="000019D2" w:rsidRPr="000A3539">
        <w:rPr>
          <w:lang w:val="en-CA"/>
        </w:rPr>
        <w:t>L’Heureux</w:t>
      </w:r>
      <w:proofErr w:type="spellEnd"/>
      <w:r w:rsidR="000019D2" w:rsidRPr="000A3539">
        <w:rPr>
          <w:lang w:val="en-CA"/>
        </w:rPr>
        <w:noBreakHyphen/>
        <w:t>Dubé, concurring on this issue, made clear that</w:t>
      </w:r>
    </w:p>
    <w:p w14:paraId="6DC4679A" w14:textId="0F432975" w:rsidR="000019D2" w:rsidRPr="000A3539" w:rsidRDefault="000019D2" w:rsidP="00352837">
      <w:pPr>
        <w:pStyle w:val="Citationenretrait"/>
        <w:ind w:left="1440" w:right="1440"/>
        <w:rPr>
          <w:sz w:val="20"/>
          <w:lang w:val="en-CA"/>
        </w:rPr>
      </w:pPr>
      <w:r w:rsidRPr="000A3539">
        <w:rPr>
          <w:sz w:val="20"/>
          <w:lang w:val="en-CA"/>
        </w:rPr>
        <w:t>the fact that a person could avoid discrimination by modifying his or her behaviour does not negate the discriminatory effect. If it were otherwise, an employer who denied women employment in his factory on the ground that he did not wish to establish female changing facilities could contend that the real cause of the discriminatory effect is the woman’s “choice” not to use men’s changing facilities. The very act of forcing some people to make such a choice violates human dignity, and is therefore inherently discriminatory. </w:t>
      </w:r>
      <w:r w:rsidRPr="000A3539">
        <w:rPr>
          <w:i/>
          <w:iCs/>
          <w:sz w:val="20"/>
          <w:lang w:val="en-CA"/>
        </w:rPr>
        <w:t>The law of discrimination thus far has not required applicants to demonstrate that they could not have avoided the discriminatory effect in order to establish a denial of equality under s. 15(1)</w:t>
      </w:r>
      <w:r w:rsidRPr="000A3539">
        <w:rPr>
          <w:sz w:val="20"/>
          <w:lang w:val="en-CA"/>
        </w:rPr>
        <w:t>. The Court in </w:t>
      </w:r>
      <w:r w:rsidRPr="000A3539">
        <w:rPr>
          <w:i/>
          <w:iCs/>
          <w:sz w:val="20"/>
          <w:lang w:val="en-CA"/>
        </w:rPr>
        <w:t>Andrews</w:t>
      </w:r>
      <w:r w:rsidRPr="000A3539">
        <w:rPr>
          <w:sz w:val="20"/>
          <w:lang w:val="en-CA"/>
        </w:rPr>
        <w:t> was not deterred by such considerations. On the contrary, La Forest J. specifically noted that acquiring Canadian citizenship could in some cases entail the “serious hardship” of losing an existing citizenship. He left no doubt that this hardship was a cost to be considered in favour of the individual affected by the discrimination. [Emphasis added; citation omitted]</w:t>
      </w:r>
    </w:p>
    <w:p w14:paraId="53F415D0" w14:textId="722AD8C3" w:rsidR="00352837" w:rsidRPr="000A3539" w:rsidRDefault="006B7DEA" w:rsidP="00352837">
      <w:pPr>
        <w:pStyle w:val="Paragraphe"/>
        <w:keepNext/>
        <w:numPr>
          <w:ilvl w:val="0"/>
          <w:numId w:val="0"/>
        </w:numPr>
        <w:rPr>
          <w:b/>
          <w:i/>
          <w:lang w:val="en-CA"/>
        </w:rPr>
      </w:pPr>
      <w:r w:rsidRPr="000A3539">
        <w:rPr>
          <w:b/>
          <w:i/>
          <w:lang w:val="en-CA"/>
        </w:rPr>
        <w:lastRenderedPageBreak/>
        <w:t xml:space="preserve">Students working </w:t>
      </w:r>
      <w:r w:rsidR="004D63FE">
        <w:rPr>
          <w:b/>
          <w:i/>
          <w:lang w:val="en-CA"/>
        </w:rPr>
        <w:t>for the appellant</w:t>
      </w:r>
      <w:r w:rsidRPr="000A3539">
        <w:rPr>
          <w:b/>
          <w:i/>
          <w:lang w:val="en-CA"/>
        </w:rPr>
        <w:t xml:space="preserve"> have an enviable status</w:t>
      </w:r>
    </w:p>
    <w:p w14:paraId="55F5A5F3" w14:textId="51FAF970" w:rsidR="00352837" w:rsidRPr="000A3539" w:rsidRDefault="007F4A30" w:rsidP="00352837">
      <w:pPr>
        <w:pStyle w:val="Paragraphe"/>
        <w:rPr>
          <w:lang w:val="en-CA"/>
        </w:rPr>
      </w:pPr>
      <w:r w:rsidRPr="000A3539">
        <w:rPr>
          <w:lang w:val="en-CA"/>
        </w:rPr>
        <w:t xml:space="preserve">The </w:t>
      </w:r>
      <w:r w:rsidR="00D76132" w:rsidRPr="000A3539">
        <w:rPr>
          <w:lang w:val="en-CA"/>
        </w:rPr>
        <w:t>appel</w:t>
      </w:r>
      <w:r w:rsidRPr="000A3539">
        <w:rPr>
          <w:lang w:val="en-CA"/>
        </w:rPr>
        <w:t>l</w:t>
      </w:r>
      <w:r w:rsidR="00D76132" w:rsidRPr="000A3539">
        <w:rPr>
          <w:lang w:val="en-CA"/>
        </w:rPr>
        <w:t>ant</w:t>
      </w:r>
      <w:r w:rsidRPr="000A3539">
        <w:rPr>
          <w:lang w:val="en-CA"/>
        </w:rPr>
        <w:t xml:space="preserve"> argues that the students who work for it are not vulnerable </w:t>
      </w:r>
      <w:r w:rsidR="00D76132" w:rsidRPr="000A3539">
        <w:rPr>
          <w:lang w:val="en-CA"/>
        </w:rPr>
        <w:t>persons</w:t>
      </w:r>
      <w:r w:rsidRPr="000A3539">
        <w:rPr>
          <w:lang w:val="en-CA"/>
        </w:rPr>
        <w:t>, and that, on the contrary, they have an enviable status</w:t>
      </w:r>
      <w:r w:rsidR="00D76132" w:rsidRPr="000A3539">
        <w:rPr>
          <w:lang w:val="en-CA"/>
        </w:rPr>
        <w:t>.</w:t>
      </w:r>
    </w:p>
    <w:p w14:paraId="4BEC4FDE" w14:textId="13D0459B" w:rsidR="00352837" w:rsidRPr="000A3539" w:rsidRDefault="00896DB9" w:rsidP="00352837">
      <w:pPr>
        <w:pStyle w:val="Paragraphe"/>
        <w:rPr>
          <w:lang w:val="en-CA"/>
        </w:rPr>
      </w:pPr>
      <w:r w:rsidRPr="000A3539">
        <w:rPr>
          <w:lang w:val="en-CA"/>
        </w:rPr>
        <w:t xml:space="preserve">The students who work </w:t>
      </w:r>
      <w:r w:rsidR="004D63FE">
        <w:rPr>
          <w:lang w:val="en-CA"/>
        </w:rPr>
        <w:t>for the appellant</w:t>
      </w:r>
      <w:r w:rsidRPr="000A3539">
        <w:rPr>
          <w:lang w:val="en-CA"/>
        </w:rPr>
        <w:t xml:space="preserve"> perform work that is e</w:t>
      </w:r>
      <w:r w:rsidR="00D76132" w:rsidRPr="000A3539">
        <w:rPr>
          <w:lang w:val="en-CA"/>
        </w:rPr>
        <w:t xml:space="preserve">quivalent </w:t>
      </w:r>
      <w:r w:rsidRPr="000A3539">
        <w:rPr>
          <w:lang w:val="en-CA"/>
        </w:rPr>
        <w:t xml:space="preserve">to that of regular and casual </w:t>
      </w:r>
      <w:r w:rsidR="00D76132" w:rsidRPr="000A3539">
        <w:rPr>
          <w:lang w:val="en-CA"/>
        </w:rPr>
        <w:t>employ</w:t>
      </w:r>
      <w:r w:rsidRPr="000A3539">
        <w:rPr>
          <w:lang w:val="en-CA"/>
        </w:rPr>
        <w:t>ees</w:t>
      </w:r>
      <w:r w:rsidR="00D76132" w:rsidRPr="000A3539">
        <w:rPr>
          <w:lang w:val="en-CA"/>
        </w:rPr>
        <w:t>.</w:t>
      </w:r>
      <w:r w:rsidRPr="000A3539">
        <w:rPr>
          <w:lang w:val="en-CA"/>
        </w:rPr>
        <w:t xml:space="preserve"> They are paid lower wages for the sole reason that they are pursuing their studies, thereby depriving </w:t>
      </w:r>
      <w:r w:rsidR="0008059F" w:rsidRPr="000A3539">
        <w:rPr>
          <w:lang w:val="en-CA"/>
        </w:rPr>
        <w:t>t</w:t>
      </w:r>
      <w:r w:rsidRPr="000A3539">
        <w:rPr>
          <w:lang w:val="en-CA"/>
        </w:rPr>
        <w:t xml:space="preserve">hem </w:t>
      </w:r>
      <w:r w:rsidR="0008059F" w:rsidRPr="000A3539">
        <w:rPr>
          <w:lang w:val="en-CA"/>
        </w:rPr>
        <w:t xml:space="preserve">of the </w:t>
      </w:r>
      <w:r w:rsidR="00D76132" w:rsidRPr="000A3539">
        <w:rPr>
          <w:lang w:val="en-CA"/>
        </w:rPr>
        <w:t>fundamental</w:t>
      </w:r>
      <w:r w:rsidR="00126F2E" w:rsidRPr="000A3539">
        <w:rPr>
          <w:lang w:val="en-CA"/>
        </w:rPr>
        <w:t xml:space="preserve"> </w:t>
      </w:r>
      <w:r w:rsidR="00D76132" w:rsidRPr="000A3539">
        <w:rPr>
          <w:lang w:val="en-CA"/>
        </w:rPr>
        <w:t>right</w:t>
      </w:r>
      <w:r w:rsidR="00126F2E" w:rsidRPr="000A3539">
        <w:rPr>
          <w:lang w:val="en-CA"/>
        </w:rPr>
        <w:t xml:space="preserve"> guaranteed by the </w:t>
      </w:r>
      <w:r w:rsidR="00DC430C" w:rsidRPr="00DC430C">
        <w:rPr>
          <w:i/>
          <w:lang w:val="en-CA"/>
        </w:rPr>
        <w:t>Quebec Charter</w:t>
      </w:r>
      <w:r w:rsidR="00126F2E" w:rsidRPr="000A3539">
        <w:rPr>
          <w:i/>
          <w:lang w:val="en-CA"/>
        </w:rPr>
        <w:t xml:space="preserve"> </w:t>
      </w:r>
      <w:r w:rsidR="00126F2E" w:rsidRPr="000A3539">
        <w:rPr>
          <w:lang w:val="en-CA"/>
        </w:rPr>
        <w:t>to receive</w:t>
      </w:r>
      <w:r w:rsidR="00711970" w:rsidRPr="000A3539">
        <w:rPr>
          <w:lang w:val="en-CA"/>
        </w:rPr>
        <w:t xml:space="preserve"> equal </w:t>
      </w:r>
      <w:r w:rsidR="00EB7648">
        <w:rPr>
          <w:lang w:val="en-CA"/>
        </w:rPr>
        <w:t>wages</w:t>
      </w:r>
      <w:r w:rsidR="00711970" w:rsidRPr="000A3539">
        <w:rPr>
          <w:lang w:val="en-CA"/>
        </w:rPr>
        <w:t xml:space="preserve"> for equivalent work </w:t>
      </w:r>
      <w:r w:rsidR="00EB7648">
        <w:rPr>
          <w:lang w:val="en-CA"/>
        </w:rPr>
        <w:t>despite the fact that</w:t>
      </w:r>
      <w:r w:rsidR="00711970" w:rsidRPr="000A3539">
        <w:rPr>
          <w:lang w:val="en-CA"/>
        </w:rPr>
        <w:t xml:space="preserve"> this </w:t>
      </w:r>
      <w:r w:rsidR="00D76132" w:rsidRPr="000A3539">
        <w:rPr>
          <w:lang w:val="en-CA"/>
        </w:rPr>
        <w:t>differential</w:t>
      </w:r>
      <w:r w:rsidR="00711970" w:rsidRPr="000A3539">
        <w:rPr>
          <w:lang w:val="en-CA"/>
        </w:rPr>
        <w:t xml:space="preserve"> </w:t>
      </w:r>
      <w:r w:rsidR="00D76132" w:rsidRPr="000A3539">
        <w:rPr>
          <w:lang w:val="en-CA"/>
        </w:rPr>
        <w:t>treatment</w:t>
      </w:r>
      <w:r w:rsidR="00711970" w:rsidRPr="000A3539">
        <w:rPr>
          <w:lang w:val="en-CA"/>
        </w:rPr>
        <w:t xml:space="preserve"> is not based on experience, </w:t>
      </w:r>
      <w:r w:rsidR="008F697C" w:rsidRPr="000A3539">
        <w:rPr>
          <w:lang w:val="en-CA"/>
        </w:rPr>
        <w:t xml:space="preserve">seniority, years of service, merit, productivity, or any other valid </w:t>
      </w:r>
      <w:r w:rsidR="00D76132" w:rsidRPr="000A3539">
        <w:rPr>
          <w:lang w:val="en-CA"/>
        </w:rPr>
        <w:t>grounds.</w:t>
      </w:r>
      <w:r w:rsidR="008F697C" w:rsidRPr="000A3539">
        <w:rPr>
          <w:lang w:val="en-CA"/>
        </w:rPr>
        <w:t xml:space="preserve"> The students feel</w:t>
      </w:r>
      <w:r w:rsidR="00391F4B">
        <w:rPr>
          <w:lang w:val="en-CA"/>
        </w:rPr>
        <w:t xml:space="preserve"> belittled</w:t>
      </w:r>
      <w:r w:rsidR="008F697C" w:rsidRPr="000A3539">
        <w:rPr>
          <w:lang w:val="en-CA"/>
        </w:rPr>
        <w:t xml:space="preserve">, like </w:t>
      </w:r>
      <w:r w:rsidR="00D76132" w:rsidRPr="000A3539">
        <w:rPr>
          <w:lang w:val="en-CA"/>
        </w:rPr>
        <w:t>victims</w:t>
      </w:r>
      <w:r w:rsidR="008F697C" w:rsidRPr="000A3539">
        <w:rPr>
          <w:lang w:val="en-CA"/>
        </w:rPr>
        <w:t xml:space="preserve"> of </w:t>
      </w:r>
      <w:r w:rsidR="00D76132" w:rsidRPr="000A3539">
        <w:rPr>
          <w:lang w:val="en-CA"/>
        </w:rPr>
        <w:t xml:space="preserve">injustice, etc., </w:t>
      </w:r>
      <w:r w:rsidR="008F697C" w:rsidRPr="000A3539">
        <w:rPr>
          <w:lang w:val="en-CA"/>
        </w:rPr>
        <w:t xml:space="preserve">in </w:t>
      </w:r>
      <w:r w:rsidR="00094F3C">
        <w:rPr>
          <w:lang w:val="en-CA"/>
        </w:rPr>
        <w:t>a</w:t>
      </w:r>
      <w:r w:rsidR="00094F3C" w:rsidRPr="000A3539">
        <w:rPr>
          <w:lang w:val="en-CA"/>
        </w:rPr>
        <w:t xml:space="preserve"> </w:t>
      </w:r>
      <w:r w:rsidR="00D76132" w:rsidRPr="000A3539">
        <w:rPr>
          <w:lang w:val="en-CA"/>
        </w:rPr>
        <w:t>context</w:t>
      </w:r>
      <w:r w:rsidR="008F697C" w:rsidRPr="000A3539">
        <w:rPr>
          <w:lang w:val="en-CA"/>
        </w:rPr>
        <w:t xml:space="preserve"> where the </w:t>
      </w:r>
      <w:r w:rsidR="00D76132" w:rsidRPr="000A3539">
        <w:rPr>
          <w:lang w:val="en-CA"/>
        </w:rPr>
        <w:t>case</w:t>
      </w:r>
      <w:r w:rsidR="008F697C" w:rsidRPr="000A3539">
        <w:rPr>
          <w:lang w:val="en-CA"/>
        </w:rPr>
        <w:t xml:space="preserve"> </w:t>
      </w:r>
      <w:r w:rsidR="00D76132" w:rsidRPr="000A3539">
        <w:rPr>
          <w:lang w:val="en-CA"/>
        </w:rPr>
        <w:t>law</w:t>
      </w:r>
      <w:r w:rsidR="00EA0CDF" w:rsidRPr="000A3539">
        <w:rPr>
          <w:lang w:val="en-CA"/>
        </w:rPr>
        <w:t xml:space="preserve"> recognizes that student status is part of the concept of social </w:t>
      </w:r>
      <w:r w:rsidR="00D76132" w:rsidRPr="000A3539">
        <w:rPr>
          <w:lang w:val="en-CA"/>
        </w:rPr>
        <w:t>condition,</w:t>
      </w:r>
      <w:r w:rsidR="00EA0CDF" w:rsidRPr="000A3539">
        <w:rPr>
          <w:lang w:val="en-CA"/>
        </w:rPr>
        <w:t xml:space="preserve"> a prohibited </w:t>
      </w:r>
      <w:r w:rsidR="00D76132" w:rsidRPr="000A3539">
        <w:rPr>
          <w:lang w:val="en-CA"/>
        </w:rPr>
        <w:t>ground</w:t>
      </w:r>
      <w:r w:rsidR="00EA0CDF" w:rsidRPr="000A3539">
        <w:rPr>
          <w:lang w:val="en-CA"/>
        </w:rPr>
        <w:t xml:space="preserve"> of </w:t>
      </w:r>
      <w:r w:rsidR="00D76132" w:rsidRPr="000A3539">
        <w:rPr>
          <w:lang w:val="en-CA"/>
        </w:rPr>
        <w:t xml:space="preserve">discrimination. </w:t>
      </w:r>
    </w:p>
    <w:p w14:paraId="43C0C367" w14:textId="55793FF0" w:rsidR="00352837" w:rsidRPr="000A3539" w:rsidRDefault="00B0339D" w:rsidP="00352837">
      <w:pPr>
        <w:pStyle w:val="Paragraphe"/>
        <w:rPr>
          <w:lang w:val="en-CA"/>
        </w:rPr>
      </w:pPr>
      <w:r w:rsidRPr="000A3539">
        <w:rPr>
          <w:lang w:val="en-CA"/>
        </w:rPr>
        <w:t xml:space="preserve">There is no </w:t>
      </w:r>
      <w:r w:rsidR="00D76132" w:rsidRPr="000A3539">
        <w:rPr>
          <w:lang w:val="en-CA"/>
        </w:rPr>
        <w:t>aut</w:t>
      </w:r>
      <w:r w:rsidRPr="000A3539">
        <w:rPr>
          <w:lang w:val="en-CA"/>
        </w:rPr>
        <w:t>h</w:t>
      </w:r>
      <w:r w:rsidR="00D76132" w:rsidRPr="000A3539">
        <w:rPr>
          <w:lang w:val="en-CA"/>
        </w:rPr>
        <w:t>orit</w:t>
      </w:r>
      <w:r w:rsidRPr="000A3539">
        <w:rPr>
          <w:lang w:val="en-CA"/>
        </w:rPr>
        <w:t>y supporting the absence</w:t>
      </w:r>
      <w:r w:rsidR="00D76132" w:rsidRPr="000A3539">
        <w:rPr>
          <w:lang w:val="en-CA"/>
        </w:rPr>
        <w:t xml:space="preserve"> </w:t>
      </w:r>
      <w:r w:rsidRPr="000A3539">
        <w:rPr>
          <w:lang w:val="en-CA"/>
        </w:rPr>
        <w:t xml:space="preserve">of </w:t>
      </w:r>
      <w:r w:rsidR="00D76132" w:rsidRPr="000A3539">
        <w:rPr>
          <w:lang w:val="en-CA"/>
        </w:rPr>
        <w:t xml:space="preserve">discrimination </w:t>
      </w:r>
      <w:r w:rsidRPr="000A3539">
        <w:rPr>
          <w:lang w:val="en-CA"/>
        </w:rPr>
        <w:t xml:space="preserve">based on social </w:t>
      </w:r>
      <w:r w:rsidR="00D76132" w:rsidRPr="000A3539">
        <w:rPr>
          <w:lang w:val="en-CA"/>
        </w:rPr>
        <w:t xml:space="preserve">condition </w:t>
      </w:r>
      <w:r w:rsidRPr="000A3539">
        <w:rPr>
          <w:lang w:val="en-CA"/>
        </w:rPr>
        <w:t>because the wages paid to student</w:t>
      </w:r>
      <w:r w:rsidR="00AA1092">
        <w:rPr>
          <w:lang w:val="en-CA"/>
        </w:rPr>
        <w:t>s</w:t>
      </w:r>
      <w:r w:rsidRPr="000A3539">
        <w:rPr>
          <w:lang w:val="en-CA"/>
        </w:rPr>
        <w:t xml:space="preserve"> by an emp</w:t>
      </w:r>
      <w:r w:rsidR="000E73FF" w:rsidRPr="000A3539">
        <w:rPr>
          <w:lang w:val="en-CA"/>
        </w:rPr>
        <w:t>l</w:t>
      </w:r>
      <w:r w:rsidRPr="000A3539">
        <w:rPr>
          <w:lang w:val="en-CA"/>
        </w:rPr>
        <w:t xml:space="preserve">oyer are attractive as compared </w:t>
      </w:r>
      <w:r w:rsidR="00EB7648">
        <w:rPr>
          <w:lang w:val="en-CA"/>
        </w:rPr>
        <w:t>to</w:t>
      </w:r>
      <w:r w:rsidRPr="000A3539">
        <w:rPr>
          <w:lang w:val="en-CA"/>
        </w:rPr>
        <w:t xml:space="preserve"> those paid by another </w:t>
      </w:r>
      <w:r w:rsidR="00D76132" w:rsidRPr="000A3539">
        <w:rPr>
          <w:lang w:val="en-CA"/>
        </w:rPr>
        <w:t xml:space="preserve">employer </w:t>
      </w:r>
      <w:r w:rsidR="000E73FF" w:rsidRPr="000A3539">
        <w:rPr>
          <w:lang w:val="en-CA"/>
        </w:rPr>
        <w:t>or because the student</w:t>
      </w:r>
      <w:r w:rsidR="00AA1092">
        <w:rPr>
          <w:lang w:val="en-CA"/>
        </w:rPr>
        <w:t>s</w:t>
      </w:r>
      <w:r w:rsidR="000E73FF" w:rsidRPr="000A3539">
        <w:rPr>
          <w:lang w:val="en-CA"/>
        </w:rPr>
        <w:t xml:space="preserve"> </w:t>
      </w:r>
      <w:r w:rsidR="00AA1092">
        <w:rPr>
          <w:lang w:val="en-CA"/>
        </w:rPr>
        <w:t>are</w:t>
      </w:r>
      <w:r w:rsidR="000E73FF" w:rsidRPr="000A3539">
        <w:rPr>
          <w:lang w:val="en-CA"/>
        </w:rPr>
        <w:t xml:space="preserve"> seeking to improve </w:t>
      </w:r>
      <w:r w:rsidR="00AA1092">
        <w:rPr>
          <w:lang w:val="en-CA"/>
        </w:rPr>
        <w:t xml:space="preserve">their </w:t>
      </w:r>
      <w:r w:rsidR="000E73FF" w:rsidRPr="000A3539">
        <w:rPr>
          <w:lang w:val="en-CA"/>
        </w:rPr>
        <w:t>situation through education</w:t>
      </w:r>
      <w:r w:rsidR="00D76132" w:rsidRPr="000A3539">
        <w:rPr>
          <w:lang w:val="en-CA"/>
        </w:rPr>
        <w:t xml:space="preserve">. </w:t>
      </w:r>
    </w:p>
    <w:p w14:paraId="55151265" w14:textId="2796AFD5" w:rsidR="00352837" w:rsidRPr="000A3539" w:rsidRDefault="0050252E" w:rsidP="00352837">
      <w:pPr>
        <w:pStyle w:val="Paragraphe"/>
        <w:rPr>
          <w:lang w:val="en-CA"/>
        </w:rPr>
      </w:pPr>
      <w:r w:rsidRPr="000A3539">
        <w:rPr>
          <w:lang w:val="en-CA"/>
        </w:rPr>
        <w:t xml:space="preserve">The idea that we can “discriminate” against students who work </w:t>
      </w:r>
      <w:r w:rsidR="004D63FE">
        <w:rPr>
          <w:lang w:val="en-CA"/>
        </w:rPr>
        <w:t>for the appellant</w:t>
      </w:r>
      <w:r w:rsidRPr="000A3539">
        <w:rPr>
          <w:lang w:val="en-CA"/>
        </w:rPr>
        <w:t xml:space="preserve"> because the wages paid to them are advantageous in relation to the minimum wage </w:t>
      </w:r>
      <w:r w:rsidR="00656780" w:rsidRPr="000A3539">
        <w:rPr>
          <w:lang w:val="en-CA"/>
        </w:rPr>
        <w:t>is not unlike other outdated ideas</w:t>
      </w:r>
      <w:r w:rsidR="00D76132" w:rsidRPr="000A3539">
        <w:rPr>
          <w:lang w:val="en-CA"/>
        </w:rPr>
        <w:t xml:space="preserve">. </w:t>
      </w:r>
      <w:r w:rsidR="00656780" w:rsidRPr="000A3539">
        <w:rPr>
          <w:lang w:val="en-CA"/>
        </w:rPr>
        <w:t xml:space="preserve">Consider, for example, the now rejected idea that women could be paid lower wages because they did not need </w:t>
      </w:r>
      <w:r w:rsidR="007C4865">
        <w:rPr>
          <w:lang w:val="en-CA"/>
        </w:rPr>
        <w:t>them</w:t>
      </w:r>
      <w:r w:rsidR="00656780" w:rsidRPr="000A3539">
        <w:rPr>
          <w:lang w:val="en-CA"/>
        </w:rPr>
        <w:t xml:space="preserve">, since </w:t>
      </w:r>
      <w:r w:rsidR="007C4865">
        <w:rPr>
          <w:lang w:val="en-CA"/>
        </w:rPr>
        <w:t>their wages were used</w:t>
      </w:r>
      <w:r w:rsidR="007C4865" w:rsidRPr="000A3539">
        <w:rPr>
          <w:lang w:val="en-CA"/>
        </w:rPr>
        <w:t xml:space="preserve"> </w:t>
      </w:r>
      <w:r w:rsidR="007C4865">
        <w:rPr>
          <w:lang w:val="en-CA"/>
        </w:rPr>
        <w:t>only</w:t>
      </w:r>
      <w:r w:rsidR="007C4865" w:rsidRPr="000A3539">
        <w:rPr>
          <w:lang w:val="en-CA"/>
        </w:rPr>
        <w:t xml:space="preserve"> </w:t>
      </w:r>
      <w:r w:rsidR="007C4865">
        <w:rPr>
          <w:lang w:val="en-CA"/>
        </w:rPr>
        <w:t>to supplement the family</w:t>
      </w:r>
      <w:r w:rsidR="007C4865" w:rsidRPr="000A3539">
        <w:rPr>
          <w:lang w:val="en-CA"/>
        </w:rPr>
        <w:t xml:space="preserve"> </w:t>
      </w:r>
      <w:r w:rsidR="00656780" w:rsidRPr="000A3539">
        <w:rPr>
          <w:lang w:val="en-CA"/>
        </w:rPr>
        <w:t>income</w:t>
      </w:r>
      <w:r w:rsidR="00D76132" w:rsidRPr="000A3539">
        <w:rPr>
          <w:lang w:val="en-CA"/>
        </w:rPr>
        <w:t xml:space="preserve">. </w:t>
      </w:r>
      <w:r w:rsidR="007F23DF" w:rsidRPr="000A3539">
        <w:rPr>
          <w:lang w:val="en-CA"/>
        </w:rPr>
        <w:t xml:space="preserve">We might also think about the outdated idea that we </w:t>
      </w:r>
      <w:r w:rsidR="00921E13" w:rsidRPr="000A3539">
        <w:rPr>
          <w:lang w:val="en-CA"/>
        </w:rPr>
        <w:t>can pay immigrants lower wages because the</w:t>
      </w:r>
      <w:r w:rsidR="00AA1092">
        <w:rPr>
          <w:lang w:val="en-CA"/>
        </w:rPr>
        <w:t>se wages</w:t>
      </w:r>
      <w:r w:rsidR="00921E13" w:rsidRPr="000A3539">
        <w:rPr>
          <w:lang w:val="en-CA"/>
        </w:rPr>
        <w:t xml:space="preserve"> are better than what they receive</w:t>
      </w:r>
      <w:r w:rsidR="007C4865">
        <w:rPr>
          <w:lang w:val="en-CA"/>
        </w:rPr>
        <w:t>d</w:t>
      </w:r>
      <w:r w:rsidR="00921E13" w:rsidRPr="000A3539">
        <w:rPr>
          <w:lang w:val="en-CA"/>
        </w:rPr>
        <w:t xml:space="preserve"> in their country of </w:t>
      </w:r>
      <w:r w:rsidR="00D76132" w:rsidRPr="000A3539">
        <w:rPr>
          <w:lang w:val="en-CA"/>
        </w:rPr>
        <w:t>origin.</w:t>
      </w:r>
    </w:p>
    <w:p w14:paraId="246F8D93" w14:textId="2975F2F7" w:rsidR="00352837" w:rsidRPr="000A3539" w:rsidRDefault="000B75D4" w:rsidP="00352837">
      <w:pPr>
        <w:pStyle w:val="Paragraphe"/>
        <w:rPr>
          <w:lang w:val="en-CA"/>
        </w:rPr>
      </w:pPr>
      <w:r w:rsidRPr="000A3539">
        <w:rPr>
          <w:lang w:val="en-CA"/>
        </w:rPr>
        <w:t>Such ideas must be rejected</w:t>
      </w:r>
      <w:r w:rsidR="00D76132" w:rsidRPr="000A3539">
        <w:rPr>
          <w:lang w:val="en-CA"/>
        </w:rPr>
        <w:t>.</w:t>
      </w:r>
    </w:p>
    <w:p w14:paraId="669714EB" w14:textId="2D82E41C" w:rsidR="00352837" w:rsidRPr="000A3539" w:rsidRDefault="00F8772A" w:rsidP="00352837">
      <w:pPr>
        <w:keepNext/>
        <w:spacing w:before="120" w:after="120"/>
        <w:rPr>
          <w:b/>
          <w:i/>
          <w:lang w:val="en-CA"/>
        </w:rPr>
      </w:pPr>
      <w:r w:rsidRPr="000A3539">
        <w:rPr>
          <w:b/>
          <w:i/>
          <w:lang w:val="en-CA"/>
        </w:rPr>
        <w:t xml:space="preserve">The </w:t>
      </w:r>
      <w:r w:rsidR="00D76132" w:rsidRPr="000A3539">
        <w:rPr>
          <w:b/>
          <w:i/>
          <w:lang w:val="en-CA"/>
        </w:rPr>
        <w:t>l</w:t>
      </w:r>
      <w:r w:rsidRPr="000A3539">
        <w:rPr>
          <w:b/>
          <w:i/>
          <w:lang w:val="en-CA"/>
        </w:rPr>
        <w:t>e</w:t>
      </w:r>
      <w:r w:rsidR="00D76132" w:rsidRPr="000A3539">
        <w:rPr>
          <w:b/>
          <w:i/>
          <w:lang w:val="en-CA"/>
        </w:rPr>
        <w:t>gislation</w:t>
      </w:r>
      <w:r w:rsidRPr="000A3539">
        <w:rPr>
          <w:b/>
          <w:i/>
          <w:lang w:val="en-CA"/>
        </w:rPr>
        <w:t xml:space="preserve"> of the other</w:t>
      </w:r>
      <w:r w:rsidR="00D76132" w:rsidRPr="000A3539">
        <w:rPr>
          <w:b/>
          <w:i/>
          <w:lang w:val="en-CA"/>
        </w:rPr>
        <w:t xml:space="preserve"> provinces </w:t>
      </w:r>
      <w:r w:rsidRPr="000A3539">
        <w:rPr>
          <w:b/>
          <w:i/>
          <w:lang w:val="en-CA"/>
        </w:rPr>
        <w:t>as</w:t>
      </w:r>
      <w:r w:rsidR="00473E6F" w:rsidRPr="000A3539">
        <w:rPr>
          <w:b/>
          <w:i/>
          <w:lang w:val="en-CA"/>
        </w:rPr>
        <w:t xml:space="preserve"> an</w:t>
      </w:r>
      <w:r w:rsidRPr="000A3539">
        <w:rPr>
          <w:b/>
          <w:i/>
          <w:lang w:val="en-CA"/>
        </w:rPr>
        <w:t xml:space="preserve"> interpre</w:t>
      </w:r>
      <w:r w:rsidR="00473E6F" w:rsidRPr="000A3539">
        <w:rPr>
          <w:b/>
          <w:i/>
          <w:lang w:val="en-CA"/>
        </w:rPr>
        <w:t>tation</w:t>
      </w:r>
      <w:r w:rsidRPr="000A3539">
        <w:rPr>
          <w:b/>
          <w:i/>
          <w:lang w:val="en-CA"/>
        </w:rPr>
        <w:t xml:space="preserve"> </w:t>
      </w:r>
      <w:r w:rsidR="00D76132" w:rsidRPr="000A3539">
        <w:rPr>
          <w:b/>
          <w:i/>
          <w:lang w:val="en-CA"/>
        </w:rPr>
        <w:t>guide</w:t>
      </w:r>
    </w:p>
    <w:p w14:paraId="4D0A7760" w14:textId="2E5BBC94" w:rsidR="00352837" w:rsidRPr="000A3539" w:rsidRDefault="00F23428" w:rsidP="00352837">
      <w:pPr>
        <w:pStyle w:val="Paragraphe"/>
        <w:rPr>
          <w:i/>
          <w:lang w:val="en-CA"/>
        </w:rPr>
      </w:pPr>
      <w:r w:rsidRPr="000A3539">
        <w:rPr>
          <w:lang w:val="en-CA"/>
        </w:rPr>
        <w:t xml:space="preserve">A review of Canadian </w:t>
      </w:r>
      <w:r w:rsidR="00D76132" w:rsidRPr="000A3539">
        <w:rPr>
          <w:lang w:val="en-CA"/>
        </w:rPr>
        <w:t>legislation</w:t>
      </w:r>
      <w:r w:rsidRPr="000A3539">
        <w:rPr>
          <w:lang w:val="en-CA"/>
        </w:rPr>
        <w:t xml:space="preserve"> concerning </w:t>
      </w:r>
      <w:r w:rsidR="00D76132" w:rsidRPr="000A3539">
        <w:rPr>
          <w:lang w:val="en-CA"/>
        </w:rPr>
        <w:t xml:space="preserve">discrimination </w:t>
      </w:r>
      <w:r w:rsidRPr="000A3539">
        <w:rPr>
          <w:lang w:val="en-CA"/>
        </w:rPr>
        <w:t xml:space="preserve">is relevant to the </w:t>
      </w:r>
      <w:r w:rsidR="00D76132" w:rsidRPr="000A3539">
        <w:rPr>
          <w:lang w:val="en-CA"/>
        </w:rPr>
        <w:t>analys</w:t>
      </w:r>
      <w:r w:rsidRPr="000A3539">
        <w:rPr>
          <w:lang w:val="en-CA"/>
        </w:rPr>
        <w:t>is</w:t>
      </w:r>
      <w:r w:rsidR="00D76132" w:rsidRPr="000A3539">
        <w:rPr>
          <w:lang w:val="en-CA"/>
        </w:rPr>
        <w:t xml:space="preserve">. </w:t>
      </w:r>
      <w:r w:rsidR="00627699">
        <w:rPr>
          <w:lang w:val="en-CA"/>
        </w:rPr>
        <w:t>It</w:t>
      </w:r>
      <w:r w:rsidR="00627699" w:rsidRPr="000A3539">
        <w:rPr>
          <w:lang w:val="en-CA"/>
        </w:rPr>
        <w:t xml:space="preserve"> </w:t>
      </w:r>
      <w:r w:rsidRPr="000A3539">
        <w:rPr>
          <w:lang w:val="en-CA"/>
        </w:rPr>
        <w:t>is what t</w:t>
      </w:r>
      <w:r w:rsidR="00D76132" w:rsidRPr="000A3539">
        <w:rPr>
          <w:lang w:val="en-CA"/>
        </w:rPr>
        <w:t>he</w:t>
      </w:r>
      <w:r w:rsidRPr="000A3539">
        <w:rPr>
          <w:lang w:val="en-CA"/>
        </w:rPr>
        <w:t xml:space="preserve"> </w:t>
      </w:r>
      <w:r w:rsidR="00D76132" w:rsidRPr="000A3539">
        <w:rPr>
          <w:lang w:val="en-CA"/>
        </w:rPr>
        <w:t>Supreme</w:t>
      </w:r>
      <w:r w:rsidRPr="000A3539">
        <w:rPr>
          <w:lang w:val="en-CA"/>
        </w:rPr>
        <w:t xml:space="preserve"> </w:t>
      </w:r>
      <w:r w:rsidR="00D76132" w:rsidRPr="000A3539">
        <w:rPr>
          <w:lang w:val="en-CA"/>
        </w:rPr>
        <w:t>Court</w:t>
      </w:r>
      <w:r w:rsidRPr="000A3539">
        <w:rPr>
          <w:lang w:val="en-CA"/>
        </w:rPr>
        <w:t xml:space="preserve"> did to </w:t>
      </w:r>
      <w:r w:rsidR="00D76132" w:rsidRPr="000A3539">
        <w:rPr>
          <w:lang w:val="en-CA"/>
        </w:rPr>
        <w:t>interpr</w:t>
      </w:r>
      <w:r w:rsidRPr="000A3539">
        <w:rPr>
          <w:lang w:val="en-CA"/>
        </w:rPr>
        <w:t>e</w:t>
      </w:r>
      <w:r w:rsidR="00D76132" w:rsidRPr="000A3539">
        <w:rPr>
          <w:lang w:val="en-CA"/>
        </w:rPr>
        <w:t>t</w:t>
      </w:r>
      <w:r w:rsidRPr="000A3539">
        <w:rPr>
          <w:lang w:val="en-CA"/>
        </w:rPr>
        <w:t xml:space="preserve"> the concept of </w:t>
      </w:r>
      <w:r w:rsidR="00D76132" w:rsidRPr="000A3539">
        <w:rPr>
          <w:i/>
          <w:lang w:val="en-CA"/>
        </w:rPr>
        <w:t>handicap</w:t>
      </w:r>
      <w:r w:rsidR="00D76132" w:rsidRPr="000A3539">
        <w:rPr>
          <w:lang w:val="en-CA"/>
        </w:rPr>
        <w:t xml:space="preserve"> </w:t>
      </w:r>
      <w:r w:rsidRPr="000A3539">
        <w:rPr>
          <w:lang w:val="en-CA"/>
        </w:rPr>
        <w:t xml:space="preserve">set out in </w:t>
      </w:r>
      <w:r w:rsidR="00D76132" w:rsidRPr="000A3539">
        <w:rPr>
          <w:lang w:val="en-CA"/>
        </w:rPr>
        <w:t xml:space="preserve">section 10 </w:t>
      </w:r>
      <w:r w:rsidRPr="000A3539">
        <w:rPr>
          <w:lang w:val="en-CA"/>
        </w:rPr>
        <w:t xml:space="preserve">of the </w:t>
      </w:r>
      <w:r w:rsidR="00DC430C" w:rsidRPr="00DC430C">
        <w:rPr>
          <w:i/>
          <w:lang w:val="en-CA"/>
        </w:rPr>
        <w:t>Quebec Charter</w:t>
      </w:r>
      <w:r w:rsidR="00D76132" w:rsidRPr="000A3539">
        <w:rPr>
          <w:lang w:val="en-CA"/>
        </w:rPr>
        <w:t xml:space="preserve"> </w:t>
      </w:r>
      <w:r w:rsidRPr="000A3539">
        <w:rPr>
          <w:lang w:val="en-CA"/>
        </w:rPr>
        <w:t xml:space="preserve">in </w:t>
      </w:r>
      <w:r w:rsidR="00D76132" w:rsidRPr="000A3539">
        <w:rPr>
          <w:i/>
          <w:lang w:val="en-CA"/>
        </w:rPr>
        <w:t>Québec (Commission</w:t>
      </w:r>
      <w:r w:rsidRPr="000A3539">
        <w:rPr>
          <w:i/>
          <w:lang w:val="en-CA"/>
        </w:rPr>
        <w:t xml:space="preserve"> </w:t>
      </w:r>
      <w:r w:rsidR="00D76132" w:rsidRPr="000A3539">
        <w:rPr>
          <w:i/>
          <w:lang w:val="en-CA"/>
        </w:rPr>
        <w:t>des</w:t>
      </w:r>
      <w:r w:rsidRPr="000A3539">
        <w:rPr>
          <w:i/>
          <w:lang w:val="en-CA"/>
        </w:rPr>
        <w:t xml:space="preserve"> </w:t>
      </w:r>
      <w:r w:rsidR="00D76132" w:rsidRPr="000A3539">
        <w:rPr>
          <w:i/>
          <w:lang w:val="en-CA"/>
        </w:rPr>
        <w:t>droits</w:t>
      </w:r>
      <w:r w:rsidRPr="000A3539">
        <w:rPr>
          <w:i/>
          <w:lang w:val="en-CA"/>
        </w:rPr>
        <w:t xml:space="preserve"> </w:t>
      </w:r>
      <w:r w:rsidR="00D76132" w:rsidRPr="000A3539">
        <w:rPr>
          <w:i/>
          <w:lang w:val="en-CA"/>
        </w:rPr>
        <w:t>de</w:t>
      </w:r>
      <w:r w:rsidRPr="000A3539">
        <w:rPr>
          <w:i/>
          <w:lang w:val="en-CA"/>
        </w:rPr>
        <w:t xml:space="preserve"> </w:t>
      </w:r>
      <w:r w:rsidR="00D76132" w:rsidRPr="000A3539">
        <w:rPr>
          <w:i/>
          <w:lang w:val="en-CA"/>
        </w:rPr>
        <w:t>la</w:t>
      </w:r>
      <w:r w:rsidRPr="000A3539">
        <w:rPr>
          <w:i/>
          <w:lang w:val="en-CA"/>
        </w:rPr>
        <w:t xml:space="preserve"> </w:t>
      </w:r>
      <w:r w:rsidR="00D76132" w:rsidRPr="000A3539">
        <w:rPr>
          <w:i/>
          <w:lang w:val="en-CA"/>
        </w:rPr>
        <w:t xml:space="preserve">personne et de la </w:t>
      </w:r>
      <w:proofErr w:type="spellStart"/>
      <w:r w:rsidR="00D76132" w:rsidRPr="000A3539">
        <w:rPr>
          <w:i/>
          <w:lang w:val="en-CA"/>
        </w:rPr>
        <w:t>jeunesse</w:t>
      </w:r>
      <w:proofErr w:type="spellEnd"/>
      <w:r w:rsidR="00D76132" w:rsidRPr="000A3539">
        <w:rPr>
          <w:i/>
          <w:lang w:val="en-CA"/>
        </w:rPr>
        <w:t>) v. Montréal (</w:t>
      </w:r>
      <w:r w:rsidRPr="000A3539">
        <w:rPr>
          <w:i/>
          <w:lang w:val="en-CA"/>
        </w:rPr>
        <w:t>City</w:t>
      </w:r>
      <w:r w:rsidR="00D76132" w:rsidRPr="000A3539">
        <w:rPr>
          <w:i/>
          <w:lang w:val="en-CA"/>
        </w:rPr>
        <w:t>)</w:t>
      </w:r>
      <w:r w:rsidRPr="000A3539">
        <w:rPr>
          <w:lang w:val="en-CA"/>
        </w:rPr>
        <w:t>.</w:t>
      </w:r>
      <w:r w:rsidR="00D76132" w:rsidRPr="000A3539">
        <w:rPr>
          <w:rStyle w:val="Appelnotedebasdep"/>
          <w:lang w:val="en-CA"/>
        </w:rPr>
        <w:footnoteReference w:id="100"/>
      </w:r>
      <w:r w:rsidR="00D76132" w:rsidRPr="000A3539">
        <w:rPr>
          <w:lang w:val="en-CA"/>
        </w:rPr>
        <w:t xml:space="preserve"> </w:t>
      </w:r>
      <w:r w:rsidRPr="000A3539">
        <w:rPr>
          <w:lang w:val="en-CA"/>
        </w:rPr>
        <w:t xml:space="preserve">In that case, three complainants were refused employment due to </w:t>
      </w:r>
      <w:r w:rsidR="004E687D" w:rsidRPr="000A3539">
        <w:rPr>
          <w:lang w:val="en-CA"/>
        </w:rPr>
        <w:t>health conditions that did not</w:t>
      </w:r>
      <w:r w:rsidR="00627699">
        <w:rPr>
          <w:lang w:val="en-CA"/>
        </w:rPr>
        <w:t>,</w:t>
      </w:r>
      <w:r w:rsidR="004E687D" w:rsidRPr="000A3539">
        <w:rPr>
          <w:lang w:val="en-CA"/>
        </w:rPr>
        <w:t xml:space="preserve"> however</w:t>
      </w:r>
      <w:r w:rsidR="00627699">
        <w:rPr>
          <w:lang w:val="en-CA"/>
        </w:rPr>
        <w:t>,</w:t>
      </w:r>
      <w:r w:rsidR="004E687D" w:rsidRPr="000A3539">
        <w:rPr>
          <w:lang w:val="en-CA"/>
        </w:rPr>
        <w:t xml:space="preserve"> cause them any disability or </w:t>
      </w:r>
      <w:r w:rsidR="00D76132" w:rsidRPr="000A3539">
        <w:rPr>
          <w:lang w:val="en-CA"/>
        </w:rPr>
        <w:t>limitation</w:t>
      </w:r>
      <w:r w:rsidR="004E687D" w:rsidRPr="000A3539">
        <w:rPr>
          <w:lang w:val="en-CA"/>
        </w:rPr>
        <w:t xml:space="preserve">s. The </w:t>
      </w:r>
      <w:r w:rsidR="00D76132" w:rsidRPr="000A3539">
        <w:rPr>
          <w:lang w:val="en-CA"/>
        </w:rPr>
        <w:t>Supreme</w:t>
      </w:r>
      <w:r w:rsidR="004E687D" w:rsidRPr="000A3539">
        <w:rPr>
          <w:lang w:val="en-CA"/>
        </w:rPr>
        <w:t xml:space="preserve"> </w:t>
      </w:r>
      <w:r w:rsidR="00D76132" w:rsidRPr="000A3539">
        <w:rPr>
          <w:lang w:val="en-CA"/>
        </w:rPr>
        <w:t>Court</w:t>
      </w:r>
      <w:r w:rsidR="004E687D" w:rsidRPr="000A3539">
        <w:rPr>
          <w:lang w:val="en-CA"/>
        </w:rPr>
        <w:t xml:space="preserve"> </w:t>
      </w:r>
      <w:r w:rsidR="006012AD" w:rsidRPr="000A3539">
        <w:rPr>
          <w:lang w:val="en-CA"/>
        </w:rPr>
        <w:t xml:space="preserve">reviewed the purpose of the </w:t>
      </w:r>
      <w:r w:rsidR="00DC430C" w:rsidRPr="00DC430C">
        <w:rPr>
          <w:i/>
          <w:lang w:val="en-CA"/>
        </w:rPr>
        <w:t>Quebec Charter</w:t>
      </w:r>
      <w:r w:rsidR="00D76132" w:rsidRPr="000A3539">
        <w:rPr>
          <w:lang w:val="en-CA"/>
        </w:rPr>
        <w:t xml:space="preserve">, </w:t>
      </w:r>
      <w:r w:rsidR="006012AD" w:rsidRPr="000A3539">
        <w:rPr>
          <w:lang w:val="en-CA"/>
        </w:rPr>
        <w:t xml:space="preserve">its legislative </w:t>
      </w:r>
      <w:r w:rsidR="00D76132" w:rsidRPr="000A3539">
        <w:rPr>
          <w:lang w:val="en-CA"/>
        </w:rPr>
        <w:t>histor</w:t>
      </w:r>
      <w:r w:rsidR="006012AD" w:rsidRPr="000A3539">
        <w:rPr>
          <w:lang w:val="en-CA"/>
        </w:rPr>
        <w:t>y</w:t>
      </w:r>
      <w:r w:rsidR="00D76132" w:rsidRPr="000A3539">
        <w:rPr>
          <w:lang w:val="en-CA"/>
        </w:rPr>
        <w:t>,</w:t>
      </w:r>
      <w:r w:rsidR="006012AD" w:rsidRPr="000A3539">
        <w:rPr>
          <w:lang w:val="en-CA"/>
        </w:rPr>
        <w:t xml:space="preserve"> its other </w:t>
      </w:r>
      <w:r w:rsidR="00D76132" w:rsidRPr="000A3539">
        <w:rPr>
          <w:lang w:val="en-CA"/>
        </w:rPr>
        <w:t>provisions</w:t>
      </w:r>
      <w:r w:rsidR="006012AD" w:rsidRPr="000A3539">
        <w:rPr>
          <w:lang w:val="en-CA"/>
        </w:rPr>
        <w:t xml:space="preserve">, and the related statutes of the other </w:t>
      </w:r>
      <w:r w:rsidR="00D76132" w:rsidRPr="000A3539">
        <w:rPr>
          <w:lang w:val="en-CA"/>
        </w:rPr>
        <w:t xml:space="preserve">provinces </w:t>
      </w:r>
      <w:r w:rsidR="003E182C" w:rsidRPr="000A3539">
        <w:rPr>
          <w:lang w:val="en-CA"/>
        </w:rPr>
        <w:t>to then adopt a broad de</w:t>
      </w:r>
      <w:r w:rsidR="00D76132" w:rsidRPr="000A3539">
        <w:rPr>
          <w:lang w:val="en-CA"/>
        </w:rPr>
        <w:t xml:space="preserve">finition </w:t>
      </w:r>
      <w:r w:rsidR="003E182C" w:rsidRPr="000A3539">
        <w:rPr>
          <w:lang w:val="en-CA"/>
        </w:rPr>
        <w:t xml:space="preserve">of the concept of </w:t>
      </w:r>
      <w:r w:rsidR="00D76132" w:rsidRPr="000A3539">
        <w:rPr>
          <w:lang w:val="en-CA"/>
        </w:rPr>
        <w:t>handicap.</w:t>
      </w:r>
    </w:p>
    <w:p w14:paraId="25928F52" w14:textId="6F4F01A3" w:rsidR="00352837" w:rsidRPr="000A3539" w:rsidRDefault="00F54B48" w:rsidP="00352837">
      <w:pPr>
        <w:pStyle w:val="Paragraphe"/>
        <w:rPr>
          <w:lang w:val="en-CA"/>
        </w:rPr>
      </w:pPr>
      <w:r>
        <w:rPr>
          <w:lang w:val="en-CA"/>
        </w:rPr>
        <w:lastRenderedPageBreak/>
        <w:t>Turning</w:t>
      </w:r>
      <w:r w:rsidRPr="000A3539">
        <w:rPr>
          <w:lang w:val="en-CA"/>
        </w:rPr>
        <w:t xml:space="preserve"> </w:t>
      </w:r>
      <w:r w:rsidR="003257BA" w:rsidRPr="000A3539">
        <w:rPr>
          <w:lang w:val="en-CA"/>
        </w:rPr>
        <w:t xml:space="preserve">to the statutes of other </w:t>
      </w:r>
      <w:r w:rsidR="00D76132" w:rsidRPr="000A3539">
        <w:rPr>
          <w:lang w:val="en-CA"/>
        </w:rPr>
        <w:t xml:space="preserve">provinces </w:t>
      </w:r>
      <w:r w:rsidR="003257BA" w:rsidRPr="000A3539">
        <w:rPr>
          <w:lang w:val="en-CA"/>
        </w:rPr>
        <w:t xml:space="preserve">to </w:t>
      </w:r>
      <w:r w:rsidR="00D76132" w:rsidRPr="000A3539">
        <w:rPr>
          <w:lang w:val="en-CA"/>
        </w:rPr>
        <w:t>interpr</w:t>
      </w:r>
      <w:r w:rsidR="003257BA" w:rsidRPr="000A3539">
        <w:rPr>
          <w:lang w:val="en-CA"/>
        </w:rPr>
        <w:t xml:space="preserve">et the concept of social </w:t>
      </w:r>
      <w:r w:rsidR="00D76132" w:rsidRPr="000A3539">
        <w:rPr>
          <w:lang w:val="en-CA"/>
        </w:rPr>
        <w:t xml:space="preserve">condition </w:t>
      </w:r>
      <w:r w:rsidR="001F390B" w:rsidRPr="000A3539">
        <w:rPr>
          <w:lang w:val="en-CA"/>
        </w:rPr>
        <w:t xml:space="preserve">in the </w:t>
      </w:r>
      <w:r w:rsidR="00DC430C" w:rsidRPr="00DC430C">
        <w:rPr>
          <w:i/>
          <w:lang w:val="en-CA"/>
        </w:rPr>
        <w:t>Quebec Charter</w:t>
      </w:r>
      <w:r w:rsidR="00D76132" w:rsidRPr="000A3539">
        <w:rPr>
          <w:lang w:val="en-CA"/>
        </w:rPr>
        <w:t xml:space="preserve"> </w:t>
      </w:r>
      <w:r w:rsidR="001F390B" w:rsidRPr="000A3539">
        <w:rPr>
          <w:lang w:val="en-CA"/>
        </w:rPr>
        <w:t>nevertheless has significant limits. Because most of the statutes refer to</w:t>
      </w:r>
      <w:r w:rsidR="00EA001E" w:rsidRPr="000A3539">
        <w:rPr>
          <w:lang w:val="en-CA"/>
        </w:rPr>
        <w:t xml:space="preserve"> “source of income”</w:t>
      </w:r>
      <w:r w:rsidR="001F390B" w:rsidRPr="000A3539">
        <w:rPr>
          <w:lang w:val="en-CA"/>
        </w:rPr>
        <w:t xml:space="preserve"> </w:t>
      </w:r>
      <w:r w:rsidR="00EA001E" w:rsidRPr="000A3539">
        <w:rPr>
          <w:lang w:val="en-CA"/>
        </w:rPr>
        <w:t xml:space="preserve">rather than “social condition”, it must be noted </w:t>
      </w:r>
      <w:r w:rsidR="00EE74A8" w:rsidRPr="000A3539">
        <w:rPr>
          <w:lang w:val="en-CA"/>
        </w:rPr>
        <w:t>that th</w:t>
      </w:r>
      <w:r w:rsidR="00BC069D" w:rsidRPr="000A3539">
        <w:rPr>
          <w:lang w:val="en-CA"/>
        </w:rPr>
        <w:t xml:space="preserve">ose provinces chose </w:t>
      </w:r>
      <w:r w:rsidR="00B05DA0">
        <w:rPr>
          <w:lang w:val="en-CA"/>
        </w:rPr>
        <w:t xml:space="preserve">a </w:t>
      </w:r>
      <w:r w:rsidR="00BC069D" w:rsidRPr="000A3539">
        <w:rPr>
          <w:lang w:val="en-CA"/>
        </w:rPr>
        <w:t xml:space="preserve">more </w:t>
      </w:r>
      <w:r w:rsidR="00D76132" w:rsidRPr="000A3539">
        <w:rPr>
          <w:lang w:val="en-CA"/>
        </w:rPr>
        <w:t xml:space="preserve">restrictive </w:t>
      </w:r>
      <w:r w:rsidR="00BC069D" w:rsidRPr="000A3539">
        <w:rPr>
          <w:lang w:val="en-CA"/>
        </w:rPr>
        <w:t>concept</w:t>
      </w:r>
      <w:r>
        <w:rPr>
          <w:lang w:val="en-CA"/>
        </w:rPr>
        <w:t>, which</w:t>
      </w:r>
      <w:r w:rsidR="00BC069D" w:rsidRPr="000A3539">
        <w:rPr>
          <w:lang w:val="en-CA"/>
        </w:rPr>
        <w:t xml:space="preserve"> cannot have the effect of limiting the concept of social </w:t>
      </w:r>
      <w:r w:rsidR="00D76132" w:rsidRPr="000A3539">
        <w:rPr>
          <w:lang w:val="en-CA"/>
        </w:rPr>
        <w:t xml:space="preserve">condition </w:t>
      </w:r>
      <w:r w:rsidR="00BC069D" w:rsidRPr="000A3539">
        <w:rPr>
          <w:lang w:val="en-CA"/>
        </w:rPr>
        <w:t xml:space="preserve">set out in the </w:t>
      </w:r>
      <w:r w:rsidR="00DC430C" w:rsidRPr="00DC430C">
        <w:rPr>
          <w:i/>
          <w:lang w:val="en-CA"/>
        </w:rPr>
        <w:t>Quebec Charter</w:t>
      </w:r>
      <w:r>
        <w:rPr>
          <w:lang w:val="en-CA"/>
        </w:rPr>
        <w:t xml:space="preserve"> that</w:t>
      </w:r>
      <w:r w:rsidR="00BC069D" w:rsidRPr="000A3539">
        <w:rPr>
          <w:lang w:val="en-CA"/>
        </w:rPr>
        <w:t xml:space="preserve"> refers to </w:t>
      </w:r>
      <w:r w:rsidR="00F86C7D" w:rsidRPr="000A3539">
        <w:rPr>
          <w:lang w:val="en-CA"/>
        </w:rPr>
        <w:t xml:space="preserve">a </w:t>
      </w:r>
      <w:r w:rsidR="00D76132" w:rsidRPr="000A3539">
        <w:rPr>
          <w:lang w:val="en-CA"/>
        </w:rPr>
        <w:t xml:space="preserve">concept </w:t>
      </w:r>
      <w:r w:rsidR="00F86C7D" w:rsidRPr="000A3539">
        <w:rPr>
          <w:lang w:val="en-CA"/>
        </w:rPr>
        <w:t xml:space="preserve">that is </w:t>
      </w:r>
      <w:r w:rsidR="005F4F1A">
        <w:rPr>
          <w:lang w:val="en-CA"/>
        </w:rPr>
        <w:t xml:space="preserve">clearly </w:t>
      </w:r>
      <w:r w:rsidR="00F86C7D" w:rsidRPr="000A3539">
        <w:rPr>
          <w:lang w:val="en-CA"/>
        </w:rPr>
        <w:t>broader</w:t>
      </w:r>
      <w:r w:rsidR="00D76132" w:rsidRPr="000A3539">
        <w:rPr>
          <w:lang w:val="en-CA"/>
        </w:rPr>
        <w:t>.</w:t>
      </w:r>
    </w:p>
    <w:p w14:paraId="0290F06B" w14:textId="44FEAA6C" w:rsidR="00352837" w:rsidRPr="000A3539" w:rsidRDefault="00F54B48" w:rsidP="00352837">
      <w:pPr>
        <w:pStyle w:val="Paragraphe"/>
        <w:rPr>
          <w:lang w:val="en-CA"/>
        </w:rPr>
      </w:pPr>
      <w:r>
        <w:rPr>
          <w:lang w:val="en-CA"/>
        </w:rPr>
        <w:t>Including</w:t>
      </w:r>
      <w:r w:rsidR="009B4370" w:rsidRPr="000A3539">
        <w:rPr>
          <w:lang w:val="en-CA"/>
        </w:rPr>
        <w:t xml:space="preserve"> students in the </w:t>
      </w:r>
      <w:r w:rsidR="00D76132" w:rsidRPr="000A3539">
        <w:rPr>
          <w:lang w:val="en-CA"/>
        </w:rPr>
        <w:t>ground</w:t>
      </w:r>
      <w:r w:rsidR="009B4370" w:rsidRPr="000A3539">
        <w:rPr>
          <w:lang w:val="en-CA"/>
        </w:rPr>
        <w:t xml:space="preserve"> of social </w:t>
      </w:r>
      <w:r w:rsidR="00D76132" w:rsidRPr="000A3539">
        <w:rPr>
          <w:lang w:val="en-CA"/>
        </w:rPr>
        <w:t xml:space="preserve">condition </w:t>
      </w:r>
      <w:r w:rsidR="009B4370" w:rsidRPr="000A3539">
        <w:rPr>
          <w:lang w:val="en-CA"/>
        </w:rPr>
        <w:t>is in fac</w:t>
      </w:r>
      <w:r w:rsidR="008D7544" w:rsidRPr="000A3539">
        <w:rPr>
          <w:lang w:val="en-CA"/>
        </w:rPr>
        <w:t>t</w:t>
      </w:r>
      <w:r w:rsidR="009B4370" w:rsidRPr="000A3539">
        <w:rPr>
          <w:lang w:val="en-CA"/>
        </w:rPr>
        <w:t xml:space="preserve"> consistent with the statu</w:t>
      </w:r>
      <w:r w:rsidR="008D7544" w:rsidRPr="000A3539">
        <w:rPr>
          <w:lang w:val="en-CA"/>
        </w:rPr>
        <w:t>t</w:t>
      </w:r>
      <w:r w:rsidR="009B4370" w:rsidRPr="000A3539">
        <w:rPr>
          <w:lang w:val="en-CA"/>
        </w:rPr>
        <w:t xml:space="preserve">es that contain the same terms, such as </w:t>
      </w:r>
      <w:r w:rsidR="00204E48">
        <w:rPr>
          <w:lang w:val="en-CA"/>
        </w:rPr>
        <w:t xml:space="preserve">those </w:t>
      </w:r>
      <w:r w:rsidR="009B4370" w:rsidRPr="000A3539">
        <w:rPr>
          <w:lang w:val="en-CA"/>
        </w:rPr>
        <w:t>of the Northwest Territories</w:t>
      </w:r>
      <w:r w:rsidR="00D76132" w:rsidRPr="000A3539">
        <w:rPr>
          <w:rStyle w:val="Appelnotedebasdep"/>
          <w:lang w:val="en-CA"/>
        </w:rPr>
        <w:footnoteReference w:id="101"/>
      </w:r>
      <w:r w:rsidR="00D76132" w:rsidRPr="000A3539">
        <w:rPr>
          <w:lang w:val="en-CA"/>
        </w:rPr>
        <w:t xml:space="preserve"> </w:t>
      </w:r>
      <w:r w:rsidR="009B4370" w:rsidRPr="000A3539">
        <w:rPr>
          <w:lang w:val="en-CA"/>
        </w:rPr>
        <w:t xml:space="preserve">and New </w:t>
      </w:r>
      <w:r w:rsidR="00D76132" w:rsidRPr="000A3539">
        <w:rPr>
          <w:lang w:val="en-CA"/>
        </w:rPr>
        <w:t>Brunswick</w:t>
      </w:r>
      <w:r w:rsidR="009B4370" w:rsidRPr="000A3539">
        <w:rPr>
          <w:lang w:val="en-CA"/>
        </w:rPr>
        <w:t>.</w:t>
      </w:r>
      <w:r w:rsidR="00D76132" w:rsidRPr="000A3539">
        <w:rPr>
          <w:rStyle w:val="Appelnotedebasdep"/>
          <w:rFonts w:cs="Arial"/>
          <w:szCs w:val="22"/>
          <w:shd w:val="clear" w:color="auto" w:fill="FFFFFF"/>
          <w:lang w:val="en-CA"/>
        </w:rPr>
        <w:footnoteReference w:id="102"/>
      </w:r>
      <w:r w:rsidR="00D76132" w:rsidRPr="000A3539">
        <w:rPr>
          <w:lang w:val="en-CA"/>
        </w:rPr>
        <w:t xml:space="preserve"> </w:t>
      </w:r>
      <w:r w:rsidR="00E5558A" w:rsidRPr="000A3539">
        <w:rPr>
          <w:lang w:val="en-CA"/>
        </w:rPr>
        <w:t xml:space="preserve">The Manitoba </w:t>
      </w:r>
      <w:r w:rsidR="00E5558A" w:rsidRPr="000A3539">
        <w:rPr>
          <w:i/>
          <w:lang w:val="en-CA"/>
        </w:rPr>
        <w:t>H</w:t>
      </w:r>
      <w:r w:rsidR="00D76132" w:rsidRPr="000A3539">
        <w:rPr>
          <w:i/>
          <w:lang w:val="en-CA"/>
        </w:rPr>
        <w:t>uman</w:t>
      </w:r>
      <w:r w:rsidR="00E5558A" w:rsidRPr="000A3539">
        <w:rPr>
          <w:i/>
          <w:lang w:val="en-CA"/>
        </w:rPr>
        <w:t xml:space="preserve"> R</w:t>
      </w:r>
      <w:r w:rsidR="00D76132" w:rsidRPr="000A3539">
        <w:rPr>
          <w:i/>
          <w:lang w:val="en-CA"/>
        </w:rPr>
        <w:t>ights</w:t>
      </w:r>
      <w:r w:rsidR="00E5558A" w:rsidRPr="000A3539">
        <w:rPr>
          <w:i/>
          <w:lang w:val="en-CA"/>
        </w:rPr>
        <w:t xml:space="preserve"> Code </w:t>
      </w:r>
      <w:r w:rsidR="00E5558A" w:rsidRPr="000A3539">
        <w:rPr>
          <w:lang w:val="en-CA"/>
        </w:rPr>
        <w:t>is unique in that it expressly lim</w:t>
      </w:r>
      <w:r w:rsidR="004877BD" w:rsidRPr="000A3539">
        <w:rPr>
          <w:lang w:val="en-CA"/>
        </w:rPr>
        <w:t>i</w:t>
      </w:r>
      <w:r w:rsidR="00E5558A" w:rsidRPr="000A3539">
        <w:rPr>
          <w:lang w:val="en-CA"/>
        </w:rPr>
        <w:t xml:space="preserve">ts </w:t>
      </w:r>
      <w:r w:rsidR="00D76132" w:rsidRPr="000A3539">
        <w:rPr>
          <w:rFonts w:cs="Arial"/>
          <w:lang w:val="en-CA"/>
        </w:rPr>
        <w:t xml:space="preserve">discrimination </w:t>
      </w:r>
      <w:r w:rsidR="004877BD" w:rsidRPr="000A3539">
        <w:rPr>
          <w:rFonts w:cs="Arial"/>
          <w:lang w:val="en-CA"/>
        </w:rPr>
        <w:t xml:space="preserve">based on the </w:t>
      </w:r>
      <w:r w:rsidR="00D76132" w:rsidRPr="000A3539">
        <w:rPr>
          <w:rFonts w:cs="Arial"/>
          <w:lang w:val="en-CA"/>
        </w:rPr>
        <w:t>ground</w:t>
      </w:r>
      <w:r w:rsidR="004877BD" w:rsidRPr="000A3539">
        <w:rPr>
          <w:rFonts w:cs="Arial"/>
          <w:lang w:val="en-CA"/>
        </w:rPr>
        <w:t xml:space="preserve"> of social disad</w:t>
      </w:r>
      <w:r w:rsidR="00D76132" w:rsidRPr="000A3539">
        <w:rPr>
          <w:rFonts w:cs="Arial"/>
          <w:lang w:val="en-CA"/>
        </w:rPr>
        <w:t xml:space="preserve">vantage </w:t>
      </w:r>
      <w:r w:rsidR="004877BD" w:rsidRPr="000A3539">
        <w:rPr>
          <w:rFonts w:cs="Arial"/>
          <w:lang w:val="en-CA"/>
        </w:rPr>
        <w:t>to cases of discrimination based</w:t>
      </w:r>
      <w:r w:rsidR="00D76132" w:rsidRPr="000A3539">
        <w:rPr>
          <w:rFonts w:cs="Arial"/>
          <w:lang w:val="en-CA"/>
        </w:rPr>
        <w:t xml:space="preserve"> </w:t>
      </w:r>
      <w:r w:rsidR="00E5558A" w:rsidRPr="000A3539">
        <w:rPr>
          <w:rFonts w:cs="Arial"/>
          <w:lang w:val="en-CA"/>
        </w:rPr>
        <w:t>“on a negative bias or stereotype related to that social disadvantage”,</w:t>
      </w:r>
      <w:r w:rsidR="00D76132" w:rsidRPr="000A3539">
        <w:rPr>
          <w:rStyle w:val="Appelnotedebasdep"/>
          <w:rFonts w:cs="Arial"/>
          <w:lang w:val="en-CA"/>
        </w:rPr>
        <w:footnoteReference w:id="103"/>
      </w:r>
      <w:r w:rsidR="00D76132" w:rsidRPr="000A3539">
        <w:rPr>
          <w:rFonts w:cs="Arial"/>
          <w:lang w:val="en-CA"/>
        </w:rPr>
        <w:t xml:space="preserve"> </w:t>
      </w:r>
      <w:r w:rsidR="004877BD" w:rsidRPr="000A3539">
        <w:rPr>
          <w:rFonts w:cs="Arial"/>
          <w:lang w:val="en-CA"/>
        </w:rPr>
        <w:t>which may lead to a different result</w:t>
      </w:r>
      <w:r w:rsidR="00D76132" w:rsidRPr="000A3539">
        <w:rPr>
          <w:rFonts w:cs="Arial"/>
          <w:lang w:val="en-CA"/>
        </w:rPr>
        <w:t>.</w:t>
      </w:r>
    </w:p>
    <w:p w14:paraId="0D63F21F" w14:textId="731EFF10" w:rsidR="00352837" w:rsidRPr="000A3539" w:rsidRDefault="0093549A" w:rsidP="00352837">
      <w:pPr>
        <w:pStyle w:val="Paragraphe"/>
        <w:keepNext/>
        <w:numPr>
          <w:ilvl w:val="0"/>
          <w:numId w:val="0"/>
        </w:numPr>
        <w:rPr>
          <w:b/>
          <w:i/>
          <w:lang w:val="en-CA"/>
        </w:rPr>
      </w:pPr>
      <w:r w:rsidRPr="000A3539">
        <w:rPr>
          <w:b/>
          <w:i/>
          <w:lang w:val="en-CA"/>
        </w:rPr>
        <w:t xml:space="preserve">The report of the Canadian Human Rights Act Review Panel </w:t>
      </w:r>
      <w:r w:rsidR="00D76132" w:rsidRPr="000A3539">
        <w:rPr>
          <w:b/>
          <w:i/>
          <w:lang w:val="en-CA"/>
        </w:rPr>
        <w:t xml:space="preserve"> </w:t>
      </w:r>
    </w:p>
    <w:p w14:paraId="4E4C3A0C" w14:textId="339928CC" w:rsidR="00352837" w:rsidRPr="000A3539" w:rsidRDefault="0093549A" w:rsidP="00352837">
      <w:pPr>
        <w:pStyle w:val="Paragraphe"/>
        <w:rPr>
          <w:lang w:val="en-CA"/>
        </w:rPr>
      </w:pPr>
      <w:r w:rsidRPr="000A3539">
        <w:rPr>
          <w:lang w:val="en-CA"/>
        </w:rPr>
        <w:t xml:space="preserve">The purpose of this report, published in </w:t>
      </w:r>
      <w:r w:rsidR="00D76132" w:rsidRPr="000A3539">
        <w:rPr>
          <w:lang w:val="en-CA"/>
        </w:rPr>
        <w:t xml:space="preserve">2000, </w:t>
      </w:r>
      <w:r w:rsidRPr="000A3539">
        <w:rPr>
          <w:lang w:val="en-CA"/>
        </w:rPr>
        <w:t xml:space="preserve">was </w:t>
      </w:r>
      <w:r w:rsidR="00B05DA0">
        <w:rPr>
          <w:lang w:val="en-CA"/>
        </w:rPr>
        <w:t>to</w:t>
      </w:r>
      <w:r w:rsidR="007425C1" w:rsidRPr="000A3539">
        <w:rPr>
          <w:lang w:val="en-CA"/>
        </w:rPr>
        <w:t xml:space="preserve"> </w:t>
      </w:r>
      <w:r w:rsidRPr="000A3539">
        <w:rPr>
          <w:lang w:val="en-CA"/>
        </w:rPr>
        <w:t>recommend</w:t>
      </w:r>
      <w:r w:rsidR="007425C1" w:rsidRPr="000A3539">
        <w:rPr>
          <w:lang w:val="en-CA"/>
        </w:rPr>
        <w:t xml:space="preserve"> </w:t>
      </w:r>
      <w:r w:rsidR="00C613D6" w:rsidRPr="000A3539">
        <w:rPr>
          <w:lang w:val="en-CA"/>
        </w:rPr>
        <w:t xml:space="preserve">to Parliament </w:t>
      </w:r>
      <w:r w:rsidRPr="000A3539">
        <w:rPr>
          <w:lang w:val="en-CA"/>
        </w:rPr>
        <w:t>amend</w:t>
      </w:r>
      <w:r w:rsidR="007425C1" w:rsidRPr="000A3539">
        <w:rPr>
          <w:lang w:val="en-CA"/>
        </w:rPr>
        <w:t xml:space="preserve">ments to the </w:t>
      </w:r>
      <w:r w:rsidR="007425C1" w:rsidRPr="000A3539">
        <w:rPr>
          <w:i/>
          <w:lang w:val="en-CA"/>
        </w:rPr>
        <w:t>Canadian Human Rights Act</w:t>
      </w:r>
      <w:r w:rsidR="00D76132" w:rsidRPr="000A3539">
        <w:rPr>
          <w:rStyle w:val="Appelnotedebasdep"/>
          <w:lang w:val="en-CA"/>
        </w:rPr>
        <w:footnoteReference w:id="104"/>
      </w:r>
      <w:r w:rsidR="00D76132" w:rsidRPr="000A3539">
        <w:rPr>
          <w:lang w:val="en-CA"/>
        </w:rPr>
        <w:t xml:space="preserve"> (</w:t>
      </w:r>
      <w:r w:rsidR="007425C1" w:rsidRPr="000A3539">
        <w:rPr>
          <w:lang w:val="en-CA"/>
        </w:rPr>
        <w:t>the “</w:t>
      </w:r>
      <w:r w:rsidR="007425C1" w:rsidRPr="000A3539">
        <w:rPr>
          <w:i/>
          <w:lang w:val="en-CA"/>
        </w:rPr>
        <w:t>Canadian Act</w:t>
      </w:r>
      <w:r w:rsidR="007425C1" w:rsidRPr="000A3539">
        <w:rPr>
          <w:lang w:val="en-CA"/>
        </w:rPr>
        <w:t>”</w:t>
      </w:r>
      <w:r w:rsidR="00D76132" w:rsidRPr="000A3539">
        <w:rPr>
          <w:lang w:val="en-CA"/>
        </w:rPr>
        <w:t>)</w:t>
      </w:r>
      <w:r w:rsidR="00D76132" w:rsidRPr="000A3539">
        <w:rPr>
          <w:i/>
          <w:lang w:val="en-CA"/>
        </w:rPr>
        <w:t xml:space="preserve"> </w:t>
      </w:r>
      <w:r w:rsidR="007425C1" w:rsidRPr="000A3539">
        <w:rPr>
          <w:lang w:val="en-CA"/>
        </w:rPr>
        <w:t xml:space="preserve">on </w:t>
      </w:r>
      <w:r w:rsidR="00FC3354" w:rsidRPr="000A3539">
        <w:rPr>
          <w:lang w:val="en-CA"/>
        </w:rPr>
        <w:t>various</w:t>
      </w:r>
      <w:r w:rsidR="007425C1" w:rsidRPr="000A3539">
        <w:rPr>
          <w:lang w:val="en-CA"/>
        </w:rPr>
        <w:t xml:space="preserve"> issues</w:t>
      </w:r>
      <w:r w:rsidR="00D76132" w:rsidRPr="000A3539">
        <w:rPr>
          <w:lang w:val="en-CA"/>
        </w:rPr>
        <w:t xml:space="preserve">. </w:t>
      </w:r>
      <w:r w:rsidR="002F6A7F" w:rsidRPr="000A3539">
        <w:rPr>
          <w:lang w:val="en-CA"/>
        </w:rPr>
        <w:t xml:space="preserve">A </w:t>
      </w:r>
      <w:r w:rsidR="00614015">
        <w:rPr>
          <w:lang w:val="en-CA"/>
        </w:rPr>
        <w:t xml:space="preserve">reading </w:t>
      </w:r>
      <w:r w:rsidR="002F6A7F" w:rsidRPr="000A3539">
        <w:rPr>
          <w:lang w:val="en-CA"/>
        </w:rPr>
        <w:t xml:space="preserve">of the </w:t>
      </w:r>
      <w:r w:rsidR="00D76132" w:rsidRPr="000A3539">
        <w:rPr>
          <w:lang w:val="en-CA"/>
        </w:rPr>
        <w:t xml:space="preserve">section </w:t>
      </w:r>
      <w:r w:rsidR="002F6A7F" w:rsidRPr="000A3539">
        <w:rPr>
          <w:lang w:val="en-CA"/>
        </w:rPr>
        <w:t>on social con</w:t>
      </w:r>
      <w:r w:rsidR="00D76132" w:rsidRPr="000A3539">
        <w:rPr>
          <w:lang w:val="en-CA"/>
        </w:rPr>
        <w:t xml:space="preserve">dition </w:t>
      </w:r>
      <w:r w:rsidR="002F6A7F" w:rsidRPr="000A3539">
        <w:rPr>
          <w:lang w:val="en-CA"/>
        </w:rPr>
        <w:t xml:space="preserve">reveals that the review panel suggested that Parliament adopt a narrower interpretation of social condition in the </w:t>
      </w:r>
      <w:r w:rsidR="002F6A7F" w:rsidRPr="000A3539">
        <w:rPr>
          <w:i/>
          <w:lang w:val="en-CA"/>
        </w:rPr>
        <w:t xml:space="preserve">Canadian Act </w:t>
      </w:r>
      <w:r w:rsidR="002F6A7F" w:rsidRPr="000A3539">
        <w:rPr>
          <w:lang w:val="en-CA"/>
        </w:rPr>
        <w:t>tha</w:t>
      </w:r>
      <w:r w:rsidR="00B05DA0">
        <w:rPr>
          <w:lang w:val="en-CA"/>
        </w:rPr>
        <w:t>n</w:t>
      </w:r>
      <w:r w:rsidR="002F6A7F" w:rsidRPr="000A3539">
        <w:rPr>
          <w:lang w:val="en-CA"/>
        </w:rPr>
        <w:t xml:space="preserve"> that applicable </w:t>
      </w:r>
      <w:r w:rsidR="00C613D6">
        <w:rPr>
          <w:lang w:val="en-CA"/>
        </w:rPr>
        <w:t>under</w:t>
      </w:r>
      <w:r w:rsidR="00C613D6" w:rsidRPr="000A3539">
        <w:rPr>
          <w:lang w:val="en-CA"/>
        </w:rPr>
        <w:t xml:space="preserve"> </w:t>
      </w:r>
      <w:r w:rsidR="002F6A7F" w:rsidRPr="000A3539">
        <w:rPr>
          <w:lang w:val="en-CA"/>
        </w:rPr>
        <w:t xml:space="preserve">the </w:t>
      </w:r>
      <w:r w:rsidR="00DC430C" w:rsidRPr="00DC430C">
        <w:rPr>
          <w:i/>
          <w:lang w:val="en-CA"/>
        </w:rPr>
        <w:t>Quebec Charter</w:t>
      </w:r>
      <w:r w:rsidR="002F6A7F" w:rsidRPr="000A3539">
        <w:rPr>
          <w:i/>
          <w:lang w:val="en-CA"/>
        </w:rPr>
        <w:t xml:space="preserve"> </w:t>
      </w:r>
      <w:r w:rsidR="002F6A7F" w:rsidRPr="000A3539">
        <w:rPr>
          <w:lang w:val="en-CA"/>
        </w:rPr>
        <w:t xml:space="preserve">and </w:t>
      </w:r>
      <w:r w:rsidR="00614015">
        <w:rPr>
          <w:lang w:val="en-CA"/>
        </w:rPr>
        <w:t xml:space="preserve">that it </w:t>
      </w:r>
      <w:r w:rsidR="00D76132" w:rsidRPr="000A3539">
        <w:rPr>
          <w:lang w:val="en-CA"/>
        </w:rPr>
        <w:t>limit</w:t>
      </w:r>
      <w:r w:rsidR="002F6A7F" w:rsidRPr="000A3539">
        <w:rPr>
          <w:lang w:val="en-CA"/>
        </w:rPr>
        <w:t xml:space="preserve"> its </w:t>
      </w:r>
      <w:r w:rsidR="00D76132" w:rsidRPr="000A3539">
        <w:rPr>
          <w:lang w:val="en-CA"/>
        </w:rPr>
        <w:t xml:space="preserve">application </w:t>
      </w:r>
      <w:r w:rsidR="002F6A7F" w:rsidRPr="000A3539">
        <w:rPr>
          <w:lang w:val="en-CA"/>
        </w:rPr>
        <w:t>to</w:t>
      </w:r>
      <w:r w:rsidR="00D76132" w:rsidRPr="000A3539">
        <w:rPr>
          <w:lang w:val="en-CA"/>
        </w:rPr>
        <w:t xml:space="preserve"> </w:t>
      </w:r>
      <w:r w:rsidR="00AE0306" w:rsidRPr="000A3539">
        <w:rPr>
          <w:lang w:val="en-CA"/>
        </w:rPr>
        <w:t>individual</w:t>
      </w:r>
      <w:r w:rsidR="00D76132" w:rsidRPr="000A3539">
        <w:rPr>
          <w:lang w:val="en-CA"/>
        </w:rPr>
        <w:t xml:space="preserve">s </w:t>
      </w:r>
      <w:r w:rsidR="00AE0306" w:rsidRPr="000A3539">
        <w:rPr>
          <w:lang w:val="en-CA"/>
        </w:rPr>
        <w:t>who are in a situation of poverty that is not temporary</w:t>
      </w:r>
      <w:r w:rsidR="00D76132" w:rsidRPr="000A3539">
        <w:rPr>
          <w:lang w:val="en-CA"/>
        </w:rPr>
        <w:t>.</w:t>
      </w:r>
    </w:p>
    <w:p w14:paraId="5D5BC456" w14:textId="7D64FDBF" w:rsidR="00352837" w:rsidRPr="000A3539" w:rsidRDefault="00E642D0" w:rsidP="00352837">
      <w:pPr>
        <w:pStyle w:val="Paragraphe"/>
        <w:rPr>
          <w:lang w:val="en-CA"/>
        </w:rPr>
      </w:pPr>
      <w:r w:rsidRPr="000A3539">
        <w:rPr>
          <w:lang w:val="en-CA"/>
        </w:rPr>
        <w:lastRenderedPageBreak/>
        <w:t>Note that the review panel expressly ackno</w:t>
      </w:r>
      <w:r w:rsidR="00E31073" w:rsidRPr="000A3539">
        <w:rPr>
          <w:lang w:val="en-CA"/>
        </w:rPr>
        <w:t>w</w:t>
      </w:r>
      <w:r w:rsidRPr="000A3539">
        <w:rPr>
          <w:lang w:val="en-CA"/>
        </w:rPr>
        <w:t>ledge</w:t>
      </w:r>
      <w:r w:rsidR="00E31073" w:rsidRPr="000A3539">
        <w:rPr>
          <w:lang w:val="en-CA"/>
        </w:rPr>
        <w:t>d</w:t>
      </w:r>
      <w:r w:rsidRPr="000A3539">
        <w:rPr>
          <w:lang w:val="en-CA"/>
        </w:rPr>
        <w:t xml:space="preserve"> that the concep</w:t>
      </w:r>
      <w:r w:rsidR="00E31073" w:rsidRPr="000A3539">
        <w:rPr>
          <w:lang w:val="en-CA"/>
        </w:rPr>
        <w:t xml:space="preserve">t of social </w:t>
      </w:r>
      <w:r w:rsidR="00D76132" w:rsidRPr="000A3539">
        <w:rPr>
          <w:lang w:val="en-CA"/>
        </w:rPr>
        <w:t xml:space="preserve">condition </w:t>
      </w:r>
      <w:r w:rsidR="00E31073" w:rsidRPr="000A3539">
        <w:rPr>
          <w:lang w:val="en-CA"/>
        </w:rPr>
        <w:t xml:space="preserve">in the </w:t>
      </w:r>
      <w:r w:rsidR="00DC430C" w:rsidRPr="00DC430C">
        <w:rPr>
          <w:i/>
          <w:lang w:val="en-CA"/>
        </w:rPr>
        <w:t>Quebec Charter</w:t>
      </w:r>
      <w:r w:rsidR="00D76132" w:rsidRPr="000A3539">
        <w:rPr>
          <w:lang w:val="en-CA"/>
        </w:rPr>
        <w:t xml:space="preserve"> </w:t>
      </w:r>
      <w:r w:rsidR="00E31073" w:rsidRPr="000A3539">
        <w:rPr>
          <w:lang w:val="en-CA"/>
        </w:rPr>
        <w:t xml:space="preserve">is broader than the one it recommended </w:t>
      </w:r>
      <w:r w:rsidR="00D76132" w:rsidRPr="000A3539">
        <w:rPr>
          <w:lang w:val="en-CA"/>
        </w:rPr>
        <w:t>Parliament</w:t>
      </w:r>
      <w:r w:rsidR="00E31073" w:rsidRPr="000A3539">
        <w:rPr>
          <w:lang w:val="en-CA"/>
        </w:rPr>
        <w:t xml:space="preserve"> insert in the </w:t>
      </w:r>
      <w:r w:rsidR="00D76132" w:rsidRPr="000A3539">
        <w:rPr>
          <w:i/>
          <w:lang w:val="en-CA"/>
        </w:rPr>
        <w:t>Canadian</w:t>
      </w:r>
      <w:r w:rsidR="00E31073" w:rsidRPr="000A3539">
        <w:rPr>
          <w:i/>
          <w:lang w:val="en-CA"/>
        </w:rPr>
        <w:t xml:space="preserve"> </w:t>
      </w:r>
      <w:r w:rsidR="00D76132" w:rsidRPr="000A3539">
        <w:rPr>
          <w:i/>
          <w:lang w:val="en-CA"/>
        </w:rPr>
        <w:t>Charter</w:t>
      </w:r>
      <w:r w:rsidR="00D76132" w:rsidRPr="000A3539">
        <w:rPr>
          <w:lang w:val="en-CA"/>
        </w:rPr>
        <w:t xml:space="preserve">. </w:t>
      </w:r>
      <w:r w:rsidR="00E31073" w:rsidRPr="000A3539">
        <w:rPr>
          <w:lang w:val="en-CA"/>
        </w:rPr>
        <w:t xml:space="preserve">The </w:t>
      </w:r>
      <w:r w:rsidR="00D76132" w:rsidRPr="000A3539">
        <w:rPr>
          <w:lang w:val="en-CA"/>
        </w:rPr>
        <w:t>relevant</w:t>
      </w:r>
      <w:r w:rsidR="00E31073" w:rsidRPr="000A3539">
        <w:rPr>
          <w:lang w:val="en-CA"/>
        </w:rPr>
        <w:t xml:space="preserve"> excerpts of the report on this issue read as follows</w:t>
      </w:r>
      <w:r w:rsidR="00D76132" w:rsidRPr="000A3539">
        <w:rPr>
          <w:lang w:val="en-CA"/>
        </w:rPr>
        <w:t xml:space="preserve">: </w:t>
      </w:r>
    </w:p>
    <w:p w14:paraId="3D26862A" w14:textId="6EC460BD" w:rsidR="003A16F2" w:rsidRPr="000A3539" w:rsidRDefault="003A16F2" w:rsidP="00352837">
      <w:pPr>
        <w:pStyle w:val="Citationenretrait"/>
        <w:rPr>
          <w:lang w:val="en-CA"/>
        </w:rPr>
      </w:pPr>
      <w:r w:rsidRPr="000A3539">
        <w:rPr>
          <w:lang w:val="en-CA"/>
        </w:rPr>
        <w:t xml:space="preserve">We were asked by the Minister of Justice to consider the addition of a ground of “social condition” specifically. To consider this question, we need to determine what this might mean and, if we decide to recommend adding it to the Act, whether there should be a statutory definition. </w:t>
      </w:r>
    </w:p>
    <w:p w14:paraId="7EC02E5D" w14:textId="528739DE" w:rsidR="003A16F2" w:rsidRPr="000A3539" w:rsidRDefault="003A16F2" w:rsidP="00352837">
      <w:pPr>
        <w:pStyle w:val="Citationenretrait"/>
        <w:rPr>
          <w:lang w:val="en-CA"/>
        </w:rPr>
      </w:pPr>
      <w:r w:rsidRPr="000A3539">
        <w:rPr>
          <w:u w:val="single"/>
          <w:lang w:val="en-CA"/>
        </w:rPr>
        <w:t>The Québec experience with this ground provides the most guidance about its meaning. Jurisprudence has developed over time. The Québec courts and Tribunal have clarified the factors that should be considered in determining whether an act is discrim</w:t>
      </w:r>
      <w:r w:rsidR="00FC3354">
        <w:rPr>
          <w:u w:val="single"/>
          <w:lang w:val="en-CA"/>
        </w:rPr>
        <w:t>in</w:t>
      </w:r>
      <w:r w:rsidRPr="000A3539">
        <w:rPr>
          <w:u w:val="single"/>
          <w:lang w:val="en-CA"/>
        </w:rPr>
        <w:t>atory on the ground of social condition</w:t>
      </w:r>
      <w:r w:rsidRPr="000A3539">
        <w:rPr>
          <w:lang w:val="en-CA"/>
        </w:rPr>
        <w:t>.</w:t>
      </w:r>
    </w:p>
    <w:p w14:paraId="01AB1A39" w14:textId="71162F37" w:rsidR="003A16F2" w:rsidRPr="00142EBA" w:rsidRDefault="003A16F2" w:rsidP="00352837">
      <w:pPr>
        <w:pStyle w:val="Citationenretrait"/>
        <w:rPr>
          <w:kern w:val="0"/>
          <w:u w:val="single"/>
        </w:rPr>
      </w:pPr>
      <w:r w:rsidRPr="00142EBA">
        <w:rPr>
          <w:kern w:val="0"/>
          <w:u w:val="single"/>
        </w:rPr>
        <w:t xml:space="preserve">In the case of </w:t>
      </w:r>
      <w:r w:rsidRPr="00142EBA">
        <w:rPr>
          <w:i/>
          <w:kern w:val="0"/>
          <w:u w:val="single"/>
        </w:rPr>
        <w:t>Commission des droits de la personne du Québec v. Gauthier</w:t>
      </w:r>
      <w:r w:rsidR="006E08CC" w:rsidRPr="00142EBA">
        <w:rPr>
          <w:kern w:val="0"/>
          <w:u w:val="single"/>
        </w:rPr>
        <w:t xml:space="preserve"> (1993)</w:t>
      </w:r>
      <w:r w:rsidRPr="00142EBA">
        <w:rPr>
          <w:kern w:val="0"/>
          <w:u w:val="single"/>
        </w:rPr>
        <w:t xml:space="preserve">, the Québec Tribunal </w:t>
      </w:r>
      <w:proofErr w:type="spellStart"/>
      <w:r w:rsidRPr="00142EBA">
        <w:rPr>
          <w:kern w:val="0"/>
          <w:u w:val="single"/>
        </w:rPr>
        <w:t>said</w:t>
      </w:r>
      <w:proofErr w:type="spellEnd"/>
      <w:r w:rsidRPr="00142EBA">
        <w:rPr>
          <w:kern w:val="0"/>
          <w:u w:val="single"/>
        </w:rPr>
        <w:t xml:space="preserve">: </w:t>
      </w:r>
    </w:p>
    <w:p w14:paraId="0FE71FAF" w14:textId="348D9604" w:rsidR="003A16F2" w:rsidRPr="000A3539" w:rsidRDefault="003A16F2" w:rsidP="00352837">
      <w:pPr>
        <w:pStyle w:val="Citationenretrait"/>
        <w:rPr>
          <w:kern w:val="0"/>
          <w:u w:val="single"/>
          <w:lang w:val="en-CA"/>
        </w:rPr>
      </w:pPr>
      <w:r w:rsidRPr="000A3539">
        <w:rPr>
          <w:kern w:val="0"/>
          <w:u w:val="single"/>
          <w:lang w:val="en-CA"/>
        </w:rPr>
        <w:t>“[T]he definition of ‘social condition’ contains an</w:t>
      </w:r>
      <w:r w:rsidR="006E08CC" w:rsidRPr="000A3539">
        <w:rPr>
          <w:kern w:val="0"/>
          <w:u w:val="single"/>
          <w:lang w:val="en-CA"/>
        </w:rPr>
        <w:t xml:space="preserve"> </w:t>
      </w:r>
      <w:r w:rsidR="006E08CC" w:rsidRPr="000A3539">
        <w:rPr>
          <w:i/>
          <w:kern w:val="0"/>
          <w:u w:val="single"/>
          <w:lang w:val="en-CA"/>
        </w:rPr>
        <w:t>objective</w:t>
      </w:r>
      <w:r w:rsidR="006E08CC" w:rsidRPr="000A3539">
        <w:rPr>
          <w:kern w:val="0"/>
          <w:u w:val="single"/>
          <w:lang w:val="en-CA"/>
        </w:rPr>
        <w:t xml:space="preserve"> </w:t>
      </w:r>
      <w:r w:rsidRPr="000A3539">
        <w:rPr>
          <w:kern w:val="0"/>
          <w:u w:val="single"/>
          <w:lang w:val="en-CA"/>
        </w:rPr>
        <w:t>component. A person’s standing in society is often determined by his or her occupation, income or education level, or family background. It also has a</w:t>
      </w:r>
      <w:r w:rsidR="006E08CC" w:rsidRPr="000A3539">
        <w:rPr>
          <w:kern w:val="0"/>
          <w:u w:val="single"/>
          <w:lang w:val="en-CA"/>
        </w:rPr>
        <w:t xml:space="preserve"> </w:t>
      </w:r>
      <w:r w:rsidR="006E08CC" w:rsidRPr="000A3539">
        <w:rPr>
          <w:i/>
          <w:kern w:val="0"/>
          <w:u w:val="single"/>
          <w:lang w:val="en-CA"/>
        </w:rPr>
        <w:t>subjective</w:t>
      </w:r>
      <w:r w:rsidR="006E08CC" w:rsidRPr="000A3539">
        <w:rPr>
          <w:kern w:val="0"/>
          <w:u w:val="single"/>
          <w:lang w:val="en-CA"/>
        </w:rPr>
        <w:t xml:space="preserve"> </w:t>
      </w:r>
      <w:r w:rsidRPr="000A3539">
        <w:rPr>
          <w:kern w:val="0"/>
          <w:u w:val="single"/>
          <w:lang w:val="en-CA"/>
        </w:rPr>
        <w:t>component, associated with perceptions that are drawn from these various objective points of reference. A plaintiff need not prove that all of these factors influenced the decision to exclude. It will, however, be necessary to show that, as a result of one or more of these factors, the plaintiff can be regarded as part of a socially identifiable group and that it is in this context that the discrimination occurred.”</w:t>
      </w:r>
    </w:p>
    <w:p w14:paraId="0F71D635" w14:textId="403C3FAF" w:rsidR="00352837" w:rsidRPr="000A3539" w:rsidRDefault="006E08CC" w:rsidP="006E08CC">
      <w:pPr>
        <w:pStyle w:val="Citationenretrait"/>
        <w:rPr>
          <w:kern w:val="28"/>
          <w:lang w:val="en-CA"/>
        </w:rPr>
      </w:pPr>
      <w:r w:rsidRPr="000A3539">
        <w:rPr>
          <w:lang w:val="en-CA"/>
        </w:rPr>
        <w:t>This language is generally consistent with guidelines concerning the meaning of social condition issued by the Québec Commission in 1994</w:t>
      </w:r>
      <w:r w:rsidR="00D76132" w:rsidRPr="000A3539">
        <w:rPr>
          <w:lang w:val="en-CA"/>
        </w:rPr>
        <w:t>.</w:t>
      </w:r>
    </w:p>
    <w:p w14:paraId="1D336D72" w14:textId="326388AC" w:rsidR="00352837" w:rsidRPr="000A3539" w:rsidRDefault="00614015" w:rsidP="00352837">
      <w:pPr>
        <w:pStyle w:val="Citationenretrait"/>
        <w:rPr>
          <w:kern w:val="28"/>
          <w:lang w:val="en-CA"/>
        </w:rPr>
      </w:pPr>
      <w:r>
        <w:rPr>
          <w:kern w:val="28"/>
          <w:lang w:val="en-CA"/>
        </w:rPr>
        <w:t>[</w:t>
      </w:r>
      <w:r w:rsidR="00D76132" w:rsidRPr="000A3539">
        <w:rPr>
          <w:kern w:val="28"/>
          <w:lang w:val="en-CA"/>
        </w:rPr>
        <w:t>…</w:t>
      </w:r>
      <w:r>
        <w:rPr>
          <w:kern w:val="28"/>
          <w:lang w:val="en-CA"/>
        </w:rPr>
        <w:t>]</w:t>
      </w:r>
    </w:p>
    <w:p w14:paraId="58FA7F1C" w14:textId="5CBF339F" w:rsidR="00352837" w:rsidRPr="000A3539" w:rsidRDefault="00A8451E" w:rsidP="00352837">
      <w:pPr>
        <w:pStyle w:val="Citationenretrait"/>
        <w:rPr>
          <w:kern w:val="28"/>
          <w:u w:val="single"/>
          <w:lang w:val="en-CA"/>
        </w:rPr>
      </w:pPr>
      <w:r w:rsidRPr="000A3539">
        <w:rPr>
          <w:kern w:val="28"/>
          <w:u w:val="single"/>
          <w:lang w:val="en-CA"/>
        </w:rPr>
        <w:t>The Panel believes that the ground of social condition should be defined in the Act in a manner similar to the Québec definition, with the addition of a provision limiting it to disadvantaged persons</w:t>
      </w:r>
      <w:r w:rsidR="00D76132" w:rsidRPr="000A3539">
        <w:rPr>
          <w:kern w:val="28"/>
          <w:lang w:val="en-CA"/>
        </w:rPr>
        <w:t>.</w:t>
      </w:r>
    </w:p>
    <w:p w14:paraId="1CEB4711" w14:textId="36D9B08D" w:rsidR="00352837" w:rsidRPr="000A3539" w:rsidRDefault="00614015" w:rsidP="00352837">
      <w:pPr>
        <w:pStyle w:val="Citationenretrait"/>
        <w:rPr>
          <w:lang w:val="en-CA"/>
        </w:rPr>
      </w:pPr>
      <w:r>
        <w:rPr>
          <w:lang w:val="en-CA"/>
        </w:rPr>
        <w:t>[</w:t>
      </w:r>
      <w:r w:rsidR="00D76132" w:rsidRPr="000A3539">
        <w:rPr>
          <w:lang w:val="en-CA"/>
        </w:rPr>
        <w:t>…</w:t>
      </w:r>
      <w:r>
        <w:rPr>
          <w:lang w:val="en-CA"/>
        </w:rPr>
        <w:t>]</w:t>
      </w:r>
    </w:p>
    <w:p w14:paraId="536C97E3" w14:textId="10060A33" w:rsidR="00A8451E" w:rsidRPr="000A3539" w:rsidRDefault="00A8451E" w:rsidP="00352837">
      <w:pPr>
        <w:pStyle w:val="Citationenretrait"/>
        <w:rPr>
          <w:lang w:val="en-CA"/>
        </w:rPr>
      </w:pPr>
      <w:r w:rsidRPr="000A3539">
        <w:rPr>
          <w:u w:val="single"/>
          <w:lang w:val="en-CA"/>
        </w:rPr>
        <w:t>The Panel considered whether the ground should cover only disadvantaged persons or also persons distinguished as a group by their privileged position</w:t>
      </w:r>
      <w:r w:rsidRPr="000A3539">
        <w:rPr>
          <w:lang w:val="en-CA"/>
        </w:rPr>
        <w:t xml:space="preserve">. In other words, we wondered whether the definition should be a neutral term like race or sex or refer to disadvantage like the ground of disability. There have been cases in Québec where the ground was held to prohibit discrimination against individuals with above average incomes or prestigious occupations. In our view, this is not appropriate for two reasons. First, we feel that the protection here is aimed at those </w:t>
      </w:r>
      <w:r w:rsidRPr="000A3539">
        <w:rPr>
          <w:lang w:val="en-CA"/>
        </w:rPr>
        <w:lastRenderedPageBreak/>
        <w:t>who suffer disadvantage because of their social condition. Second, we do not want to propose a ground that is too broad. The Act could contain a definition similar to a proposed (but defeated) amendment to Bill S-11, which provided that “</w:t>
      </w:r>
      <w:r w:rsidRPr="000A3539">
        <w:rPr>
          <w:i/>
          <w:lang w:val="en-CA"/>
        </w:rPr>
        <w:t>social condition</w:t>
      </w:r>
      <w:r w:rsidRPr="000A3539">
        <w:rPr>
          <w:lang w:val="en-CA"/>
        </w:rPr>
        <w:t xml:space="preserve"> includes characteristics relating to social or economic disadvantage.” </w:t>
      </w:r>
    </w:p>
    <w:p w14:paraId="343F1CB6" w14:textId="1C8AF674" w:rsidR="00A8451E" w:rsidRPr="000A3539" w:rsidRDefault="00A8451E" w:rsidP="00352837">
      <w:pPr>
        <w:pStyle w:val="Citationenretrait"/>
        <w:rPr>
          <w:lang w:val="en-CA"/>
        </w:rPr>
      </w:pPr>
      <w:r w:rsidRPr="000A3539">
        <w:rPr>
          <w:u w:val="single"/>
          <w:lang w:val="en-CA"/>
        </w:rPr>
        <w:t>We believe the ground of social condition should be designed to protect persons whose situation of poverty is ongoing rather than persons who may temporarily find themselves in that condition</w:t>
      </w:r>
      <w:r w:rsidRPr="000A3539">
        <w:rPr>
          <w:lang w:val="en-CA"/>
        </w:rPr>
        <w:t>.</w:t>
      </w:r>
    </w:p>
    <w:p w14:paraId="29A90FC0" w14:textId="2667746F" w:rsidR="00352837" w:rsidRPr="000A3539" w:rsidRDefault="00A8451E" w:rsidP="00352837">
      <w:pPr>
        <w:pStyle w:val="Citationenretrait"/>
        <w:jc w:val="right"/>
        <w:rPr>
          <w:lang w:val="en-CA"/>
        </w:rPr>
      </w:pPr>
      <w:r w:rsidRPr="000A3539">
        <w:rPr>
          <w:lang w:val="en-CA"/>
        </w:rPr>
        <w:t xml:space="preserve"> </w:t>
      </w:r>
      <w:r w:rsidR="000361C3" w:rsidRPr="000A3539">
        <w:rPr>
          <w:lang w:val="en-CA"/>
        </w:rPr>
        <w:t>[Emphasis added]</w:t>
      </w:r>
    </w:p>
    <w:p w14:paraId="55CDF298" w14:textId="115BAB42" w:rsidR="00352837" w:rsidRPr="000A3539" w:rsidRDefault="008010F4" w:rsidP="00352837">
      <w:pPr>
        <w:pStyle w:val="Paragraphe"/>
        <w:rPr>
          <w:lang w:val="en-CA"/>
        </w:rPr>
      </w:pPr>
      <w:r w:rsidRPr="000A3539">
        <w:rPr>
          <w:lang w:val="en-CA"/>
        </w:rPr>
        <w:t xml:space="preserve">Under the </w:t>
      </w:r>
      <w:r w:rsidR="00DC430C" w:rsidRPr="00DC430C">
        <w:rPr>
          <w:i/>
          <w:lang w:val="en-CA"/>
        </w:rPr>
        <w:t>Quebec Charter</w:t>
      </w:r>
      <w:r w:rsidR="00D76132" w:rsidRPr="000A3539">
        <w:rPr>
          <w:i/>
          <w:lang w:val="en-CA"/>
        </w:rPr>
        <w:t>,</w:t>
      </w:r>
      <w:r w:rsidR="00D76132" w:rsidRPr="000A3539">
        <w:rPr>
          <w:lang w:val="en-CA"/>
        </w:rPr>
        <w:t xml:space="preserve"> </w:t>
      </w:r>
      <w:r w:rsidRPr="000A3539">
        <w:rPr>
          <w:lang w:val="en-CA"/>
        </w:rPr>
        <w:t xml:space="preserve">it is not mandatory </w:t>
      </w:r>
      <w:r w:rsidRPr="000A3539">
        <w:rPr>
          <w:u w:val="single"/>
          <w:lang w:val="en-CA"/>
        </w:rPr>
        <w:t>to be considered</w:t>
      </w:r>
      <w:r w:rsidRPr="000A3539">
        <w:rPr>
          <w:lang w:val="en-CA"/>
        </w:rPr>
        <w:t xml:space="preserve"> an inferior </w:t>
      </w:r>
      <w:r w:rsidR="00D76132" w:rsidRPr="00602D16">
        <w:rPr>
          <w:lang w:val="en-CA"/>
        </w:rPr>
        <w:t>individu</w:t>
      </w:r>
      <w:r w:rsidRPr="00602D16">
        <w:rPr>
          <w:lang w:val="en-CA"/>
        </w:rPr>
        <w:t xml:space="preserve">al </w:t>
      </w:r>
      <w:r w:rsidR="00E16B29" w:rsidRPr="00602D16">
        <w:rPr>
          <w:lang w:val="en-CA"/>
        </w:rPr>
        <w:t xml:space="preserve">for </w:t>
      </w:r>
      <w:r w:rsidR="00D76132" w:rsidRPr="00602D16">
        <w:rPr>
          <w:lang w:val="en-CA"/>
        </w:rPr>
        <w:t>discrimination</w:t>
      </w:r>
      <w:r w:rsidR="00E16B29" w:rsidRPr="00602D16">
        <w:rPr>
          <w:lang w:val="en-CA"/>
        </w:rPr>
        <w:t xml:space="preserve"> to be recognized</w:t>
      </w:r>
      <w:r w:rsidR="00D76132" w:rsidRPr="00602D16">
        <w:rPr>
          <w:lang w:val="en-CA"/>
        </w:rPr>
        <w:t>.</w:t>
      </w:r>
      <w:r w:rsidRPr="00602D16">
        <w:rPr>
          <w:lang w:val="en-CA"/>
        </w:rPr>
        <w:t xml:space="preserve"> The </w:t>
      </w:r>
      <w:r w:rsidR="00534048" w:rsidRPr="00602D16">
        <w:rPr>
          <w:lang w:val="en-CA"/>
        </w:rPr>
        <w:t xml:space="preserve">subjective aspect of the concept of social </w:t>
      </w:r>
      <w:r w:rsidR="00D76132" w:rsidRPr="00602D16">
        <w:rPr>
          <w:lang w:val="en-CA"/>
        </w:rPr>
        <w:t xml:space="preserve">condition </w:t>
      </w:r>
      <w:r w:rsidR="00534048" w:rsidRPr="00602D16">
        <w:rPr>
          <w:lang w:val="en-CA"/>
        </w:rPr>
        <w:t xml:space="preserve">found in section </w:t>
      </w:r>
      <w:r w:rsidR="00D76132" w:rsidRPr="00602D16">
        <w:rPr>
          <w:lang w:val="en-CA"/>
        </w:rPr>
        <w:t xml:space="preserve">10 </w:t>
      </w:r>
      <w:r w:rsidR="00534048" w:rsidRPr="00602D16">
        <w:rPr>
          <w:lang w:val="en-CA"/>
        </w:rPr>
        <w:t xml:space="preserve">of the </w:t>
      </w:r>
      <w:r w:rsidR="00DC430C" w:rsidRPr="00DC430C">
        <w:rPr>
          <w:i/>
          <w:lang w:val="en-CA"/>
        </w:rPr>
        <w:t>Quebec Charter</w:t>
      </w:r>
      <w:r w:rsidR="00D76132" w:rsidRPr="00602D16">
        <w:rPr>
          <w:lang w:val="en-CA"/>
        </w:rPr>
        <w:t xml:space="preserve"> </w:t>
      </w:r>
      <w:r w:rsidR="00534048" w:rsidRPr="00602D16">
        <w:rPr>
          <w:lang w:val="en-CA"/>
        </w:rPr>
        <w:t xml:space="preserve">may be a useful indicator to determine whether there is </w:t>
      </w:r>
      <w:r w:rsidR="00D76132" w:rsidRPr="00602D16">
        <w:rPr>
          <w:lang w:val="en-CA"/>
        </w:rPr>
        <w:t xml:space="preserve">discrimination, </w:t>
      </w:r>
      <w:r w:rsidR="00534048" w:rsidRPr="00602D16">
        <w:rPr>
          <w:lang w:val="en-CA"/>
        </w:rPr>
        <w:t xml:space="preserve">but it is not </w:t>
      </w:r>
      <w:r w:rsidR="00D76132" w:rsidRPr="00602D16">
        <w:rPr>
          <w:lang w:val="en-CA"/>
        </w:rPr>
        <w:t xml:space="preserve">indispensable. </w:t>
      </w:r>
      <w:r w:rsidR="00534048" w:rsidRPr="00602D16">
        <w:rPr>
          <w:lang w:val="en-CA"/>
        </w:rPr>
        <w:t xml:space="preserve">As such, the Quebec case law cited in the </w:t>
      </w:r>
      <w:r w:rsidR="00D76132" w:rsidRPr="00602D16">
        <w:rPr>
          <w:lang w:val="en-CA"/>
        </w:rPr>
        <w:t xml:space="preserve">section </w:t>
      </w:r>
      <w:r w:rsidR="00534048" w:rsidRPr="00602D16">
        <w:rPr>
          <w:lang w:val="en-CA"/>
        </w:rPr>
        <w:t xml:space="preserve">of these reasons addressing social </w:t>
      </w:r>
      <w:r w:rsidR="00D76132" w:rsidRPr="00602D16">
        <w:rPr>
          <w:lang w:val="en-CA"/>
        </w:rPr>
        <w:t xml:space="preserve">condition </w:t>
      </w:r>
      <w:r w:rsidR="00534048" w:rsidRPr="00602D16">
        <w:rPr>
          <w:lang w:val="en-CA"/>
        </w:rPr>
        <w:t xml:space="preserve">reflects the teachings of </w:t>
      </w:r>
      <w:proofErr w:type="spellStart"/>
      <w:r w:rsidR="00D76132" w:rsidRPr="00602D16">
        <w:rPr>
          <w:lang w:val="en-CA"/>
        </w:rPr>
        <w:t>L’Heureux</w:t>
      </w:r>
      <w:proofErr w:type="spellEnd"/>
      <w:r w:rsidR="00D76132" w:rsidRPr="00602D16">
        <w:rPr>
          <w:lang w:val="en-CA"/>
        </w:rPr>
        <w:noBreakHyphen/>
        <w:t>Dubé</w:t>
      </w:r>
      <w:r w:rsidR="00534048" w:rsidRPr="00602D16">
        <w:rPr>
          <w:lang w:val="en-CA"/>
        </w:rPr>
        <w:t xml:space="preserve">, J. in </w:t>
      </w:r>
      <w:r w:rsidR="00D76132" w:rsidRPr="00602D16">
        <w:rPr>
          <w:i/>
          <w:lang w:val="en-CA"/>
        </w:rPr>
        <w:t>Québec (Commission</w:t>
      </w:r>
      <w:r w:rsidR="00534048" w:rsidRPr="00602D16">
        <w:rPr>
          <w:i/>
          <w:lang w:val="en-CA"/>
        </w:rPr>
        <w:t xml:space="preserve"> </w:t>
      </w:r>
      <w:r w:rsidR="00D76132" w:rsidRPr="00602D16">
        <w:rPr>
          <w:i/>
          <w:lang w:val="en-CA"/>
        </w:rPr>
        <w:t>des</w:t>
      </w:r>
      <w:r w:rsidR="00534048" w:rsidRPr="000A3539">
        <w:rPr>
          <w:i/>
          <w:lang w:val="en-CA"/>
        </w:rPr>
        <w:t xml:space="preserve"> </w:t>
      </w:r>
      <w:r w:rsidR="00D76132" w:rsidRPr="000A3539">
        <w:rPr>
          <w:i/>
          <w:lang w:val="en-CA"/>
        </w:rPr>
        <w:t>droits</w:t>
      </w:r>
      <w:r w:rsidR="00534048" w:rsidRPr="000A3539">
        <w:rPr>
          <w:i/>
          <w:lang w:val="en-CA"/>
        </w:rPr>
        <w:t xml:space="preserve"> </w:t>
      </w:r>
      <w:r w:rsidR="00D76132" w:rsidRPr="000A3539">
        <w:rPr>
          <w:i/>
          <w:lang w:val="en-CA"/>
        </w:rPr>
        <w:t>de</w:t>
      </w:r>
      <w:r w:rsidR="00534048" w:rsidRPr="000A3539">
        <w:rPr>
          <w:i/>
          <w:lang w:val="en-CA"/>
        </w:rPr>
        <w:t xml:space="preserve"> </w:t>
      </w:r>
      <w:r w:rsidR="00D76132" w:rsidRPr="000A3539">
        <w:rPr>
          <w:i/>
          <w:lang w:val="en-CA"/>
        </w:rPr>
        <w:t>la</w:t>
      </w:r>
      <w:r w:rsidR="00534048" w:rsidRPr="000A3539">
        <w:rPr>
          <w:i/>
          <w:lang w:val="en-CA"/>
        </w:rPr>
        <w:t xml:space="preserve"> </w:t>
      </w:r>
      <w:r w:rsidR="00D76132" w:rsidRPr="000A3539">
        <w:rPr>
          <w:i/>
          <w:lang w:val="en-CA"/>
        </w:rPr>
        <w:t xml:space="preserve">personne et de la </w:t>
      </w:r>
      <w:proofErr w:type="spellStart"/>
      <w:r w:rsidR="00D76132" w:rsidRPr="000A3539">
        <w:rPr>
          <w:i/>
          <w:lang w:val="en-CA"/>
        </w:rPr>
        <w:t>jeunesse</w:t>
      </w:r>
      <w:proofErr w:type="spellEnd"/>
      <w:r w:rsidR="00D76132" w:rsidRPr="000A3539">
        <w:rPr>
          <w:i/>
          <w:lang w:val="en-CA"/>
        </w:rPr>
        <w:t>) v. Montréal (</w:t>
      </w:r>
      <w:r w:rsidR="00534048" w:rsidRPr="000A3539">
        <w:rPr>
          <w:i/>
          <w:lang w:val="en-CA"/>
        </w:rPr>
        <w:t>City</w:t>
      </w:r>
      <w:r w:rsidR="00D76132" w:rsidRPr="000A3539">
        <w:rPr>
          <w:i/>
          <w:lang w:val="en-CA"/>
        </w:rPr>
        <w:t>)</w:t>
      </w:r>
      <w:r w:rsidR="00534048" w:rsidRPr="000A3539">
        <w:rPr>
          <w:lang w:val="en-CA"/>
        </w:rPr>
        <w:t>,</w:t>
      </w:r>
      <w:r w:rsidR="00D76132" w:rsidRPr="000A3539">
        <w:rPr>
          <w:rStyle w:val="Appelnotedebasdep"/>
          <w:lang w:val="en-CA"/>
        </w:rPr>
        <w:footnoteReference w:id="105"/>
      </w:r>
      <w:r w:rsidR="00B02B02" w:rsidRPr="000A3539">
        <w:rPr>
          <w:lang w:val="en-CA"/>
        </w:rPr>
        <w:t xml:space="preserve"> which dealt with the concept of </w:t>
      </w:r>
      <w:r w:rsidR="00D76132" w:rsidRPr="000A3539">
        <w:rPr>
          <w:lang w:val="en-CA"/>
        </w:rPr>
        <w:t xml:space="preserve">handicap. </w:t>
      </w:r>
      <w:proofErr w:type="spellStart"/>
      <w:r w:rsidR="00B02B02" w:rsidRPr="000A3539">
        <w:rPr>
          <w:lang w:val="en-CA"/>
        </w:rPr>
        <w:t>L’Heureux</w:t>
      </w:r>
      <w:proofErr w:type="spellEnd"/>
      <w:r w:rsidR="00B02B02" w:rsidRPr="000A3539">
        <w:rPr>
          <w:lang w:val="en-CA"/>
        </w:rPr>
        <w:noBreakHyphen/>
        <w:t xml:space="preserve">Dubé, J. </w:t>
      </w:r>
      <w:r w:rsidR="00D76132" w:rsidRPr="000A3539">
        <w:rPr>
          <w:lang w:val="en-CA"/>
        </w:rPr>
        <w:t>expl</w:t>
      </w:r>
      <w:r w:rsidR="00B02B02" w:rsidRPr="000A3539">
        <w:rPr>
          <w:lang w:val="en-CA"/>
        </w:rPr>
        <w:t xml:space="preserve">ained that a </w:t>
      </w:r>
      <w:r w:rsidR="00D76132" w:rsidRPr="000A3539">
        <w:rPr>
          <w:lang w:val="en-CA"/>
        </w:rPr>
        <w:t xml:space="preserve">handicap </w:t>
      </w:r>
      <w:r w:rsidR="00B02B02" w:rsidRPr="000A3539">
        <w:rPr>
          <w:lang w:val="en-CA"/>
        </w:rPr>
        <w:t xml:space="preserve">may be real or perceived </w:t>
      </w:r>
      <w:r w:rsidR="00D76132" w:rsidRPr="000A3539">
        <w:rPr>
          <w:lang w:val="en-CA"/>
        </w:rPr>
        <w:t>(objecti</w:t>
      </w:r>
      <w:r w:rsidR="00B02B02" w:rsidRPr="000A3539">
        <w:rPr>
          <w:lang w:val="en-CA"/>
        </w:rPr>
        <w:t xml:space="preserve">ve and </w:t>
      </w:r>
      <w:r w:rsidR="00D76132" w:rsidRPr="000A3539">
        <w:rPr>
          <w:lang w:val="en-CA"/>
        </w:rPr>
        <w:t>subjecti</w:t>
      </w:r>
      <w:r w:rsidR="00B02B02" w:rsidRPr="000A3539">
        <w:rPr>
          <w:lang w:val="en-CA"/>
        </w:rPr>
        <w:t>ve aspects</w:t>
      </w:r>
      <w:r w:rsidR="00D76132" w:rsidRPr="000A3539">
        <w:rPr>
          <w:lang w:val="en-CA"/>
        </w:rPr>
        <w:t>)</w:t>
      </w:r>
      <w:r w:rsidR="00B02B02" w:rsidRPr="000A3539">
        <w:rPr>
          <w:lang w:val="en-CA"/>
        </w:rPr>
        <w:t xml:space="preserve"> and that </w:t>
      </w:r>
      <w:r w:rsidR="00D76132" w:rsidRPr="000A3539">
        <w:rPr>
          <w:lang w:val="en-CA"/>
        </w:rPr>
        <w:t xml:space="preserve">discrimination </w:t>
      </w:r>
      <w:r w:rsidR="00B02B02" w:rsidRPr="000A3539">
        <w:rPr>
          <w:lang w:val="en-CA"/>
        </w:rPr>
        <w:t xml:space="preserve">on the basis of </w:t>
      </w:r>
      <w:r w:rsidR="00D76132" w:rsidRPr="000A3539">
        <w:rPr>
          <w:lang w:val="en-CA"/>
        </w:rPr>
        <w:t xml:space="preserve">handicap </w:t>
      </w:r>
      <w:r w:rsidR="00B02B02" w:rsidRPr="000A3539">
        <w:rPr>
          <w:color w:val="000000"/>
          <w:lang w:val="en-CA"/>
        </w:rPr>
        <w:t>may exist even without physical limitations or the presence of an ailment. The emphasis must be placed on the effects of the distinction rather than the cause</w:t>
      </w:r>
      <w:r w:rsidR="00D76132" w:rsidRPr="000A3539">
        <w:rPr>
          <w:lang w:val="en-CA"/>
        </w:rPr>
        <w:t xml:space="preserve">. </w:t>
      </w:r>
    </w:p>
    <w:p w14:paraId="58E093C0" w14:textId="052CB813" w:rsidR="00352837" w:rsidRPr="000A3539" w:rsidRDefault="002C12F5" w:rsidP="00352837">
      <w:pPr>
        <w:pStyle w:val="Paragraphe"/>
        <w:rPr>
          <w:lang w:val="en-CA"/>
        </w:rPr>
      </w:pPr>
      <w:r w:rsidRPr="000A3539">
        <w:rPr>
          <w:lang w:val="en-CA"/>
        </w:rPr>
        <w:t>Th</w:t>
      </w:r>
      <w:r w:rsidR="00A13C07">
        <w:rPr>
          <w:lang w:val="en-CA"/>
        </w:rPr>
        <w:t>is</w:t>
      </w:r>
      <w:r w:rsidRPr="000A3539">
        <w:rPr>
          <w:lang w:val="en-CA"/>
        </w:rPr>
        <w:t xml:space="preserve"> appears to be the only way to give the </w:t>
      </w:r>
      <w:r w:rsidR="00D76132" w:rsidRPr="000A3539">
        <w:rPr>
          <w:lang w:val="en-CA"/>
        </w:rPr>
        <w:t>rights reco</w:t>
      </w:r>
      <w:r w:rsidRPr="000A3539">
        <w:rPr>
          <w:lang w:val="en-CA"/>
        </w:rPr>
        <w:t xml:space="preserve">gnized by the </w:t>
      </w:r>
      <w:r w:rsidR="00DC430C" w:rsidRPr="00DC430C">
        <w:rPr>
          <w:i/>
          <w:lang w:val="en-CA"/>
        </w:rPr>
        <w:t>Quebec Charter</w:t>
      </w:r>
      <w:r w:rsidRPr="000A3539">
        <w:rPr>
          <w:i/>
          <w:lang w:val="en-CA"/>
        </w:rPr>
        <w:t xml:space="preserve"> </w:t>
      </w:r>
      <w:r w:rsidR="00704D45">
        <w:rPr>
          <w:lang w:val="en-CA"/>
        </w:rPr>
        <w:t>the</w:t>
      </w:r>
      <w:r w:rsidR="00704D45" w:rsidRPr="000A3539">
        <w:rPr>
          <w:lang w:val="en-CA"/>
        </w:rPr>
        <w:t xml:space="preserve"> </w:t>
      </w:r>
      <w:r w:rsidRPr="000A3539">
        <w:rPr>
          <w:lang w:val="en-CA"/>
        </w:rPr>
        <w:t xml:space="preserve">broad </w:t>
      </w:r>
      <w:r w:rsidR="00D76132" w:rsidRPr="000A3539">
        <w:rPr>
          <w:lang w:val="en-CA"/>
        </w:rPr>
        <w:t>interpr</w:t>
      </w:r>
      <w:r w:rsidRPr="000A3539">
        <w:rPr>
          <w:lang w:val="en-CA"/>
        </w:rPr>
        <w:t>e</w:t>
      </w:r>
      <w:r w:rsidR="00D76132" w:rsidRPr="000A3539">
        <w:rPr>
          <w:lang w:val="en-CA"/>
        </w:rPr>
        <w:t>tation</w:t>
      </w:r>
      <w:r w:rsidRPr="000A3539">
        <w:rPr>
          <w:lang w:val="en-CA"/>
        </w:rPr>
        <w:t xml:space="preserve"> </w:t>
      </w:r>
      <w:r w:rsidR="00D76132" w:rsidRPr="000A3539">
        <w:rPr>
          <w:lang w:val="en-CA"/>
        </w:rPr>
        <w:t>advocate</w:t>
      </w:r>
      <w:r w:rsidRPr="000A3539">
        <w:rPr>
          <w:lang w:val="en-CA"/>
        </w:rPr>
        <w:t xml:space="preserve">d by the </w:t>
      </w:r>
      <w:r w:rsidR="00D76132" w:rsidRPr="000A3539">
        <w:rPr>
          <w:lang w:val="en-CA"/>
        </w:rPr>
        <w:t>Supreme</w:t>
      </w:r>
      <w:r w:rsidRPr="000A3539">
        <w:rPr>
          <w:lang w:val="en-CA"/>
        </w:rPr>
        <w:t xml:space="preserve"> </w:t>
      </w:r>
      <w:r w:rsidR="00D76132" w:rsidRPr="000A3539">
        <w:rPr>
          <w:lang w:val="en-CA"/>
        </w:rPr>
        <w:t>Court</w:t>
      </w:r>
      <w:r w:rsidR="00704D45">
        <w:rPr>
          <w:lang w:val="en-CA"/>
        </w:rPr>
        <w:t xml:space="preserve"> and</w:t>
      </w:r>
      <w:r w:rsidR="00D76132" w:rsidRPr="000A3539">
        <w:rPr>
          <w:lang w:val="en-CA"/>
        </w:rPr>
        <w:t xml:space="preserve"> </w:t>
      </w:r>
      <w:r w:rsidRPr="000A3539">
        <w:rPr>
          <w:lang w:val="en-CA"/>
        </w:rPr>
        <w:t xml:space="preserve">based on the </w:t>
      </w:r>
      <w:r w:rsidR="00704D45">
        <w:rPr>
          <w:lang w:val="en-CA"/>
        </w:rPr>
        <w:t>purpose</w:t>
      </w:r>
      <w:r w:rsidR="00704D45" w:rsidRPr="000A3539">
        <w:rPr>
          <w:lang w:val="en-CA"/>
        </w:rPr>
        <w:t xml:space="preserve"> </w:t>
      </w:r>
      <w:r w:rsidRPr="000A3539">
        <w:rPr>
          <w:lang w:val="en-CA"/>
        </w:rPr>
        <w:t>of this quasi-constitutional statute</w:t>
      </w:r>
      <w:r w:rsidR="00704D45">
        <w:rPr>
          <w:lang w:val="en-CA"/>
        </w:rPr>
        <w:t>, which is to</w:t>
      </w:r>
      <w:r w:rsidRPr="000A3539">
        <w:rPr>
          <w:lang w:val="en-CA"/>
        </w:rPr>
        <w:t xml:space="preserve"> </w:t>
      </w:r>
      <w:r w:rsidR="00D76132" w:rsidRPr="000A3539">
        <w:rPr>
          <w:lang w:val="en-CA"/>
        </w:rPr>
        <w:t>prot</w:t>
      </w:r>
      <w:r w:rsidRPr="000A3539">
        <w:rPr>
          <w:lang w:val="en-CA"/>
        </w:rPr>
        <w:t xml:space="preserve">ect </w:t>
      </w:r>
      <w:r w:rsidR="00D76132" w:rsidRPr="000A3539">
        <w:rPr>
          <w:lang w:val="en-CA"/>
        </w:rPr>
        <w:t>individu</w:t>
      </w:r>
      <w:r w:rsidRPr="000A3539">
        <w:rPr>
          <w:lang w:val="en-CA"/>
        </w:rPr>
        <w:t xml:space="preserve">als </w:t>
      </w:r>
      <w:r w:rsidR="00704D45">
        <w:rPr>
          <w:lang w:val="en-CA"/>
        </w:rPr>
        <w:t>from</w:t>
      </w:r>
      <w:r w:rsidR="00704D45" w:rsidRPr="000A3539">
        <w:rPr>
          <w:lang w:val="en-CA"/>
        </w:rPr>
        <w:t xml:space="preserve"> </w:t>
      </w:r>
      <w:r w:rsidRPr="000A3539">
        <w:rPr>
          <w:lang w:val="en-CA"/>
        </w:rPr>
        <w:t xml:space="preserve">arbitrary </w:t>
      </w:r>
      <w:r w:rsidR="00D76132" w:rsidRPr="000A3539">
        <w:rPr>
          <w:lang w:val="en-CA"/>
        </w:rPr>
        <w:t>decisions</w:t>
      </w:r>
      <w:r w:rsidRPr="000A3539">
        <w:rPr>
          <w:lang w:val="en-CA"/>
        </w:rPr>
        <w:t xml:space="preserve"> based on prohibited </w:t>
      </w:r>
      <w:r w:rsidR="00D76132" w:rsidRPr="000A3539">
        <w:rPr>
          <w:lang w:val="en-CA"/>
        </w:rPr>
        <w:t>grounds</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discrimination</w:t>
      </w:r>
      <w:r w:rsidRPr="000A3539">
        <w:rPr>
          <w:lang w:val="en-CA"/>
        </w:rPr>
        <w:t xml:space="preserve"> </w:t>
      </w:r>
      <w:r w:rsidR="00704D45">
        <w:rPr>
          <w:lang w:val="en-CA"/>
        </w:rPr>
        <w:t xml:space="preserve">that </w:t>
      </w:r>
      <w:r w:rsidRPr="000A3539">
        <w:rPr>
          <w:lang w:val="en-CA"/>
        </w:rPr>
        <w:t>depriv</w:t>
      </w:r>
      <w:r w:rsidR="00704D45">
        <w:rPr>
          <w:lang w:val="en-CA"/>
        </w:rPr>
        <w:t>e</w:t>
      </w:r>
      <w:r w:rsidRPr="000A3539">
        <w:rPr>
          <w:lang w:val="en-CA"/>
        </w:rPr>
        <w:t xml:space="preserve"> them, without valid reason, of the </w:t>
      </w:r>
      <w:r w:rsidR="00D76132" w:rsidRPr="000A3539">
        <w:rPr>
          <w:lang w:val="en-CA"/>
        </w:rPr>
        <w:t>fundamental</w:t>
      </w:r>
      <w:r w:rsidRPr="000A3539">
        <w:rPr>
          <w:lang w:val="en-CA"/>
        </w:rPr>
        <w:t xml:space="preserve"> </w:t>
      </w:r>
      <w:r w:rsidR="00D76132" w:rsidRPr="000A3539">
        <w:rPr>
          <w:lang w:val="en-CA"/>
        </w:rPr>
        <w:t xml:space="preserve">rights </w:t>
      </w:r>
      <w:r w:rsidR="00C817C5" w:rsidRPr="000A3539">
        <w:rPr>
          <w:lang w:val="en-CA"/>
        </w:rPr>
        <w:t xml:space="preserve">guaranteed by the </w:t>
      </w:r>
      <w:r w:rsidR="00C817C5" w:rsidRPr="00E16B29">
        <w:rPr>
          <w:i/>
          <w:lang w:val="en-CA"/>
        </w:rPr>
        <w:t>Charter</w:t>
      </w:r>
      <w:r w:rsidR="00E16B29">
        <w:rPr>
          <w:lang w:val="en-CA"/>
        </w:rPr>
        <w:t xml:space="preserve"> – </w:t>
      </w:r>
      <w:r w:rsidR="00C817C5" w:rsidRPr="000A3539">
        <w:rPr>
          <w:lang w:val="en-CA"/>
        </w:rPr>
        <w:t>in this case the right to receive equal wages for e</w:t>
      </w:r>
      <w:r w:rsidR="00D76132" w:rsidRPr="000A3539">
        <w:rPr>
          <w:lang w:val="en-CA"/>
        </w:rPr>
        <w:t>quivalent</w:t>
      </w:r>
      <w:r w:rsidR="00C817C5" w:rsidRPr="000A3539">
        <w:rPr>
          <w:lang w:val="en-CA"/>
        </w:rPr>
        <w:t xml:space="preserve"> work</w:t>
      </w:r>
      <w:r w:rsidR="00D76132" w:rsidRPr="000A3539">
        <w:rPr>
          <w:lang w:val="en-CA"/>
        </w:rPr>
        <w:t xml:space="preserve">. </w:t>
      </w:r>
    </w:p>
    <w:p w14:paraId="3A91011F" w14:textId="514FBB3F" w:rsidR="00352837" w:rsidRPr="000A3539" w:rsidRDefault="00C817C5" w:rsidP="00352837">
      <w:pPr>
        <w:pStyle w:val="Paragraphe"/>
        <w:rPr>
          <w:lang w:val="en-CA"/>
        </w:rPr>
      </w:pPr>
      <w:r w:rsidRPr="000A3539">
        <w:rPr>
          <w:lang w:val="en-CA"/>
        </w:rPr>
        <w:t xml:space="preserve">Student employment is not </w:t>
      </w:r>
      <w:r w:rsidR="0007756E">
        <w:rPr>
          <w:lang w:val="en-CA"/>
        </w:rPr>
        <w:t>about</w:t>
      </w:r>
      <w:r w:rsidR="0007756E" w:rsidRPr="000A3539">
        <w:rPr>
          <w:lang w:val="en-CA"/>
        </w:rPr>
        <w:t xml:space="preserve"> </w:t>
      </w:r>
      <w:r w:rsidRPr="000A3539">
        <w:rPr>
          <w:lang w:val="en-CA"/>
        </w:rPr>
        <w:t xml:space="preserve">to disappear any time soon </w:t>
      </w:r>
      <w:r w:rsidR="0007756E">
        <w:rPr>
          <w:lang w:val="en-CA"/>
        </w:rPr>
        <w:t>because of this as</w:t>
      </w:r>
      <w:r w:rsidRPr="000A3539">
        <w:rPr>
          <w:lang w:val="en-CA"/>
        </w:rPr>
        <w:t xml:space="preserve">, in most cases, the wage </w:t>
      </w:r>
      <w:r w:rsidR="00D76132" w:rsidRPr="000A3539">
        <w:rPr>
          <w:lang w:val="en-CA"/>
        </w:rPr>
        <w:t>diff</w:t>
      </w:r>
      <w:r w:rsidRPr="000A3539">
        <w:rPr>
          <w:lang w:val="en-CA"/>
        </w:rPr>
        <w:t>e</w:t>
      </w:r>
      <w:r w:rsidR="00D76132" w:rsidRPr="000A3539">
        <w:rPr>
          <w:lang w:val="en-CA"/>
        </w:rPr>
        <w:t xml:space="preserve">rence </w:t>
      </w:r>
      <w:r w:rsidR="00086385" w:rsidRPr="000A3539">
        <w:rPr>
          <w:lang w:val="en-CA"/>
        </w:rPr>
        <w:t>will be</w:t>
      </w:r>
      <w:r w:rsidRPr="000A3539">
        <w:rPr>
          <w:lang w:val="en-CA"/>
        </w:rPr>
        <w:t xml:space="preserve"> </w:t>
      </w:r>
      <w:r w:rsidR="00D76132" w:rsidRPr="000A3539">
        <w:rPr>
          <w:lang w:val="en-CA"/>
        </w:rPr>
        <w:t>justifi</w:t>
      </w:r>
      <w:r w:rsidRPr="000A3539">
        <w:rPr>
          <w:lang w:val="en-CA"/>
        </w:rPr>
        <w:t xml:space="preserve">ed by </w:t>
      </w:r>
      <w:r w:rsidR="00D76132" w:rsidRPr="000A3539">
        <w:rPr>
          <w:lang w:val="en-CA"/>
        </w:rPr>
        <w:t>consid</w:t>
      </w:r>
      <w:r w:rsidRPr="000A3539">
        <w:rPr>
          <w:lang w:val="en-CA"/>
        </w:rPr>
        <w:t>e</w:t>
      </w:r>
      <w:r w:rsidR="00D76132" w:rsidRPr="000A3539">
        <w:rPr>
          <w:lang w:val="en-CA"/>
        </w:rPr>
        <w:t xml:space="preserve">rations </w:t>
      </w:r>
      <w:r w:rsidRPr="000A3539">
        <w:rPr>
          <w:lang w:val="en-CA"/>
        </w:rPr>
        <w:t xml:space="preserve">set out in section </w:t>
      </w:r>
      <w:r w:rsidR="00D76132" w:rsidRPr="000A3539">
        <w:rPr>
          <w:lang w:val="en-CA"/>
        </w:rPr>
        <w:t xml:space="preserve">19 </w:t>
      </w:r>
      <w:r w:rsidRPr="000A3539">
        <w:rPr>
          <w:lang w:val="en-CA"/>
        </w:rPr>
        <w:t xml:space="preserve">of the </w:t>
      </w:r>
      <w:r w:rsidR="00DC430C" w:rsidRPr="00DC430C">
        <w:rPr>
          <w:i/>
          <w:lang w:val="en-CA"/>
        </w:rPr>
        <w:t>Quebec Charter</w:t>
      </w:r>
      <w:r w:rsidR="00D76132" w:rsidRPr="000A3539">
        <w:rPr>
          <w:lang w:val="en-CA"/>
        </w:rPr>
        <w:t xml:space="preserve">. </w:t>
      </w:r>
      <w:r w:rsidR="00D72606" w:rsidRPr="000A3539">
        <w:rPr>
          <w:lang w:val="en-CA"/>
        </w:rPr>
        <w:t xml:space="preserve">To a </w:t>
      </w:r>
      <w:r w:rsidR="00D76132" w:rsidRPr="000A3539">
        <w:rPr>
          <w:lang w:val="en-CA"/>
        </w:rPr>
        <w:t xml:space="preserve">certain </w:t>
      </w:r>
      <w:r w:rsidR="00D72606" w:rsidRPr="000A3539">
        <w:rPr>
          <w:lang w:val="en-CA"/>
        </w:rPr>
        <w:t xml:space="preserve">extent, </w:t>
      </w:r>
      <w:r w:rsidR="00086385" w:rsidRPr="000A3539">
        <w:rPr>
          <w:lang w:val="en-CA"/>
        </w:rPr>
        <w:t xml:space="preserve">the thoroughness with which the </w:t>
      </w:r>
      <w:r w:rsidR="00D76132" w:rsidRPr="000A3539">
        <w:rPr>
          <w:lang w:val="en-CA"/>
        </w:rPr>
        <w:t>appel</w:t>
      </w:r>
      <w:r w:rsidR="00086385" w:rsidRPr="000A3539">
        <w:rPr>
          <w:lang w:val="en-CA"/>
        </w:rPr>
        <w:t>l</w:t>
      </w:r>
      <w:r w:rsidR="00D76132" w:rsidRPr="000A3539">
        <w:rPr>
          <w:lang w:val="en-CA"/>
        </w:rPr>
        <w:t>ant</w:t>
      </w:r>
      <w:r w:rsidR="00086385" w:rsidRPr="000A3539">
        <w:rPr>
          <w:lang w:val="en-CA"/>
        </w:rPr>
        <w:t xml:space="preserve"> trains and </w:t>
      </w:r>
      <w:r w:rsidR="00D76132" w:rsidRPr="000A3539">
        <w:rPr>
          <w:lang w:val="en-CA"/>
        </w:rPr>
        <w:t>assign</w:t>
      </w:r>
      <w:r w:rsidR="00086385" w:rsidRPr="000A3539">
        <w:rPr>
          <w:lang w:val="en-CA"/>
        </w:rPr>
        <w:t xml:space="preserve">s all of its </w:t>
      </w:r>
      <w:r w:rsidR="00D76132" w:rsidRPr="000A3539">
        <w:rPr>
          <w:lang w:val="en-CA"/>
        </w:rPr>
        <w:t>employ</w:t>
      </w:r>
      <w:r w:rsidR="00086385" w:rsidRPr="000A3539">
        <w:rPr>
          <w:lang w:val="en-CA"/>
        </w:rPr>
        <w:t>ees</w:t>
      </w:r>
      <w:r w:rsidR="00D76132" w:rsidRPr="000A3539">
        <w:rPr>
          <w:lang w:val="en-CA"/>
        </w:rPr>
        <w:t xml:space="preserve">, </w:t>
      </w:r>
      <w:r w:rsidR="00086385" w:rsidRPr="000A3539">
        <w:rPr>
          <w:lang w:val="en-CA"/>
        </w:rPr>
        <w:t xml:space="preserve">whether regular or casual </w:t>
      </w:r>
      <w:r w:rsidR="00FC3354" w:rsidRPr="000A3539">
        <w:rPr>
          <w:lang w:val="en-CA"/>
        </w:rPr>
        <w:t>employees</w:t>
      </w:r>
      <w:r w:rsidR="00086385" w:rsidRPr="000A3539">
        <w:rPr>
          <w:lang w:val="en-CA"/>
        </w:rPr>
        <w:t xml:space="preserve"> or students, due to the very particular</w:t>
      </w:r>
      <w:r w:rsidR="00D76132" w:rsidRPr="000A3539">
        <w:rPr>
          <w:lang w:val="en-CA"/>
        </w:rPr>
        <w:t xml:space="preserve"> (</w:t>
      </w:r>
      <w:r w:rsidR="00086385" w:rsidRPr="000A3539">
        <w:rPr>
          <w:lang w:val="en-CA"/>
        </w:rPr>
        <w:t xml:space="preserve">and truly </w:t>
      </w:r>
      <w:r w:rsidR="00D76132" w:rsidRPr="000A3539">
        <w:rPr>
          <w:lang w:val="en-CA"/>
        </w:rPr>
        <w:t>danger</w:t>
      </w:r>
      <w:r w:rsidR="00086385" w:rsidRPr="000A3539">
        <w:rPr>
          <w:lang w:val="en-CA"/>
        </w:rPr>
        <w:t>ous</w:t>
      </w:r>
      <w:r w:rsidR="00D76132" w:rsidRPr="000A3539">
        <w:rPr>
          <w:lang w:val="en-CA"/>
        </w:rPr>
        <w:t>)</w:t>
      </w:r>
      <w:r w:rsidR="00086385" w:rsidRPr="000A3539">
        <w:rPr>
          <w:lang w:val="en-CA"/>
        </w:rPr>
        <w:t xml:space="preserve"> nature of the tasks and the work environment, carries with it the </w:t>
      </w:r>
      <w:r w:rsidR="00D76132" w:rsidRPr="000A3539">
        <w:rPr>
          <w:lang w:val="en-CA"/>
        </w:rPr>
        <w:t>obligation</w:t>
      </w:r>
      <w:r w:rsidR="00086385" w:rsidRPr="000A3539">
        <w:rPr>
          <w:lang w:val="en-CA"/>
        </w:rPr>
        <w:t xml:space="preserve"> to pay them the same wages</w:t>
      </w:r>
      <w:r w:rsidR="00D76132" w:rsidRPr="000A3539">
        <w:rPr>
          <w:lang w:val="en-CA"/>
        </w:rPr>
        <w:t>.</w:t>
      </w:r>
      <w:r w:rsidR="00086385" w:rsidRPr="000A3539">
        <w:rPr>
          <w:lang w:val="en-CA"/>
        </w:rPr>
        <w:t xml:space="preserve"> In fact, the </w:t>
      </w:r>
      <w:r w:rsidR="00D76132" w:rsidRPr="000A3539">
        <w:rPr>
          <w:lang w:val="en-CA"/>
        </w:rPr>
        <w:t>appel</w:t>
      </w:r>
      <w:r w:rsidR="00086385" w:rsidRPr="000A3539">
        <w:rPr>
          <w:lang w:val="en-CA"/>
        </w:rPr>
        <w:t>l</w:t>
      </w:r>
      <w:r w:rsidR="00D76132" w:rsidRPr="000A3539">
        <w:rPr>
          <w:lang w:val="en-CA"/>
        </w:rPr>
        <w:t>ant</w:t>
      </w:r>
      <w:r w:rsidR="00086385" w:rsidRPr="000A3539">
        <w:rPr>
          <w:lang w:val="en-CA"/>
        </w:rPr>
        <w:t xml:space="preserve"> did not </w:t>
      </w:r>
      <w:r w:rsidR="00DE6958" w:rsidRPr="000A3539">
        <w:rPr>
          <w:lang w:val="en-CA"/>
        </w:rPr>
        <w:t xml:space="preserve">establish any reason for paying </w:t>
      </w:r>
      <w:r w:rsidR="0007756E" w:rsidRPr="000A3539">
        <w:rPr>
          <w:lang w:val="en-CA"/>
        </w:rPr>
        <w:t xml:space="preserve">the students who do the same work as their colleagues </w:t>
      </w:r>
      <w:r w:rsidR="00DE6958" w:rsidRPr="000A3539">
        <w:rPr>
          <w:lang w:val="en-CA"/>
        </w:rPr>
        <w:t>less</w:t>
      </w:r>
      <w:r w:rsidR="00D76132" w:rsidRPr="000A3539">
        <w:rPr>
          <w:lang w:val="en-CA"/>
        </w:rPr>
        <w:t>.</w:t>
      </w:r>
      <w:r w:rsidR="00DE6958" w:rsidRPr="000A3539">
        <w:rPr>
          <w:lang w:val="en-CA"/>
        </w:rPr>
        <w:t xml:space="preserve"> That will not necessarily be the case for most student </w:t>
      </w:r>
      <w:r w:rsidR="0079385B">
        <w:rPr>
          <w:lang w:val="en-CA"/>
        </w:rPr>
        <w:t>jobs</w:t>
      </w:r>
      <w:r w:rsidR="0079385B" w:rsidRPr="000A3539">
        <w:rPr>
          <w:lang w:val="en-CA"/>
        </w:rPr>
        <w:t xml:space="preserve"> </w:t>
      </w:r>
      <w:r w:rsidR="00DE6958" w:rsidRPr="000A3539">
        <w:rPr>
          <w:lang w:val="en-CA"/>
        </w:rPr>
        <w:t xml:space="preserve">in </w:t>
      </w:r>
      <w:r w:rsidR="00D76132" w:rsidRPr="000A3539">
        <w:rPr>
          <w:lang w:val="en-CA"/>
        </w:rPr>
        <w:t>Qu</w:t>
      </w:r>
      <w:r w:rsidR="00DE6958" w:rsidRPr="000A3539">
        <w:rPr>
          <w:lang w:val="en-CA"/>
        </w:rPr>
        <w:t>e</w:t>
      </w:r>
      <w:r w:rsidR="00D76132" w:rsidRPr="000A3539">
        <w:rPr>
          <w:lang w:val="en-CA"/>
        </w:rPr>
        <w:t xml:space="preserve">bec. </w:t>
      </w:r>
      <w:r w:rsidR="00DE6958" w:rsidRPr="000A3539">
        <w:rPr>
          <w:lang w:val="en-CA"/>
        </w:rPr>
        <w:t xml:space="preserve">Accordingly, these reasons are likely to have an effect that is more or less </w:t>
      </w:r>
      <w:r w:rsidR="00DE6958" w:rsidRPr="000A3539">
        <w:rPr>
          <w:lang w:val="en-CA"/>
        </w:rPr>
        <w:lastRenderedPageBreak/>
        <w:t>circumsc</w:t>
      </w:r>
      <w:r w:rsidR="00580F95" w:rsidRPr="000A3539">
        <w:rPr>
          <w:lang w:val="en-CA"/>
        </w:rPr>
        <w:t>r</w:t>
      </w:r>
      <w:r w:rsidR="00DE6958" w:rsidRPr="000A3539">
        <w:rPr>
          <w:lang w:val="en-CA"/>
        </w:rPr>
        <w:t xml:space="preserve">ibed by the </w:t>
      </w:r>
      <w:r w:rsidR="00D76132" w:rsidRPr="000A3539">
        <w:rPr>
          <w:lang w:val="en-CA"/>
        </w:rPr>
        <w:t>circumstances</w:t>
      </w:r>
      <w:r w:rsidR="00DE6958" w:rsidRPr="000A3539">
        <w:rPr>
          <w:lang w:val="en-CA"/>
        </w:rPr>
        <w:t xml:space="preserve">, which may certainly be present in other </w:t>
      </w:r>
      <w:r w:rsidR="002D27D7">
        <w:rPr>
          <w:lang w:val="en-CA"/>
        </w:rPr>
        <w:t>businesses</w:t>
      </w:r>
      <w:r w:rsidR="00DE6958" w:rsidRPr="000A3539">
        <w:rPr>
          <w:lang w:val="en-CA"/>
        </w:rPr>
        <w:t xml:space="preserve">, but which are not </w:t>
      </w:r>
      <w:r w:rsidR="00D76132" w:rsidRPr="000A3539">
        <w:rPr>
          <w:lang w:val="en-CA"/>
        </w:rPr>
        <w:t>univers</w:t>
      </w:r>
      <w:r w:rsidR="00DE6958" w:rsidRPr="000A3539">
        <w:rPr>
          <w:lang w:val="en-CA"/>
        </w:rPr>
        <w:t>a</w:t>
      </w:r>
      <w:r w:rsidR="00D76132" w:rsidRPr="000A3539">
        <w:rPr>
          <w:lang w:val="en-CA"/>
        </w:rPr>
        <w:t>l.</w:t>
      </w:r>
    </w:p>
    <w:p w14:paraId="67E4C9F7" w14:textId="1542329E" w:rsidR="00352837" w:rsidRPr="000A3539" w:rsidRDefault="00B35B1B"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did not err in finding that student status is part of the concept of social </w:t>
      </w:r>
      <w:r w:rsidR="00D76132" w:rsidRPr="000A3539">
        <w:rPr>
          <w:lang w:val="en-CA"/>
        </w:rPr>
        <w:t xml:space="preserve">condition </w:t>
      </w:r>
      <w:r w:rsidRPr="000A3539">
        <w:rPr>
          <w:lang w:val="en-CA"/>
        </w:rPr>
        <w:t xml:space="preserve">set out in </w:t>
      </w:r>
      <w:r w:rsidR="00D76132" w:rsidRPr="000A3539">
        <w:rPr>
          <w:lang w:val="en-CA"/>
        </w:rPr>
        <w:t>section 10</w:t>
      </w:r>
      <w:r w:rsidRPr="000A3539">
        <w:rPr>
          <w:lang w:val="en-CA"/>
        </w:rPr>
        <w:t xml:space="preserve"> of the </w:t>
      </w:r>
      <w:r w:rsidR="00DC430C" w:rsidRPr="00DC430C">
        <w:rPr>
          <w:i/>
          <w:lang w:val="en-CA"/>
        </w:rPr>
        <w:t>Quebec Charter</w:t>
      </w:r>
      <w:r w:rsidR="00D76132" w:rsidRPr="000A3539">
        <w:rPr>
          <w:lang w:val="en-CA"/>
        </w:rPr>
        <w:t xml:space="preserve"> </w:t>
      </w:r>
      <w:r w:rsidRPr="000A3539">
        <w:rPr>
          <w:lang w:val="en-CA"/>
        </w:rPr>
        <w:t xml:space="preserve">and in finding that the students who worked </w:t>
      </w:r>
      <w:r w:rsidR="004D63FE">
        <w:rPr>
          <w:lang w:val="en-CA"/>
        </w:rPr>
        <w:t>for the appellant</w:t>
      </w:r>
      <w:r w:rsidRPr="000A3539">
        <w:rPr>
          <w:lang w:val="en-CA"/>
        </w:rPr>
        <w:t xml:space="preserve"> were the </w:t>
      </w:r>
      <w:r w:rsidR="00D76132" w:rsidRPr="000A3539">
        <w:rPr>
          <w:lang w:val="en-CA"/>
        </w:rPr>
        <w:t>victims</w:t>
      </w:r>
      <w:r w:rsidRPr="000A3539">
        <w:rPr>
          <w:lang w:val="en-CA"/>
        </w:rPr>
        <w:t xml:space="preserve"> </w:t>
      </w:r>
      <w:r w:rsidR="00D76132" w:rsidRPr="000A3539">
        <w:rPr>
          <w:lang w:val="en-CA"/>
        </w:rPr>
        <w:t>of</w:t>
      </w:r>
      <w:r w:rsidRPr="000A3539">
        <w:rPr>
          <w:lang w:val="en-CA"/>
        </w:rPr>
        <w:t xml:space="preserve"> prohibited </w:t>
      </w:r>
      <w:r w:rsidR="00D76132" w:rsidRPr="000A3539">
        <w:rPr>
          <w:lang w:val="en-CA"/>
        </w:rPr>
        <w:t>discrimination</w:t>
      </w:r>
      <w:r w:rsidRPr="000A3539">
        <w:rPr>
          <w:lang w:val="en-CA"/>
        </w:rPr>
        <w:t xml:space="preserve"> due to the </w:t>
      </w:r>
      <w:r w:rsidR="00D76132" w:rsidRPr="000A3539">
        <w:rPr>
          <w:lang w:val="en-CA"/>
        </w:rPr>
        <w:t>violation</w:t>
      </w:r>
      <w:r w:rsidR="003647DC" w:rsidRPr="000A3539">
        <w:rPr>
          <w:lang w:val="en-CA"/>
        </w:rPr>
        <w:t xml:space="preserve"> of the right enshrined in the first paragraph of </w:t>
      </w:r>
      <w:r w:rsidR="00D76132" w:rsidRPr="000A3539">
        <w:rPr>
          <w:lang w:val="en-CA"/>
        </w:rPr>
        <w:t>section</w:t>
      </w:r>
      <w:r w:rsidR="00EA592A">
        <w:rPr>
          <w:lang w:val="en-CA"/>
        </w:rPr>
        <w:t xml:space="preserve"> 19</w:t>
      </w:r>
      <w:r w:rsidR="003647DC" w:rsidRPr="000A3539">
        <w:rPr>
          <w:lang w:val="en-CA"/>
        </w:rPr>
        <w:t xml:space="preserve"> of the </w:t>
      </w:r>
      <w:r w:rsidR="00DC430C" w:rsidRPr="00DC430C">
        <w:rPr>
          <w:i/>
          <w:lang w:val="en-CA"/>
        </w:rPr>
        <w:t>Quebec Charter</w:t>
      </w:r>
      <w:r w:rsidR="00D76132" w:rsidRPr="000A3539">
        <w:rPr>
          <w:lang w:val="en-CA"/>
        </w:rPr>
        <w:t>.</w:t>
      </w:r>
    </w:p>
    <w:p w14:paraId="4F25026A" w14:textId="36DC570C" w:rsidR="00352837" w:rsidRPr="000A3539" w:rsidRDefault="00D76132" w:rsidP="00352837">
      <w:pPr>
        <w:pStyle w:val="Style1sous-titrenumrot"/>
        <w:tabs>
          <w:tab w:val="left" w:pos="1418"/>
        </w:tabs>
        <w:spacing w:line="280" w:lineRule="exact"/>
        <w:ind w:left="1417" w:hanging="697"/>
        <w:rPr>
          <w:b/>
          <w:lang w:val="en-CA"/>
        </w:rPr>
      </w:pPr>
      <w:r w:rsidRPr="000A3539">
        <w:rPr>
          <w:b/>
          <w:lang w:val="en-CA"/>
        </w:rPr>
        <w:t xml:space="preserve">4.2- </w:t>
      </w:r>
      <w:r w:rsidRPr="000A3539">
        <w:rPr>
          <w:b/>
          <w:lang w:val="en-CA"/>
        </w:rPr>
        <w:tab/>
      </w:r>
      <w:r w:rsidR="007619EB" w:rsidRPr="000A3539">
        <w:rPr>
          <w:b/>
          <w:bCs/>
          <w:lang w:val="en-CA"/>
        </w:rPr>
        <w:t>Did the Tribunal err in finding that there was a distinction based on age?</w:t>
      </w:r>
    </w:p>
    <w:p w14:paraId="59DA75BF" w14:textId="6CB70C15" w:rsidR="00352837" w:rsidRPr="000A3539" w:rsidRDefault="00824F38" w:rsidP="00352837">
      <w:pPr>
        <w:pStyle w:val="Paragraphe"/>
        <w:rPr>
          <w:lang w:val="en-CA" w:eastAsia="fr-CA"/>
        </w:rPr>
      </w:pPr>
      <w:r w:rsidRPr="000A3539">
        <w:rPr>
          <w:lang w:val="en-CA" w:eastAsia="fr-CA"/>
        </w:rPr>
        <w:t xml:space="preserve">The </w:t>
      </w:r>
      <w:r w:rsidR="00D76132" w:rsidRPr="000A3539">
        <w:rPr>
          <w:lang w:val="en-CA" w:eastAsia="fr-CA"/>
        </w:rPr>
        <w:t>Tribunal</w:t>
      </w:r>
      <w:r w:rsidRPr="000A3539">
        <w:rPr>
          <w:lang w:val="en-CA" w:eastAsia="fr-CA"/>
        </w:rPr>
        <w:t xml:space="preserve"> noted in passing that age was also a </w:t>
      </w:r>
      <w:r w:rsidR="00D76132" w:rsidRPr="000A3539">
        <w:rPr>
          <w:lang w:val="en-CA" w:eastAsia="fr-CA"/>
        </w:rPr>
        <w:t>fact</w:t>
      </w:r>
      <w:r w:rsidRPr="000A3539">
        <w:rPr>
          <w:lang w:val="en-CA" w:eastAsia="fr-CA"/>
        </w:rPr>
        <w:t>o</w:t>
      </w:r>
      <w:r w:rsidR="00D76132" w:rsidRPr="000A3539">
        <w:rPr>
          <w:lang w:val="en-CA" w:eastAsia="fr-CA"/>
        </w:rPr>
        <w:t xml:space="preserve">r </w:t>
      </w:r>
      <w:r w:rsidRPr="000A3539">
        <w:rPr>
          <w:lang w:val="en-CA" w:eastAsia="fr-CA"/>
        </w:rPr>
        <w:t xml:space="preserve">of </w:t>
      </w:r>
      <w:r w:rsidR="00D76132" w:rsidRPr="000A3539">
        <w:rPr>
          <w:lang w:val="en-CA" w:eastAsia="fr-CA"/>
        </w:rPr>
        <w:t xml:space="preserve">discrimination. </w:t>
      </w:r>
      <w:r w:rsidRPr="000A3539">
        <w:rPr>
          <w:lang w:val="en-CA" w:eastAsia="fr-CA"/>
        </w:rPr>
        <w:t>Considering that social</w:t>
      </w:r>
      <w:r w:rsidR="00D76132" w:rsidRPr="000A3539">
        <w:rPr>
          <w:lang w:val="en-CA" w:eastAsia="fr-CA"/>
        </w:rPr>
        <w:t xml:space="preserve"> condition </w:t>
      </w:r>
      <w:r w:rsidRPr="000A3539">
        <w:rPr>
          <w:lang w:val="en-CA" w:eastAsia="fr-CA"/>
        </w:rPr>
        <w:t xml:space="preserve">was at the heart of its reasoning and its </w:t>
      </w:r>
      <w:r w:rsidR="00D76132" w:rsidRPr="000A3539">
        <w:rPr>
          <w:lang w:val="en-CA" w:eastAsia="fr-CA"/>
        </w:rPr>
        <w:t>decision</w:t>
      </w:r>
      <w:r w:rsidRPr="000A3539">
        <w:rPr>
          <w:lang w:val="en-CA" w:eastAsia="fr-CA"/>
        </w:rPr>
        <w:t xml:space="preserve">, and in view of the </w:t>
      </w:r>
      <w:r w:rsidR="00D76132" w:rsidRPr="000A3539">
        <w:rPr>
          <w:lang w:val="en-CA" w:eastAsia="fr-CA"/>
        </w:rPr>
        <w:t>Court</w:t>
      </w:r>
      <w:r w:rsidRPr="000A3539">
        <w:rPr>
          <w:lang w:val="en-CA" w:eastAsia="fr-CA"/>
        </w:rPr>
        <w:t xml:space="preserve">’s conclusion on that </w:t>
      </w:r>
      <w:r w:rsidR="00D76132" w:rsidRPr="000A3539">
        <w:rPr>
          <w:lang w:val="en-CA" w:eastAsia="fr-CA"/>
        </w:rPr>
        <w:t>su</w:t>
      </w:r>
      <w:r w:rsidRPr="000A3539">
        <w:rPr>
          <w:lang w:val="en-CA" w:eastAsia="fr-CA"/>
        </w:rPr>
        <w:t>b</w:t>
      </w:r>
      <w:r w:rsidR="00D76132" w:rsidRPr="000A3539">
        <w:rPr>
          <w:lang w:val="en-CA" w:eastAsia="fr-CA"/>
        </w:rPr>
        <w:t>je</w:t>
      </w:r>
      <w:r w:rsidRPr="000A3539">
        <w:rPr>
          <w:lang w:val="en-CA" w:eastAsia="fr-CA"/>
        </w:rPr>
        <w:t>c</w:t>
      </w:r>
      <w:r w:rsidR="00D76132" w:rsidRPr="000A3539">
        <w:rPr>
          <w:lang w:val="en-CA" w:eastAsia="fr-CA"/>
        </w:rPr>
        <w:t xml:space="preserve">t, </w:t>
      </w:r>
      <w:r w:rsidRPr="000A3539">
        <w:rPr>
          <w:lang w:val="en-CA" w:eastAsia="fr-CA"/>
        </w:rPr>
        <w:t>it is not necessary to address this issue</w:t>
      </w:r>
      <w:r w:rsidR="00D76132" w:rsidRPr="000A3539">
        <w:rPr>
          <w:lang w:val="en-CA" w:eastAsia="fr-CA"/>
        </w:rPr>
        <w:t>.</w:t>
      </w:r>
    </w:p>
    <w:p w14:paraId="2CE4070A" w14:textId="3BE480E9" w:rsidR="00352837" w:rsidRPr="000A3539" w:rsidRDefault="00D76132" w:rsidP="00352837">
      <w:pPr>
        <w:pStyle w:val="Paragraphe"/>
        <w:numPr>
          <w:ilvl w:val="0"/>
          <w:numId w:val="0"/>
        </w:numPr>
        <w:ind w:left="1440" w:hanging="720"/>
        <w:rPr>
          <w:lang w:val="en-CA" w:eastAsia="fr-CA"/>
        </w:rPr>
      </w:pPr>
      <w:r w:rsidRPr="000A3539">
        <w:rPr>
          <w:b/>
          <w:lang w:val="en-CA"/>
        </w:rPr>
        <w:t xml:space="preserve">4.3- </w:t>
      </w:r>
      <w:r w:rsidRPr="000A3539">
        <w:rPr>
          <w:b/>
          <w:lang w:val="en-CA"/>
        </w:rPr>
        <w:tab/>
      </w:r>
      <w:r w:rsidR="007619EB" w:rsidRPr="000A3539">
        <w:rPr>
          <w:b/>
          <w:bCs/>
          <w:kern w:val="24"/>
          <w:szCs w:val="24"/>
          <w:lang w:val="en-CA" w:eastAsia="fr-CA"/>
        </w:rPr>
        <w:t xml:space="preserve">Did the Tribunal err in the interpretation and application of the concept of </w:t>
      </w:r>
      <w:r w:rsidR="007619EB" w:rsidRPr="000A3539">
        <w:rPr>
          <w:b/>
          <w:bCs/>
          <w:i/>
          <w:kern w:val="24"/>
          <w:szCs w:val="24"/>
          <w:lang w:val="en-CA" w:eastAsia="fr-CA"/>
        </w:rPr>
        <w:t>equivalent work</w:t>
      </w:r>
      <w:r w:rsidR="007619EB" w:rsidRPr="000A3539">
        <w:rPr>
          <w:b/>
          <w:bCs/>
          <w:kern w:val="24"/>
          <w:szCs w:val="24"/>
          <w:lang w:val="en-CA" w:eastAsia="fr-CA"/>
        </w:rPr>
        <w:t xml:space="preserve"> set out in section 19 of the </w:t>
      </w:r>
      <w:r w:rsidR="00DC430C" w:rsidRPr="00DC430C">
        <w:rPr>
          <w:b/>
          <w:bCs/>
          <w:i/>
          <w:kern w:val="24"/>
          <w:szCs w:val="24"/>
          <w:lang w:val="en-CA" w:eastAsia="fr-CA"/>
        </w:rPr>
        <w:t>Quebec Charter</w:t>
      </w:r>
      <w:r w:rsidR="007619EB" w:rsidRPr="000A3539">
        <w:rPr>
          <w:b/>
          <w:bCs/>
          <w:kern w:val="24"/>
          <w:szCs w:val="24"/>
          <w:lang w:val="en-CA" w:eastAsia="fr-CA"/>
        </w:rPr>
        <w:t>?</w:t>
      </w:r>
      <w:r w:rsidRPr="000A3539">
        <w:rPr>
          <w:lang w:val="en-CA"/>
        </w:rPr>
        <w:t xml:space="preserve"> </w:t>
      </w:r>
    </w:p>
    <w:p w14:paraId="42EEDEA1" w14:textId="71A67F42" w:rsidR="00352837" w:rsidRPr="000A3539" w:rsidRDefault="002567EB" w:rsidP="00352837">
      <w:pPr>
        <w:pStyle w:val="Paragraphe"/>
        <w:rPr>
          <w:lang w:val="en-CA"/>
        </w:rPr>
      </w:pPr>
      <w:r w:rsidRPr="000A3539">
        <w:rPr>
          <w:lang w:val="en-CA"/>
        </w:rPr>
        <w:t xml:space="preserve">The </w:t>
      </w:r>
      <w:r w:rsidR="00D76132" w:rsidRPr="000A3539">
        <w:rPr>
          <w:lang w:val="en-CA"/>
        </w:rPr>
        <w:t>appel</w:t>
      </w:r>
      <w:r w:rsidRPr="000A3539">
        <w:rPr>
          <w:lang w:val="en-CA"/>
        </w:rPr>
        <w:t>l</w:t>
      </w:r>
      <w:r w:rsidR="00D76132" w:rsidRPr="000A3539">
        <w:rPr>
          <w:lang w:val="en-CA"/>
        </w:rPr>
        <w:t>ant</w:t>
      </w:r>
      <w:r w:rsidRPr="000A3539">
        <w:rPr>
          <w:lang w:val="en-CA"/>
        </w:rPr>
        <w:t xml:space="preserve"> submitted that the students were not doing equivalent work to that performed by the regular and casual employees</w:t>
      </w:r>
      <w:r w:rsidR="00D76132" w:rsidRPr="000A3539">
        <w:rPr>
          <w:lang w:val="en-CA"/>
        </w:rPr>
        <w:t xml:space="preserve">. </w:t>
      </w:r>
      <w:r w:rsidR="000361C3" w:rsidRPr="000A3539">
        <w:rPr>
          <w:lang w:val="en-CA"/>
        </w:rPr>
        <w:t>T</w:t>
      </w:r>
      <w:r w:rsidR="00D76132" w:rsidRPr="000A3539">
        <w:rPr>
          <w:lang w:val="en-CA"/>
        </w:rPr>
        <w:t>he</w:t>
      </w:r>
      <w:r w:rsidR="000361C3" w:rsidRPr="000A3539">
        <w:rPr>
          <w:lang w:val="en-CA"/>
        </w:rPr>
        <w:t xml:space="preserve"> </w:t>
      </w:r>
      <w:r w:rsidRPr="000A3539">
        <w:rPr>
          <w:lang w:val="en-CA"/>
        </w:rPr>
        <w:t>Tribunal</w:t>
      </w:r>
      <w:r w:rsidR="00D76132" w:rsidRPr="000A3539">
        <w:rPr>
          <w:lang w:val="en-CA"/>
        </w:rPr>
        <w:t xml:space="preserve"> </w:t>
      </w:r>
      <w:r w:rsidR="000361C3" w:rsidRPr="000A3539">
        <w:rPr>
          <w:lang w:val="en-CA"/>
        </w:rPr>
        <w:t>dismissed that argument</w:t>
      </w:r>
      <w:r w:rsidR="00D76132" w:rsidRPr="000A3539">
        <w:rPr>
          <w:lang w:val="en-CA"/>
        </w:rPr>
        <w:t xml:space="preserve">. </w:t>
      </w:r>
      <w:r w:rsidRPr="000A3539">
        <w:rPr>
          <w:lang w:val="en-CA"/>
        </w:rPr>
        <w:t xml:space="preserve">It is alleged that the </w:t>
      </w:r>
      <w:r w:rsidR="00D76132" w:rsidRPr="000A3539">
        <w:rPr>
          <w:lang w:val="en-CA"/>
        </w:rPr>
        <w:t>Tribunal</w:t>
      </w:r>
      <w:r w:rsidRPr="000A3539">
        <w:rPr>
          <w:lang w:val="en-CA"/>
        </w:rPr>
        <w:t xml:space="preserve"> made a </w:t>
      </w:r>
      <w:r w:rsidR="00D76132" w:rsidRPr="000A3539">
        <w:rPr>
          <w:lang w:val="en-CA"/>
        </w:rPr>
        <w:t>palpable</w:t>
      </w:r>
      <w:r w:rsidRPr="000A3539">
        <w:rPr>
          <w:lang w:val="en-CA"/>
        </w:rPr>
        <w:t xml:space="preserve"> </w:t>
      </w:r>
      <w:r w:rsidR="00D76132" w:rsidRPr="000A3539">
        <w:rPr>
          <w:lang w:val="en-CA"/>
        </w:rPr>
        <w:t>and</w:t>
      </w:r>
      <w:r w:rsidRPr="000A3539">
        <w:rPr>
          <w:lang w:val="en-CA"/>
        </w:rPr>
        <w:t xml:space="preserve"> </w:t>
      </w:r>
      <w:r w:rsidR="00D76132" w:rsidRPr="000A3539">
        <w:rPr>
          <w:lang w:val="en-CA"/>
        </w:rPr>
        <w:t>overriding</w:t>
      </w:r>
      <w:r w:rsidRPr="000A3539">
        <w:rPr>
          <w:lang w:val="en-CA"/>
        </w:rPr>
        <w:t xml:space="preserve"> </w:t>
      </w:r>
      <w:r w:rsidR="00D76132" w:rsidRPr="000A3539">
        <w:rPr>
          <w:lang w:val="en-CA"/>
        </w:rPr>
        <w:t>error</w:t>
      </w:r>
      <w:r w:rsidRPr="000A3539">
        <w:rPr>
          <w:lang w:val="en-CA"/>
        </w:rPr>
        <w:t xml:space="preserve"> by </w:t>
      </w:r>
      <w:r w:rsidR="00D76132" w:rsidRPr="000A3539">
        <w:rPr>
          <w:lang w:val="en-CA"/>
        </w:rPr>
        <w:t>analy</w:t>
      </w:r>
      <w:r w:rsidRPr="000A3539">
        <w:rPr>
          <w:lang w:val="en-CA"/>
        </w:rPr>
        <w:t xml:space="preserve">zing the tasks performed using a method that grouped together all the tasks performed by the students in each sector of the plant rather than conducting an individual </w:t>
      </w:r>
      <w:r w:rsidR="00D76132" w:rsidRPr="000A3539">
        <w:rPr>
          <w:lang w:val="en-CA"/>
        </w:rPr>
        <w:t>analys</w:t>
      </w:r>
      <w:r w:rsidRPr="000A3539">
        <w:rPr>
          <w:lang w:val="en-CA"/>
        </w:rPr>
        <w:t>is of the tasks performed by each of them</w:t>
      </w:r>
      <w:r w:rsidR="00D76132" w:rsidRPr="000A3539">
        <w:rPr>
          <w:lang w:val="en-CA"/>
        </w:rPr>
        <w:t>.</w:t>
      </w:r>
    </w:p>
    <w:p w14:paraId="60DF91B7" w14:textId="62CD07E6" w:rsidR="00352837" w:rsidRPr="000A3539" w:rsidRDefault="005A54A5" w:rsidP="00352837">
      <w:pPr>
        <w:pStyle w:val="Paragraphe"/>
        <w:rPr>
          <w:lang w:val="en-CA" w:eastAsia="fr-CA"/>
        </w:rPr>
      </w:pPr>
      <w:r w:rsidRPr="000A3539">
        <w:rPr>
          <w:lang w:val="en-CA" w:eastAsia="fr-CA"/>
        </w:rPr>
        <w:t xml:space="preserve">The </w:t>
      </w:r>
      <w:r w:rsidR="00D76132" w:rsidRPr="000A3539">
        <w:rPr>
          <w:lang w:val="en-CA" w:eastAsia="fr-CA"/>
        </w:rPr>
        <w:t>respondent</w:t>
      </w:r>
      <w:r w:rsidRPr="000A3539">
        <w:rPr>
          <w:lang w:val="en-CA" w:eastAsia="fr-CA"/>
        </w:rPr>
        <w:t xml:space="preserve"> and the </w:t>
      </w:r>
      <w:r w:rsidR="00D76132" w:rsidRPr="000A3539">
        <w:rPr>
          <w:lang w:val="en-CA" w:eastAsia="fr-CA"/>
        </w:rPr>
        <w:t>impleaded</w:t>
      </w:r>
      <w:r w:rsidRPr="000A3539">
        <w:rPr>
          <w:lang w:val="en-CA" w:eastAsia="fr-CA"/>
        </w:rPr>
        <w:t xml:space="preserve"> </w:t>
      </w:r>
      <w:r w:rsidR="00D76132" w:rsidRPr="000A3539">
        <w:rPr>
          <w:lang w:val="en-CA" w:eastAsia="fr-CA"/>
        </w:rPr>
        <w:t>party</w:t>
      </w:r>
      <w:r w:rsidRPr="000A3539">
        <w:rPr>
          <w:lang w:val="en-CA" w:eastAsia="fr-CA"/>
        </w:rPr>
        <w:t xml:space="preserve"> are of the view that the </w:t>
      </w:r>
      <w:r w:rsidR="00D76132" w:rsidRPr="000A3539">
        <w:rPr>
          <w:lang w:val="en-CA" w:eastAsia="fr-CA"/>
        </w:rPr>
        <w:t>Tribunal</w:t>
      </w:r>
      <w:r w:rsidRPr="000A3539">
        <w:rPr>
          <w:lang w:val="en-CA" w:eastAsia="fr-CA"/>
        </w:rPr>
        <w:t xml:space="preserve"> </w:t>
      </w:r>
      <w:r w:rsidR="00D76132" w:rsidRPr="000A3539">
        <w:rPr>
          <w:lang w:val="en-CA" w:eastAsia="fr-CA"/>
        </w:rPr>
        <w:t>examin</w:t>
      </w:r>
      <w:r w:rsidRPr="000A3539">
        <w:rPr>
          <w:lang w:val="en-CA" w:eastAsia="fr-CA"/>
        </w:rPr>
        <w:t>ed each of the positions to which students were assigned, and found, for each specific task, that the work performed by each of them was the same or equivalent to that of the employee the student replaced</w:t>
      </w:r>
      <w:r w:rsidR="00D76132" w:rsidRPr="000A3539">
        <w:rPr>
          <w:lang w:val="en-CA" w:eastAsia="fr-CA"/>
        </w:rPr>
        <w:t>.</w:t>
      </w:r>
    </w:p>
    <w:p w14:paraId="7BE60167" w14:textId="38909613" w:rsidR="00352837" w:rsidRPr="000A3539" w:rsidRDefault="00D76132" w:rsidP="00352837">
      <w:pPr>
        <w:pStyle w:val="Paragraphe"/>
        <w:rPr>
          <w:lang w:val="en-CA" w:eastAsia="fr-CA"/>
        </w:rPr>
      </w:pPr>
      <w:r w:rsidRPr="000A3539">
        <w:rPr>
          <w:lang w:val="en-CA" w:eastAsia="fr-CA"/>
        </w:rPr>
        <w:t>Re</w:t>
      </w:r>
      <w:r w:rsidR="005A54A5" w:rsidRPr="000A3539">
        <w:rPr>
          <w:lang w:val="en-CA" w:eastAsia="fr-CA"/>
        </w:rPr>
        <w:t>garding the equivalent nature of the work performed by the students, th</w:t>
      </w:r>
      <w:r w:rsidRPr="000A3539">
        <w:rPr>
          <w:lang w:val="en-CA" w:eastAsia="fr-CA"/>
        </w:rPr>
        <w:t>e</w:t>
      </w:r>
      <w:r w:rsidR="005A54A5" w:rsidRPr="000A3539">
        <w:rPr>
          <w:lang w:val="en-CA" w:eastAsia="fr-CA"/>
        </w:rPr>
        <w:t xml:space="preserve"> </w:t>
      </w:r>
      <w:r w:rsidRPr="000A3539">
        <w:rPr>
          <w:lang w:val="en-CA" w:eastAsia="fr-CA"/>
        </w:rPr>
        <w:t>Tribunal</w:t>
      </w:r>
      <w:r w:rsidR="005A54A5" w:rsidRPr="000A3539">
        <w:rPr>
          <w:lang w:val="en-CA" w:eastAsia="fr-CA"/>
        </w:rPr>
        <w:t xml:space="preserve"> noted, among other things</w:t>
      </w:r>
      <w:r w:rsidRPr="000A3539">
        <w:rPr>
          <w:lang w:val="en-CA" w:eastAsia="fr-CA"/>
        </w:rPr>
        <w:t>:</w:t>
      </w:r>
    </w:p>
    <w:p w14:paraId="1044D21E" w14:textId="2DA3B02C" w:rsidR="000361C3" w:rsidRPr="000A3539" w:rsidRDefault="000361C3" w:rsidP="000361C3">
      <w:pPr>
        <w:pStyle w:val="Citationenretrait"/>
        <w:rPr>
          <w:lang w:val="en-CA" w:eastAsia="fr-CA"/>
        </w:rPr>
      </w:pPr>
      <w:r w:rsidRPr="000A3539">
        <w:rPr>
          <w:lang w:val="en-CA" w:eastAsia="fr-CA"/>
        </w:rPr>
        <w:t>[</w:t>
      </w:r>
      <w:r w:rsidRPr="000A3539">
        <w:rPr>
          <w:smallCaps/>
          <w:lang w:val="en-CA" w:eastAsia="fr-CA"/>
        </w:rPr>
        <w:t>translation</w:t>
      </w:r>
      <w:r w:rsidRPr="000A3539">
        <w:rPr>
          <w:lang w:val="en-CA" w:eastAsia="fr-CA"/>
        </w:rPr>
        <w:t>]</w:t>
      </w:r>
    </w:p>
    <w:p w14:paraId="161B6673" w14:textId="5BCF4687" w:rsidR="000361C3" w:rsidRPr="000A3539" w:rsidRDefault="00D76132" w:rsidP="000361C3">
      <w:pPr>
        <w:pStyle w:val="Citationenretrait"/>
        <w:rPr>
          <w:lang w:val="en-CA" w:eastAsia="fr-CA"/>
        </w:rPr>
      </w:pPr>
      <w:r w:rsidRPr="000A3539">
        <w:rPr>
          <w:lang w:val="en-CA" w:eastAsia="fr-CA"/>
        </w:rPr>
        <w:t>[360]  </w:t>
      </w:r>
      <w:r w:rsidR="000361C3" w:rsidRPr="000A3539">
        <w:rPr>
          <w:lang w:val="en-CA" w:eastAsia="fr-CA"/>
        </w:rPr>
        <w:t>Section 19 of the </w:t>
      </w:r>
      <w:r w:rsidR="000361C3" w:rsidRPr="000A3539">
        <w:rPr>
          <w:i/>
          <w:iCs/>
          <w:lang w:val="en-CA" w:eastAsia="fr-CA"/>
        </w:rPr>
        <w:t>Charter</w:t>
      </w:r>
      <w:r w:rsidR="000361C3" w:rsidRPr="000A3539">
        <w:rPr>
          <w:lang w:val="en-CA" w:eastAsia="fr-CA"/>
        </w:rPr>
        <w:t> is intended to prevent an employer from paying different wages to employees who perform the same or equivalent work as other of its employees, unless the difference is justified by one of the criteria it lists.</w:t>
      </w:r>
      <w:bookmarkStart w:id="28" w:name="_Ref509248777"/>
      <w:bookmarkEnd w:id="28"/>
      <w:r w:rsidR="000361C3" w:rsidRPr="000A3539">
        <w:rPr>
          <w:lang w:val="en-CA" w:eastAsia="fr-CA"/>
        </w:rPr>
        <w:t> A difference in salary or wages based on experience, seniority, years of service, merit, productivity or overtime is not considered discriminatory if such criteria are common to </w:t>
      </w:r>
      <w:r w:rsidR="000361C3" w:rsidRPr="00FD1FB8">
        <w:rPr>
          <w:iCs/>
          <w:lang w:val="en-CA" w:eastAsia="fr-CA"/>
        </w:rPr>
        <w:t>all</w:t>
      </w:r>
      <w:r w:rsidR="000361C3" w:rsidRPr="000A3539">
        <w:rPr>
          <w:lang w:val="en-CA" w:eastAsia="fr-CA"/>
        </w:rPr>
        <w:t> members of the personnel.</w:t>
      </w:r>
    </w:p>
    <w:p w14:paraId="01E7E5DB" w14:textId="16D72B74" w:rsidR="00352837" w:rsidRPr="000A3539" w:rsidRDefault="00D76132" w:rsidP="00352837">
      <w:pPr>
        <w:pStyle w:val="Citationenretrait"/>
        <w:rPr>
          <w:lang w:val="en-CA" w:eastAsia="fr-CA"/>
        </w:rPr>
      </w:pPr>
      <w:r w:rsidRPr="000A3539">
        <w:rPr>
          <w:lang w:val="en-CA" w:eastAsia="fr-CA"/>
        </w:rPr>
        <w:t>[361]  </w:t>
      </w:r>
      <w:r w:rsidR="000361C3" w:rsidRPr="000A3539">
        <w:rPr>
          <w:rFonts w:cs="Arial"/>
          <w:color w:val="000000"/>
          <w:lang w:val="en-CA"/>
        </w:rPr>
        <w:t xml:space="preserve">To answer the question, the Tribunal must determine whether the students perform work that is equivalent to the work performed by casual employees, or </w:t>
      </w:r>
      <w:r w:rsidR="000361C3" w:rsidRPr="000A3539">
        <w:rPr>
          <w:rFonts w:cs="Arial"/>
          <w:color w:val="000000"/>
          <w:lang w:val="en-CA"/>
        </w:rPr>
        <w:lastRenderedPageBreak/>
        <w:t>when they are not assigned to the same tasks as the students, to the work performed by the regular employees.</w:t>
      </w:r>
    </w:p>
    <w:p w14:paraId="3869B210" w14:textId="32F04C4A" w:rsidR="00352837" w:rsidRPr="000A3539" w:rsidRDefault="00D76132" w:rsidP="00352837">
      <w:pPr>
        <w:pStyle w:val="Citationenretrait"/>
        <w:rPr>
          <w:lang w:val="en-CA" w:eastAsia="fr-CA"/>
        </w:rPr>
      </w:pPr>
      <w:r w:rsidRPr="000A3539">
        <w:rPr>
          <w:lang w:val="en-CA" w:eastAsia="fr-CA"/>
        </w:rPr>
        <w:t>[362]  </w:t>
      </w:r>
      <w:r w:rsidR="000361C3" w:rsidRPr="000A3539">
        <w:rPr>
          <w:lang w:val="en-CA" w:eastAsia="fr-CA"/>
        </w:rPr>
        <w:t>The evidence revealed that the students work in the same dangerous and potentially toxic environment as the regular and casual employees and are assigned to tasks that are just as dangerous as those the regular and casual employees are assigned to. Sometimes, in a given sector, the tasks reserved for students are even more dangerous than those reserved for the regular and casual employees (e.g., draining the containers versus changing the blades).</w:t>
      </w:r>
    </w:p>
    <w:p w14:paraId="49E0EFCC" w14:textId="48323340" w:rsidR="00352837" w:rsidRPr="000A3539" w:rsidRDefault="00D76132" w:rsidP="00352837">
      <w:pPr>
        <w:pStyle w:val="Citationenretrait"/>
        <w:rPr>
          <w:lang w:val="en-CA" w:eastAsia="fr-CA"/>
        </w:rPr>
      </w:pPr>
      <w:r w:rsidRPr="000A3539">
        <w:rPr>
          <w:lang w:val="en-CA" w:eastAsia="fr-CA"/>
        </w:rPr>
        <w:t>[363]  </w:t>
      </w:r>
      <w:r w:rsidR="000361C3" w:rsidRPr="000A3539">
        <w:rPr>
          <w:rFonts w:cs="Arial"/>
          <w:color w:val="000000"/>
          <w:lang w:val="en-CA"/>
        </w:rPr>
        <w:t>The Tribunal further finds that the students are just as competent as the regular or casual employees to perform the tasks they are assigned to. Not only was the opposite argument not raised by either party, but the safety of all and productivity depends on it</w:t>
      </w:r>
      <w:r w:rsidR="00F6482A">
        <w:rPr>
          <w:rFonts w:cs="Arial"/>
          <w:color w:val="000000"/>
          <w:lang w:val="en-CA"/>
        </w:rPr>
        <w:t>,</w:t>
      </w:r>
      <w:r w:rsidR="00695DA6">
        <w:rPr>
          <w:rFonts w:cs="Arial"/>
          <w:color w:val="000000"/>
          <w:lang w:val="en-CA"/>
        </w:rPr>
        <w:t xml:space="preserve"> </w:t>
      </w:r>
      <w:r w:rsidR="00F6482A">
        <w:rPr>
          <w:rFonts w:cs="Arial"/>
          <w:color w:val="000000"/>
          <w:lang w:val="en-CA"/>
        </w:rPr>
        <w:t>in addition to the fact that</w:t>
      </w:r>
      <w:r w:rsidR="000361C3" w:rsidRPr="000A3539">
        <w:rPr>
          <w:rFonts w:cs="Arial"/>
          <w:color w:val="000000"/>
          <w:lang w:val="en-CA"/>
        </w:rPr>
        <w:t>, on the initiative of their immediate superior and in contravention of an order, students have in the past ensured the supervision of new casual employees</w:t>
      </w:r>
    </w:p>
    <w:p w14:paraId="555C49BD" w14:textId="6025B8D4" w:rsidR="00352837" w:rsidRPr="000A3539" w:rsidRDefault="00D76132" w:rsidP="00352837">
      <w:pPr>
        <w:pStyle w:val="Citationenretrait"/>
        <w:rPr>
          <w:lang w:val="en-CA"/>
        </w:rPr>
      </w:pPr>
      <w:r w:rsidRPr="000A3539">
        <w:rPr>
          <w:lang w:val="en-CA"/>
        </w:rPr>
        <w:t>[364]  </w:t>
      </w:r>
      <w:r w:rsidR="000361C3" w:rsidRPr="000A3539">
        <w:rPr>
          <w:rFonts w:cs="Arial"/>
          <w:color w:val="000000"/>
          <w:lang w:val="en-CA"/>
        </w:rPr>
        <w:t>If there is a difference between the students and the regular or casual employees, it concerns the number of tasks performed.</w:t>
      </w:r>
    </w:p>
    <w:p w14:paraId="5085AF53" w14:textId="6D6F79FA" w:rsidR="00352837" w:rsidRPr="000A3539" w:rsidRDefault="00D76132" w:rsidP="00352837">
      <w:pPr>
        <w:pStyle w:val="Citationenretrait"/>
        <w:rPr>
          <w:lang w:val="en-CA"/>
        </w:rPr>
      </w:pPr>
      <w:r w:rsidRPr="000A3539">
        <w:rPr>
          <w:lang w:val="en-CA"/>
        </w:rPr>
        <w:t>[365]  </w:t>
      </w:r>
      <w:r w:rsidR="000361C3" w:rsidRPr="000A3539">
        <w:rPr>
          <w:rFonts w:cs="Arial"/>
          <w:color w:val="000000"/>
          <w:lang w:val="en-CA"/>
        </w:rPr>
        <w:t>The evidence is vague as to the reasons why certain tasks that used to be assigned to students have ceased to be.</w:t>
      </w:r>
    </w:p>
    <w:p w14:paraId="33A3F0EC" w14:textId="1A266EBC" w:rsidR="00352837" w:rsidRPr="000A3539" w:rsidRDefault="00D76132" w:rsidP="00352837">
      <w:pPr>
        <w:pStyle w:val="Citationenretrait"/>
        <w:rPr>
          <w:lang w:val="en-CA"/>
        </w:rPr>
      </w:pPr>
      <w:r w:rsidRPr="000A3539">
        <w:rPr>
          <w:lang w:val="en-CA"/>
        </w:rPr>
        <w:t>[366]  </w:t>
      </w:r>
      <w:r w:rsidR="000361C3" w:rsidRPr="000A3539">
        <w:rPr>
          <w:rFonts w:cs="Arial"/>
          <w:color w:val="000000"/>
          <w:lang w:val="en-CA"/>
        </w:rPr>
        <w:t>The Tribunal does not accept the simplistic “health and safety” argument systematically put forth by ABI without further explanation to justify the fact that certain tasks were withdrawn from the students. It understands that except for the tasks that were withdrawn from the list of tasks that they may be trained to perform, students are not trained to perform tasks for which the length of the training is such that they could not be assigned to perform these tasks even if they were trained, considering the maximum duration of the employment permitted by the collective agreements, which is 14 weeks.</w:t>
      </w:r>
    </w:p>
    <w:p w14:paraId="12905827" w14:textId="0FDAD144" w:rsidR="000361C3" w:rsidRPr="000A3539" w:rsidRDefault="00D76132" w:rsidP="00352837">
      <w:pPr>
        <w:pStyle w:val="Citationenretrait"/>
        <w:rPr>
          <w:rFonts w:cs="Arial"/>
          <w:color w:val="000000"/>
          <w:lang w:val="en-CA"/>
        </w:rPr>
      </w:pPr>
      <w:r w:rsidRPr="000A3539">
        <w:rPr>
          <w:lang w:val="en-CA" w:eastAsia="fr-CA"/>
        </w:rPr>
        <w:t>[367]  </w:t>
      </w:r>
      <w:r w:rsidR="000361C3" w:rsidRPr="000A3539">
        <w:rPr>
          <w:rFonts w:cs="Arial"/>
          <w:color w:val="000000"/>
          <w:lang w:val="en-CA"/>
        </w:rPr>
        <w:t>In principle, students’ tasks differ from those of the regular and casual employees in that, for the majority of the 22 positions for which students may be trained and assigned to perform</w:t>
      </w:r>
      <w:r w:rsidR="0096576A">
        <w:rPr>
          <w:rFonts w:cs="Arial"/>
          <w:color w:val="000000"/>
          <w:lang w:val="en-CA"/>
        </w:rPr>
        <w:t xml:space="preserve"> tasks</w:t>
      </w:r>
      <w:r w:rsidR="000361C3" w:rsidRPr="000A3539">
        <w:rPr>
          <w:rFonts w:cs="Arial"/>
          <w:color w:val="000000"/>
          <w:lang w:val="en-CA"/>
        </w:rPr>
        <w:t xml:space="preserve">, they do not perform all the tasks of the position. </w:t>
      </w:r>
      <w:r w:rsidR="000361C3" w:rsidRPr="000A3539">
        <w:rPr>
          <w:rFonts w:cs="Arial"/>
          <w:color w:val="000000"/>
          <w:u w:val="single"/>
          <w:lang w:val="en-CA"/>
        </w:rPr>
        <w:t>The analysis of the evidence reveals, however, that in fact the students’ situation is not different from that of the regular and casual employees who are not systematically trained to perform all the tasks of the position they occupy</w:t>
      </w:r>
      <w:r w:rsidR="000361C3" w:rsidRPr="000A3539">
        <w:rPr>
          <w:rFonts w:cs="Arial"/>
          <w:color w:val="000000"/>
          <w:lang w:val="en-CA"/>
        </w:rPr>
        <w:t>.</w:t>
      </w:r>
    </w:p>
    <w:p w14:paraId="48509D38" w14:textId="5114DF88" w:rsidR="00352837" w:rsidRPr="000A3539" w:rsidRDefault="00D76132" w:rsidP="00352837">
      <w:pPr>
        <w:pStyle w:val="Citationenretrait"/>
        <w:rPr>
          <w:lang w:val="en-CA"/>
        </w:rPr>
      </w:pPr>
      <w:r w:rsidRPr="000A3539">
        <w:rPr>
          <w:lang w:val="en-CA"/>
        </w:rPr>
        <w:t>[368]  </w:t>
      </w:r>
      <w:r w:rsidR="000361C3" w:rsidRPr="000A3539">
        <w:rPr>
          <w:rFonts w:cs="Arial"/>
          <w:color w:val="000000"/>
          <w:lang w:val="en-CA"/>
        </w:rPr>
        <w:t>Similarly, students sometimes perform less, but sometime</w:t>
      </w:r>
      <w:r w:rsidR="00465C61">
        <w:rPr>
          <w:rFonts w:cs="Arial"/>
          <w:color w:val="000000"/>
          <w:lang w:val="en-CA"/>
        </w:rPr>
        <w:t>s</w:t>
      </w:r>
      <w:r w:rsidR="000361C3" w:rsidRPr="000A3539">
        <w:rPr>
          <w:rFonts w:cs="Arial"/>
          <w:color w:val="000000"/>
          <w:lang w:val="en-CA"/>
        </w:rPr>
        <w:t xml:space="preserve"> more, tasks than casual employees, and in certain cases, they perform all the tasks of a position.</w:t>
      </w:r>
    </w:p>
    <w:p w14:paraId="57AC527F" w14:textId="0873F24E" w:rsidR="00352837" w:rsidRPr="000A3539" w:rsidRDefault="000361C3" w:rsidP="002F5371">
      <w:pPr>
        <w:pStyle w:val="Corpsdutexte60"/>
        <w:keepNext/>
        <w:shd w:val="clear" w:color="auto" w:fill="auto"/>
        <w:spacing w:before="0"/>
        <w:ind w:left="2040"/>
        <w:rPr>
          <w:sz w:val="22"/>
          <w:szCs w:val="22"/>
          <w:lang w:val="en-CA"/>
        </w:rPr>
      </w:pPr>
      <w:r w:rsidRPr="000A3539">
        <w:rPr>
          <w:iCs w:val="0"/>
          <w:color w:val="000000"/>
          <w:lang w:val="en-CA"/>
        </w:rPr>
        <w:lastRenderedPageBreak/>
        <w:t>Students performing more tasks than casual employees:</w:t>
      </w:r>
    </w:p>
    <w:p w14:paraId="08E5B439" w14:textId="270408BF" w:rsidR="00352837" w:rsidRPr="000A3539" w:rsidRDefault="00D76132" w:rsidP="002F5371">
      <w:pPr>
        <w:pStyle w:val="Citationenretrait"/>
        <w:keepNext/>
        <w:rPr>
          <w:lang w:val="en-CA"/>
        </w:rPr>
      </w:pPr>
      <w:r w:rsidRPr="000A3539">
        <w:rPr>
          <w:lang w:val="en-CA"/>
        </w:rPr>
        <w:t>[369]  </w:t>
      </w:r>
      <w:r w:rsidR="000361C3" w:rsidRPr="000A3539">
        <w:rPr>
          <w:rFonts w:cs="Arial"/>
          <w:color w:val="000000"/>
          <w:lang w:val="en-CA"/>
        </w:rPr>
        <w:t xml:space="preserve">Students perform more tasks than casual employees in the position of </w:t>
      </w:r>
      <w:proofErr w:type="spellStart"/>
      <w:r w:rsidR="000361C3" w:rsidRPr="000A3539">
        <w:rPr>
          <w:rFonts w:cs="Arial"/>
          <w:color w:val="000000"/>
          <w:lang w:val="en-CA"/>
        </w:rPr>
        <w:t>Polyfunctional</w:t>
      </w:r>
      <w:proofErr w:type="spellEnd"/>
      <w:r w:rsidR="000361C3" w:rsidRPr="000A3539">
        <w:rPr>
          <w:rFonts w:cs="Arial"/>
          <w:color w:val="000000"/>
          <w:lang w:val="en-CA"/>
        </w:rPr>
        <w:t xml:space="preserve"> Operator in the Foundry Sector:</w:t>
      </w:r>
    </w:p>
    <w:tbl>
      <w:tblPr>
        <w:tblStyle w:val="Grilledutableau"/>
        <w:tblW w:w="0" w:type="auto"/>
        <w:tblInd w:w="709" w:type="dxa"/>
        <w:tblLook w:val="04A0" w:firstRow="1" w:lastRow="0" w:firstColumn="1" w:lastColumn="0" w:noHBand="0" w:noVBand="1"/>
      </w:tblPr>
      <w:tblGrid>
        <w:gridCol w:w="3260"/>
        <w:gridCol w:w="993"/>
        <w:gridCol w:w="2268"/>
        <w:gridCol w:w="1735"/>
      </w:tblGrid>
      <w:tr w:rsidR="005C73F6" w:rsidRPr="0048686D" w14:paraId="1166B656" w14:textId="77777777" w:rsidTr="00FD1FB8">
        <w:trPr>
          <w:trHeight w:hRule="exact" w:val="340"/>
        </w:trPr>
        <w:tc>
          <w:tcPr>
            <w:tcW w:w="3260" w:type="dxa"/>
            <w:vMerge w:val="restart"/>
            <w:tcBorders>
              <w:top w:val="nil"/>
              <w:left w:val="nil"/>
              <w:right w:val="nil"/>
            </w:tcBorders>
            <w:vAlign w:val="center"/>
          </w:tcPr>
          <w:p w14:paraId="6F3F9944" w14:textId="272176F0" w:rsidR="00352837" w:rsidRPr="000A3539" w:rsidRDefault="000361C3" w:rsidP="00352837">
            <w:pPr>
              <w:keepNext/>
              <w:keepLines/>
              <w:rPr>
                <w:b/>
                <w:sz w:val="20"/>
                <w:lang w:val="en-CA"/>
              </w:rPr>
            </w:pPr>
            <w:r w:rsidRPr="000A3539">
              <w:rPr>
                <w:rFonts w:cs="Arial"/>
                <w:b/>
                <w:bCs/>
                <w:color w:val="000000"/>
                <w:sz w:val="20"/>
                <w:lang w:val="en-CA"/>
              </w:rPr>
              <w:t>Position – Sector</w:t>
            </w:r>
          </w:p>
        </w:tc>
        <w:tc>
          <w:tcPr>
            <w:tcW w:w="993" w:type="dxa"/>
            <w:vMerge w:val="restart"/>
            <w:tcBorders>
              <w:top w:val="nil"/>
              <w:left w:val="nil"/>
              <w:right w:val="nil"/>
            </w:tcBorders>
            <w:vAlign w:val="center"/>
          </w:tcPr>
          <w:p w14:paraId="75E7A622" w14:textId="32C179A2" w:rsidR="00352837" w:rsidRPr="000A3539" w:rsidRDefault="000361C3" w:rsidP="00352837">
            <w:pPr>
              <w:keepNext/>
              <w:keepLines/>
              <w:jc w:val="center"/>
              <w:rPr>
                <w:b/>
                <w:sz w:val="20"/>
                <w:lang w:val="en-CA"/>
              </w:rPr>
            </w:pPr>
            <w:r w:rsidRPr="000A3539">
              <w:rPr>
                <w:rFonts w:cs="Arial"/>
                <w:b/>
                <w:bCs/>
                <w:color w:val="000000"/>
                <w:sz w:val="20"/>
                <w:lang w:val="en-CA"/>
              </w:rPr>
              <w:t>Number of tasks</w:t>
            </w:r>
          </w:p>
        </w:tc>
        <w:tc>
          <w:tcPr>
            <w:tcW w:w="4003" w:type="dxa"/>
            <w:gridSpan w:val="2"/>
            <w:tcBorders>
              <w:top w:val="nil"/>
              <w:left w:val="nil"/>
              <w:bottom w:val="single" w:sz="4" w:space="0" w:color="auto"/>
              <w:right w:val="nil"/>
            </w:tcBorders>
            <w:vAlign w:val="center"/>
          </w:tcPr>
          <w:p w14:paraId="52DD5DDD" w14:textId="023FFA40" w:rsidR="00352837" w:rsidRPr="000A3539" w:rsidRDefault="000361C3" w:rsidP="00352837">
            <w:pPr>
              <w:keepNext/>
              <w:keepLines/>
              <w:jc w:val="center"/>
              <w:rPr>
                <w:b/>
                <w:sz w:val="20"/>
                <w:lang w:val="en-CA"/>
              </w:rPr>
            </w:pPr>
            <w:r w:rsidRPr="000A3539">
              <w:rPr>
                <w:rFonts w:cs="Arial"/>
                <w:b/>
                <w:bCs/>
                <w:color w:val="000000"/>
                <w:sz w:val="20"/>
                <w:lang w:val="en-CA"/>
              </w:rPr>
              <w:t>Number of tasks performed by</w:t>
            </w:r>
          </w:p>
        </w:tc>
      </w:tr>
      <w:tr w:rsidR="005C73F6" w:rsidRPr="000A3539" w14:paraId="198A9D1B" w14:textId="77777777" w:rsidTr="00FD1FB8">
        <w:trPr>
          <w:trHeight w:hRule="exact" w:val="340"/>
        </w:trPr>
        <w:tc>
          <w:tcPr>
            <w:tcW w:w="3260" w:type="dxa"/>
            <w:vMerge/>
            <w:tcBorders>
              <w:left w:val="nil"/>
              <w:bottom w:val="single" w:sz="4" w:space="0" w:color="auto"/>
              <w:right w:val="nil"/>
            </w:tcBorders>
            <w:vAlign w:val="center"/>
          </w:tcPr>
          <w:p w14:paraId="2C6DCCEC" w14:textId="77777777" w:rsidR="00352837" w:rsidRPr="000A3539" w:rsidRDefault="00352837" w:rsidP="00352837">
            <w:pPr>
              <w:keepNext/>
              <w:keepLines/>
              <w:jc w:val="center"/>
              <w:rPr>
                <w:b/>
                <w:sz w:val="20"/>
                <w:lang w:val="en-CA"/>
              </w:rPr>
            </w:pPr>
          </w:p>
        </w:tc>
        <w:tc>
          <w:tcPr>
            <w:tcW w:w="993" w:type="dxa"/>
            <w:vMerge/>
            <w:tcBorders>
              <w:left w:val="nil"/>
              <w:bottom w:val="single" w:sz="4" w:space="0" w:color="auto"/>
              <w:right w:val="nil"/>
            </w:tcBorders>
            <w:vAlign w:val="center"/>
          </w:tcPr>
          <w:p w14:paraId="0B5B3EBF" w14:textId="77777777" w:rsidR="00352837" w:rsidRPr="000A3539" w:rsidRDefault="00352837" w:rsidP="00352837">
            <w:pPr>
              <w:keepNext/>
              <w:keepLines/>
              <w:jc w:val="center"/>
              <w:rPr>
                <w:b/>
                <w:sz w:val="20"/>
                <w:lang w:val="en-CA"/>
              </w:rPr>
            </w:pPr>
          </w:p>
        </w:tc>
        <w:tc>
          <w:tcPr>
            <w:tcW w:w="2268" w:type="dxa"/>
            <w:tcBorders>
              <w:top w:val="nil"/>
              <w:left w:val="nil"/>
              <w:bottom w:val="single" w:sz="4" w:space="0" w:color="auto"/>
              <w:right w:val="nil"/>
            </w:tcBorders>
            <w:vAlign w:val="center"/>
          </w:tcPr>
          <w:p w14:paraId="4682E407" w14:textId="48E3DF61" w:rsidR="00352837" w:rsidRPr="000A3539" w:rsidRDefault="000361C3" w:rsidP="00352837">
            <w:pPr>
              <w:keepNext/>
              <w:keepLines/>
              <w:spacing w:before="80"/>
              <w:jc w:val="center"/>
              <w:rPr>
                <w:b/>
                <w:sz w:val="20"/>
                <w:lang w:val="en-CA"/>
              </w:rPr>
            </w:pPr>
            <w:r w:rsidRPr="000A3539">
              <w:rPr>
                <w:rFonts w:cs="Arial"/>
                <w:b/>
                <w:bCs/>
                <w:color w:val="000000"/>
                <w:sz w:val="20"/>
                <w:lang w:val="en-CA"/>
              </w:rPr>
              <w:t>Students</w:t>
            </w:r>
          </w:p>
        </w:tc>
        <w:tc>
          <w:tcPr>
            <w:tcW w:w="1735" w:type="dxa"/>
            <w:tcBorders>
              <w:top w:val="nil"/>
              <w:left w:val="nil"/>
              <w:bottom w:val="single" w:sz="4" w:space="0" w:color="auto"/>
              <w:right w:val="nil"/>
            </w:tcBorders>
            <w:vAlign w:val="center"/>
          </w:tcPr>
          <w:p w14:paraId="2672B4B0" w14:textId="5F3C557A" w:rsidR="00352837" w:rsidRPr="000A3539" w:rsidRDefault="000361C3" w:rsidP="00352837">
            <w:pPr>
              <w:keepNext/>
              <w:keepLines/>
              <w:spacing w:before="80"/>
              <w:jc w:val="center"/>
              <w:rPr>
                <w:b/>
                <w:sz w:val="20"/>
                <w:lang w:val="en-CA"/>
              </w:rPr>
            </w:pPr>
            <w:r w:rsidRPr="000A3539">
              <w:rPr>
                <w:rFonts w:cs="Arial"/>
                <w:b/>
                <w:bCs/>
                <w:color w:val="000000"/>
                <w:sz w:val="20"/>
                <w:lang w:val="en-CA"/>
              </w:rPr>
              <w:t>Casuals</w:t>
            </w:r>
          </w:p>
        </w:tc>
      </w:tr>
      <w:tr w:rsidR="005C73F6" w:rsidRPr="000A3539" w14:paraId="717CC92D" w14:textId="77777777" w:rsidTr="00FD1FB8">
        <w:tc>
          <w:tcPr>
            <w:tcW w:w="3260" w:type="dxa"/>
            <w:tcBorders>
              <w:top w:val="nil"/>
              <w:left w:val="nil"/>
              <w:bottom w:val="nil"/>
              <w:right w:val="nil"/>
            </w:tcBorders>
            <w:vAlign w:val="center"/>
          </w:tcPr>
          <w:p w14:paraId="75B9CE20" w14:textId="6E132DEF" w:rsidR="00352837" w:rsidRPr="000A3539" w:rsidRDefault="000361C3" w:rsidP="00352837">
            <w:pPr>
              <w:keepNext/>
              <w:keepLines/>
              <w:spacing w:after="80"/>
              <w:rPr>
                <w:sz w:val="20"/>
                <w:lang w:val="en-CA"/>
              </w:rPr>
            </w:pPr>
            <w:proofErr w:type="spellStart"/>
            <w:r w:rsidRPr="000A3539">
              <w:rPr>
                <w:rFonts w:cs="Arial"/>
                <w:color w:val="000000"/>
                <w:sz w:val="20"/>
                <w:lang w:val="en-CA"/>
              </w:rPr>
              <w:t>Polyfunctional</w:t>
            </w:r>
            <w:proofErr w:type="spellEnd"/>
            <w:r w:rsidRPr="000A3539">
              <w:rPr>
                <w:rFonts w:cs="Arial"/>
                <w:color w:val="000000"/>
                <w:sz w:val="20"/>
                <w:lang w:val="en-CA"/>
              </w:rPr>
              <w:t xml:space="preserve"> Saws Operator</w:t>
            </w:r>
            <w:r w:rsidR="00D76132" w:rsidRPr="000A3539">
              <w:rPr>
                <w:sz w:val="20"/>
                <w:lang w:val="en-CA"/>
              </w:rPr>
              <w:t xml:space="preserve"> – </w:t>
            </w:r>
            <w:r w:rsidRPr="000A3539">
              <w:rPr>
                <w:rFonts w:cs="Arial"/>
                <w:color w:val="000000"/>
                <w:sz w:val="20"/>
                <w:lang w:val="en-CA"/>
              </w:rPr>
              <w:t>Foundry</w:t>
            </w:r>
          </w:p>
        </w:tc>
        <w:tc>
          <w:tcPr>
            <w:tcW w:w="993" w:type="dxa"/>
            <w:tcBorders>
              <w:top w:val="nil"/>
              <w:left w:val="nil"/>
              <w:bottom w:val="nil"/>
              <w:right w:val="nil"/>
            </w:tcBorders>
          </w:tcPr>
          <w:p w14:paraId="7425A01A" w14:textId="77777777" w:rsidR="00352837" w:rsidRPr="000A3539" w:rsidRDefault="00D76132" w:rsidP="00352837">
            <w:pPr>
              <w:keepNext/>
              <w:keepLines/>
              <w:spacing w:after="80"/>
              <w:jc w:val="center"/>
              <w:rPr>
                <w:sz w:val="20"/>
                <w:lang w:val="en-CA"/>
              </w:rPr>
            </w:pPr>
            <w:r w:rsidRPr="000A3539">
              <w:rPr>
                <w:sz w:val="20"/>
                <w:lang w:val="en-CA"/>
              </w:rPr>
              <w:t>9</w:t>
            </w:r>
          </w:p>
        </w:tc>
        <w:tc>
          <w:tcPr>
            <w:tcW w:w="2268" w:type="dxa"/>
            <w:tcBorders>
              <w:top w:val="nil"/>
              <w:left w:val="nil"/>
              <w:bottom w:val="nil"/>
              <w:right w:val="nil"/>
            </w:tcBorders>
          </w:tcPr>
          <w:p w14:paraId="627BF6A9" w14:textId="48E4F877" w:rsidR="00352837" w:rsidRPr="000A3539" w:rsidRDefault="000361C3" w:rsidP="00352837">
            <w:pPr>
              <w:keepNext/>
              <w:keepLines/>
              <w:jc w:val="center"/>
              <w:rPr>
                <w:sz w:val="20"/>
                <w:lang w:val="en-CA"/>
              </w:rPr>
            </w:pPr>
            <w:r w:rsidRPr="000A3539">
              <w:rPr>
                <w:sz w:val="20"/>
                <w:lang w:val="en-CA"/>
              </w:rPr>
              <w:t>Before</w:t>
            </w:r>
            <w:r w:rsidR="00D76132" w:rsidRPr="000A3539">
              <w:rPr>
                <w:sz w:val="20"/>
                <w:lang w:val="en-CA"/>
              </w:rPr>
              <w:t xml:space="preserve"> 2014: 5 </w:t>
            </w:r>
            <w:r w:rsidR="003D35D4">
              <w:rPr>
                <w:sz w:val="20"/>
                <w:lang w:val="en-CA"/>
              </w:rPr>
              <w:t xml:space="preserve">out </w:t>
            </w:r>
            <w:r w:rsidR="00465C61">
              <w:rPr>
                <w:sz w:val="20"/>
                <w:lang w:val="en-CA"/>
              </w:rPr>
              <w:t>of</w:t>
            </w:r>
            <w:r w:rsidR="00D76132" w:rsidRPr="000A3539">
              <w:rPr>
                <w:sz w:val="20"/>
                <w:lang w:val="en-CA"/>
              </w:rPr>
              <w:t xml:space="preserve"> 9</w:t>
            </w:r>
          </w:p>
          <w:p w14:paraId="48B29CEB" w14:textId="131CBB62" w:rsidR="00352837" w:rsidRPr="000A3539" w:rsidRDefault="00D76132">
            <w:pPr>
              <w:keepNext/>
              <w:keepLines/>
              <w:jc w:val="center"/>
              <w:rPr>
                <w:sz w:val="20"/>
                <w:vertAlign w:val="superscript"/>
                <w:lang w:val="en-CA"/>
              </w:rPr>
            </w:pPr>
            <w:r w:rsidRPr="000A3539">
              <w:rPr>
                <w:sz w:val="20"/>
                <w:lang w:val="en-CA"/>
              </w:rPr>
              <w:t>A</w:t>
            </w:r>
            <w:r w:rsidR="000361C3" w:rsidRPr="000A3539">
              <w:rPr>
                <w:sz w:val="20"/>
                <w:lang w:val="en-CA"/>
              </w:rPr>
              <w:t>fter</w:t>
            </w:r>
            <w:r w:rsidRPr="000A3539">
              <w:rPr>
                <w:sz w:val="20"/>
                <w:lang w:val="en-CA"/>
              </w:rPr>
              <w:t xml:space="preserve"> 2014: 4 </w:t>
            </w:r>
            <w:r w:rsidR="003D35D4">
              <w:rPr>
                <w:sz w:val="20"/>
                <w:lang w:val="en-CA"/>
              </w:rPr>
              <w:t xml:space="preserve">out </w:t>
            </w:r>
            <w:r w:rsidR="00465C61">
              <w:rPr>
                <w:sz w:val="20"/>
                <w:lang w:val="en-CA"/>
              </w:rPr>
              <w:t>of</w:t>
            </w:r>
            <w:r w:rsidRPr="000A3539">
              <w:rPr>
                <w:sz w:val="20"/>
                <w:lang w:val="en-CA"/>
              </w:rPr>
              <w:t xml:space="preserve"> 9</w:t>
            </w:r>
          </w:p>
        </w:tc>
        <w:tc>
          <w:tcPr>
            <w:tcW w:w="1735" w:type="dxa"/>
            <w:tcBorders>
              <w:top w:val="nil"/>
              <w:left w:val="nil"/>
              <w:bottom w:val="nil"/>
              <w:right w:val="nil"/>
            </w:tcBorders>
          </w:tcPr>
          <w:p w14:paraId="073AAFF4" w14:textId="277AB738" w:rsidR="00352837" w:rsidRPr="000A3539" w:rsidRDefault="00D76132" w:rsidP="000361C3">
            <w:pPr>
              <w:keepNext/>
              <w:keepLines/>
              <w:spacing w:after="80"/>
              <w:jc w:val="center"/>
              <w:rPr>
                <w:sz w:val="20"/>
                <w:lang w:val="en-CA"/>
              </w:rPr>
            </w:pPr>
            <w:r w:rsidRPr="000A3539">
              <w:rPr>
                <w:sz w:val="20"/>
                <w:lang w:val="en-CA"/>
              </w:rPr>
              <w:t xml:space="preserve">3 </w:t>
            </w:r>
            <w:r w:rsidR="000361C3" w:rsidRPr="000A3539">
              <w:rPr>
                <w:sz w:val="20"/>
                <w:lang w:val="en-CA"/>
              </w:rPr>
              <w:t>of</w:t>
            </w:r>
            <w:r w:rsidRPr="000A3539">
              <w:rPr>
                <w:sz w:val="20"/>
                <w:lang w:val="en-CA"/>
              </w:rPr>
              <w:t xml:space="preserve"> 9</w:t>
            </w:r>
          </w:p>
        </w:tc>
      </w:tr>
    </w:tbl>
    <w:p w14:paraId="5B3EC3A0" w14:textId="4D6319F3" w:rsidR="00352837" w:rsidRPr="000A3539" w:rsidRDefault="00D76132" w:rsidP="00352837">
      <w:pPr>
        <w:pStyle w:val="Citationenretrait"/>
        <w:rPr>
          <w:lang w:val="en-CA"/>
        </w:rPr>
      </w:pPr>
      <w:r w:rsidRPr="000A3539">
        <w:rPr>
          <w:lang w:val="en-CA"/>
        </w:rPr>
        <w:t>[370]  </w:t>
      </w:r>
      <w:r w:rsidR="000361C3" w:rsidRPr="000A3539">
        <w:rPr>
          <w:rFonts w:cs="Arial"/>
          <w:color w:val="000000"/>
          <w:lang w:val="en-CA"/>
        </w:rPr>
        <w:t>When trained to perform the tasks of the position (five before 2014 and four after 2014), students assume more responsibility than casual employees, who are trained to perform only three of the nine tasks.</w:t>
      </w:r>
    </w:p>
    <w:p w14:paraId="65308906" w14:textId="77777777" w:rsidR="000361C3" w:rsidRPr="000A3539" w:rsidRDefault="000361C3" w:rsidP="000361C3">
      <w:pPr>
        <w:pStyle w:val="Corpsdutexte60"/>
        <w:spacing w:before="0"/>
        <w:ind w:left="2041" w:right="720"/>
        <w:rPr>
          <w:color w:val="000000"/>
          <w:sz w:val="22"/>
          <w:szCs w:val="22"/>
          <w:lang w:val="en-CA" w:bidi="fr-FR"/>
        </w:rPr>
      </w:pPr>
      <w:r w:rsidRPr="000A3539">
        <w:rPr>
          <w:color w:val="000000"/>
          <w:sz w:val="22"/>
          <w:szCs w:val="22"/>
          <w:lang w:val="en-CA" w:bidi="fr-FR"/>
        </w:rPr>
        <w:t>Students performing the same number of tasks as casual or regular employees:</w:t>
      </w:r>
    </w:p>
    <w:p w14:paraId="65F49978" w14:textId="31561C91" w:rsidR="00352837" w:rsidRPr="000A3539" w:rsidRDefault="00D76132" w:rsidP="00352837">
      <w:pPr>
        <w:pStyle w:val="Citationenretrait"/>
        <w:rPr>
          <w:lang w:val="en-CA"/>
        </w:rPr>
      </w:pPr>
      <w:r w:rsidRPr="000A3539">
        <w:rPr>
          <w:lang w:val="en-CA"/>
        </w:rPr>
        <w:t>[371]  </w:t>
      </w:r>
      <w:r w:rsidR="000361C3" w:rsidRPr="000A3539">
        <w:rPr>
          <w:rFonts w:cs="Arial"/>
          <w:color w:val="000000"/>
          <w:lang w:val="en-CA"/>
        </w:rPr>
        <w:t>Students perform the same number of tasks as casual employees in two of the positions to which they may be assigned, and the same tasks as regular employees in five positions to which casual employees are not assigned:</w:t>
      </w:r>
    </w:p>
    <w:tbl>
      <w:tblPr>
        <w:tblStyle w:val="Grilledutableau"/>
        <w:tblW w:w="0" w:type="auto"/>
        <w:tblInd w:w="709" w:type="dxa"/>
        <w:tblLook w:val="04A0" w:firstRow="1" w:lastRow="0" w:firstColumn="1" w:lastColumn="0" w:noHBand="0" w:noVBand="1"/>
      </w:tblPr>
      <w:tblGrid>
        <w:gridCol w:w="3794"/>
        <w:gridCol w:w="992"/>
        <w:gridCol w:w="1559"/>
        <w:gridCol w:w="1735"/>
      </w:tblGrid>
      <w:tr w:rsidR="005C73F6" w:rsidRPr="0048686D" w14:paraId="032C712C" w14:textId="77777777" w:rsidTr="00FC3354">
        <w:trPr>
          <w:trHeight w:hRule="exact" w:val="633"/>
        </w:trPr>
        <w:tc>
          <w:tcPr>
            <w:tcW w:w="3794" w:type="dxa"/>
            <w:vMerge w:val="restart"/>
            <w:tcBorders>
              <w:top w:val="nil"/>
              <w:left w:val="nil"/>
              <w:right w:val="nil"/>
            </w:tcBorders>
            <w:vAlign w:val="center"/>
          </w:tcPr>
          <w:p w14:paraId="73B0858E" w14:textId="52EEB3D3" w:rsidR="00352837" w:rsidRPr="000A3539" w:rsidRDefault="000361C3" w:rsidP="00352837">
            <w:pPr>
              <w:keepNext/>
              <w:keepLines/>
              <w:rPr>
                <w:b/>
                <w:sz w:val="20"/>
                <w:lang w:val="en-CA"/>
              </w:rPr>
            </w:pPr>
            <w:r w:rsidRPr="000A3539">
              <w:rPr>
                <w:rFonts w:cs="Arial"/>
                <w:b/>
                <w:bCs/>
                <w:color w:val="000000"/>
                <w:sz w:val="20"/>
                <w:lang w:val="en-CA"/>
              </w:rPr>
              <w:t>Position – Sector</w:t>
            </w:r>
          </w:p>
        </w:tc>
        <w:tc>
          <w:tcPr>
            <w:tcW w:w="992" w:type="dxa"/>
            <w:vMerge w:val="restart"/>
            <w:tcBorders>
              <w:top w:val="nil"/>
              <w:left w:val="nil"/>
              <w:right w:val="nil"/>
            </w:tcBorders>
            <w:vAlign w:val="center"/>
          </w:tcPr>
          <w:p w14:paraId="5600872E" w14:textId="1EB7DD13" w:rsidR="00352837" w:rsidRPr="000A3539" w:rsidRDefault="000361C3" w:rsidP="00352837">
            <w:pPr>
              <w:keepNext/>
              <w:keepLines/>
              <w:jc w:val="center"/>
              <w:rPr>
                <w:b/>
                <w:sz w:val="20"/>
                <w:lang w:val="en-CA"/>
              </w:rPr>
            </w:pPr>
            <w:r w:rsidRPr="000A3539">
              <w:rPr>
                <w:rFonts w:cs="Arial"/>
                <w:b/>
                <w:bCs/>
                <w:color w:val="000000"/>
                <w:sz w:val="20"/>
                <w:lang w:val="en-CA"/>
              </w:rPr>
              <w:t>Number of tasks</w:t>
            </w:r>
          </w:p>
        </w:tc>
        <w:tc>
          <w:tcPr>
            <w:tcW w:w="3294" w:type="dxa"/>
            <w:gridSpan w:val="2"/>
            <w:tcBorders>
              <w:top w:val="nil"/>
              <w:left w:val="nil"/>
              <w:bottom w:val="single" w:sz="4" w:space="0" w:color="auto"/>
              <w:right w:val="nil"/>
            </w:tcBorders>
            <w:vAlign w:val="center"/>
          </w:tcPr>
          <w:p w14:paraId="6D4ECD72" w14:textId="25421A22" w:rsidR="00352837" w:rsidRPr="000A3539" w:rsidRDefault="000361C3" w:rsidP="00FC3354">
            <w:pPr>
              <w:keepNext/>
              <w:keepLines/>
              <w:jc w:val="center"/>
              <w:rPr>
                <w:b/>
                <w:sz w:val="20"/>
                <w:lang w:val="en-CA"/>
              </w:rPr>
            </w:pPr>
            <w:r w:rsidRPr="000A3539">
              <w:rPr>
                <w:rFonts w:cs="Arial"/>
                <w:b/>
                <w:bCs/>
                <w:color w:val="000000"/>
                <w:sz w:val="20"/>
                <w:lang w:val="en-CA"/>
              </w:rPr>
              <w:t>Number of tasks performed by</w:t>
            </w:r>
          </w:p>
        </w:tc>
      </w:tr>
      <w:tr w:rsidR="005C73F6" w:rsidRPr="000A3539" w14:paraId="3A71FA4B" w14:textId="77777777" w:rsidTr="00352837">
        <w:trPr>
          <w:trHeight w:hRule="exact" w:val="340"/>
        </w:trPr>
        <w:tc>
          <w:tcPr>
            <w:tcW w:w="3794" w:type="dxa"/>
            <w:vMerge/>
            <w:tcBorders>
              <w:left w:val="nil"/>
              <w:bottom w:val="single" w:sz="4" w:space="0" w:color="auto"/>
              <w:right w:val="nil"/>
            </w:tcBorders>
            <w:vAlign w:val="center"/>
          </w:tcPr>
          <w:p w14:paraId="5AFE680B" w14:textId="77777777" w:rsidR="00352837" w:rsidRPr="000A3539" w:rsidRDefault="00352837" w:rsidP="00352837">
            <w:pPr>
              <w:keepNext/>
              <w:keepLines/>
              <w:jc w:val="center"/>
              <w:rPr>
                <w:b/>
                <w:sz w:val="20"/>
                <w:lang w:val="en-CA"/>
              </w:rPr>
            </w:pPr>
          </w:p>
        </w:tc>
        <w:tc>
          <w:tcPr>
            <w:tcW w:w="992" w:type="dxa"/>
            <w:vMerge/>
            <w:tcBorders>
              <w:left w:val="nil"/>
              <w:bottom w:val="single" w:sz="4" w:space="0" w:color="auto"/>
              <w:right w:val="nil"/>
            </w:tcBorders>
            <w:vAlign w:val="center"/>
          </w:tcPr>
          <w:p w14:paraId="6CEA5DA4" w14:textId="77777777" w:rsidR="00352837" w:rsidRPr="000A3539" w:rsidRDefault="00352837" w:rsidP="00352837">
            <w:pPr>
              <w:keepNext/>
              <w:keepLines/>
              <w:jc w:val="center"/>
              <w:rPr>
                <w:b/>
                <w:sz w:val="20"/>
                <w:lang w:val="en-CA"/>
              </w:rPr>
            </w:pPr>
          </w:p>
        </w:tc>
        <w:tc>
          <w:tcPr>
            <w:tcW w:w="1559" w:type="dxa"/>
            <w:tcBorders>
              <w:top w:val="nil"/>
              <w:left w:val="nil"/>
              <w:bottom w:val="single" w:sz="4" w:space="0" w:color="auto"/>
              <w:right w:val="nil"/>
            </w:tcBorders>
            <w:vAlign w:val="center"/>
          </w:tcPr>
          <w:p w14:paraId="76173FC8" w14:textId="7E68FE86" w:rsidR="00352837" w:rsidRPr="000A3539" w:rsidRDefault="000361C3" w:rsidP="00352837">
            <w:pPr>
              <w:keepNext/>
              <w:keepLines/>
              <w:spacing w:before="80"/>
              <w:jc w:val="center"/>
              <w:rPr>
                <w:b/>
                <w:sz w:val="20"/>
                <w:lang w:val="en-CA"/>
              </w:rPr>
            </w:pPr>
            <w:r w:rsidRPr="000A3539">
              <w:rPr>
                <w:rFonts w:cs="Arial"/>
                <w:b/>
                <w:bCs/>
                <w:color w:val="000000"/>
                <w:sz w:val="20"/>
                <w:lang w:val="en-CA"/>
              </w:rPr>
              <w:t>Students</w:t>
            </w:r>
          </w:p>
        </w:tc>
        <w:tc>
          <w:tcPr>
            <w:tcW w:w="1735" w:type="dxa"/>
            <w:tcBorders>
              <w:top w:val="nil"/>
              <w:left w:val="nil"/>
              <w:bottom w:val="single" w:sz="4" w:space="0" w:color="auto"/>
              <w:right w:val="nil"/>
            </w:tcBorders>
            <w:vAlign w:val="center"/>
          </w:tcPr>
          <w:p w14:paraId="74F6C860" w14:textId="7D3FFC09" w:rsidR="00352837" w:rsidRPr="000A3539" w:rsidRDefault="000361C3" w:rsidP="000361C3">
            <w:pPr>
              <w:keepNext/>
              <w:keepLines/>
              <w:spacing w:before="80"/>
              <w:jc w:val="center"/>
              <w:rPr>
                <w:b/>
                <w:sz w:val="20"/>
                <w:lang w:val="en-CA"/>
              </w:rPr>
            </w:pPr>
            <w:r w:rsidRPr="000A3539">
              <w:rPr>
                <w:rFonts w:cs="Arial"/>
                <w:b/>
                <w:bCs/>
                <w:color w:val="000000"/>
                <w:sz w:val="20"/>
                <w:lang w:val="en-CA"/>
              </w:rPr>
              <w:t>Casuals</w:t>
            </w:r>
          </w:p>
        </w:tc>
      </w:tr>
      <w:tr w:rsidR="005C73F6" w:rsidRPr="000A3539" w14:paraId="01D132DA" w14:textId="77777777" w:rsidTr="00352837">
        <w:tc>
          <w:tcPr>
            <w:tcW w:w="3794" w:type="dxa"/>
            <w:tcBorders>
              <w:top w:val="nil"/>
              <w:left w:val="nil"/>
              <w:bottom w:val="nil"/>
              <w:right w:val="nil"/>
            </w:tcBorders>
            <w:vAlign w:val="center"/>
          </w:tcPr>
          <w:p w14:paraId="419BECFB" w14:textId="2CD173D3" w:rsidR="00352837" w:rsidRPr="000A3539" w:rsidRDefault="000361C3" w:rsidP="000361C3">
            <w:pPr>
              <w:keepNext/>
              <w:keepLines/>
              <w:spacing w:after="80"/>
              <w:rPr>
                <w:sz w:val="20"/>
                <w:lang w:val="en-CA"/>
              </w:rPr>
            </w:pPr>
            <w:r w:rsidRPr="000A3539">
              <w:rPr>
                <w:rFonts w:cs="Arial"/>
                <w:color w:val="000000"/>
                <w:sz w:val="20"/>
                <w:lang w:val="en-CA"/>
              </w:rPr>
              <w:t>Baking Furnace Operator</w:t>
            </w:r>
            <w:r w:rsidR="00D76132" w:rsidRPr="000A3539">
              <w:rPr>
                <w:sz w:val="20"/>
                <w:lang w:val="en-CA"/>
              </w:rPr>
              <w:t xml:space="preserve"> – Carbon</w:t>
            </w:r>
          </w:p>
        </w:tc>
        <w:tc>
          <w:tcPr>
            <w:tcW w:w="992" w:type="dxa"/>
            <w:tcBorders>
              <w:top w:val="nil"/>
              <w:left w:val="nil"/>
              <w:bottom w:val="nil"/>
              <w:right w:val="nil"/>
            </w:tcBorders>
            <w:vAlign w:val="center"/>
          </w:tcPr>
          <w:p w14:paraId="15DF3BF1" w14:textId="77777777" w:rsidR="00352837" w:rsidRPr="000A3539" w:rsidRDefault="00D76132" w:rsidP="00352837">
            <w:pPr>
              <w:keepNext/>
              <w:keepLines/>
              <w:spacing w:after="80"/>
              <w:jc w:val="center"/>
              <w:rPr>
                <w:sz w:val="20"/>
                <w:lang w:val="en-CA"/>
              </w:rPr>
            </w:pPr>
            <w:r w:rsidRPr="000A3539">
              <w:rPr>
                <w:sz w:val="20"/>
                <w:lang w:val="en-CA"/>
              </w:rPr>
              <w:t>5</w:t>
            </w:r>
          </w:p>
        </w:tc>
        <w:tc>
          <w:tcPr>
            <w:tcW w:w="1559" w:type="dxa"/>
            <w:tcBorders>
              <w:top w:val="nil"/>
              <w:left w:val="nil"/>
              <w:bottom w:val="nil"/>
              <w:right w:val="nil"/>
            </w:tcBorders>
            <w:vAlign w:val="center"/>
          </w:tcPr>
          <w:p w14:paraId="300B4F77" w14:textId="627FCD9A" w:rsidR="00352837" w:rsidRPr="000A3539" w:rsidRDefault="00D76132" w:rsidP="000361C3">
            <w:pPr>
              <w:keepNext/>
              <w:keepLines/>
              <w:spacing w:after="80"/>
              <w:jc w:val="center"/>
              <w:rPr>
                <w:sz w:val="20"/>
                <w:vertAlign w:val="superscript"/>
                <w:lang w:val="en-CA"/>
              </w:rPr>
            </w:pPr>
            <w:r w:rsidRPr="000A3539">
              <w:rPr>
                <w:sz w:val="20"/>
                <w:lang w:val="en-CA"/>
              </w:rPr>
              <w:t xml:space="preserve">4 </w:t>
            </w:r>
            <w:r w:rsidR="000361C3" w:rsidRPr="000A3539">
              <w:rPr>
                <w:sz w:val="20"/>
                <w:lang w:val="en-CA"/>
              </w:rPr>
              <w:t>out of</w:t>
            </w:r>
            <w:r w:rsidRPr="000A3539">
              <w:rPr>
                <w:sz w:val="20"/>
                <w:lang w:val="en-CA"/>
              </w:rPr>
              <w:t xml:space="preserve"> 5</w:t>
            </w:r>
          </w:p>
        </w:tc>
        <w:tc>
          <w:tcPr>
            <w:tcW w:w="1735" w:type="dxa"/>
            <w:tcBorders>
              <w:top w:val="nil"/>
              <w:left w:val="nil"/>
              <w:bottom w:val="nil"/>
              <w:right w:val="nil"/>
            </w:tcBorders>
            <w:vAlign w:val="center"/>
          </w:tcPr>
          <w:p w14:paraId="3CF44393" w14:textId="0E72942C" w:rsidR="00352837" w:rsidRPr="000A3539" w:rsidRDefault="00D76132" w:rsidP="00352837">
            <w:pPr>
              <w:keepNext/>
              <w:keepLines/>
              <w:spacing w:after="80"/>
              <w:jc w:val="center"/>
              <w:rPr>
                <w:sz w:val="20"/>
                <w:lang w:val="en-CA"/>
              </w:rPr>
            </w:pPr>
            <w:r w:rsidRPr="000A3539">
              <w:rPr>
                <w:sz w:val="20"/>
                <w:lang w:val="en-CA"/>
              </w:rPr>
              <w:t xml:space="preserve">4 </w:t>
            </w:r>
            <w:r w:rsidR="000361C3" w:rsidRPr="000A3539">
              <w:rPr>
                <w:sz w:val="20"/>
                <w:lang w:val="en-CA"/>
              </w:rPr>
              <w:t>out of</w:t>
            </w:r>
            <w:r w:rsidRPr="000A3539">
              <w:rPr>
                <w:sz w:val="20"/>
                <w:lang w:val="en-CA"/>
              </w:rPr>
              <w:t xml:space="preserve"> 5</w:t>
            </w:r>
          </w:p>
        </w:tc>
      </w:tr>
      <w:tr w:rsidR="005C73F6" w:rsidRPr="000A3539" w14:paraId="0B2CB994" w14:textId="77777777" w:rsidTr="00352837">
        <w:tc>
          <w:tcPr>
            <w:tcW w:w="3794" w:type="dxa"/>
            <w:tcBorders>
              <w:top w:val="nil"/>
              <w:left w:val="nil"/>
              <w:bottom w:val="nil"/>
              <w:right w:val="nil"/>
            </w:tcBorders>
          </w:tcPr>
          <w:p w14:paraId="51987D82" w14:textId="126CCB9F" w:rsidR="00352837" w:rsidRPr="000A3539" w:rsidRDefault="000361C3" w:rsidP="00352837">
            <w:pPr>
              <w:keepNext/>
              <w:keepLines/>
              <w:spacing w:after="80"/>
              <w:rPr>
                <w:sz w:val="20"/>
                <w:lang w:val="en-CA"/>
              </w:rPr>
            </w:pPr>
            <w:r w:rsidRPr="000A3539">
              <w:rPr>
                <w:rFonts w:cs="Arial"/>
                <w:color w:val="000000"/>
                <w:sz w:val="20"/>
                <w:lang w:val="en-CA"/>
              </w:rPr>
              <w:t>Casting Preparation</w:t>
            </w:r>
            <w:r w:rsidR="00D76132" w:rsidRPr="000A3539">
              <w:rPr>
                <w:sz w:val="20"/>
                <w:lang w:val="en-CA"/>
              </w:rPr>
              <w:t xml:space="preserve"> – </w:t>
            </w:r>
            <w:r w:rsidRPr="000A3539">
              <w:rPr>
                <w:rFonts w:cs="Arial"/>
                <w:color w:val="000000"/>
                <w:sz w:val="20"/>
                <w:lang w:val="en-CA"/>
              </w:rPr>
              <w:t>Foundry</w:t>
            </w:r>
          </w:p>
        </w:tc>
        <w:tc>
          <w:tcPr>
            <w:tcW w:w="992" w:type="dxa"/>
            <w:tcBorders>
              <w:top w:val="nil"/>
              <w:left w:val="nil"/>
              <w:bottom w:val="nil"/>
              <w:right w:val="nil"/>
            </w:tcBorders>
          </w:tcPr>
          <w:p w14:paraId="6213B36D" w14:textId="77777777" w:rsidR="00352837" w:rsidRPr="000A3539" w:rsidRDefault="00D76132" w:rsidP="00352837">
            <w:pPr>
              <w:keepNext/>
              <w:keepLines/>
              <w:spacing w:after="80"/>
              <w:jc w:val="center"/>
              <w:rPr>
                <w:sz w:val="20"/>
                <w:lang w:val="en-CA"/>
              </w:rPr>
            </w:pPr>
            <w:r w:rsidRPr="000A3539">
              <w:rPr>
                <w:sz w:val="20"/>
                <w:lang w:val="en-CA"/>
              </w:rPr>
              <w:t>5</w:t>
            </w:r>
          </w:p>
        </w:tc>
        <w:tc>
          <w:tcPr>
            <w:tcW w:w="1559" w:type="dxa"/>
            <w:tcBorders>
              <w:top w:val="nil"/>
              <w:left w:val="nil"/>
              <w:bottom w:val="nil"/>
              <w:right w:val="nil"/>
            </w:tcBorders>
          </w:tcPr>
          <w:p w14:paraId="28D74D37" w14:textId="17328F3A" w:rsidR="00352837" w:rsidRPr="000A3539" w:rsidRDefault="00D76132" w:rsidP="000361C3">
            <w:pPr>
              <w:keepNext/>
              <w:keepLines/>
              <w:spacing w:after="80"/>
              <w:jc w:val="center"/>
              <w:rPr>
                <w:sz w:val="20"/>
                <w:lang w:val="en-CA"/>
              </w:rPr>
            </w:pPr>
            <w:r w:rsidRPr="000A3539">
              <w:rPr>
                <w:sz w:val="20"/>
                <w:lang w:val="en-CA"/>
              </w:rPr>
              <w:t xml:space="preserve">3 </w:t>
            </w:r>
            <w:r w:rsidR="000361C3" w:rsidRPr="000A3539">
              <w:rPr>
                <w:sz w:val="20"/>
                <w:lang w:val="en-CA"/>
              </w:rPr>
              <w:t>out of</w:t>
            </w:r>
            <w:r w:rsidRPr="000A3539">
              <w:rPr>
                <w:sz w:val="20"/>
                <w:lang w:val="en-CA"/>
              </w:rPr>
              <w:t xml:space="preserve"> 5</w:t>
            </w:r>
          </w:p>
        </w:tc>
        <w:tc>
          <w:tcPr>
            <w:tcW w:w="1735" w:type="dxa"/>
            <w:tcBorders>
              <w:top w:val="nil"/>
              <w:left w:val="nil"/>
              <w:bottom w:val="nil"/>
              <w:right w:val="nil"/>
            </w:tcBorders>
          </w:tcPr>
          <w:p w14:paraId="66BA110B" w14:textId="590944A8" w:rsidR="00352837" w:rsidRPr="000A3539" w:rsidRDefault="00D76132" w:rsidP="00352837">
            <w:pPr>
              <w:keepNext/>
              <w:keepLines/>
              <w:spacing w:after="80"/>
              <w:jc w:val="center"/>
              <w:rPr>
                <w:sz w:val="20"/>
                <w:lang w:val="en-CA"/>
              </w:rPr>
            </w:pPr>
            <w:r w:rsidRPr="000A3539">
              <w:rPr>
                <w:sz w:val="20"/>
                <w:lang w:val="en-CA"/>
              </w:rPr>
              <w:t xml:space="preserve">3 </w:t>
            </w:r>
            <w:r w:rsidR="000361C3" w:rsidRPr="000A3539">
              <w:rPr>
                <w:sz w:val="20"/>
                <w:lang w:val="en-CA"/>
              </w:rPr>
              <w:t>out of</w:t>
            </w:r>
            <w:r w:rsidRPr="000A3539">
              <w:rPr>
                <w:sz w:val="20"/>
                <w:lang w:val="en-CA"/>
              </w:rPr>
              <w:t xml:space="preserve"> 5</w:t>
            </w:r>
          </w:p>
        </w:tc>
      </w:tr>
      <w:tr w:rsidR="005C73F6" w:rsidRPr="000A3539" w14:paraId="68074CF5" w14:textId="77777777" w:rsidTr="00352837">
        <w:trPr>
          <w:trHeight w:val="113"/>
        </w:trPr>
        <w:tc>
          <w:tcPr>
            <w:tcW w:w="3794" w:type="dxa"/>
            <w:tcBorders>
              <w:top w:val="nil"/>
              <w:left w:val="nil"/>
              <w:bottom w:val="nil"/>
              <w:right w:val="nil"/>
            </w:tcBorders>
          </w:tcPr>
          <w:p w14:paraId="4DD8096E" w14:textId="77777777" w:rsidR="00352837" w:rsidRPr="000A3539" w:rsidRDefault="00352837" w:rsidP="00352837">
            <w:pPr>
              <w:keepNext/>
              <w:keepLines/>
              <w:rPr>
                <w:sz w:val="20"/>
                <w:lang w:val="en-CA"/>
              </w:rPr>
            </w:pPr>
          </w:p>
        </w:tc>
        <w:tc>
          <w:tcPr>
            <w:tcW w:w="992" w:type="dxa"/>
            <w:tcBorders>
              <w:top w:val="nil"/>
              <w:left w:val="nil"/>
              <w:bottom w:val="nil"/>
              <w:right w:val="nil"/>
            </w:tcBorders>
          </w:tcPr>
          <w:p w14:paraId="73EE904F" w14:textId="77777777" w:rsidR="00352837" w:rsidRPr="000A3539" w:rsidRDefault="00352837" w:rsidP="00352837">
            <w:pPr>
              <w:keepNext/>
              <w:keepLines/>
              <w:jc w:val="center"/>
              <w:rPr>
                <w:sz w:val="20"/>
                <w:lang w:val="en-CA"/>
              </w:rPr>
            </w:pPr>
          </w:p>
        </w:tc>
        <w:tc>
          <w:tcPr>
            <w:tcW w:w="1559" w:type="dxa"/>
            <w:tcBorders>
              <w:top w:val="nil"/>
              <w:left w:val="nil"/>
              <w:bottom w:val="nil"/>
              <w:right w:val="nil"/>
            </w:tcBorders>
          </w:tcPr>
          <w:p w14:paraId="22230E41" w14:textId="77777777" w:rsidR="00352837" w:rsidRPr="000A3539" w:rsidRDefault="00352837" w:rsidP="00352837">
            <w:pPr>
              <w:keepNext/>
              <w:keepLines/>
              <w:jc w:val="center"/>
              <w:rPr>
                <w:sz w:val="20"/>
                <w:lang w:val="en-CA"/>
              </w:rPr>
            </w:pPr>
          </w:p>
        </w:tc>
        <w:tc>
          <w:tcPr>
            <w:tcW w:w="1735" w:type="dxa"/>
            <w:tcBorders>
              <w:top w:val="nil"/>
              <w:left w:val="nil"/>
              <w:bottom w:val="nil"/>
              <w:right w:val="nil"/>
            </w:tcBorders>
          </w:tcPr>
          <w:p w14:paraId="35E6884A" w14:textId="77777777" w:rsidR="00352837" w:rsidRPr="000A3539" w:rsidRDefault="00352837" w:rsidP="00352837">
            <w:pPr>
              <w:keepNext/>
              <w:keepLines/>
              <w:jc w:val="center"/>
              <w:rPr>
                <w:sz w:val="20"/>
                <w:lang w:val="en-CA"/>
              </w:rPr>
            </w:pPr>
          </w:p>
        </w:tc>
      </w:tr>
      <w:tr w:rsidR="005C73F6" w:rsidRPr="000A3539" w14:paraId="7157EBF6" w14:textId="77777777" w:rsidTr="00352837">
        <w:tc>
          <w:tcPr>
            <w:tcW w:w="3794" w:type="dxa"/>
            <w:tcBorders>
              <w:top w:val="nil"/>
              <w:left w:val="nil"/>
              <w:bottom w:val="nil"/>
              <w:right w:val="nil"/>
            </w:tcBorders>
          </w:tcPr>
          <w:p w14:paraId="7B20372E" w14:textId="5183554A" w:rsidR="00352837" w:rsidRPr="000A3539" w:rsidRDefault="00352837" w:rsidP="00352837">
            <w:pPr>
              <w:keepNext/>
              <w:keepLines/>
              <w:spacing w:after="80"/>
              <w:rPr>
                <w:sz w:val="20"/>
                <w:lang w:val="en-CA"/>
              </w:rPr>
            </w:pPr>
            <w:r w:rsidRPr="000A3539">
              <w:rPr>
                <w:rFonts w:cs="Arial"/>
                <w:color w:val="000000"/>
                <w:sz w:val="20"/>
                <w:lang w:val="en-CA"/>
              </w:rPr>
              <w:t>Measures Operator – Electrolysis</w:t>
            </w:r>
          </w:p>
        </w:tc>
        <w:tc>
          <w:tcPr>
            <w:tcW w:w="992" w:type="dxa"/>
            <w:tcBorders>
              <w:top w:val="nil"/>
              <w:left w:val="nil"/>
              <w:bottom w:val="nil"/>
              <w:right w:val="nil"/>
            </w:tcBorders>
          </w:tcPr>
          <w:p w14:paraId="1DF1DA4C" w14:textId="77777777" w:rsidR="00352837" w:rsidRPr="000A3539" w:rsidRDefault="00D76132" w:rsidP="00352837">
            <w:pPr>
              <w:keepNext/>
              <w:keepLines/>
              <w:spacing w:after="80"/>
              <w:jc w:val="center"/>
              <w:rPr>
                <w:sz w:val="20"/>
                <w:lang w:val="en-CA"/>
              </w:rPr>
            </w:pPr>
            <w:r w:rsidRPr="000A3539">
              <w:rPr>
                <w:sz w:val="20"/>
                <w:lang w:val="en-CA"/>
              </w:rPr>
              <w:t>1</w:t>
            </w:r>
          </w:p>
        </w:tc>
        <w:tc>
          <w:tcPr>
            <w:tcW w:w="1559" w:type="dxa"/>
            <w:tcBorders>
              <w:top w:val="nil"/>
              <w:left w:val="nil"/>
              <w:bottom w:val="nil"/>
              <w:right w:val="nil"/>
            </w:tcBorders>
          </w:tcPr>
          <w:p w14:paraId="62504F61" w14:textId="77777777" w:rsidR="00352837" w:rsidRPr="000A3539" w:rsidRDefault="00D76132" w:rsidP="00352837">
            <w:pPr>
              <w:keepNext/>
              <w:keepLines/>
              <w:spacing w:after="80"/>
              <w:jc w:val="center"/>
              <w:rPr>
                <w:sz w:val="20"/>
                <w:lang w:val="en-CA"/>
              </w:rPr>
            </w:pPr>
            <w:r w:rsidRPr="000A3539">
              <w:rPr>
                <w:sz w:val="20"/>
                <w:lang w:val="en-CA"/>
              </w:rPr>
              <w:t>1</w:t>
            </w:r>
          </w:p>
        </w:tc>
        <w:tc>
          <w:tcPr>
            <w:tcW w:w="1735" w:type="dxa"/>
            <w:tcBorders>
              <w:top w:val="nil"/>
              <w:left w:val="nil"/>
              <w:bottom w:val="nil"/>
              <w:right w:val="nil"/>
            </w:tcBorders>
          </w:tcPr>
          <w:p w14:paraId="3E0217CD" w14:textId="77777777" w:rsidR="00352837" w:rsidRPr="000A3539" w:rsidRDefault="00D76132" w:rsidP="00352837">
            <w:pPr>
              <w:keepNext/>
              <w:keepLines/>
              <w:spacing w:after="80"/>
              <w:jc w:val="center"/>
              <w:rPr>
                <w:sz w:val="20"/>
                <w:lang w:val="en-CA"/>
              </w:rPr>
            </w:pPr>
            <w:r w:rsidRPr="000A3539">
              <w:rPr>
                <w:sz w:val="20"/>
                <w:lang w:val="en-CA"/>
              </w:rPr>
              <w:t>0</w:t>
            </w:r>
          </w:p>
        </w:tc>
      </w:tr>
      <w:tr w:rsidR="005C73F6" w:rsidRPr="000A3539" w14:paraId="6338B3C0" w14:textId="77777777" w:rsidTr="00352837">
        <w:tc>
          <w:tcPr>
            <w:tcW w:w="3794" w:type="dxa"/>
            <w:tcBorders>
              <w:top w:val="nil"/>
              <w:left w:val="nil"/>
              <w:bottom w:val="nil"/>
              <w:right w:val="nil"/>
            </w:tcBorders>
          </w:tcPr>
          <w:p w14:paraId="55042A10" w14:textId="1BDA572C" w:rsidR="00352837" w:rsidRPr="000A3539" w:rsidRDefault="00352837" w:rsidP="00352837">
            <w:pPr>
              <w:keepNext/>
              <w:keepLines/>
              <w:spacing w:after="80"/>
              <w:rPr>
                <w:sz w:val="20"/>
                <w:lang w:val="en-CA"/>
              </w:rPr>
            </w:pPr>
            <w:r w:rsidRPr="000A3539">
              <w:rPr>
                <w:rFonts w:cs="Arial"/>
                <w:color w:val="000000"/>
                <w:sz w:val="20"/>
                <w:lang w:val="en-CA"/>
              </w:rPr>
              <w:t>Support Operator – Electrolysis</w:t>
            </w:r>
          </w:p>
        </w:tc>
        <w:tc>
          <w:tcPr>
            <w:tcW w:w="992" w:type="dxa"/>
            <w:tcBorders>
              <w:top w:val="nil"/>
              <w:left w:val="nil"/>
              <w:bottom w:val="nil"/>
              <w:right w:val="nil"/>
            </w:tcBorders>
          </w:tcPr>
          <w:p w14:paraId="1BCE7EA8" w14:textId="77777777" w:rsidR="00352837" w:rsidRPr="000A3539" w:rsidRDefault="00D76132" w:rsidP="00352837">
            <w:pPr>
              <w:keepNext/>
              <w:keepLines/>
              <w:spacing w:after="80"/>
              <w:jc w:val="center"/>
              <w:rPr>
                <w:sz w:val="20"/>
                <w:lang w:val="en-CA"/>
              </w:rPr>
            </w:pPr>
            <w:r w:rsidRPr="000A3539">
              <w:rPr>
                <w:sz w:val="20"/>
                <w:lang w:val="en-CA"/>
              </w:rPr>
              <w:t>1</w:t>
            </w:r>
          </w:p>
        </w:tc>
        <w:tc>
          <w:tcPr>
            <w:tcW w:w="1559" w:type="dxa"/>
            <w:tcBorders>
              <w:top w:val="nil"/>
              <w:left w:val="nil"/>
              <w:bottom w:val="nil"/>
              <w:right w:val="nil"/>
            </w:tcBorders>
          </w:tcPr>
          <w:p w14:paraId="5BDDBA83" w14:textId="77777777" w:rsidR="00352837" w:rsidRPr="000A3539" w:rsidRDefault="00D76132" w:rsidP="00352837">
            <w:pPr>
              <w:keepNext/>
              <w:keepLines/>
              <w:spacing w:after="80"/>
              <w:jc w:val="center"/>
              <w:rPr>
                <w:sz w:val="20"/>
                <w:lang w:val="en-CA"/>
              </w:rPr>
            </w:pPr>
            <w:r w:rsidRPr="000A3539">
              <w:rPr>
                <w:sz w:val="20"/>
                <w:lang w:val="en-CA"/>
              </w:rPr>
              <w:t>1</w:t>
            </w:r>
          </w:p>
        </w:tc>
        <w:tc>
          <w:tcPr>
            <w:tcW w:w="1735" w:type="dxa"/>
            <w:tcBorders>
              <w:top w:val="nil"/>
              <w:left w:val="nil"/>
              <w:bottom w:val="nil"/>
              <w:right w:val="nil"/>
            </w:tcBorders>
          </w:tcPr>
          <w:p w14:paraId="6449185E" w14:textId="77777777" w:rsidR="00352837" w:rsidRPr="000A3539" w:rsidRDefault="00D76132" w:rsidP="00352837">
            <w:pPr>
              <w:keepNext/>
              <w:keepLines/>
              <w:spacing w:after="80"/>
              <w:jc w:val="center"/>
              <w:rPr>
                <w:sz w:val="20"/>
                <w:lang w:val="en-CA"/>
              </w:rPr>
            </w:pPr>
            <w:r w:rsidRPr="000A3539">
              <w:rPr>
                <w:sz w:val="20"/>
                <w:lang w:val="en-CA"/>
              </w:rPr>
              <w:t>0</w:t>
            </w:r>
          </w:p>
        </w:tc>
      </w:tr>
      <w:tr w:rsidR="005C73F6" w:rsidRPr="000A3539" w14:paraId="25DD2E69" w14:textId="77777777" w:rsidTr="00352837">
        <w:tc>
          <w:tcPr>
            <w:tcW w:w="3794" w:type="dxa"/>
            <w:tcBorders>
              <w:top w:val="nil"/>
              <w:left w:val="nil"/>
              <w:bottom w:val="nil"/>
              <w:right w:val="nil"/>
            </w:tcBorders>
          </w:tcPr>
          <w:p w14:paraId="1154B248" w14:textId="30560007" w:rsidR="00352837" w:rsidRPr="000A3539" w:rsidRDefault="00352837" w:rsidP="00352837">
            <w:pPr>
              <w:keepNext/>
              <w:keepLines/>
              <w:spacing w:after="80"/>
              <w:rPr>
                <w:sz w:val="20"/>
                <w:lang w:val="en-CA"/>
              </w:rPr>
            </w:pPr>
            <w:r w:rsidRPr="000A3539">
              <w:rPr>
                <w:rFonts w:cs="Arial"/>
                <w:color w:val="000000"/>
                <w:sz w:val="20"/>
                <w:lang w:val="en-CA"/>
              </w:rPr>
              <w:t>Planning Coordinator – Foundry</w:t>
            </w:r>
          </w:p>
        </w:tc>
        <w:tc>
          <w:tcPr>
            <w:tcW w:w="992" w:type="dxa"/>
            <w:tcBorders>
              <w:top w:val="nil"/>
              <w:left w:val="nil"/>
              <w:bottom w:val="nil"/>
              <w:right w:val="nil"/>
            </w:tcBorders>
          </w:tcPr>
          <w:p w14:paraId="79482C59" w14:textId="77777777" w:rsidR="00352837" w:rsidRPr="000A3539" w:rsidRDefault="00D76132" w:rsidP="00352837">
            <w:pPr>
              <w:keepNext/>
              <w:keepLines/>
              <w:spacing w:after="80"/>
              <w:jc w:val="center"/>
              <w:rPr>
                <w:sz w:val="20"/>
                <w:lang w:val="en-CA"/>
              </w:rPr>
            </w:pPr>
            <w:r w:rsidRPr="000A3539">
              <w:rPr>
                <w:sz w:val="20"/>
                <w:lang w:val="en-CA"/>
              </w:rPr>
              <w:t>3</w:t>
            </w:r>
          </w:p>
        </w:tc>
        <w:tc>
          <w:tcPr>
            <w:tcW w:w="1559" w:type="dxa"/>
            <w:tcBorders>
              <w:top w:val="nil"/>
              <w:left w:val="nil"/>
              <w:bottom w:val="nil"/>
              <w:right w:val="nil"/>
            </w:tcBorders>
          </w:tcPr>
          <w:p w14:paraId="60DA5B60" w14:textId="77777777" w:rsidR="00352837" w:rsidRPr="000A3539" w:rsidRDefault="00D76132" w:rsidP="00352837">
            <w:pPr>
              <w:keepNext/>
              <w:keepLines/>
              <w:spacing w:after="80"/>
              <w:jc w:val="center"/>
              <w:rPr>
                <w:sz w:val="20"/>
                <w:lang w:val="en-CA"/>
              </w:rPr>
            </w:pPr>
            <w:r w:rsidRPr="000A3539">
              <w:rPr>
                <w:sz w:val="20"/>
                <w:lang w:val="en-CA"/>
              </w:rPr>
              <w:t>3</w:t>
            </w:r>
          </w:p>
        </w:tc>
        <w:tc>
          <w:tcPr>
            <w:tcW w:w="1735" w:type="dxa"/>
            <w:tcBorders>
              <w:top w:val="nil"/>
              <w:left w:val="nil"/>
              <w:bottom w:val="nil"/>
              <w:right w:val="nil"/>
            </w:tcBorders>
          </w:tcPr>
          <w:p w14:paraId="33F05442" w14:textId="77777777" w:rsidR="00352837" w:rsidRPr="000A3539" w:rsidRDefault="00D76132" w:rsidP="00352837">
            <w:pPr>
              <w:keepNext/>
              <w:keepLines/>
              <w:spacing w:after="80"/>
              <w:jc w:val="center"/>
              <w:rPr>
                <w:sz w:val="20"/>
                <w:lang w:val="en-CA"/>
              </w:rPr>
            </w:pPr>
            <w:r w:rsidRPr="000A3539">
              <w:rPr>
                <w:sz w:val="20"/>
                <w:lang w:val="en-CA"/>
              </w:rPr>
              <w:t>0</w:t>
            </w:r>
          </w:p>
        </w:tc>
      </w:tr>
      <w:tr w:rsidR="005C73F6" w:rsidRPr="000A3539" w14:paraId="751FAEB9" w14:textId="77777777" w:rsidTr="00352837">
        <w:tc>
          <w:tcPr>
            <w:tcW w:w="3794" w:type="dxa"/>
            <w:tcBorders>
              <w:top w:val="nil"/>
              <w:left w:val="nil"/>
              <w:bottom w:val="nil"/>
              <w:right w:val="nil"/>
            </w:tcBorders>
          </w:tcPr>
          <w:p w14:paraId="314A4218" w14:textId="6DB567C0" w:rsidR="00352837" w:rsidRPr="000A3539" w:rsidRDefault="0093253F" w:rsidP="00352837">
            <w:pPr>
              <w:keepNext/>
              <w:keepLines/>
              <w:spacing w:after="80"/>
              <w:rPr>
                <w:sz w:val="20"/>
                <w:lang w:val="en-CA"/>
              </w:rPr>
            </w:pPr>
            <w:r w:rsidRPr="000A3539">
              <w:rPr>
                <w:rFonts w:cs="Arial"/>
                <w:color w:val="000000"/>
                <w:sz w:val="20"/>
                <w:lang w:val="en-CA"/>
              </w:rPr>
              <w:t>Washing – Handling – Transp. Op.</w:t>
            </w:r>
          </w:p>
        </w:tc>
        <w:tc>
          <w:tcPr>
            <w:tcW w:w="992" w:type="dxa"/>
            <w:tcBorders>
              <w:top w:val="nil"/>
              <w:left w:val="nil"/>
              <w:bottom w:val="nil"/>
              <w:right w:val="nil"/>
            </w:tcBorders>
          </w:tcPr>
          <w:p w14:paraId="08D6654B" w14:textId="77777777" w:rsidR="00352837" w:rsidRPr="000A3539" w:rsidRDefault="00D76132" w:rsidP="00352837">
            <w:pPr>
              <w:keepNext/>
              <w:keepLines/>
              <w:spacing w:after="80"/>
              <w:jc w:val="center"/>
              <w:rPr>
                <w:sz w:val="20"/>
                <w:lang w:val="en-CA"/>
              </w:rPr>
            </w:pPr>
            <w:r w:rsidRPr="000A3539">
              <w:rPr>
                <w:sz w:val="20"/>
                <w:lang w:val="en-CA"/>
              </w:rPr>
              <w:t>1</w:t>
            </w:r>
          </w:p>
        </w:tc>
        <w:tc>
          <w:tcPr>
            <w:tcW w:w="1559" w:type="dxa"/>
            <w:tcBorders>
              <w:top w:val="nil"/>
              <w:left w:val="nil"/>
              <w:bottom w:val="nil"/>
              <w:right w:val="nil"/>
            </w:tcBorders>
          </w:tcPr>
          <w:p w14:paraId="23F8A82B" w14:textId="77777777" w:rsidR="00352837" w:rsidRPr="000A3539" w:rsidRDefault="00D76132" w:rsidP="00352837">
            <w:pPr>
              <w:keepNext/>
              <w:keepLines/>
              <w:spacing w:after="80"/>
              <w:jc w:val="center"/>
              <w:rPr>
                <w:sz w:val="20"/>
                <w:lang w:val="en-CA"/>
              </w:rPr>
            </w:pPr>
            <w:r w:rsidRPr="000A3539">
              <w:rPr>
                <w:sz w:val="20"/>
                <w:lang w:val="en-CA"/>
              </w:rPr>
              <w:t>1</w:t>
            </w:r>
          </w:p>
        </w:tc>
        <w:tc>
          <w:tcPr>
            <w:tcW w:w="1735" w:type="dxa"/>
            <w:tcBorders>
              <w:top w:val="nil"/>
              <w:left w:val="nil"/>
              <w:bottom w:val="nil"/>
              <w:right w:val="nil"/>
            </w:tcBorders>
          </w:tcPr>
          <w:p w14:paraId="15583CC3" w14:textId="77777777" w:rsidR="00352837" w:rsidRPr="000A3539" w:rsidRDefault="00D76132" w:rsidP="00352837">
            <w:pPr>
              <w:keepNext/>
              <w:keepLines/>
              <w:spacing w:after="80"/>
              <w:jc w:val="center"/>
              <w:rPr>
                <w:sz w:val="20"/>
                <w:lang w:val="en-CA"/>
              </w:rPr>
            </w:pPr>
            <w:r w:rsidRPr="000A3539">
              <w:rPr>
                <w:sz w:val="20"/>
                <w:lang w:val="en-CA"/>
              </w:rPr>
              <w:t>0</w:t>
            </w:r>
          </w:p>
        </w:tc>
      </w:tr>
      <w:tr w:rsidR="005C73F6" w:rsidRPr="000A3539" w14:paraId="429A4073" w14:textId="77777777" w:rsidTr="00352837">
        <w:tc>
          <w:tcPr>
            <w:tcW w:w="3794" w:type="dxa"/>
            <w:tcBorders>
              <w:top w:val="nil"/>
              <w:left w:val="nil"/>
              <w:bottom w:val="nil"/>
              <w:right w:val="nil"/>
            </w:tcBorders>
          </w:tcPr>
          <w:p w14:paraId="5B7EDDA6" w14:textId="6D03B108" w:rsidR="00352837" w:rsidRPr="000A3539" w:rsidRDefault="0093253F" w:rsidP="00352837">
            <w:pPr>
              <w:keepNext/>
              <w:keepLines/>
              <w:spacing w:after="80"/>
              <w:rPr>
                <w:sz w:val="20"/>
                <w:lang w:val="en-CA"/>
              </w:rPr>
            </w:pPr>
            <w:r w:rsidRPr="000A3539">
              <w:rPr>
                <w:rFonts w:cs="Arial"/>
                <w:color w:val="000000"/>
                <w:sz w:val="20"/>
                <w:lang w:val="en-CA"/>
              </w:rPr>
              <w:t>Casting Outlet Operator</w:t>
            </w:r>
          </w:p>
        </w:tc>
        <w:tc>
          <w:tcPr>
            <w:tcW w:w="992" w:type="dxa"/>
            <w:tcBorders>
              <w:top w:val="nil"/>
              <w:left w:val="nil"/>
              <w:bottom w:val="nil"/>
              <w:right w:val="nil"/>
            </w:tcBorders>
          </w:tcPr>
          <w:p w14:paraId="2D0A1F9E" w14:textId="77777777" w:rsidR="00352837" w:rsidRPr="000A3539" w:rsidRDefault="00D76132" w:rsidP="00352837">
            <w:pPr>
              <w:keepNext/>
              <w:keepLines/>
              <w:spacing w:after="80"/>
              <w:jc w:val="center"/>
              <w:rPr>
                <w:sz w:val="20"/>
                <w:lang w:val="en-CA"/>
              </w:rPr>
            </w:pPr>
            <w:r w:rsidRPr="000A3539">
              <w:rPr>
                <w:sz w:val="20"/>
                <w:lang w:val="en-CA"/>
              </w:rPr>
              <w:t>4</w:t>
            </w:r>
          </w:p>
        </w:tc>
        <w:tc>
          <w:tcPr>
            <w:tcW w:w="1559" w:type="dxa"/>
            <w:tcBorders>
              <w:top w:val="nil"/>
              <w:left w:val="nil"/>
              <w:bottom w:val="nil"/>
              <w:right w:val="nil"/>
            </w:tcBorders>
          </w:tcPr>
          <w:p w14:paraId="786BC2F7" w14:textId="77777777" w:rsidR="00352837" w:rsidRPr="000A3539" w:rsidRDefault="00D76132" w:rsidP="00352837">
            <w:pPr>
              <w:keepNext/>
              <w:keepLines/>
              <w:spacing w:after="80"/>
              <w:jc w:val="center"/>
              <w:rPr>
                <w:sz w:val="20"/>
                <w:lang w:val="en-CA"/>
              </w:rPr>
            </w:pPr>
            <w:r w:rsidRPr="000A3539">
              <w:rPr>
                <w:sz w:val="20"/>
                <w:lang w:val="en-CA"/>
              </w:rPr>
              <w:t>4</w:t>
            </w:r>
          </w:p>
        </w:tc>
        <w:tc>
          <w:tcPr>
            <w:tcW w:w="1735" w:type="dxa"/>
            <w:tcBorders>
              <w:top w:val="nil"/>
              <w:left w:val="nil"/>
              <w:bottom w:val="nil"/>
              <w:right w:val="nil"/>
            </w:tcBorders>
          </w:tcPr>
          <w:p w14:paraId="59238460" w14:textId="77777777" w:rsidR="00352837" w:rsidRPr="000A3539" w:rsidRDefault="00D76132" w:rsidP="00352837">
            <w:pPr>
              <w:keepNext/>
              <w:keepLines/>
              <w:spacing w:after="80"/>
              <w:jc w:val="center"/>
              <w:rPr>
                <w:sz w:val="20"/>
                <w:lang w:val="en-CA"/>
              </w:rPr>
            </w:pPr>
            <w:r w:rsidRPr="000A3539">
              <w:rPr>
                <w:sz w:val="20"/>
                <w:lang w:val="en-CA"/>
              </w:rPr>
              <w:t>0</w:t>
            </w:r>
          </w:p>
        </w:tc>
      </w:tr>
    </w:tbl>
    <w:p w14:paraId="32A752FF" w14:textId="033E39B8" w:rsidR="00352837" w:rsidRPr="000A3539" w:rsidRDefault="00AC6FC9" w:rsidP="00352837">
      <w:pPr>
        <w:pStyle w:val="Citationenretrait"/>
        <w:rPr>
          <w:lang w:val="en-CA" w:eastAsia="fr-CA"/>
        </w:rPr>
      </w:pPr>
      <w:r>
        <w:rPr>
          <w:lang w:val="en-CA" w:eastAsia="fr-CA"/>
        </w:rPr>
        <w:t>[</w:t>
      </w:r>
      <w:r w:rsidR="00D76132" w:rsidRPr="000A3539">
        <w:rPr>
          <w:lang w:val="en-CA" w:eastAsia="fr-CA"/>
        </w:rPr>
        <w:t>…</w:t>
      </w:r>
      <w:r>
        <w:rPr>
          <w:lang w:val="en-CA" w:eastAsia="fr-CA"/>
        </w:rPr>
        <w:t>]</w:t>
      </w:r>
    </w:p>
    <w:p w14:paraId="5827C498" w14:textId="4F72F445" w:rsidR="00352837" w:rsidRPr="000A3539" w:rsidRDefault="00D76132" w:rsidP="00352837">
      <w:pPr>
        <w:pStyle w:val="Citationenretrait"/>
        <w:rPr>
          <w:lang w:val="en-CA"/>
        </w:rPr>
      </w:pPr>
      <w:r w:rsidRPr="000A3539">
        <w:rPr>
          <w:lang w:val="en-CA"/>
        </w:rPr>
        <w:t>[383]  </w:t>
      </w:r>
      <w:r w:rsidR="0093253F" w:rsidRPr="000A3539">
        <w:rPr>
          <w:rFonts w:cs="Arial"/>
          <w:color w:val="000000"/>
          <w:lang w:val="en-CA"/>
        </w:rPr>
        <w:t>It can only be concluded from the foregoing that students’ wages are not related to the number of tasks they perform in relation to their colleagues, i.e., casual employees when that category of employee is assigned to the same tasks as they are, or regular employees when no casual employees are assigned to the same position.</w:t>
      </w:r>
    </w:p>
    <w:p w14:paraId="08ADF1C2" w14:textId="3A13C4B9" w:rsidR="00352837" w:rsidRPr="000A3539" w:rsidRDefault="00C9102E" w:rsidP="00352837">
      <w:pPr>
        <w:pStyle w:val="Citationenretrait"/>
        <w:rPr>
          <w:lang w:val="en-CA" w:eastAsia="fr-CA"/>
        </w:rPr>
      </w:pPr>
      <w:r>
        <w:rPr>
          <w:lang w:val="en-CA" w:eastAsia="fr-CA"/>
        </w:rPr>
        <w:t>[</w:t>
      </w:r>
      <w:r w:rsidR="00D76132" w:rsidRPr="000A3539">
        <w:rPr>
          <w:lang w:val="en-CA" w:eastAsia="fr-CA"/>
        </w:rPr>
        <w:t>…</w:t>
      </w:r>
      <w:r>
        <w:rPr>
          <w:lang w:val="en-CA" w:eastAsia="fr-CA"/>
        </w:rPr>
        <w:t>]</w:t>
      </w:r>
    </w:p>
    <w:p w14:paraId="14206098" w14:textId="5B3404A6" w:rsidR="00352837" w:rsidRPr="000A3539" w:rsidRDefault="00D76132" w:rsidP="00352837">
      <w:pPr>
        <w:pStyle w:val="Citationenretrait"/>
        <w:rPr>
          <w:dstrike/>
          <w:lang w:val="en-CA"/>
        </w:rPr>
      </w:pPr>
      <w:r w:rsidRPr="000A3539">
        <w:rPr>
          <w:lang w:val="en-CA"/>
        </w:rPr>
        <w:lastRenderedPageBreak/>
        <w:t>[393]  </w:t>
      </w:r>
      <w:r w:rsidR="00C9102E">
        <w:rPr>
          <w:lang w:val="en-CA"/>
        </w:rPr>
        <w:t>T</w:t>
      </w:r>
      <w:r w:rsidR="0093253F" w:rsidRPr="000A3539">
        <w:rPr>
          <w:rFonts w:cs="Arial"/>
          <w:color w:val="000000"/>
          <w:lang w:val="en-CA"/>
        </w:rPr>
        <w:t>he lower remuneration paid to students cannot be justified either by their lack of experience</w:t>
      </w:r>
      <w:r w:rsidR="00DD5B96">
        <w:rPr>
          <w:rFonts w:cs="Arial"/>
          <w:color w:val="000000"/>
          <w:lang w:val="en-CA"/>
        </w:rPr>
        <w:t>,</w:t>
      </w:r>
      <w:r w:rsidR="0093253F" w:rsidRPr="000A3539">
        <w:rPr>
          <w:rFonts w:cs="Arial"/>
          <w:color w:val="000000"/>
          <w:lang w:val="en-CA"/>
        </w:rPr>
        <w:t xml:space="preserve"> because it is only exceptionally that the wage scales set out an increase for the other categories of unionized employees after a few months in a given position.</w:t>
      </w:r>
      <w:r w:rsidRPr="000A3539">
        <w:rPr>
          <w:rStyle w:val="Appelnotedebasdep"/>
          <w:lang w:val="en-CA"/>
        </w:rPr>
        <w:footnoteReference w:id="106"/>
      </w:r>
      <w:r w:rsidRPr="000A3539">
        <w:rPr>
          <w:lang w:val="en-CA"/>
        </w:rPr>
        <w:t xml:space="preserve"> </w:t>
      </w:r>
      <w:r w:rsidR="0093253F" w:rsidRPr="000A3539">
        <w:rPr>
          <w:rFonts w:cs="Arial"/>
          <w:color w:val="000000"/>
          <w:lang w:val="en-CA"/>
        </w:rPr>
        <w:t>Even in those cases, there are only two levels of remuneration. The general rule is that there is only one hourly rate payable per position, without any gradation related to experience</w:t>
      </w:r>
      <w:r w:rsidRPr="000A3539">
        <w:rPr>
          <w:lang w:val="en-CA"/>
        </w:rPr>
        <w:t>.</w:t>
      </w:r>
    </w:p>
    <w:p w14:paraId="392654C7" w14:textId="5B082920" w:rsidR="00352837" w:rsidRPr="000A3539" w:rsidRDefault="00DD5B96" w:rsidP="00352837">
      <w:pPr>
        <w:pStyle w:val="Citationenretrait"/>
        <w:rPr>
          <w:lang w:val="en-CA" w:eastAsia="fr-CA"/>
        </w:rPr>
      </w:pPr>
      <w:r>
        <w:rPr>
          <w:lang w:val="en-CA" w:eastAsia="fr-CA"/>
        </w:rPr>
        <w:t>[</w:t>
      </w:r>
      <w:r w:rsidR="00D76132" w:rsidRPr="000A3539">
        <w:rPr>
          <w:lang w:val="en-CA" w:eastAsia="fr-CA"/>
        </w:rPr>
        <w:t>…</w:t>
      </w:r>
      <w:r>
        <w:rPr>
          <w:lang w:val="en-CA" w:eastAsia="fr-CA"/>
        </w:rPr>
        <w:t>]</w:t>
      </w:r>
    </w:p>
    <w:p w14:paraId="0E8F1A8E" w14:textId="62DFD824" w:rsidR="00352837" w:rsidRPr="000A3539" w:rsidRDefault="00D76132" w:rsidP="00352837">
      <w:pPr>
        <w:pStyle w:val="Citationenretrait"/>
        <w:rPr>
          <w:lang w:val="en-CA"/>
        </w:rPr>
      </w:pPr>
      <w:r w:rsidRPr="000A3539">
        <w:rPr>
          <w:lang w:val="en-CA"/>
        </w:rPr>
        <w:t>[404]  </w:t>
      </w:r>
      <w:r w:rsidR="0093253F" w:rsidRPr="000A3539">
        <w:rPr>
          <w:rFonts w:cs="Arial"/>
          <w:color w:val="000000"/>
          <w:lang w:val="en-CA"/>
        </w:rPr>
        <w:t>Finally, the evidence does not support the conclusion that students perform 85% of the tasks of the positions they are assigned to, because</w:t>
      </w:r>
      <w:r w:rsidRPr="000A3539">
        <w:rPr>
          <w:lang w:val="en-CA"/>
        </w:rPr>
        <w:t>:</w:t>
      </w:r>
    </w:p>
    <w:p w14:paraId="22FA7F45" w14:textId="01EBF605" w:rsidR="00352837" w:rsidRPr="000A3539" w:rsidRDefault="0093253F" w:rsidP="00352837">
      <w:pPr>
        <w:pStyle w:val="Paragraphe"/>
        <w:numPr>
          <w:ilvl w:val="0"/>
          <w:numId w:val="23"/>
        </w:numPr>
        <w:spacing w:line="240" w:lineRule="auto"/>
        <w:ind w:left="1418" w:right="617" w:hanging="425"/>
        <w:rPr>
          <w:sz w:val="22"/>
          <w:szCs w:val="22"/>
          <w:lang w:val="en-CA"/>
        </w:rPr>
      </w:pPr>
      <w:r w:rsidRPr="000A3539">
        <w:rPr>
          <w:sz w:val="22"/>
          <w:szCs w:val="22"/>
          <w:lang w:val="en-CA"/>
        </w:rPr>
        <w:t>They perform 100% of the tasks of certain positions</w:t>
      </w:r>
      <w:r w:rsidR="00D76132" w:rsidRPr="000A3539">
        <w:rPr>
          <w:sz w:val="22"/>
          <w:szCs w:val="22"/>
          <w:lang w:val="en-CA"/>
        </w:rPr>
        <w:t>;</w:t>
      </w:r>
    </w:p>
    <w:p w14:paraId="7EF1510E" w14:textId="0811C9F8" w:rsidR="00352837" w:rsidRPr="000A3539" w:rsidRDefault="0093253F" w:rsidP="00352837">
      <w:pPr>
        <w:pStyle w:val="Paragraphe"/>
        <w:numPr>
          <w:ilvl w:val="0"/>
          <w:numId w:val="23"/>
        </w:numPr>
        <w:spacing w:line="240" w:lineRule="auto"/>
        <w:ind w:left="1418" w:right="617" w:hanging="425"/>
        <w:rPr>
          <w:sz w:val="22"/>
          <w:szCs w:val="22"/>
          <w:lang w:val="en-CA"/>
        </w:rPr>
      </w:pPr>
      <w:r w:rsidRPr="000A3539">
        <w:rPr>
          <w:sz w:val="22"/>
          <w:szCs w:val="22"/>
          <w:lang w:val="en-CA"/>
        </w:rPr>
        <w:t>Except for certain tasks (e.g., changing the saws, replacing the anodes in the pyramid, cleaning the pots and the shot-blasting machine, and working on the large butts), the evidence is silent in regard to the percentage of time occupied by each task of a position in relation to a normal workday, such that the Tribunal cannot assess whether the students actually perform 85% of the tasks</w:t>
      </w:r>
      <w:r w:rsidR="00D76132" w:rsidRPr="000A3539">
        <w:rPr>
          <w:sz w:val="22"/>
          <w:szCs w:val="22"/>
          <w:lang w:val="en-CA"/>
        </w:rPr>
        <w:t>;</w:t>
      </w:r>
    </w:p>
    <w:p w14:paraId="0ABF81DF" w14:textId="2D7DECD6" w:rsidR="00352837" w:rsidRPr="000A3539" w:rsidRDefault="003021D5" w:rsidP="00352837">
      <w:pPr>
        <w:pStyle w:val="Paragraphe"/>
        <w:numPr>
          <w:ilvl w:val="0"/>
          <w:numId w:val="23"/>
        </w:numPr>
        <w:spacing w:line="240" w:lineRule="auto"/>
        <w:ind w:left="1418" w:right="617" w:hanging="425"/>
        <w:rPr>
          <w:sz w:val="22"/>
          <w:szCs w:val="22"/>
          <w:lang w:val="en-CA"/>
        </w:rPr>
      </w:pPr>
      <w:r w:rsidRPr="000A3539">
        <w:rPr>
          <w:sz w:val="22"/>
          <w:szCs w:val="22"/>
          <w:lang w:val="en-CA"/>
        </w:rPr>
        <w:t>Apart from the theory that students cannot perform part of a task of a position (e.g., changing the saws, replacing the anodes in the pyramid, cleaning the pots and the shot-blasting machine, and working on the large butts), the evidence did not establish that this part of the task of the position was in fact performed by another employee when a student was assigned to the task</w:t>
      </w:r>
      <w:r w:rsidR="00D76132" w:rsidRPr="000A3539">
        <w:rPr>
          <w:sz w:val="22"/>
          <w:szCs w:val="22"/>
          <w:lang w:val="en-CA"/>
        </w:rPr>
        <w:t>;</w:t>
      </w:r>
    </w:p>
    <w:p w14:paraId="6FE5FE2F" w14:textId="77290228" w:rsidR="00352837" w:rsidRPr="000A3539" w:rsidRDefault="003021D5" w:rsidP="00352837">
      <w:pPr>
        <w:pStyle w:val="Paragraphe"/>
        <w:numPr>
          <w:ilvl w:val="0"/>
          <w:numId w:val="23"/>
        </w:numPr>
        <w:spacing w:line="240" w:lineRule="auto"/>
        <w:ind w:left="1418" w:right="617" w:hanging="425"/>
        <w:rPr>
          <w:sz w:val="22"/>
          <w:szCs w:val="22"/>
          <w:lang w:val="en-CA"/>
        </w:rPr>
      </w:pPr>
      <w:r w:rsidRPr="000A3539">
        <w:rPr>
          <w:sz w:val="22"/>
          <w:szCs w:val="22"/>
          <w:lang w:val="en-CA"/>
        </w:rPr>
        <w:t>Subject to certain exceptions, students perform 100% of the tasks of the employees they replace</w:t>
      </w:r>
      <w:r w:rsidR="00D76132" w:rsidRPr="000A3539">
        <w:rPr>
          <w:sz w:val="22"/>
          <w:szCs w:val="22"/>
          <w:lang w:val="en-CA"/>
        </w:rPr>
        <w:t>;</w:t>
      </w:r>
    </w:p>
    <w:p w14:paraId="6555376D" w14:textId="1A984F53" w:rsidR="00352837" w:rsidRPr="000A3539" w:rsidRDefault="003021D5" w:rsidP="00352837">
      <w:pPr>
        <w:pStyle w:val="Paragraphe"/>
        <w:numPr>
          <w:ilvl w:val="0"/>
          <w:numId w:val="23"/>
        </w:numPr>
        <w:spacing w:line="240" w:lineRule="auto"/>
        <w:ind w:left="1418" w:right="617" w:hanging="425"/>
        <w:rPr>
          <w:sz w:val="22"/>
          <w:szCs w:val="22"/>
          <w:lang w:val="en-CA"/>
        </w:rPr>
      </w:pPr>
      <w:r w:rsidRPr="000A3539">
        <w:rPr>
          <w:rFonts w:cs="Arial"/>
          <w:color w:val="000000"/>
          <w:sz w:val="22"/>
          <w:lang w:val="en-CA"/>
        </w:rPr>
        <w:t xml:space="preserve">For most positions, the number of tasks that students may perform in relation to the total number of tasks of the position is less than 85% of the tasks of the position, going as low as 22% for the position of Handling – Transport Operator. The evidence did not establish that the number of tasks that students perform represents 85% of the time of a shift </w:t>
      </w:r>
      <w:r w:rsidR="00E12458">
        <w:rPr>
          <w:rFonts w:cs="Arial"/>
          <w:color w:val="000000"/>
          <w:sz w:val="22"/>
          <w:lang w:val="en-CA"/>
        </w:rPr>
        <w:t xml:space="preserve">worked by </w:t>
      </w:r>
      <w:r w:rsidRPr="000A3539">
        <w:rPr>
          <w:rFonts w:cs="Arial"/>
          <w:color w:val="000000"/>
          <w:sz w:val="22"/>
          <w:lang w:val="en-CA"/>
        </w:rPr>
        <w:t xml:space="preserve">regular or casual employees holding the position </w:t>
      </w:r>
      <w:r w:rsidR="00E12458">
        <w:rPr>
          <w:rFonts w:cs="Arial"/>
          <w:color w:val="000000"/>
          <w:sz w:val="22"/>
          <w:lang w:val="en-CA"/>
        </w:rPr>
        <w:t xml:space="preserve">for </w:t>
      </w:r>
      <w:r w:rsidRPr="000A3539">
        <w:rPr>
          <w:rFonts w:cs="Arial"/>
          <w:color w:val="000000"/>
          <w:sz w:val="22"/>
          <w:lang w:val="en-CA"/>
        </w:rPr>
        <w:t xml:space="preserve">which the student </w:t>
      </w:r>
      <w:r w:rsidR="00E12458">
        <w:rPr>
          <w:rFonts w:cs="Arial"/>
          <w:color w:val="000000"/>
          <w:sz w:val="22"/>
          <w:lang w:val="en-CA"/>
        </w:rPr>
        <w:t xml:space="preserve">has </w:t>
      </w:r>
      <w:r w:rsidRPr="000A3539">
        <w:rPr>
          <w:rFonts w:cs="Arial"/>
          <w:color w:val="000000"/>
          <w:sz w:val="22"/>
          <w:lang w:val="en-CA"/>
        </w:rPr>
        <w:t xml:space="preserve">been assigned tasks, and </w:t>
      </w:r>
      <w:r w:rsidR="00E12458">
        <w:rPr>
          <w:rFonts w:cs="Arial"/>
          <w:color w:val="000000"/>
          <w:sz w:val="22"/>
          <w:lang w:val="en-CA"/>
        </w:rPr>
        <w:t xml:space="preserve">the evidence </w:t>
      </w:r>
      <w:r w:rsidRPr="000A3539">
        <w:rPr>
          <w:rFonts w:cs="Arial"/>
          <w:color w:val="000000"/>
          <w:sz w:val="22"/>
          <w:lang w:val="en-CA"/>
        </w:rPr>
        <w:t>did not address this point</w:t>
      </w:r>
      <w:r w:rsidR="00D76132" w:rsidRPr="000A3539">
        <w:rPr>
          <w:sz w:val="22"/>
          <w:szCs w:val="22"/>
          <w:lang w:val="en-CA"/>
        </w:rPr>
        <w:t>.</w:t>
      </w:r>
      <w:r w:rsidR="00D76132" w:rsidRPr="000A3539">
        <w:rPr>
          <w:rStyle w:val="Appelnotedebasdep"/>
          <w:sz w:val="22"/>
          <w:szCs w:val="22"/>
          <w:lang w:val="en-CA"/>
        </w:rPr>
        <w:footnoteReference w:id="107"/>
      </w:r>
    </w:p>
    <w:p w14:paraId="113C2F3C" w14:textId="6027D4D4" w:rsidR="00352837" w:rsidRPr="000A3539" w:rsidRDefault="00D76132" w:rsidP="00352837">
      <w:pPr>
        <w:pStyle w:val="Paragraphe"/>
        <w:numPr>
          <w:ilvl w:val="0"/>
          <w:numId w:val="0"/>
        </w:numPr>
        <w:spacing w:line="240" w:lineRule="auto"/>
        <w:ind w:left="993" w:right="617"/>
        <w:jc w:val="right"/>
        <w:rPr>
          <w:sz w:val="22"/>
          <w:szCs w:val="22"/>
          <w:lang w:val="en-CA"/>
        </w:rPr>
      </w:pPr>
      <w:r w:rsidRPr="000A3539">
        <w:rPr>
          <w:sz w:val="22"/>
          <w:szCs w:val="22"/>
          <w:lang w:val="en-CA"/>
        </w:rPr>
        <w:t>[</w:t>
      </w:r>
      <w:r w:rsidR="00243502" w:rsidRPr="000A3539">
        <w:rPr>
          <w:sz w:val="22"/>
          <w:szCs w:val="22"/>
          <w:lang w:val="en-CA"/>
        </w:rPr>
        <w:t>Underlining added; c</w:t>
      </w:r>
      <w:r w:rsidRPr="000A3539">
        <w:rPr>
          <w:sz w:val="22"/>
          <w:szCs w:val="22"/>
          <w:lang w:val="en-CA"/>
        </w:rPr>
        <w:t>itation</w:t>
      </w:r>
      <w:r w:rsidR="00243502" w:rsidRPr="000A3539">
        <w:rPr>
          <w:sz w:val="22"/>
          <w:szCs w:val="22"/>
          <w:lang w:val="en-CA"/>
        </w:rPr>
        <w:t xml:space="preserve">s </w:t>
      </w:r>
      <w:r w:rsidRPr="000A3539">
        <w:rPr>
          <w:sz w:val="22"/>
          <w:szCs w:val="22"/>
          <w:lang w:val="en-CA"/>
        </w:rPr>
        <w:t>omitted; itali</w:t>
      </w:r>
      <w:r w:rsidR="00243502" w:rsidRPr="000A3539">
        <w:rPr>
          <w:sz w:val="22"/>
          <w:szCs w:val="22"/>
          <w:lang w:val="en-CA"/>
        </w:rPr>
        <w:t>c</w:t>
      </w:r>
      <w:r w:rsidRPr="000A3539">
        <w:rPr>
          <w:sz w:val="22"/>
          <w:szCs w:val="22"/>
          <w:lang w:val="en-CA"/>
        </w:rPr>
        <w:t xml:space="preserve">s </w:t>
      </w:r>
      <w:r w:rsidR="00243502" w:rsidRPr="000A3539">
        <w:rPr>
          <w:sz w:val="22"/>
          <w:szCs w:val="22"/>
          <w:lang w:val="en-CA"/>
        </w:rPr>
        <w:t xml:space="preserve">in </w:t>
      </w:r>
      <w:r w:rsidRPr="000A3539">
        <w:rPr>
          <w:sz w:val="22"/>
          <w:szCs w:val="22"/>
          <w:lang w:val="en-CA"/>
        </w:rPr>
        <w:t>original]</w:t>
      </w:r>
    </w:p>
    <w:p w14:paraId="4CECD415" w14:textId="58ABB144" w:rsidR="00352837" w:rsidRPr="000A3539" w:rsidRDefault="00A042BF" w:rsidP="00352837">
      <w:pPr>
        <w:pStyle w:val="Paragraphe"/>
        <w:rPr>
          <w:lang w:val="en-CA"/>
        </w:rPr>
      </w:pPr>
      <w:r w:rsidRPr="000A3539">
        <w:rPr>
          <w:lang w:val="en-CA" w:eastAsia="fr-CA"/>
        </w:rPr>
        <w:t>To support its argument that the concept of e</w:t>
      </w:r>
      <w:r w:rsidR="00D76132" w:rsidRPr="000A3539">
        <w:rPr>
          <w:lang w:val="en-CA" w:eastAsia="fr-CA"/>
        </w:rPr>
        <w:t xml:space="preserve">quivalent </w:t>
      </w:r>
      <w:r w:rsidRPr="000A3539">
        <w:rPr>
          <w:lang w:val="en-CA" w:eastAsia="fr-CA"/>
        </w:rPr>
        <w:t xml:space="preserve">work must be analyzed from a strictly individual point of view, the </w:t>
      </w:r>
      <w:r w:rsidR="00D76132" w:rsidRPr="000A3539">
        <w:rPr>
          <w:lang w:val="en-CA" w:eastAsia="fr-CA"/>
        </w:rPr>
        <w:t>appel</w:t>
      </w:r>
      <w:r w:rsidRPr="000A3539">
        <w:rPr>
          <w:lang w:val="en-CA" w:eastAsia="fr-CA"/>
        </w:rPr>
        <w:t>l</w:t>
      </w:r>
      <w:r w:rsidR="00D76132" w:rsidRPr="000A3539">
        <w:rPr>
          <w:lang w:val="en-CA" w:eastAsia="fr-CA"/>
        </w:rPr>
        <w:t xml:space="preserve">ant </w:t>
      </w:r>
      <w:r w:rsidRPr="000A3539">
        <w:rPr>
          <w:lang w:val="en-CA" w:eastAsia="fr-CA"/>
        </w:rPr>
        <w:t xml:space="preserve">relies on </w:t>
      </w:r>
      <w:r w:rsidR="00D76132" w:rsidRPr="000A3539">
        <w:rPr>
          <w:i/>
          <w:lang w:val="en-CA" w:eastAsia="fr-CA"/>
        </w:rPr>
        <w:t>George c. Québec (</w:t>
      </w:r>
      <w:proofErr w:type="spellStart"/>
      <w:r w:rsidR="00D76132" w:rsidRPr="000A3539">
        <w:rPr>
          <w:i/>
          <w:lang w:val="en-CA" w:eastAsia="fr-CA"/>
        </w:rPr>
        <w:t>Procureur</w:t>
      </w:r>
      <w:proofErr w:type="spellEnd"/>
      <w:r w:rsidRPr="000A3539">
        <w:rPr>
          <w:i/>
          <w:lang w:val="en-CA" w:eastAsia="fr-CA"/>
        </w:rPr>
        <w:t xml:space="preserve"> </w:t>
      </w:r>
      <w:proofErr w:type="spellStart"/>
      <w:r w:rsidR="00D76132" w:rsidRPr="000A3539">
        <w:rPr>
          <w:i/>
          <w:lang w:val="en-CA" w:eastAsia="fr-CA"/>
        </w:rPr>
        <w:lastRenderedPageBreak/>
        <w:t>général</w:t>
      </w:r>
      <w:proofErr w:type="spellEnd"/>
      <w:r w:rsidR="00D76132" w:rsidRPr="000A3539">
        <w:rPr>
          <w:i/>
          <w:lang w:val="en-CA" w:eastAsia="fr-CA"/>
        </w:rPr>
        <w:t>)</w:t>
      </w:r>
      <w:bookmarkStart w:id="29" w:name="_Ref71627031"/>
      <w:r w:rsidRPr="000A3539">
        <w:rPr>
          <w:lang w:val="en-CA" w:eastAsia="fr-CA"/>
        </w:rPr>
        <w:t>.</w:t>
      </w:r>
      <w:r w:rsidR="00D76132" w:rsidRPr="000A3539">
        <w:rPr>
          <w:rStyle w:val="Appelnotedebasdep"/>
          <w:lang w:val="en-CA" w:eastAsia="fr-CA"/>
        </w:rPr>
        <w:footnoteReference w:id="108"/>
      </w:r>
      <w:bookmarkEnd w:id="29"/>
      <w:r w:rsidR="00D76132" w:rsidRPr="000A3539">
        <w:rPr>
          <w:lang w:val="en-CA" w:eastAsia="fr-CA"/>
        </w:rPr>
        <w:t xml:space="preserve"> </w:t>
      </w:r>
      <w:r w:rsidR="00B94B2A" w:rsidRPr="000A3539">
        <w:rPr>
          <w:lang w:val="en-CA" w:eastAsia="fr-CA"/>
        </w:rPr>
        <w:t xml:space="preserve">However, that case does not have the scope that the </w:t>
      </w:r>
      <w:r w:rsidR="00D76132" w:rsidRPr="000A3539">
        <w:rPr>
          <w:lang w:val="en-CA"/>
        </w:rPr>
        <w:t>appel</w:t>
      </w:r>
      <w:r w:rsidR="00B94B2A" w:rsidRPr="000A3539">
        <w:rPr>
          <w:lang w:val="en-CA"/>
        </w:rPr>
        <w:t>l</w:t>
      </w:r>
      <w:r w:rsidR="00D76132" w:rsidRPr="000A3539">
        <w:rPr>
          <w:lang w:val="en-CA"/>
        </w:rPr>
        <w:t>ant</w:t>
      </w:r>
      <w:r w:rsidR="00B94B2A" w:rsidRPr="000A3539">
        <w:rPr>
          <w:lang w:val="en-CA"/>
        </w:rPr>
        <w:t xml:space="preserve"> gives it</w:t>
      </w:r>
      <w:r w:rsidR="00D76132" w:rsidRPr="000A3539">
        <w:rPr>
          <w:lang w:val="en-CA"/>
        </w:rPr>
        <w:t>. M</w:t>
      </w:r>
      <w:r w:rsidR="00B94B2A" w:rsidRPr="000A3539">
        <w:rPr>
          <w:lang w:val="en-CA"/>
        </w:rPr>
        <w:t>r</w:t>
      </w:r>
      <w:r w:rsidR="00D76132" w:rsidRPr="000A3539">
        <w:rPr>
          <w:lang w:val="en-CA"/>
        </w:rPr>
        <w:t xml:space="preserve">. Georges </w:t>
      </w:r>
      <w:r w:rsidR="00B94B2A" w:rsidRPr="000A3539">
        <w:rPr>
          <w:lang w:val="en-CA"/>
        </w:rPr>
        <w:t xml:space="preserve">sought to be appointed as the representative in a </w:t>
      </w:r>
      <w:r w:rsidR="00D76132" w:rsidRPr="000A3539">
        <w:rPr>
          <w:lang w:val="en-CA"/>
        </w:rPr>
        <w:t>class</w:t>
      </w:r>
      <w:r w:rsidR="00B94B2A" w:rsidRPr="000A3539">
        <w:rPr>
          <w:lang w:val="en-CA"/>
        </w:rPr>
        <w:t xml:space="preserve"> </w:t>
      </w:r>
      <w:r w:rsidR="00D76132" w:rsidRPr="000A3539">
        <w:rPr>
          <w:lang w:val="en-CA"/>
        </w:rPr>
        <w:t>action</w:t>
      </w:r>
      <w:r w:rsidR="00B94B2A" w:rsidRPr="000A3539">
        <w:rPr>
          <w:lang w:val="en-CA"/>
        </w:rPr>
        <w:t xml:space="preserve"> where the class was described as follows</w:t>
      </w:r>
      <w:r w:rsidR="00D76132" w:rsidRPr="000A3539">
        <w:rPr>
          <w:lang w:val="en-CA"/>
        </w:rPr>
        <w:t>:</w:t>
      </w:r>
    </w:p>
    <w:p w14:paraId="73E8B491" w14:textId="4F73066A" w:rsidR="00485F94" w:rsidRPr="000A3539" w:rsidRDefault="00485F94" w:rsidP="00352837">
      <w:pPr>
        <w:pStyle w:val="Citationenretrait"/>
        <w:rPr>
          <w:shd w:val="clear" w:color="auto" w:fill="FFFFFF"/>
          <w:lang w:val="en-CA"/>
        </w:rPr>
      </w:pPr>
      <w:r w:rsidRPr="000A3539">
        <w:rPr>
          <w:shd w:val="clear" w:color="auto" w:fill="FFFFFF"/>
          <w:lang w:val="en-CA"/>
        </w:rPr>
        <w:t>[</w:t>
      </w:r>
      <w:r w:rsidRPr="000A3539">
        <w:rPr>
          <w:smallCaps/>
          <w:shd w:val="clear" w:color="auto" w:fill="FFFFFF"/>
          <w:lang w:val="en-CA"/>
        </w:rPr>
        <w:t>translation</w:t>
      </w:r>
      <w:r w:rsidRPr="000A3539">
        <w:rPr>
          <w:shd w:val="clear" w:color="auto" w:fill="FFFFFF"/>
          <w:lang w:val="en-CA"/>
        </w:rPr>
        <w:t>]</w:t>
      </w:r>
    </w:p>
    <w:p w14:paraId="349107D1" w14:textId="1D45B5FF" w:rsidR="00352837" w:rsidRPr="000A3539" w:rsidRDefault="00485F94" w:rsidP="00352837">
      <w:pPr>
        <w:pStyle w:val="Citationenretrait"/>
        <w:rPr>
          <w:shd w:val="clear" w:color="auto" w:fill="FFFFFF"/>
          <w:lang w:val="en-CA"/>
        </w:rPr>
      </w:pPr>
      <w:r w:rsidRPr="000A3539">
        <w:rPr>
          <w:shd w:val="clear" w:color="auto" w:fill="FFFFFF"/>
          <w:lang w:val="en-CA"/>
        </w:rPr>
        <w:t>Students hired by the departments and bodies of the G</w:t>
      </w:r>
      <w:r w:rsidR="00D76132" w:rsidRPr="000A3539">
        <w:rPr>
          <w:shd w:val="clear" w:color="auto" w:fill="FFFFFF"/>
          <w:lang w:val="en-CA"/>
        </w:rPr>
        <w:t>overnment</w:t>
      </w:r>
      <w:r w:rsidRPr="000A3539">
        <w:rPr>
          <w:shd w:val="clear" w:color="auto" w:fill="FFFFFF"/>
          <w:lang w:val="en-CA"/>
        </w:rPr>
        <w:t xml:space="preserve"> of </w:t>
      </w:r>
      <w:r w:rsidR="00D76132" w:rsidRPr="000A3539">
        <w:rPr>
          <w:shd w:val="clear" w:color="auto" w:fill="FFFFFF"/>
          <w:lang w:val="en-CA"/>
        </w:rPr>
        <w:t>Qu</w:t>
      </w:r>
      <w:r w:rsidR="00205944">
        <w:rPr>
          <w:shd w:val="clear" w:color="auto" w:fill="FFFFFF"/>
          <w:lang w:val="en-CA"/>
        </w:rPr>
        <w:t>e</w:t>
      </w:r>
      <w:r w:rsidR="00D76132" w:rsidRPr="000A3539">
        <w:rPr>
          <w:shd w:val="clear" w:color="auto" w:fill="FFFFFF"/>
          <w:lang w:val="en-CA"/>
        </w:rPr>
        <w:t>bec</w:t>
      </w:r>
      <w:r w:rsidRPr="000A3539">
        <w:rPr>
          <w:shd w:val="clear" w:color="auto" w:fill="FFFFFF"/>
          <w:lang w:val="en-CA"/>
        </w:rPr>
        <w:t xml:space="preserve"> during the summer and that were and/or are subject to the d</w:t>
      </w:r>
      <w:r w:rsidR="00D76132" w:rsidRPr="000A3539">
        <w:rPr>
          <w:shd w:val="clear" w:color="auto" w:fill="FFFFFF"/>
          <w:lang w:val="en-CA"/>
        </w:rPr>
        <w:t>irective concern</w:t>
      </w:r>
      <w:r w:rsidRPr="000A3539">
        <w:rPr>
          <w:shd w:val="clear" w:color="auto" w:fill="FFFFFF"/>
          <w:lang w:val="en-CA"/>
        </w:rPr>
        <w:t xml:space="preserve">ing students hired in the public service </w:t>
      </w:r>
      <w:r w:rsidR="00E672EC" w:rsidRPr="000A3539">
        <w:rPr>
          <w:shd w:val="clear" w:color="auto" w:fill="FFFFFF"/>
          <w:lang w:val="en-CA"/>
        </w:rPr>
        <w:t xml:space="preserve">during the summer </w:t>
      </w:r>
      <w:r w:rsidR="00D76132" w:rsidRPr="000A3539">
        <w:rPr>
          <w:shd w:val="clear" w:color="auto" w:fill="FFFFFF"/>
          <w:lang w:val="en-CA"/>
        </w:rPr>
        <w:t>…</w:t>
      </w:r>
      <w:r w:rsidR="00E672EC" w:rsidRPr="000A3539">
        <w:rPr>
          <w:shd w:val="clear" w:color="auto" w:fill="FFFFFF"/>
          <w:lang w:val="en-CA"/>
        </w:rPr>
        <w:t xml:space="preserve"> </w:t>
      </w:r>
      <w:r w:rsidR="00D76132" w:rsidRPr="000A3539">
        <w:rPr>
          <w:shd w:val="clear" w:color="auto" w:fill="FFFFFF"/>
          <w:lang w:val="en-CA"/>
        </w:rPr>
        <w:t>.</w:t>
      </w:r>
      <w:bookmarkStart w:id="30" w:name="_Ref71626979"/>
      <w:r w:rsidR="00D76132" w:rsidRPr="000A3539">
        <w:rPr>
          <w:rStyle w:val="Appelnotedebasdep"/>
          <w:shd w:val="clear" w:color="auto" w:fill="FFFFFF"/>
          <w:lang w:val="en-CA"/>
        </w:rPr>
        <w:footnoteReference w:id="109"/>
      </w:r>
      <w:bookmarkEnd w:id="30"/>
    </w:p>
    <w:p w14:paraId="3AE59CC4" w14:textId="29828A51" w:rsidR="00352837" w:rsidRPr="000A3539" w:rsidRDefault="00E672EC" w:rsidP="00352837">
      <w:pPr>
        <w:pStyle w:val="Paragraphe"/>
        <w:rPr>
          <w:lang w:val="en-CA"/>
        </w:rPr>
      </w:pPr>
      <w:r w:rsidRPr="000A3539">
        <w:rPr>
          <w:lang w:val="en-CA"/>
        </w:rPr>
        <w:t xml:space="preserve">The Superior Court </w:t>
      </w:r>
      <w:r w:rsidR="00D76132" w:rsidRPr="000A3539">
        <w:rPr>
          <w:lang w:val="en-CA"/>
        </w:rPr>
        <w:t xml:space="preserve">judge </w:t>
      </w:r>
      <w:r w:rsidRPr="000A3539">
        <w:rPr>
          <w:lang w:val="en-CA"/>
        </w:rPr>
        <w:t xml:space="preserve">dismissed the application to institute a class action at the authorization stage for reasons related to the </w:t>
      </w:r>
      <w:r w:rsidR="00D76132" w:rsidRPr="000A3539">
        <w:rPr>
          <w:lang w:val="en-CA"/>
        </w:rPr>
        <w:t>legal</w:t>
      </w:r>
      <w:r w:rsidRPr="000A3539">
        <w:rPr>
          <w:lang w:val="en-CA"/>
        </w:rPr>
        <w:t xml:space="preserve"> </w:t>
      </w:r>
      <w:r w:rsidR="00D76132" w:rsidRPr="000A3539">
        <w:rPr>
          <w:lang w:val="en-CA"/>
        </w:rPr>
        <w:t>framework</w:t>
      </w:r>
      <w:r w:rsidRPr="000A3539">
        <w:rPr>
          <w:lang w:val="en-CA"/>
        </w:rPr>
        <w:t xml:space="preserve"> specific to </w:t>
      </w:r>
      <w:r w:rsidR="00D76132" w:rsidRPr="000A3539">
        <w:rPr>
          <w:lang w:val="en-CA"/>
        </w:rPr>
        <w:t>class</w:t>
      </w:r>
      <w:r w:rsidRPr="000A3539">
        <w:rPr>
          <w:lang w:val="en-CA"/>
        </w:rPr>
        <w:t xml:space="preserve"> </w:t>
      </w:r>
      <w:r w:rsidR="00D76132" w:rsidRPr="000A3539">
        <w:rPr>
          <w:lang w:val="en-CA"/>
        </w:rPr>
        <w:t>actions:</w:t>
      </w:r>
      <w:r w:rsidR="00D76132" w:rsidRPr="000A3539">
        <w:rPr>
          <w:u w:val="single"/>
          <w:lang w:val="en-CA"/>
        </w:rPr>
        <w:t xml:space="preserve"> </w:t>
      </w:r>
    </w:p>
    <w:p w14:paraId="44825A12" w14:textId="0258108B" w:rsidR="00E672EC" w:rsidRPr="000A3539" w:rsidRDefault="00E672EC" w:rsidP="00352837">
      <w:pPr>
        <w:pStyle w:val="Citationenretrait"/>
        <w:rPr>
          <w:lang w:val="en-CA"/>
        </w:rPr>
      </w:pPr>
      <w:r w:rsidRPr="000A3539">
        <w:rPr>
          <w:lang w:val="en-CA"/>
        </w:rPr>
        <w:t>[</w:t>
      </w:r>
      <w:r w:rsidR="00802526" w:rsidRPr="000A3539">
        <w:rPr>
          <w:smallCaps/>
          <w:lang w:val="en-CA"/>
        </w:rPr>
        <w:t>translation</w:t>
      </w:r>
      <w:r w:rsidR="00802526" w:rsidRPr="000A3539">
        <w:rPr>
          <w:lang w:val="en-CA"/>
        </w:rPr>
        <w:t>]</w:t>
      </w:r>
    </w:p>
    <w:p w14:paraId="15BBDBC1" w14:textId="731CB343" w:rsidR="00352837" w:rsidRPr="000A3539" w:rsidRDefault="00D76132" w:rsidP="00352837">
      <w:pPr>
        <w:pStyle w:val="Citationenretrait"/>
        <w:rPr>
          <w:sz w:val="24"/>
          <w:lang w:val="en-CA" w:eastAsia="fr-CA"/>
        </w:rPr>
      </w:pPr>
      <w:r w:rsidRPr="000A3539">
        <w:rPr>
          <w:lang w:val="en-CA"/>
        </w:rPr>
        <w:t>[28]  </w:t>
      </w:r>
      <w:r w:rsidR="00802526" w:rsidRPr="000A3539">
        <w:rPr>
          <w:lang w:val="en-CA"/>
        </w:rPr>
        <w:t xml:space="preserve">In each case, it would be necessary to conduct a specific and individual analysis to </w:t>
      </w:r>
      <w:r w:rsidRPr="000A3539">
        <w:rPr>
          <w:lang w:val="en-CA"/>
        </w:rPr>
        <w:t>d</w:t>
      </w:r>
      <w:r w:rsidR="00802526" w:rsidRPr="000A3539">
        <w:rPr>
          <w:lang w:val="en-CA"/>
        </w:rPr>
        <w:t>e</w:t>
      </w:r>
      <w:r w:rsidRPr="000A3539">
        <w:rPr>
          <w:lang w:val="en-CA"/>
        </w:rPr>
        <w:t>termine</w:t>
      </w:r>
      <w:r w:rsidR="00802526" w:rsidRPr="000A3539">
        <w:rPr>
          <w:lang w:val="en-CA"/>
        </w:rPr>
        <w:t xml:space="preserve"> whether a class member meets the </w:t>
      </w:r>
      <w:r w:rsidRPr="000A3539">
        <w:rPr>
          <w:lang w:val="en-CA"/>
        </w:rPr>
        <w:t xml:space="preserve">conditions </w:t>
      </w:r>
      <w:r w:rsidR="00802526" w:rsidRPr="000A3539">
        <w:rPr>
          <w:lang w:val="en-CA"/>
        </w:rPr>
        <w:t xml:space="preserve">of </w:t>
      </w:r>
      <w:r w:rsidRPr="000A3539">
        <w:rPr>
          <w:lang w:val="en-CA"/>
        </w:rPr>
        <w:t xml:space="preserve">admission </w:t>
      </w:r>
      <w:r w:rsidR="00802526" w:rsidRPr="000A3539">
        <w:rPr>
          <w:lang w:val="en-CA"/>
        </w:rPr>
        <w:t xml:space="preserve">for the </w:t>
      </w:r>
      <w:r w:rsidR="0081016E" w:rsidRPr="000A3539">
        <w:rPr>
          <w:lang w:val="en-CA"/>
        </w:rPr>
        <w:t xml:space="preserve">employment category the class member claims to compare </w:t>
      </w:r>
      <w:r w:rsidR="006F7A1A">
        <w:rPr>
          <w:lang w:val="en-CA"/>
        </w:rPr>
        <w:t xml:space="preserve">themselves </w:t>
      </w:r>
      <w:r w:rsidR="0081016E" w:rsidRPr="000A3539">
        <w:rPr>
          <w:lang w:val="en-CA"/>
        </w:rPr>
        <w:t xml:space="preserve">to. This would be extremely </w:t>
      </w:r>
      <w:r w:rsidRPr="000A3539">
        <w:rPr>
          <w:lang w:val="en-CA"/>
        </w:rPr>
        <w:t>diffic</w:t>
      </w:r>
      <w:r w:rsidR="0081016E" w:rsidRPr="000A3539">
        <w:rPr>
          <w:lang w:val="en-CA"/>
        </w:rPr>
        <w:t xml:space="preserve">ult, if not </w:t>
      </w:r>
      <w:r w:rsidRPr="000A3539">
        <w:rPr>
          <w:lang w:val="en-CA"/>
        </w:rPr>
        <w:t xml:space="preserve">impossible, </w:t>
      </w:r>
      <w:r w:rsidR="0081016E" w:rsidRPr="000A3539">
        <w:rPr>
          <w:lang w:val="en-CA"/>
        </w:rPr>
        <w:t>to deter</w:t>
      </w:r>
      <w:r w:rsidRPr="000A3539">
        <w:rPr>
          <w:lang w:val="en-CA"/>
        </w:rPr>
        <w:t>mine.</w:t>
      </w:r>
    </w:p>
    <w:p w14:paraId="62EA38B4" w14:textId="1FF65533" w:rsidR="00352837" w:rsidRPr="000A3539" w:rsidRDefault="00D76132" w:rsidP="00352837">
      <w:pPr>
        <w:pStyle w:val="Citationenretrait"/>
        <w:rPr>
          <w:u w:val="single"/>
          <w:lang w:val="en-CA"/>
        </w:rPr>
      </w:pPr>
      <w:r w:rsidRPr="000A3539">
        <w:rPr>
          <w:lang w:val="en-CA"/>
        </w:rPr>
        <w:t>[</w:t>
      </w:r>
      <w:bookmarkStart w:id="31" w:name="par29"/>
      <w:r w:rsidRPr="000A3539">
        <w:rPr>
          <w:lang w:val="en-CA"/>
        </w:rPr>
        <w:t>29</w:t>
      </w:r>
      <w:bookmarkEnd w:id="31"/>
      <w:r w:rsidRPr="000A3539">
        <w:rPr>
          <w:lang w:val="en-CA"/>
        </w:rPr>
        <w:t>]  </w:t>
      </w:r>
      <w:r w:rsidR="003E7DA6" w:rsidRPr="000A3539">
        <w:rPr>
          <w:lang w:val="en-CA"/>
        </w:rPr>
        <w:t>I</w:t>
      </w:r>
      <w:r w:rsidRPr="000A3539">
        <w:rPr>
          <w:lang w:val="en-CA"/>
        </w:rPr>
        <w:t>n</w:t>
      </w:r>
      <w:r w:rsidR="003E7DA6" w:rsidRPr="000A3539">
        <w:rPr>
          <w:lang w:val="en-CA"/>
        </w:rPr>
        <w:t xml:space="preserve"> </w:t>
      </w:r>
      <w:r w:rsidRPr="000A3539">
        <w:rPr>
          <w:lang w:val="en-CA"/>
        </w:rPr>
        <w:t xml:space="preserve">addition, </w:t>
      </w:r>
      <w:r w:rsidR="003E7DA6" w:rsidRPr="000A3539">
        <w:rPr>
          <w:u w:val="single"/>
          <w:lang w:val="en-CA"/>
        </w:rPr>
        <w:t xml:space="preserve">the </w:t>
      </w:r>
      <w:r w:rsidRPr="000A3539">
        <w:rPr>
          <w:u w:val="single"/>
          <w:lang w:val="en-CA"/>
        </w:rPr>
        <w:t>analys</w:t>
      </w:r>
      <w:r w:rsidR="003E7DA6" w:rsidRPr="000A3539">
        <w:rPr>
          <w:u w:val="single"/>
          <w:lang w:val="en-CA"/>
        </w:rPr>
        <w:t xml:space="preserve">is of the </w:t>
      </w:r>
      <w:r w:rsidRPr="000A3539">
        <w:rPr>
          <w:u w:val="single"/>
          <w:lang w:val="en-CA"/>
        </w:rPr>
        <w:t>all</w:t>
      </w:r>
      <w:r w:rsidR="003E7DA6" w:rsidRPr="000A3539">
        <w:rPr>
          <w:u w:val="single"/>
          <w:lang w:val="en-CA"/>
        </w:rPr>
        <w:t>e</w:t>
      </w:r>
      <w:r w:rsidRPr="000A3539">
        <w:rPr>
          <w:u w:val="single"/>
          <w:lang w:val="en-CA"/>
        </w:rPr>
        <w:t xml:space="preserve">gation </w:t>
      </w:r>
      <w:r w:rsidR="003175A0" w:rsidRPr="000A3539">
        <w:rPr>
          <w:u w:val="single"/>
          <w:lang w:val="en-CA"/>
        </w:rPr>
        <w:t xml:space="preserve">of </w:t>
      </w:r>
      <w:r w:rsidRPr="000A3539">
        <w:rPr>
          <w:u w:val="single"/>
          <w:lang w:val="en-CA"/>
        </w:rPr>
        <w:t>discrimination</w:t>
      </w:r>
      <w:r w:rsidR="008E0886" w:rsidRPr="000A3539">
        <w:rPr>
          <w:u w:val="single"/>
          <w:lang w:val="en-CA"/>
        </w:rPr>
        <w:t xml:space="preserve"> requires, </w:t>
      </w:r>
      <w:r w:rsidR="008E0886" w:rsidRPr="000A3539">
        <w:rPr>
          <w:i/>
          <w:u w:val="single"/>
          <w:lang w:val="en-CA"/>
        </w:rPr>
        <w:t>inter alia</w:t>
      </w:r>
      <w:r w:rsidR="008E0886" w:rsidRPr="000A3539">
        <w:rPr>
          <w:u w:val="single"/>
          <w:lang w:val="en-CA"/>
        </w:rPr>
        <w:t xml:space="preserve">, an </w:t>
      </w:r>
      <w:r w:rsidR="003175A0" w:rsidRPr="000A3539">
        <w:rPr>
          <w:u w:val="single"/>
          <w:lang w:val="en-CA"/>
        </w:rPr>
        <w:t>examination</w:t>
      </w:r>
      <w:r w:rsidR="008E0886" w:rsidRPr="000A3539">
        <w:rPr>
          <w:u w:val="single"/>
          <w:lang w:val="en-CA"/>
        </w:rPr>
        <w:t xml:space="preserve"> to determine whether it has a </w:t>
      </w:r>
      <w:r w:rsidRPr="000A3539">
        <w:rPr>
          <w:u w:val="single"/>
          <w:lang w:val="en-CA"/>
        </w:rPr>
        <w:t>discriminator</w:t>
      </w:r>
      <w:r w:rsidR="008E0886" w:rsidRPr="000A3539">
        <w:rPr>
          <w:u w:val="single"/>
          <w:lang w:val="en-CA"/>
        </w:rPr>
        <w:t xml:space="preserve">y effect </w:t>
      </w:r>
      <w:r w:rsidR="008E0886" w:rsidRPr="000A3539">
        <w:rPr>
          <w:b/>
          <w:u w:val="single"/>
          <w:lang w:val="en-CA"/>
        </w:rPr>
        <w:t>on an</w:t>
      </w:r>
      <w:r w:rsidRPr="000A3539">
        <w:rPr>
          <w:b/>
          <w:u w:val="single"/>
          <w:lang w:val="en-CA"/>
        </w:rPr>
        <w:t xml:space="preserve"> individu</w:t>
      </w:r>
      <w:r w:rsidR="008E0886" w:rsidRPr="000A3539">
        <w:rPr>
          <w:b/>
          <w:u w:val="single"/>
          <w:lang w:val="en-CA"/>
        </w:rPr>
        <w:t xml:space="preserve">al or a </w:t>
      </w:r>
      <w:r w:rsidRPr="000A3539">
        <w:rPr>
          <w:b/>
          <w:u w:val="single"/>
          <w:lang w:val="en-CA"/>
        </w:rPr>
        <w:t xml:space="preserve">group </w:t>
      </w:r>
      <w:r w:rsidR="008E0886" w:rsidRPr="000A3539">
        <w:rPr>
          <w:b/>
          <w:u w:val="single"/>
          <w:lang w:val="en-CA"/>
        </w:rPr>
        <w:t xml:space="preserve">of </w:t>
      </w:r>
      <w:r w:rsidRPr="000A3539">
        <w:rPr>
          <w:b/>
          <w:u w:val="single"/>
          <w:lang w:val="en-CA"/>
        </w:rPr>
        <w:t>individu</w:t>
      </w:r>
      <w:r w:rsidR="008E0886" w:rsidRPr="000A3539">
        <w:rPr>
          <w:b/>
          <w:u w:val="single"/>
          <w:lang w:val="en-CA"/>
        </w:rPr>
        <w:t>al</w:t>
      </w:r>
      <w:r w:rsidRPr="000A3539">
        <w:rPr>
          <w:b/>
          <w:u w:val="single"/>
          <w:lang w:val="en-CA"/>
        </w:rPr>
        <w:t>s</w:t>
      </w:r>
      <w:r w:rsidRPr="000A3539">
        <w:rPr>
          <w:lang w:val="en-CA"/>
        </w:rPr>
        <w:t xml:space="preserve">. </w:t>
      </w:r>
      <w:r w:rsidR="008E0886" w:rsidRPr="000A3539">
        <w:rPr>
          <w:u w:val="single"/>
          <w:lang w:val="en-CA"/>
        </w:rPr>
        <w:t xml:space="preserve">That analysis cannot be performed without </w:t>
      </w:r>
      <w:r w:rsidRPr="000A3539">
        <w:rPr>
          <w:u w:val="single"/>
          <w:lang w:val="en-CA"/>
        </w:rPr>
        <w:t>examin</w:t>
      </w:r>
      <w:r w:rsidR="008E0886" w:rsidRPr="000A3539">
        <w:rPr>
          <w:u w:val="single"/>
          <w:lang w:val="en-CA"/>
        </w:rPr>
        <w:t xml:space="preserve">ing each case </w:t>
      </w:r>
      <w:r w:rsidRPr="000A3539">
        <w:rPr>
          <w:u w:val="single"/>
          <w:lang w:val="en-CA"/>
        </w:rPr>
        <w:t>individu</w:t>
      </w:r>
      <w:r w:rsidR="008E0886" w:rsidRPr="000A3539">
        <w:rPr>
          <w:u w:val="single"/>
          <w:lang w:val="en-CA"/>
        </w:rPr>
        <w:t xml:space="preserve">ally to understand, in particular, whether </w:t>
      </w:r>
      <w:r w:rsidRPr="000A3539">
        <w:rPr>
          <w:u w:val="single"/>
          <w:lang w:val="en-CA"/>
        </w:rPr>
        <w:t>e</w:t>
      </w:r>
      <w:r w:rsidR="008E0886" w:rsidRPr="000A3539">
        <w:rPr>
          <w:u w:val="single"/>
          <w:lang w:val="en-CA"/>
        </w:rPr>
        <w:t xml:space="preserve">ach </w:t>
      </w:r>
      <w:r w:rsidRPr="000A3539">
        <w:rPr>
          <w:u w:val="single"/>
          <w:lang w:val="en-CA"/>
        </w:rPr>
        <w:t>memb</w:t>
      </w:r>
      <w:r w:rsidR="008E0886" w:rsidRPr="000A3539">
        <w:rPr>
          <w:u w:val="single"/>
          <w:lang w:val="en-CA"/>
        </w:rPr>
        <w:t xml:space="preserve">er would have had the opportunity to be hired and would in fact have been hired in the public service in the absence of </w:t>
      </w:r>
      <w:r w:rsidRPr="000A3539">
        <w:rPr>
          <w:u w:val="single"/>
          <w:lang w:val="en-CA"/>
        </w:rPr>
        <w:t>Directive R-3</w:t>
      </w:r>
      <w:r w:rsidRPr="000A3539">
        <w:rPr>
          <w:lang w:val="en-CA"/>
        </w:rPr>
        <w:t>.</w:t>
      </w:r>
    </w:p>
    <w:p w14:paraId="4E8E3711" w14:textId="740C201B" w:rsidR="00352837" w:rsidRPr="000A3539" w:rsidRDefault="00D76132" w:rsidP="000A026B">
      <w:pPr>
        <w:pStyle w:val="Citationenretrait"/>
        <w:tabs>
          <w:tab w:val="left" w:pos="6237"/>
        </w:tabs>
        <w:rPr>
          <w:lang w:val="en-CA"/>
        </w:rPr>
      </w:pPr>
      <w:r w:rsidRPr="000A3539">
        <w:rPr>
          <w:lang w:val="en-CA"/>
        </w:rPr>
        <w:t>[</w:t>
      </w:r>
      <w:bookmarkStart w:id="32" w:name="par30"/>
      <w:r w:rsidRPr="000A3539">
        <w:rPr>
          <w:lang w:val="en-CA"/>
        </w:rPr>
        <w:t>30</w:t>
      </w:r>
      <w:bookmarkEnd w:id="32"/>
      <w:r w:rsidRPr="000A3539">
        <w:rPr>
          <w:lang w:val="en-CA"/>
        </w:rPr>
        <w:t>]  </w:t>
      </w:r>
      <w:r w:rsidR="00076422" w:rsidRPr="000A3539">
        <w:rPr>
          <w:lang w:val="en-CA"/>
        </w:rPr>
        <w:t xml:space="preserve">Moreover, the </w:t>
      </w:r>
      <w:r w:rsidRPr="000A3539">
        <w:rPr>
          <w:lang w:val="en-CA"/>
        </w:rPr>
        <w:t>applicant</w:t>
      </w:r>
      <w:r w:rsidR="00D30B7D" w:rsidRPr="000A3539">
        <w:rPr>
          <w:lang w:val="en-CA"/>
        </w:rPr>
        <w:t>’s action is based on a very particular situation</w:t>
      </w:r>
      <w:r w:rsidRPr="000A3539">
        <w:rPr>
          <w:lang w:val="en-CA"/>
        </w:rPr>
        <w:t xml:space="preserve">, </w:t>
      </w:r>
      <w:r w:rsidR="00CD0DBB">
        <w:rPr>
          <w:u w:val="single"/>
          <w:lang w:val="en-CA"/>
        </w:rPr>
        <w:t>especially</w:t>
      </w:r>
      <w:r w:rsidR="00CD0DBB" w:rsidRPr="000A3539">
        <w:rPr>
          <w:u w:val="single"/>
          <w:lang w:val="en-CA"/>
        </w:rPr>
        <w:t xml:space="preserve"> </w:t>
      </w:r>
      <w:r w:rsidR="00205944">
        <w:rPr>
          <w:u w:val="single"/>
          <w:lang w:val="en-CA"/>
        </w:rPr>
        <w:t xml:space="preserve">in </w:t>
      </w:r>
      <w:r w:rsidR="00D30B7D" w:rsidRPr="000A3539">
        <w:rPr>
          <w:u w:val="single"/>
          <w:lang w:val="en-CA"/>
        </w:rPr>
        <w:t xml:space="preserve">that he does not have the same </w:t>
      </w:r>
      <w:r w:rsidRPr="000A3539">
        <w:rPr>
          <w:u w:val="single"/>
          <w:lang w:val="en-CA"/>
        </w:rPr>
        <w:t xml:space="preserve">employer </w:t>
      </w:r>
      <w:r w:rsidR="00D30B7D" w:rsidRPr="000A3539">
        <w:rPr>
          <w:u w:val="single"/>
          <w:lang w:val="en-CA"/>
        </w:rPr>
        <w:t xml:space="preserve">as all the </w:t>
      </w:r>
      <w:r w:rsidRPr="00205944">
        <w:rPr>
          <w:u w:val="single"/>
          <w:lang w:val="en-CA"/>
        </w:rPr>
        <w:t>member</w:t>
      </w:r>
      <w:r w:rsidR="00D30B7D" w:rsidRPr="00205944">
        <w:rPr>
          <w:u w:val="single"/>
          <w:lang w:val="en-CA"/>
        </w:rPr>
        <w:t xml:space="preserve">s </w:t>
      </w:r>
      <w:r w:rsidRPr="00205944">
        <w:rPr>
          <w:u w:val="single"/>
          <w:lang w:val="en-CA"/>
        </w:rPr>
        <w:t>of</w:t>
      </w:r>
      <w:r w:rsidR="00D30B7D" w:rsidRPr="00205944">
        <w:rPr>
          <w:u w:val="single"/>
          <w:lang w:val="en-CA"/>
        </w:rPr>
        <w:t xml:space="preserve"> </w:t>
      </w:r>
      <w:r w:rsidRPr="00205944">
        <w:rPr>
          <w:u w:val="single"/>
          <w:lang w:val="en-CA"/>
        </w:rPr>
        <w:t>the</w:t>
      </w:r>
      <w:r w:rsidR="00D30B7D" w:rsidRPr="00205944">
        <w:rPr>
          <w:u w:val="single"/>
          <w:lang w:val="en-CA"/>
        </w:rPr>
        <w:t xml:space="preserve"> class</w:t>
      </w:r>
      <w:r w:rsidRPr="000A3539">
        <w:rPr>
          <w:u w:val="single"/>
          <w:lang w:val="en-CA"/>
        </w:rPr>
        <w:t xml:space="preserve"> </w:t>
      </w:r>
      <w:r w:rsidR="00D30B7D" w:rsidRPr="000A3539">
        <w:rPr>
          <w:u w:val="single"/>
          <w:lang w:val="en-CA"/>
        </w:rPr>
        <w:t xml:space="preserve">and the fact that he was hired as a student and as a casual employee, which is not the same </w:t>
      </w:r>
      <w:r w:rsidRPr="000A3539">
        <w:rPr>
          <w:u w:val="single"/>
          <w:lang w:val="en-CA"/>
        </w:rPr>
        <w:t xml:space="preserve">situation </w:t>
      </w:r>
      <w:r w:rsidR="00D30B7D" w:rsidRPr="000A3539">
        <w:rPr>
          <w:u w:val="single"/>
          <w:lang w:val="en-CA"/>
        </w:rPr>
        <w:t xml:space="preserve">as the </w:t>
      </w:r>
      <w:r w:rsidRPr="00205944">
        <w:rPr>
          <w:u w:val="single"/>
          <w:lang w:val="en-CA"/>
        </w:rPr>
        <w:t>member</w:t>
      </w:r>
      <w:r w:rsidR="00D30B7D" w:rsidRPr="00205944">
        <w:rPr>
          <w:u w:val="single"/>
          <w:lang w:val="en-CA"/>
        </w:rPr>
        <w:t>s of the class</w:t>
      </w:r>
      <w:r w:rsidRPr="000A3539">
        <w:rPr>
          <w:lang w:val="en-CA"/>
        </w:rPr>
        <w:t>.</w:t>
      </w:r>
      <w:r w:rsidRPr="000A3539">
        <w:rPr>
          <w:rStyle w:val="Appelnotedebasdep"/>
          <w:lang w:val="en-CA"/>
        </w:rPr>
        <w:footnoteReference w:id="110"/>
      </w:r>
    </w:p>
    <w:p w14:paraId="40E373AC" w14:textId="28D3C85A" w:rsidR="00352837" w:rsidRPr="000A3539" w:rsidRDefault="00D76132" w:rsidP="00352837">
      <w:pPr>
        <w:pStyle w:val="Citationenretrait"/>
        <w:jc w:val="right"/>
        <w:rPr>
          <w:lang w:val="en-CA"/>
        </w:rPr>
      </w:pPr>
      <w:r w:rsidRPr="000A3539">
        <w:rPr>
          <w:rFonts w:cs="Arial"/>
          <w:lang w:val="en-CA"/>
        </w:rPr>
        <w:t>[</w:t>
      </w:r>
      <w:r w:rsidR="00D30B7D" w:rsidRPr="000A3539">
        <w:rPr>
          <w:rFonts w:cs="Arial"/>
          <w:lang w:val="en-CA"/>
        </w:rPr>
        <w:t xml:space="preserve">Underlining and bold </w:t>
      </w:r>
      <w:r w:rsidRPr="000A3539">
        <w:rPr>
          <w:rFonts w:cs="Arial"/>
          <w:lang w:val="en-CA"/>
        </w:rPr>
        <w:t>emphasis</w:t>
      </w:r>
      <w:r w:rsidR="00A739B9" w:rsidRPr="000A3539">
        <w:rPr>
          <w:rFonts w:cs="Arial"/>
          <w:lang w:val="en-CA"/>
        </w:rPr>
        <w:t xml:space="preserve"> </w:t>
      </w:r>
      <w:r w:rsidR="00D30B7D" w:rsidRPr="000A3539">
        <w:rPr>
          <w:rFonts w:cs="Arial"/>
          <w:lang w:val="en-CA"/>
        </w:rPr>
        <w:t>add</w:t>
      </w:r>
      <w:r w:rsidR="00A739B9" w:rsidRPr="000A3539">
        <w:rPr>
          <w:rFonts w:cs="Arial"/>
          <w:lang w:val="en-CA"/>
        </w:rPr>
        <w:t>ed</w:t>
      </w:r>
      <w:r w:rsidRPr="000A3539">
        <w:rPr>
          <w:rFonts w:cs="Arial"/>
          <w:lang w:val="en-CA"/>
        </w:rPr>
        <w:t>]</w:t>
      </w:r>
    </w:p>
    <w:p w14:paraId="70D967EC" w14:textId="3C61ED06" w:rsidR="00352837" w:rsidRPr="000A3539" w:rsidRDefault="00317F73" w:rsidP="00352837">
      <w:pPr>
        <w:pStyle w:val="Paragraphe"/>
        <w:rPr>
          <w:lang w:val="en-CA"/>
        </w:rPr>
      </w:pPr>
      <w:r w:rsidRPr="000A3539">
        <w:rPr>
          <w:lang w:val="en-CA"/>
        </w:rPr>
        <w:t>T</w:t>
      </w:r>
      <w:r w:rsidR="00D76132" w:rsidRPr="000A3539">
        <w:rPr>
          <w:lang w:val="en-CA"/>
        </w:rPr>
        <w:t>he</w:t>
      </w:r>
      <w:r w:rsidRPr="000A3539">
        <w:rPr>
          <w:lang w:val="en-CA"/>
        </w:rPr>
        <w:t xml:space="preserve"> </w:t>
      </w:r>
      <w:r w:rsidR="00D76132" w:rsidRPr="000A3539">
        <w:rPr>
          <w:lang w:val="en-CA"/>
        </w:rPr>
        <w:t>Court confirm</w:t>
      </w:r>
      <w:r w:rsidRPr="000A3539">
        <w:rPr>
          <w:lang w:val="en-CA"/>
        </w:rPr>
        <w:t xml:space="preserve">ed the </w:t>
      </w:r>
      <w:r w:rsidR="00D76132" w:rsidRPr="000A3539">
        <w:rPr>
          <w:lang w:val="en-CA"/>
        </w:rPr>
        <w:t>judgment</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first</w:t>
      </w:r>
      <w:r w:rsidRPr="000A3539">
        <w:rPr>
          <w:lang w:val="en-CA"/>
        </w:rPr>
        <w:t xml:space="preserve"> </w:t>
      </w:r>
      <w:r w:rsidR="00D76132" w:rsidRPr="000A3539">
        <w:rPr>
          <w:lang w:val="en-CA"/>
        </w:rPr>
        <w:t>instance</w:t>
      </w:r>
      <w:r w:rsidRPr="000A3539">
        <w:rPr>
          <w:lang w:val="en-CA"/>
        </w:rPr>
        <w:t xml:space="preserve"> in the following terms</w:t>
      </w:r>
      <w:r w:rsidR="00D76132" w:rsidRPr="000A3539">
        <w:rPr>
          <w:lang w:val="en-CA"/>
        </w:rPr>
        <w:t>:</w:t>
      </w:r>
    </w:p>
    <w:p w14:paraId="7B7F677A" w14:textId="64C5F24B" w:rsidR="00DB24B1" w:rsidRPr="00DB24B1" w:rsidRDefault="00DB24B1" w:rsidP="00352837">
      <w:pPr>
        <w:pStyle w:val="Citationenretrait"/>
        <w:rPr>
          <w:lang w:val="en-CA"/>
        </w:rPr>
      </w:pPr>
      <w:r>
        <w:rPr>
          <w:lang w:val="en-CA"/>
        </w:rPr>
        <w:t>[</w:t>
      </w:r>
      <w:r>
        <w:rPr>
          <w:smallCaps/>
          <w:lang w:val="en-CA"/>
        </w:rPr>
        <w:t>translation</w:t>
      </w:r>
      <w:r>
        <w:rPr>
          <w:lang w:val="en-CA"/>
        </w:rPr>
        <w:t>]</w:t>
      </w:r>
    </w:p>
    <w:p w14:paraId="5F74ABCA" w14:textId="7A2DAFF3" w:rsidR="00352837" w:rsidRPr="000A3539" w:rsidRDefault="00D76132" w:rsidP="00352837">
      <w:pPr>
        <w:pStyle w:val="Citationenretrait"/>
        <w:rPr>
          <w:b/>
          <w:sz w:val="24"/>
          <w:lang w:val="en-CA" w:eastAsia="fr-CA"/>
        </w:rPr>
      </w:pPr>
      <w:r w:rsidRPr="000A3539">
        <w:rPr>
          <w:lang w:val="en-CA"/>
        </w:rPr>
        <w:t>[</w:t>
      </w:r>
      <w:bookmarkStart w:id="33" w:name="par41"/>
      <w:r w:rsidRPr="000A3539">
        <w:rPr>
          <w:lang w:val="en-CA"/>
        </w:rPr>
        <w:t>41</w:t>
      </w:r>
      <w:bookmarkEnd w:id="33"/>
      <w:r w:rsidRPr="000A3539">
        <w:rPr>
          <w:lang w:val="en-CA"/>
        </w:rPr>
        <w:t>]  </w:t>
      </w:r>
      <w:r w:rsidR="00E61CCE" w:rsidRPr="000A3539">
        <w:rPr>
          <w:lang w:val="en-CA"/>
        </w:rPr>
        <w:t xml:space="preserve">In this case, the </w:t>
      </w:r>
      <w:r w:rsidRPr="000A3539">
        <w:rPr>
          <w:lang w:val="en-CA"/>
        </w:rPr>
        <w:t>d</w:t>
      </w:r>
      <w:r w:rsidR="00E61CCE" w:rsidRPr="000A3539">
        <w:rPr>
          <w:lang w:val="en-CA"/>
        </w:rPr>
        <w:t>e</w:t>
      </w:r>
      <w:r w:rsidRPr="000A3539">
        <w:rPr>
          <w:lang w:val="en-CA"/>
        </w:rPr>
        <w:t xml:space="preserve">finition </w:t>
      </w:r>
      <w:r w:rsidR="00E61CCE" w:rsidRPr="000A3539">
        <w:rPr>
          <w:lang w:val="en-CA"/>
        </w:rPr>
        <w:t xml:space="preserve">of the class </w:t>
      </w:r>
      <w:r w:rsidRPr="000A3539">
        <w:rPr>
          <w:lang w:val="en-CA"/>
        </w:rPr>
        <w:t>propos</w:t>
      </w:r>
      <w:r w:rsidR="00E61CCE" w:rsidRPr="000A3539">
        <w:rPr>
          <w:lang w:val="en-CA"/>
        </w:rPr>
        <w:t xml:space="preserve">ed by the </w:t>
      </w:r>
      <w:r w:rsidRPr="000A3539">
        <w:rPr>
          <w:lang w:val="en-CA"/>
        </w:rPr>
        <w:t>appellant</w:t>
      </w:r>
      <w:r w:rsidR="00E61CCE" w:rsidRPr="000A3539">
        <w:rPr>
          <w:lang w:val="en-CA"/>
        </w:rPr>
        <w:t xml:space="preserve"> before this </w:t>
      </w:r>
      <w:r w:rsidRPr="000A3539">
        <w:rPr>
          <w:lang w:val="en-CA"/>
        </w:rPr>
        <w:t>Court</w:t>
      </w:r>
      <w:r w:rsidR="001B08DF" w:rsidRPr="000A3539">
        <w:rPr>
          <w:lang w:val="en-CA"/>
        </w:rPr>
        <w:t xml:space="preserve"> does not correspond to these requirements in that the second part of the de</w:t>
      </w:r>
      <w:r w:rsidRPr="000A3539">
        <w:rPr>
          <w:lang w:val="en-CA"/>
        </w:rPr>
        <w:t xml:space="preserve">finition </w:t>
      </w:r>
      <w:r w:rsidR="001B08DF" w:rsidRPr="000A3539">
        <w:rPr>
          <w:lang w:val="en-CA"/>
        </w:rPr>
        <w:t xml:space="preserve">appears to be </w:t>
      </w:r>
      <w:r w:rsidRPr="000A3539">
        <w:rPr>
          <w:lang w:val="en-CA"/>
        </w:rPr>
        <w:t xml:space="preserve">subjective </w:t>
      </w:r>
      <w:r w:rsidR="001B08DF" w:rsidRPr="000A3539">
        <w:rPr>
          <w:lang w:val="en-CA"/>
        </w:rPr>
        <w:t xml:space="preserve">and, moreover, based on a criterion that is </w:t>
      </w:r>
      <w:r w:rsidRPr="000A3539">
        <w:rPr>
          <w:lang w:val="en-CA"/>
        </w:rPr>
        <w:lastRenderedPageBreak/>
        <w:t>d</w:t>
      </w:r>
      <w:r w:rsidR="001B08DF" w:rsidRPr="000A3539">
        <w:rPr>
          <w:lang w:val="en-CA"/>
        </w:rPr>
        <w:t>ep</w:t>
      </w:r>
      <w:r w:rsidRPr="000A3539">
        <w:rPr>
          <w:lang w:val="en-CA"/>
        </w:rPr>
        <w:t>end</w:t>
      </w:r>
      <w:r w:rsidR="001458AC">
        <w:rPr>
          <w:lang w:val="en-CA"/>
        </w:rPr>
        <w:t>e</w:t>
      </w:r>
      <w:r w:rsidRPr="000A3539">
        <w:rPr>
          <w:lang w:val="en-CA"/>
        </w:rPr>
        <w:t xml:space="preserve">nt </w:t>
      </w:r>
      <w:r w:rsidR="001B08DF" w:rsidRPr="000A3539">
        <w:rPr>
          <w:lang w:val="en-CA"/>
        </w:rPr>
        <w:t xml:space="preserve">on the </w:t>
      </w:r>
      <w:r w:rsidRPr="000A3539">
        <w:rPr>
          <w:lang w:val="en-CA"/>
        </w:rPr>
        <w:t>outcome</w:t>
      </w:r>
      <w:r w:rsidR="001B08DF" w:rsidRPr="000A3539">
        <w:rPr>
          <w:lang w:val="en-CA"/>
        </w:rPr>
        <w:t xml:space="preserve"> o</w:t>
      </w:r>
      <w:r w:rsidRPr="000A3539">
        <w:rPr>
          <w:lang w:val="en-CA"/>
        </w:rPr>
        <w:t>f</w:t>
      </w:r>
      <w:r w:rsidR="001B08DF" w:rsidRPr="000A3539">
        <w:rPr>
          <w:lang w:val="en-CA"/>
        </w:rPr>
        <w:t xml:space="preserve"> </w:t>
      </w:r>
      <w:r w:rsidRPr="000A3539">
        <w:rPr>
          <w:lang w:val="en-CA"/>
        </w:rPr>
        <w:t>the</w:t>
      </w:r>
      <w:r w:rsidR="001B08DF" w:rsidRPr="000A3539">
        <w:rPr>
          <w:lang w:val="en-CA"/>
        </w:rPr>
        <w:t xml:space="preserve"> </w:t>
      </w:r>
      <w:r w:rsidRPr="000A3539">
        <w:rPr>
          <w:lang w:val="en-CA"/>
        </w:rPr>
        <w:t>dispute</w:t>
      </w:r>
      <w:r w:rsidR="001B08DF" w:rsidRPr="000A3539">
        <w:rPr>
          <w:lang w:val="en-CA"/>
        </w:rPr>
        <w:t xml:space="preserve"> on the merits</w:t>
      </w:r>
      <w:r w:rsidRPr="000A3539">
        <w:rPr>
          <w:lang w:val="en-CA"/>
        </w:rPr>
        <w:t xml:space="preserve">. </w:t>
      </w:r>
      <w:r w:rsidR="001B08DF" w:rsidRPr="000A3539">
        <w:rPr>
          <w:u w:val="single"/>
          <w:lang w:val="en-CA"/>
        </w:rPr>
        <w:t>Indeed, it would be easy for a person to deter</w:t>
      </w:r>
      <w:r w:rsidR="004B558A" w:rsidRPr="000A3539">
        <w:rPr>
          <w:u w:val="single"/>
          <w:lang w:val="en-CA"/>
        </w:rPr>
        <w:t>mine if their job was covered by the d</w:t>
      </w:r>
      <w:r w:rsidRPr="000A3539">
        <w:rPr>
          <w:u w:val="single"/>
          <w:lang w:val="en-CA"/>
        </w:rPr>
        <w:t>irective concern</w:t>
      </w:r>
      <w:r w:rsidR="004B558A" w:rsidRPr="000A3539">
        <w:rPr>
          <w:u w:val="single"/>
          <w:lang w:val="en-CA"/>
        </w:rPr>
        <w:t>ing students</w:t>
      </w:r>
      <w:r w:rsidRPr="000A3539">
        <w:rPr>
          <w:lang w:val="en-CA"/>
        </w:rPr>
        <w:t>.</w:t>
      </w:r>
      <w:r w:rsidR="004B558A" w:rsidRPr="000A3539">
        <w:rPr>
          <w:lang w:val="en-CA"/>
        </w:rPr>
        <w:t xml:space="preserve"> </w:t>
      </w:r>
      <w:r w:rsidR="004B558A" w:rsidRPr="000A3539">
        <w:rPr>
          <w:u w:val="single"/>
          <w:lang w:val="en-CA"/>
        </w:rPr>
        <w:t>However</w:t>
      </w:r>
      <w:r w:rsidRPr="000A3539">
        <w:rPr>
          <w:u w:val="single"/>
          <w:lang w:val="en-CA"/>
        </w:rPr>
        <w:t xml:space="preserve">, </w:t>
      </w:r>
      <w:r w:rsidR="004B558A" w:rsidRPr="000A3539">
        <w:rPr>
          <w:u w:val="single"/>
          <w:lang w:val="en-CA"/>
        </w:rPr>
        <w:t xml:space="preserve">how could that person know if he or she performed equivalent work to that of a </w:t>
      </w:r>
      <w:r w:rsidRPr="00DB24B1">
        <w:rPr>
          <w:u w:val="single"/>
          <w:lang w:val="en-CA"/>
        </w:rPr>
        <w:t>casual</w:t>
      </w:r>
      <w:r w:rsidR="004B558A" w:rsidRPr="00DB24B1">
        <w:rPr>
          <w:u w:val="single"/>
          <w:lang w:val="en-CA"/>
        </w:rPr>
        <w:t xml:space="preserve"> </w:t>
      </w:r>
      <w:r w:rsidRPr="00DB24B1">
        <w:rPr>
          <w:u w:val="single"/>
          <w:lang w:val="en-CA"/>
        </w:rPr>
        <w:t>employee</w:t>
      </w:r>
      <w:r w:rsidRPr="000A3539">
        <w:rPr>
          <w:lang w:val="en-CA"/>
        </w:rPr>
        <w:t xml:space="preserve">? </w:t>
      </w:r>
      <w:r w:rsidR="004B558A" w:rsidRPr="000A3539">
        <w:rPr>
          <w:u w:val="single"/>
          <w:lang w:val="en-CA"/>
        </w:rPr>
        <w:t>E</w:t>
      </w:r>
      <w:r w:rsidR="00014EE3" w:rsidRPr="000A3539">
        <w:rPr>
          <w:u w:val="single"/>
          <w:lang w:val="en-CA"/>
        </w:rPr>
        <w:t>very person that was hired during the summer</w:t>
      </w:r>
      <w:r w:rsidRPr="000A3539">
        <w:rPr>
          <w:u w:val="single"/>
          <w:lang w:val="en-CA"/>
        </w:rPr>
        <w:t xml:space="preserve"> </w:t>
      </w:r>
      <w:r w:rsidR="00014EE3" w:rsidRPr="000A3539">
        <w:rPr>
          <w:u w:val="single"/>
          <w:lang w:val="en-CA"/>
        </w:rPr>
        <w:t>under that d</w:t>
      </w:r>
      <w:r w:rsidRPr="000A3539">
        <w:rPr>
          <w:u w:val="single"/>
          <w:lang w:val="en-CA"/>
        </w:rPr>
        <w:t xml:space="preserve">irective </w:t>
      </w:r>
      <w:r w:rsidR="001458AC">
        <w:rPr>
          <w:u w:val="single"/>
          <w:lang w:val="en-CA"/>
        </w:rPr>
        <w:t xml:space="preserve">would </w:t>
      </w:r>
      <w:r w:rsidR="00014EE3" w:rsidRPr="000A3539">
        <w:rPr>
          <w:u w:val="single"/>
          <w:lang w:val="en-CA"/>
        </w:rPr>
        <w:t xml:space="preserve">have to ask </w:t>
      </w:r>
      <w:r w:rsidR="009A1142" w:rsidRPr="000A3539">
        <w:rPr>
          <w:u w:val="single"/>
          <w:lang w:val="en-CA"/>
        </w:rPr>
        <w:t>themselves</w:t>
      </w:r>
      <w:r w:rsidR="00014EE3" w:rsidRPr="000A3539">
        <w:rPr>
          <w:u w:val="single"/>
          <w:lang w:val="en-CA"/>
        </w:rPr>
        <w:t xml:space="preserve"> whether the tasks performed in the context of their employment were e</w:t>
      </w:r>
      <w:r w:rsidR="009A1142" w:rsidRPr="000A3539">
        <w:rPr>
          <w:u w:val="single"/>
          <w:lang w:val="en-CA"/>
        </w:rPr>
        <w:t xml:space="preserve">quivalent to those performed by a </w:t>
      </w:r>
      <w:r w:rsidRPr="00DB24B1">
        <w:rPr>
          <w:u w:val="single"/>
          <w:lang w:val="en-CA"/>
        </w:rPr>
        <w:t>casual</w:t>
      </w:r>
      <w:r w:rsidR="009A1142" w:rsidRPr="00DB24B1">
        <w:rPr>
          <w:u w:val="single"/>
          <w:lang w:val="en-CA"/>
        </w:rPr>
        <w:t xml:space="preserve"> </w:t>
      </w:r>
      <w:r w:rsidRPr="00DB24B1">
        <w:rPr>
          <w:u w:val="single"/>
          <w:lang w:val="en-CA"/>
        </w:rPr>
        <w:t>employee</w:t>
      </w:r>
      <w:r w:rsidR="009A1142" w:rsidRPr="00DB24B1">
        <w:rPr>
          <w:u w:val="single"/>
          <w:lang w:val="en-CA"/>
        </w:rPr>
        <w:t xml:space="preserve"> and warranted the same wages</w:t>
      </w:r>
      <w:r w:rsidRPr="000A3539">
        <w:rPr>
          <w:lang w:val="en-CA"/>
        </w:rPr>
        <w:t xml:space="preserve">. </w:t>
      </w:r>
      <w:r w:rsidR="00AE6AD9">
        <w:rPr>
          <w:lang w:val="en-CA"/>
        </w:rPr>
        <w:t>A s</w:t>
      </w:r>
      <w:r w:rsidR="007D2E2D" w:rsidRPr="000A3539">
        <w:rPr>
          <w:lang w:val="en-CA"/>
        </w:rPr>
        <w:t xml:space="preserve">imilar </w:t>
      </w:r>
      <w:r w:rsidRPr="000A3539">
        <w:rPr>
          <w:lang w:val="en-CA"/>
        </w:rPr>
        <w:t>r</w:t>
      </w:r>
      <w:r w:rsidR="007D2E2D" w:rsidRPr="000A3539">
        <w:rPr>
          <w:lang w:val="en-CA"/>
        </w:rPr>
        <w:t>e</w:t>
      </w:r>
      <w:r w:rsidRPr="000A3539">
        <w:rPr>
          <w:lang w:val="en-CA"/>
        </w:rPr>
        <w:t>fle</w:t>
      </w:r>
      <w:r w:rsidR="00294B2D" w:rsidRPr="000A3539">
        <w:rPr>
          <w:lang w:val="en-CA"/>
        </w:rPr>
        <w:t>ct</w:t>
      </w:r>
      <w:r w:rsidRPr="000A3539">
        <w:rPr>
          <w:lang w:val="en-CA"/>
        </w:rPr>
        <w:t xml:space="preserve">ion </w:t>
      </w:r>
      <w:r w:rsidR="00294B2D" w:rsidRPr="000A3539">
        <w:rPr>
          <w:lang w:val="en-CA"/>
        </w:rPr>
        <w:t>wou</w:t>
      </w:r>
      <w:r w:rsidR="007D2E2D" w:rsidRPr="000A3539">
        <w:rPr>
          <w:lang w:val="en-CA"/>
        </w:rPr>
        <w:t xml:space="preserve">ld be required due to the </w:t>
      </w:r>
      <w:r w:rsidR="00DB24B1">
        <w:rPr>
          <w:lang w:val="en-CA"/>
        </w:rPr>
        <w:t>mere</w:t>
      </w:r>
      <w:r w:rsidRPr="000A3539">
        <w:rPr>
          <w:lang w:val="en-CA"/>
        </w:rPr>
        <w:t xml:space="preserve"> fa</w:t>
      </w:r>
      <w:r w:rsidR="007D2E2D" w:rsidRPr="000A3539">
        <w:rPr>
          <w:lang w:val="en-CA"/>
        </w:rPr>
        <w:t xml:space="preserve">ct </w:t>
      </w:r>
      <w:r w:rsidR="007D2E2D" w:rsidRPr="000A3539">
        <w:rPr>
          <w:b/>
          <w:lang w:val="en-CA"/>
        </w:rPr>
        <w:t>th</w:t>
      </w:r>
      <w:r w:rsidRPr="000A3539">
        <w:rPr>
          <w:b/>
          <w:lang w:val="en-CA"/>
        </w:rPr>
        <w:t>e</w:t>
      </w:r>
      <w:r w:rsidR="007D2E2D" w:rsidRPr="000A3539">
        <w:rPr>
          <w:b/>
          <w:lang w:val="en-CA"/>
        </w:rPr>
        <w:t xml:space="preserve"> jobs </w:t>
      </w:r>
      <w:r w:rsidRPr="000A3539">
        <w:rPr>
          <w:b/>
          <w:lang w:val="en-CA"/>
        </w:rPr>
        <w:t>offer</w:t>
      </w:r>
      <w:r w:rsidR="007D2E2D" w:rsidRPr="000A3539">
        <w:rPr>
          <w:b/>
          <w:lang w:val="en-CA"/>
        </w:rPr>
        <w:t xml:space="preserve">ed to students </w:t>
      </w:r>
      <w:r w:rsidRPr="000A3539">
        <w:rPr>
          <w:b/>
          <w:lang w:val="en-CA"/>
        </w:rPr>
        <w:t>dur</w:t>
      </w:r>
      <w:r w:rsidR="007D2E2D" w:rsidRPr="000A3539">
        <w:rPr>
          <w:b/>
          <w:lang w:val="en-CA"/>
        </w:rPr>
        <w:t xml:space="preserve">ing the summer do not </w:t>
      </w:r>
      <w:r w:rsidRPr="000A3539">
        <w:rPr>
          <w:b/>
          <w:lang w:val="en-CA"/>
        </w:rPr>
        <w:t>correspond</w:t>
      </w:r>
      <w:r w:rsidR="007D2E2D" w:rsidRPr="000A3539">
        <w:rPr>
          <w:b/>
          <w:lang w:val="en-CA"/>
        </w:rPr>
        <w:t xml:space="preserve"> to the employment </w:t>
      </w:r>
      <w:r w:rsidRPr="000A3539">
        <w:rPr>
          <w:b/>
          <w:lang w:val="en-CA"/>
        </w:rPr>
        <w:t>cat</w:t>
      </w:r>
      <w:r w:rsidR="007D2E2D" w:rsidRPr="000A3539">
        <w:rPr>
          <w:b/>
          <w:lang w:val="en-CA"/>
        </w:rPr>
        <w:t>e</w:t>
      </w:r>
      <w:r w:rsidRPr="000A3539">
        <w:rPr>
          <w:b/>
          <w:lang w:val="en-CA"/>
        </w:rPr>
        <w:t xml:space="preserve">gories </w:t>
      </w:r>
      <w:r w:rsidR="00E72371" w:rsidRPr="000A3539">
        <w:rPr>
          <w:b/>
          <w:lang w:val="en-CA"/>
        </w:rPr>
        <w:t>and</w:t>
      </w:r>
      <w:r w:rsidRPr="000A3539">
        <w:rPr>
          <w:b/>
          <w:lang w:val="en-CA"/>
        </w:rPr>
        <w:t xml:space="preserve"> classes exist</w:t>
      </w:r>
      <w:r w:rsidR="00E72371" w:rsidRPr="000A3539">
        <w:rPr>
          <w:b/>
          <w:lang w:val="en-CA"/>
        </w:rPr>
        <w:t xml:space="preserve">ing in the public service for </w:t>
      </w:r>
      <w:r w:rsidRPr="000A3539">
        <w:rPr>
          <w:b/>
          <w:lang w:val="en-CA"/>
        </w:rPr>
        <w:t>casual</w:t>
      </w:r>
      <w:r w:rsidR="00E72371" w:rsidRPr="000A3539">
        <w:rPr>
          <w:b/>
          <w:lang w:val="en-CA"/>
        </w:rPr>
        <w:t xml:space="preserve"> </w:t>
      </w:r>
      <w:r w:rsidRPr="000A3539">
        <w:rPr>
          <w:b/>
          <w:lang w:val="en-CA"/>
        </w:rPr>
        <w:t>employees.</w:t>
      </w:r>
    </w:p>
    <w:p w14:paraId="19EF4352" w14:textId="723C7FEE" w:rsidR="00352837" w:rsidRPr="000A3539" w:rsidRDefault="00D76132" w:rsidP="00352837">
      <w:pPr>
        <w:pStyle w:val="Citationenretrait"/>
        <w:rPr>
          <w:lang w:val="en-CA"/>
        </w:rPr>
      </w:pPr>
      <w:r w:rsidRPr="000A3539">
        <w:rPr>
          <w:lang w:val="en-CA"/>
        </w:rPr>
        <w:t>[</w:t>
      </w:r>
      <w:bookmarkStart w:id="34" w:name="par42"/>
      <w:r w:rsidRPr="000A3539">
        <w:rPr>
          <w:lang w:val="en-CA"/>
        </w:rPr>
        <w:t>42</w:t>
      </w:r>
      <w:bookmarkEnd w:id="34"/>
      <w:r w:rsidRPr="000A3539">
        <w:rPr>
          <w:lang w:val="en-CA"/>
        </w:rPr>
        <w:t>]  </w:t>
      </w:r>
      <w:r w:rsidR="00E72371" w:rsidRPr="000A3539">
        <w:rPr>
          <w:lang w:val="en-CA"/>
        </w:rPr>
        <w:t xml:space="preserve">The appellant does not deny this </w:t>
      </w:r>
      <w:r w:rsidRPr="000A3539">
        <w:rPr>
          <w:lang w:val="en-CA"/>
        </w:rPr>
        <w:t xml:space="preserve">situation. </w:t>
      </w:r>
      <w:r w:rsidR="007353D4" w:rsidRPr="000A3539">
        <w:rPr>
          <w:lang w:val="en-CA"/>
        </w:rPr>
        <w:t>He states, however, that the students in fact perform the same tasks</w:t>
      </w:r>
      <w:r w:rsidRPr="000A3539">
        <w:rPr>
          <w:lang w:val="en-CA"/>
        </w:rPr>
        <w:t>.</w:t>
      </w:r>
      <w:r w:rsidR="007353D4" w:rsidRPr="000A3539">
        <w:rPr>
          <w:lang w:val="en-CA"/>
        </w:rPr>
        <w:t xml:space="preserve"> He cites as e</w:t>
      </w:r>
      <w:r w:rsidRPr="000A3539">
        <w:rPr>
          <w:lang w:val="en-CA"/>
        </w:rPr>
        <w:t>vidence</w:t>
      </w:r>
      <w:r w:rsidR="007353D4" w:rsidRPr="000A3539">
        <w:rPr>
          <w:lang w:val="en-CA"/>
        </w:rPr>
        <w:t xml:space="preserve"> the contractual </w:t>
      </w:r>
      <w:r w:rsidRPr="000A3539">
        <w:rPr>
          <w:lang w:val="en-CA"/>
        </w:rPr>
        <w:t xml:space="preserve">situation </w:t>
      </w:r>
      <w:r w:rsidR="007353D4" w:rsidRPr="000A3539">
        <w:rPr>
          <w:lang w:val="en-CA"/>
        </w:rPr>
        <w:t>that he himself experienced</w:t>
      </w:r>
      <w:r w:rsidRPr="000A3539">
        <w:rPr>
          <w:lang w:val="en-CA"/>
        </w:rPr>
        <w:t xml:space="preserve">. </w:t>
      </w:r>
      <w:r w:rsidR="007353D4" w:rsidRPr="000A3539">
        <w:rPr>
          <w:u w:val="single"/>
          <w:lang w:val="en-CA"/>
        </w:rPr>
        <w:t>Because he was hired s</w:t>
      </w:r>
      <w:r w:rsidRPr="000A3539">
        <w:rPr>
          <w:u w:val="single"/>
          <w:lang w:val="en-CA"/>
        </w:rPr>
        <w:t>uccessive</w:t>
      </w:r>
      <w:r w:rsidR="007353D4" w:rsidRPr="000A3539">
        <w:rPr>
          <w:u w:val="single"/>
          <w:lang w:val="en-CA"/>
        </w:rPr>
        <w:t xml:space="preserve">ly as a student and a casual employee, he was placed in a </w:t>
      </w:r>
      <w:r w:rsidRPr="000A3539">
        <w:rPr>
          <w:u w:val="single"/>
          <w:lang w:val="en-CA"/>
        </w:rPr>
        <w:t xml:space="preserve">situation </w:t>
      </w:r>
      <w:r w:rsidR="007353D4" w:rsidRPr="000A3539">
        <w:rPr>
          <w:u w:val="single"/>
          <w:lang w:val="en-CA"/>
        </w:rPr>
        <w:t>that allowed him to compare his tasks in each of his jobs</w:t>
      </w:r>
      <w:r w:rsidRPr="000A3539">
        <w:rPr>
          <w:lang w:val="en-CA"/>
        </w:rPr>
        <w:t xml:space="preserve">. </w:t>
      </w:r>
      <w:r w:rsidR="007353D4" w:rsidRPr="000A3539">
        <w:rPr>
          <w:u w:val="single"/>
          <w:lang w:val="en-CA"/>
        </w:rPr>
        <w:t xml:space="preserve">However, he is unable to say whether others experienced the same </w:t>
      </w:r>
      <w:r w:rsidRPr="000A3539">
        <w:rPr>
          <w:u w:val="single"/>
          <w:lang w:val="en-CA"/>
        </w:rPr>
        <w:t>situation</w:t>
      </w:r>
      <w:r w:rsidRPr="000A3539">
        <w:rPr>
          <w:lang w:val="en-CA"/>
        </w:rPr>
        <w:t>.</w:t>
      </w:r>
      <w:r w:rsidRPr="000A3539">
        <w:rPr>
          <w:rStyle w:val="Appelnotedebasdep"/>
          <w:lang w:val="en-CA"/>
        </w:rPr>
        <w:footnoteReference w:id="111"/>
      </w:r>
    </w:p>
    <w:p w14:paraId="0AF65997" w14:textId="45C3FE27" w:rsidR="00352837" w:rsidRPr="000A3539" w:rsidRDefault="00D76132" w:rsidP="00352837">
      <w:pPr>
        <w:pStyle w:val="Citationenretrait"/>
        <w:jc w:val="right"/>
        <w:rPr>
          <w:lang w:val="en-CA"/>
        </w:rPr>
      </w:pPr>
      <w:r w:rsidRPr="000A3539">
        <w:rPr>
          <w:rFonts w:cs="Arial"/>
          <w:lang w:val="en-CA"/>
        </w:rPr>
        <w:t>[</w:t>
      </w:r>
      <w:r w:rsidR="00D52E2A" w:rsidRPr="000A3539">
        <w:rPr>
          <w:rFonts w:cs="Arial"/>
          <w:lang w:val="en-CA"/>
        </w:rPr>
        <w:t xml:space="preserve">Underlining and bold </w:t>
      </w:r>
      <w:r w:rsidRPr="000A3539">
        <w:rPr>
          <w:rFonts w:cs="Arial"/>
          <w:lang w:val="en-CA"/>
        </w:rPr>
        <w:t xml:space="preserve">emphasis </w:t>
      </w:r>
      <w:r w:rsidR="00D52E2A" w:rsidRPr="000A3539">
        <w:rPr>
          <w:rFonts w:cs="Arial"/>
          <w:lang w:val="en-CA"/>
        </w:rPr>
        <w:t>added</w:t>
      </w:r>
      <w:r w:rsidRPr="000A3539">
        <w:rPr>
          <w:rFonts w:cs="Arial"/>
          <w:lang w:val="en-CA"/>
        </w:rPr>
        <w:t>]</w:t>
      </w:r>
    </w:p>
    <w:p w14:paraId="27D79D32" w14:textId="4C72AC9D" w:rsidR="00352837" w:rsidRPr="000A3539" w:rsidRDefault="00CB3D29" w:rsidP="00352837">
      <w:pPr>
        <w:pStyle w:val="Paragraphe"/>
        <w:rPr>
          <w:lang w:val="en-CA" w:eastAsia="fr-CA"/>
        </w:rPr>
      </w:pPr>
      <w:r w:rsidRPr="000A3539">
        <w:rPr>
          <w:lang w:val="en-CA" w:eastAsia="fr-CA"/>
        </w:rPr>
        <w:t xml:space="preserve">That judgment was rendered on the basis of the rules specific to </w:t>
      </w:r>
      <w:r w:rsidR="00D76132" w:rsidRPr="000A3539">
        <w:rPr>
          <w:lang w:val="en-CA" w:eastAsia="fr-CA"/>
        </w:rPr>
        <w:t>class</w:t>
      </w:r>
      <w:r w:rsidRPr="000A3539">
        <w:rPr>
          <w:lang w:val="en-CA" w:eastAsia="fr-CA"/>
        </w:rPr>
        <w:t xml:space="preserve"> </w:t>
      </w:r>
      <w:r w:rsidR="00D76132" w:rsidRPr="000A3539">
        <w:rPr>
          <w:lang w:val="en-CA" w:eastAsia="fr-CA"/>
        </w:rPr>
        <w:t>actions</w:t>
      </w:r>
      <w:r w:rsidRPr="000A3539">
        <w:rPr>
          <w:lang w:val="en-CA" w:eastAsia="fr-CA"/>
        </w:rPr>
        <w:t xml:space="preserve">, paying particular attention to the </w:t>
      </w:r>
      <w:r w:rsidR="00D76132" w:rsidRPr="000A3539">
        <w:rPr>
          <w:lang w:val="en-CA" w:eastAsia="fr-CA"/>
        </w:rPr>
        <w:t xml:space="preserve">description </w:t>
      </w:r>
      <w:r w:rsidRPr="000A3539">
        <w:rPr>
          <w:lang w:val="en-CA" w:eastAsia="fr-CA"/>
        </w:rPr>
        <w:t xml:space="preserve">of the class that </w:t>
      </w:r>
      <w:r w:rsidR="00D76132" w:rsidRPr="000A3539">
        <w:rPr>
          <w:lang w:val="en-CA" w:eastAsia="fr-CA"/>
        </w:rPr>
        <w:t>M</w:t>
      </w:r>
      <w:r w:rsidRPr="000A3539">
        <w:rPr>
          <w:lang w:val="en-CA" w:eastAsia="fr-CA"/>
        </w:rPr>
        <w:t>r</w:t>
      </w:r>
      <w:r w:rsidR="00D76132" w:rsidRPr="000A3539">
        <w:rPr>
          <w:lang w:val="en-CA" w:eastAsia="fr-CA"/>
        </w:rPr>
        <w:t xml:space="preserve">. George </w:t>
      </w:r>
      <w:r w:rsidRPr="000A3539">
        <w:rPr>
          <w:lang w:val="en-CA" w:eastAsia="fr-CA"/>
        </w:rPr>
        <w:t xml:space="preserve">wanted to </w:t>
      </w:r>
      <w:r w:rsidR="00D76132" w:rsidRPr="000A3539">
        <w:rPr>
          <w:lang w:val="en-CA" w:eastAsia="fr-CA"/>
        </w:rPr>
        <w:t>repr</w:t>
      </w:r>
      <w:r w:rsidRPr="000A3539">
        <w:rPr>
          <w:lang w:val="en-CA" w:eastAsia="fr-CA"/>
        </w:rPr>
        <w:t>e</w:t>
      </w:r>
      <w:r w:rsidR="00D76132" w:rsidRPr="000A3539">
        <w:rPr>
          <w:lang w:val="en-CA" w:eastAsia="fr-CA"/>
        </w:rPr>
        <w:t xml:space="preserve">sent. </w:t>
      </w:r>
      <w:r w:rsidR="00D60E6A">
        <w:rPr>
          <w:lang w:val="en-CA" w:eastAsia="fr-CA"/>
        </w:rPr>
        <w:t>It is irrelevant with respect to</w:t>
      </w:r>
      <w:r w:rsidR="00294B2D" w:rsidRPr="000A3539">
        <w:rPr>
          <w:lang w:val="en-CA" w:eastAsia="fr-CA"/>
        </w:rPr>
        <w:t xml:space="preserve"> the analytical method used to determine the equivalence of tasks</w:t>
      </w:r>
      <w:r w:rsidR="00006753" w:rsidRPr="000A3539">
        <w:rPr>
          <w:lang w:val="en-CA" w:eastAsia="fr-CA"/>
        </w:rPr>
        <w:t xml:space="preserve"> </w:t>
      </w:r>
      <w:r w:rsidR="00E4322C" w:rsidRPr="000A3539">
        <w:rPr>
          <w:lang w:val="en-CA" w:eastAsia="fr-CA"/>
        </w:rPr>
        <w:t>at ABI</w:t>
      </w:r>
      <w:r w:rsidR="00D76132" w:rsidRPr="000A3539">
        <w:rPr>
          <w:lang w:val="en-CA" w:eastAsia="fr-CA"/>
        </w:rPr>
        <w:t>.</w:t>
      </w:r>
    </w:p>
    <w:p w14:paraId="15B64881" w14:textId="0DA0F2C3" w:rsidR="00352837" w:rsidRPr="000A3539" w:rsidRDefault="00BB08F1" w:rsidP="00352837">
      <w:pPr>
        <w:pStyle w:val="Paragraphe"/>
        <w:rPr>
          <w:lang w:val="en-CA" w:eastAsia="fr-CA"/>
        </w:rPr>
      </w:pPr>
      <w:r w:rsidRPr="000A3539">
        <w:rPr>
          <w:lang w:val="en-CA" w:eastAsia="fr-CA"/>
        </w:rPr>
        <w:t xml:space="preserve">The </w:t>
      </w:r>
      <w:r w:rsidR="00D76132" w:rsidRPr="000A3539">
        <w:rPr>
          <w:lang w:val="en-CA" w:eastAsia="fr-CA"/>
        </w:rPr>
        <w:t>appel</w:t>
      </w:r>
      <w:r w:rsidRPr="000A3539">
        <w:rPr>
          <w:lang w:val="en-CA" w:eastAsia="fr-CA"/>
        </w:rPr>
        <w:t>l</w:t>
      </w:r>
      <w:r w:rsidR="00D76132" w:rsidRPr="000A3539">
        <w:rPr>
          <w:lang w:val="en-CA" w:eastAsia="fr-CA"/>
        </w:rPr>
        <w:t>ant</w:t>
      </w:r>
      <w:r w:rsidRPr="000A3539">
        <w:rPr>
          <w:lang w:val="en-CA" w:eastAsia="fr-CA"/>
        </w:rPr>
        <w:t xml:space="preserve"> has not established any </w:t>
      </w:r>
      <w:r w:rsidR="00D76132" w:rsidRPr="000A3539">
        <w:rPr>
          <w:lang w:val="en-CA" w:eastAsia="fr-CA"/>
        </w:rPr>
        <w:t>palpable</w:t>
      </w:r>
      <w:r w:rsidR="00760222" w:rsidRPr="000A3539">
        <w:rPr>
          <w:lang w:val="en-CA" w:eastAsia="fr-CA"/>
        </w:rPr>
        <w:t xml:space="preserve"> </w:t>
      </w:r>
      <w:r w:rsidR="00D76132" w:rsidRPr="000A3539">
        <w:rPr>
          <w:lang w:val="en-CA" w:eastAsia="fr-CA"/>
        </w:rPr>
        <w:t>and</w:t>
      </w:r>
      <w:r w:rsidR="00760222" w:rsidRPr="000A3539">
        <w:rPr>
          <w:lang w:val="en-CA" w:eastAsia="fr-CA"/>
        </w:rPr>
        <w:t xml:space="preserve"> </w:t>
      </w:r>
      <w:r w:rsidR="00D76132" w:rsidRPr="000A3539">
        <w:rPr>
          <w:lang w:val="en-CA" w:eastAsia="fr-CA"/>
        </w:rPr>
        <w:t>overriding</w:t>
      </w:r>
      <w:r w:rsidR="00760222" w:rsidRPr="000A3539">
        <w:rPr>
          <w:lang w:val="en-CA" w:eastAsia="fr-CA"/>
        </w:rPr>
        <w:t xml:space="preserve"> </w:t>
      </w:r>
      <w:r w:rsidR="00D76132" w:rsidRPr="000A3539">
        <w:rPr>
          <w:lang w:val="en-CA" w:eastAsia="fr-CA"/>
        </w:rPr>
        <w:t>error</w:t>
      </w:r>
      <w:r w:rsidR="00760222" w:rsidRPr="000A3539">
        <w:rPr>
          <w:lang w:val="en-CA" w:eastAsia="fr-CA"/>
        </w:rPr>
        <w:t xml:space="preserve"> in the choice of analytical method or the Tribunal’s highly factual </w:t>
      </w:r>
      <w:r w:rsidR="00D76132" w:rsidRPr="000A3539">
        <w:rPr>
          <w:lang w:val="en-CA" w:eastAsia="fr-CA"/>
        </w:rPr>
        <w:t xml:space="preserve">conclusion </w:t>
      </w:r>
      <w:r w:rsidR="00876BD1" w:rsidRPr="000A3539">
        <w:rPr>
          <w:lang w:val="en-CA" w:eastAsia="fr-CA"/>
        </w:rPr>
        <w:t xml:space="preserve">regarding the tasks performed by the students and their equivalence </w:t>
      </w:r>
      <w:r w:rsidR="00A43ABA">
        <w:rPr>
          <w:lang w:val="en-CA" w:eastAsia="fr-CA"/>
        </w:rPr>
        <w:t>to</w:t>
      </w:r>
      <w:r w:rsidR="00A43ABA" w:rsidRPr="000A3539">
        <w:rPr>
          <w:lang w:val="en-CA" w:eastAsia="fr-CA"/>
        </w:rPr>
        <w:t xml:space="preserve"> </w:t>
      </w:r>
      <w:r w:rsidR="00876BD1" w:rsidRPr="000A3539">
        <w:rPr>
          <w:lang w:val="en-CA" w:eastAsia="fr-CA"/>
        </w:rPr>
        <w:t>the tasks performed by regular or casual employees</w:t>
      </w:r>
      <w:r w:rsidR="00D76132" w:rsidRPr="000A3539">
        <w:rPr>
          <w:lang w:val="en-CA" w:eastAsia="fr-CA"/>
        </w:rPr>
        <w:t>.</w:t>
      </w:r>
    </w:p>
    <w:p w14:paraId="0D083F54" w14:textId="0AFA0832" w:rsidR="00352837" w:rsidRPr="000A3539" w:rsidRDefault="00783EAC" w:rsidP="00352837">
      <w:pPr>
        <w:pStyle w:val="Paragraphe"/>
        <w:rPr>
          <w:lang w:val="en-CA"/>
        </w:rPr>
      </w:pPr>
      <w:r w:rsidRPr="000A3539">
        <w:rPr>
          <w:lang w:val="en-CA"/>
        </w:rPr>
        <w:t xml:space="preserve">Authors </w:t>
      </w:r>
      <w:proofErr w:type="spellStart"/>
      <w:r w:rsidRPr="000A3539">
        <w:rPr>
          <w:lang w:val="en-CA"/>
        </w:rPr>
        <w:t>Brun</w:t>
      </w:r>
      <w:proofErr w:type="spellEnd"/>
      <w:r w:rsidRPr="000A3539">
        <w:rPr>
          <w:lang w:val="en-CA"/>
        </w:rPr>
        <w:t xml:space="preserve">, Tremblay, and </w:t>
      </w:r>
      <w:proofErr w:type="spellStart"/>
      <w:r w:rsidRPr="000A3539">
        <w:rPr>
          <w:lang w:val="en-CA"/>
        </w:rPr>
        <w:t>Brouillet</w:t>
      </w:r>
      <w:proofErr w:type="spellEnd"/>
      <w:r w:rsidRPr="000A3539">
        <w:rPr>
          <w:lang w:val="en-CA"/>
        </w:rPr>
        <w:t xml:space="preserve"> </w:t>
      </w:r>
      <w:r w:rsidR="005D1DB2">
        <w:rPr>
          <w:lang w:val="en-CA"/>
        </w:rPr>
        <w:t xml:space="preserve">note </w:t>
      </w:r>
      <w:r w:rsidRPr="000A3539">
        <w:rPr>
          <w:lang w:val="en-CA"/>
        </w:rPr>
        <w:t>that:</w:t>
      </w:r>
      <w:r w:rsidR="00876BD1" w:rsidRPr="000A3539">
        <w:rPr>
          <w:lang w:val="en-CA"/>
        </w:rPr>
        <w:t xml:space="preserve"> [</w:t>
      </w:r>
      <w:r w:rsidR="00876BD1" w:rsidRPr="000A3539">
        <w:rPr>
          <w:smallCaps/>
          <w:lang w:val="en-CA"/>
        </w:rPr>
        <w:t>translation</w:t>
      </w:r>
      <w:r w:rsidR="00876BD1" w:rsidRPr="000A3539">
        <w:rPr>
          <w:lang w:val="en-CA"/>
        </w:rPr>
        <w:t>] “the criteria</w:t>
      </w:r>
      <w:r w:rsidR="00934266" w:rsidRPr="000A3539">
        <w:rPr>
          <w:lang w:val="en-CA"/>
        </w:rPr>
        <w:t xml:space="preserve"> of such e</w:t>
      </w:r>
      <w:r w:rsidR="00D76132" w:rsidRPr="000A3539">
        <w:rPr>
          <w:lang w:val="en-CA"/>
        </w:rPr>
        <w:t xml:space="preserve">quivalence </w:t>
      </w:r>
      <w:r w:rsidR="00934266" w:rsidRPr="000A3539">
        <w:rPr>
          <w:lang w:val="en-CA"/>
        </w:rPr>
        <w:t xml:space="preserve">are the </w:t>
      </w:r>
      <w:r w:rsidR="00D76132" w:rsidRPr="00FD1FB8">
        <w:rPr>
          <w:u w:val="single"/>
          <w:lang w:val="en-CA"/>
        </w:rPr>
        <w:t>qualifications</w:t>
      </w:r>
      <w:r w:rsidR="00934266" w:rsidRPr="00FD1FB8">
        <w:rPr>
          <w:u w:val="single"/>
          <w:lang w:val="en-CA"/>
        </w:rPr>
        <w:t xml:space="preserve"> needed</w:t>
      </w:r>
      <w:r w:rsidR="00D76132" w:rsidRPr="000A3539">
        <w:rPr>
          <w:u w:val="single"/>
          <w:lang w:val="en-CA"/>
        </w:rPr>
        <w:t xml:space="preserve">, </w:t>
      </w:r>
      <w:r w:rsidR="00934266" w:rsidRPr="000A3539">
        <w:rPr>
          <w:u w:val="single"/>
          <w:lang w:val="en-CA"/>
        </w:rPr>
        <w:t xml:space="preserve">the </w:t>
      </w:r>
      <w:r w:rsidR="00D76132" w:rsidRPr="000A3539">
        <w:rPr>
          <w:u w:val="single"/>
          <w:lang w:val="en-CA"/>
        </w:rPr>
        <w:t xml:space="preserve">effort </w:t>
      </w:r>
      <w:r w:rsidR="00934266" w:rsidRPr="000A3539">
        <w:rPr>
          <w:u w:val="single"/>
          <w:lang w:val="en-CA"/>
        </w:rPr>
        <w:t>required</w:t>
      </w:r>
      <w:r w:rsidR="00D76132" w:rsidRPr="000A3539">
        <w:rPr>
          <w:u w:val="single"/>
          <w:lang w:val="en-CA"/>
        </w:rPr>
        <w:t xml:space="preserve">, </w:t>
      </w:r>
      <w:r w:rsidR="00934266" w:rsidRPr="000A3539">
        <w:rPr>
          <w:u w:val="single"/>
          <w:lang w:val="en-CA"/>
        </w:rPr>
        <w:t xml:space="preserve">the </w:t>
      </w:r>
      <w:r w:rsidR="00352F06" w:rsidRPr="000A3539">
        <w:rPr>
          <w:u w:val="single"/>
          <w:lang w:val="en-CA"/>
        </w:rPr>
        <w:t>responsibilities</w:t>
      </w:r>
      <w:r w:rsidR="00934266" w:rsidRPr="000A3539">
        <w:rPr>
          <w:u w:val="single"/>
          <w:lang w:val="en-CA"/>
        </w:rPr>
        <w:t xml:space="preserve"> assumed, and the </w:t>
      </w:r>
      <w:r w:rsidR="00D76132" w:rsidRPr="00CF53A0">
        <w:rPr>
          <w:u w:val="single"/>
          <w:lang w:val="en-CA"/>
        </w:rPr>
        <w:t>conditions</w:t>
      </w:r>
      <w:r w:rsidR="00934266" w:rsidRPr="00CF53A0">
        <w:rPr>
          <w:u w:val="single"/>
          <w:lang w:val="en-CA"/>
        </w:rPr>
        <w:t xml:space="preserve"> of employment</w:t>
      </w:r>
      <w:r w:rsidR="00934266" w:rsidRPr="000A3539">
        <w:rPr>
          <w:lang w:val="en-CA"/>
        </w:rPr>
        <w:t>”.</w:t>
      </w:r>
      <w:r w:rsidR="00D76132" w:rsidRPr="000A3539">
        <w:rPr>
          <w:rStyle w:val="Appelnotedebasdep"/>
          <w:lang w:val="en-CA"/>
        </w:rPr>
        <w:footnoteReference w:id="112"/>
      </w:r>
      <w:r w:rsidR="00D76132" w:rsidRPr="000A3539">
        <w:rPr>
          <w:lang w:val="en-CA"/>
        </w:rPr>
        <w:t xml:space="preserve"> </w:t>
      </w:r>
      <w:r w:rsidR="00934266" w:rsidRPr="000A3539">
        <w:rPr>
          <w:lang w:val="en-CA"/>
        </w:rPr>
        <w:t xml:space="preserve">In this case, the </w:t>
      </w:r>
      <w:r w:rsidR="00D76132" w:rsidRPr="000A3539">
        <w:rPr>
          <w:lang w:val="en-CA"/>
        </w:rPr>
        <w:t>Tribunal</w:t>
      </w:r>
      <w:r w:rsidR="00934266" w:rsidRPr="000A3539">
        <w:rPr>
          <w:lang w:val="en-CA"/>
        </w:rPr>
        <w:t xml:space="preserve"> noted that [</w:t>
      </w:r>
      <w:r w:rsidR="00934266" w:rsidRPr="000A3539">
        <w:rPr>
          <w:smallCaps/>
          <w:lang w:val="en-CA"/>
        </w:rPr>
        <w:t>translation</w:t>
      </w:r>
      <w:r w:rsidR="00934266" w:rsidRPr="000A3539">
        <w:rPr>
          <w:lang w:val="en-CA"/>
        </w:rPr>
        <w:t>] “</w:t>
      </w:r>
      <w:r w:rsidR="00934266" w:rsidRPr="000A3539">
        <w:rPr>
          <w:rFonts w:cs="Arial"/>
          <w:color w:val="000000"/>
          <w:lang w:val="en-CA"/>
        </w:rPr>
        <w:t>the students’ situation is not different from that of the regular and casual employees who are not systematically trained to perform all the tasks of the position they occupy</w:t>
      </w:r>
      <w:r w:rsidR="001673E1" w:rsidRPr="000A3539">
        <w:rPr>
          <w:rFonts w:cs="Arial"/>
          <w:color w:val="000000"/>
          <w:lang w:val="en-CA"/>
        </w:rPr>
        <w:t>”</w:t>
      </w:r>
      <w:r w:rsidR="00934266" w:rsidRPr="000A3539">
        <w:rPr>
          <w:rFonts w:cs="Arial"/>
          <w:color w:val="000000"/>
          <w:lang w:val="en-CA"/>
        </w:rPr>
        <w:t>.</w:t>
      </w:r>
      <w:r w:rsidR="00D76132" w:rsidRPr="000A3539">
        <w:rPr>
          <w:rStyle w:val="Appelnotedebasdep"/>
          <w:lang w:val="en-CA"/>
        </w:rPr>
        <w:footnoteReference w:id="113"/>
      </w:r>
      <w:r w:rsidR="001673E1" w:rsidRPr="000A3539">
        <w:rPr>
          <w:rFonts w:cs="Arial"/>
          <w:color w:val="000000"/>
          <w:lang w:val="en-CA"/>
        </w:rPr>
        <w:t xml:space="preserve"> I</w:t>
      </w:r>
      <w:r w:rsidR="00D76132" w:rsidRPr="000A3539">
        <w:rPr>
          <w:lang w:val="en-CA"/>
        </w:rPr>
        <w:t>n</w:t>
      </w:r>
      <w:r w:rsidR="001673E1" w:rsidRPr="000A3539">
        <w:rPr>
          <w:lang w:val="en-CA"/>
        </w:rPr>
        <w:t xml:space="preserve"> </w:t>
      </w:r>
      <w:r w:rsidR="00D76132" w:rsidRPr="000A3539">
        <w:rPr>
          <w:lang w:val="en-CA"/>
        </w:rPr>
        <w:t>addition,</w:t>
      </w:r>
      <w:r w:rsidR="00564F31" w:rsidRPr="000A3539">
        <w:rPr>
          <w:lang w:val="en-CA"/>
        </w:rPr>
        <w:t xml:space="preserve"> the </w:t>
      </w:r>
      <w:proofErr w:type="spellStart"/>
      <w:r w:rsidR="00564F31" w:rsidRPr="000A3539">
        <w:rPr>
          <w:lang w:val="en-CA"/>
        </w:rPr>
        <w:t>uncontradicted</w:t>
      </w:r>
      <w:proofErr w:type="spellEnd"/>
      <w:r w:rsidR="00564F31" w:rsidRPr="000A3539">
        <w:rPr>
          <w:lang w:val="en-CA"/>
        </w:rPr>
        <w:t xml:space="preserve"> </w:t>
      </w:r>
      <w:r w:rsidR="00D76132" w:rsidRPr="000A3539">
        <w:rPr>
          <w:lang w:val="en-CA"/>
        </w:rPr>
        <w:t>evidence</w:t>
      </w:r>
      <w:r w:rsidR="006439B2" w:rsidRPr="000A3539">
        <w:rPr>
          <w:lang w:val="en-CA"/>
        </w:rPr>
        <w:t xml:space="preserve"> established that when they perform the same task, all employees receive the same training</w:t>
      </w:r>
      <w:r w:rsidR="00F038D3" w:rsidRPr="000A3539">
        <w:rPr>
          <w:lang w:val="en-CA"/>
        </w:rPr>
        <w:t>; t</w:t>
      </w:r>
      <w:r w:rsidR="006439B2" w:rsidRPr="000A3539">
        <w:rPr>
          <w:lang w:val="en-CA"/>
        </w:rPr>
        <w:t>hey</w:t>
      </w:r>
      <w:r w:rsidR="00F21A6E">
        <w:rPr>
          <w:lang w:val="en-CA"/>
        </w:rPr>
        <w:t xml:space="preserve"> provide</w:t>
      </w:r>
      <w:r w:rsidR="00F038D3" w:rsidRPr="000A3539">
        <w:rPr>
          <w:lang w:val="en-CA"/>
        </w:rPr>
        <w:t xml:space="preserve"> the same effort, </w:t>
      </w:r>
      <w:r w:rsidR="00D76132" w:rsidRPr="000A3539">
        <w:rPr>
          <w:lang w:val="en-CA"/>
        </w:rPr>
        <w:t>assume</w:t>
      </w:r>
      <w:r w:rsidR="00F038D3" w:rsidRPr="000A3539">
        <w:rPr>
          <w:lang w:val="en-CA"/>
        </w:rPr>
        <w:t xml:space="preserve"> the same </w:t>
      </w:r>
      <w:r w:rsidR="00352F06" w:rsidRPr="000A3539">
        <w:rPr>
          <w:lang w:val="en-CA"/>
        </w:rPr>
        <w:t>responsibilities</w:t>
      </w:r>
      <w:r w:rsidR="00F038D3" w:rsidRPr="000A3539">
        <w:rPr>
          <w:lang w:val="en-CA"/>
        </w:rPr>
        <w:t xml:space="preserve">, and </w:t>
      </w:r>
      <w:r w:rsidR="00A43ABA">
        <w:rPr>
          <w:lang w:val="en-CA"/>
        </w:rPr>
        <w:t>work in the same conditions</w:t>
      </w:r>
      <w:r w:rsidR="00D8618B" w:rsidRPr="000A3539">
        <w:rPr>
          <w:lang w:val="en-CA"/>
        </w:rPr>
        <w:t>.</w:t>
      </w:r>
      <w:r w:rsidR="00D76132" w:rsidRPr="000A3539">
        <w:rPr>
          <w:rStyle w:val="Appelnotedebasdep"/>
          <w:rFonts w:cs="Arial"/>
          <w:lang w:val="en-CA"/>
        </w:rPr>
        <w:footnoteReference w:id="114"/>
      </w:r>
    </w:p>
    <w:p w14:paraId="1072316A" w14:textId="1305E110" w:rsidR="00352837" w:rsidRPr="000A3539" w:rsidRDefault="00783EAC" w:rsidP="00352837">
      <w:pPr>
        <w:pStyle w:val="Paragraphe"/>
        <w:rPr>
          <w:lang w:val="en-CA"/>
        </w:rPr>
      </w:pPr>
      <w:r w:rsidRPr="000A3539">
        <w:rPr>
          <w:lang w:val="en-CA" w:eastAsia="fr-CA"/>
        </w:rPr>
        <w:lastRenderedPageBreak/>
        <w:t xml:space="preserve">This ground of appeal </w:t>
      </w:r>
      <w:r w:rsidR="00A43ABA">
        <w:rPr>
          <w:lang w:val="en-CA" w:eastAsia="fr-CA"/>
        </w:rPr>
        <w:t>must</w:t>
      </w:r>
      <w:r w:rsidR="00A43ABA" w:rsidRPr="000A3539">
        <w:rPr>
          <w:lang w:val="en-CA" w:eastAsia="fr-CA"/>
        </w:rPr>
        <w:t xml:space="preserve"> </w:t>
      </w:r>
      <w:r w:rsidRPr="000A3539">
        <w:rPr>
          <w:lang w:val="en-CA" w:eastAsia="fr-CA"/>
        </w:rPr>
        <w:t>be dismissed.</w:t>
      </w:r>
      <w:r w:rsidR="00D76132" w:rsidRPr="000A3539">
        <w:rPr>
          <w:lang w:val="en-CA"/>
        </w:rPr>
        <w:t xml:space="preserve"> </w:t>
      </w:r>
    </w:p>
    <w:p w14:paraId="07DE7652" w14:textId="1F1918D4" w:rsidR="00352837" w:rsidRPr="000A3539" w:rsidRDefault="00D76132" w:rsidP="00352837">
      <w:pPr>
        <w:pStyle w:val="Style1sous-titrenumrot"/>
        <w:tabs>
          <w:tab w:val="left" w:pos="1418"/>
        </w:tabs>
        <w:spacing w:line="280" w:lineRule="exact"/>
        <w:ind w:left="1417" w:hanging="697"/>
        <w:rPr>
          <w:b/>
          <w:lang w:val="en-CA"/>
        </w:rPr>
      </w:pPr>
      <w:r w:rsidRPr="000A3539">
        <w:rPr>
          <w:b/>
          <w:lang w:val="en-CA"/>
        </w:rPr>
        <w:t>4.4-</w:t>
      </w:r>
      <w:r w:rsidRPr="000A3539">
        <w:rPr>
          <w:lang w:val="en-CA"/>
        </w:rPr>
        <w:tab/>
      </w:r>
      <w:r w:rsidR="007619EB" w:rsidRPr="000A3539">
        <w:rPr>
          <w:b/>
          <w:bCs/>
          <w:lang w:val="en-CA"/>
        </w:rPr>
        <w:t xml:space="preserve">Did the Tribunal err in the interpretation and application of the concept of </w:t>
      </w:r>
      <w:r w:rsidR="007619EB" w:rsidRPr="000A3539">
        <w:rPr>
          <w:b/>
          <w:bCs/>
          <w:i/>
          <w:lang w:val="en-CA"/>
        </w:rPr>
        <w:t>years of service</w:t>
      </w:r>
      <w:r w:rsidR="007619EB" w:rsidRPr="000A3539">
        <w:rPr>
          <w:b/>
          <w:bCs/>
          <w:lang w:val="en-CA"/>
        </w:rPr>
        <w:t xml:space="preserve"> set out in section 19 of the </w:t>
      </w:r>
      <w:r w:rsidR="00DC430C" w:rsidRPr="00DC430C">
        <w:rPr>
          <w:b/>
          <w:bCs/>
          <w:i/>
          <w:lang w:val="en-CA"/>
        </w:rPr>
        <w:t>Quebec Charter</w:t>
      </w:r>
      <w:r w:rsidR="007619EB" w:rsidRPr="000A3539">
        <w:rPr>
          <w:b/>
          <w:bCs/>
          <w:lang w:val="en-CA"/>
        </w:rPr>
        <w:t>?</w:t>
      </w:r>
    </w:p>
    <w:p w14:paraId="7C6DCDD9" w14:textId="224A01F5" w:rsidR="00352837" w:rsidRPr="000A3539" w:rsidRDefault="00631985" w:rsidP="00352837">
      <w:pPr>
        <w:pStyle w:val="Paragraphe"/>
        <w:rPr>
          <w:rFonts w:cs="Arial"/>
          <w:szCs w:val="24"/>
          <w:shd w:val="clear" w:color="auto" w:fill="FFFFFF"/>
          <w:lang w:val="en-CA"/>
        </w:rPr>
      </w:pPr>
      <w:r w:rsidRPr="000A3539">
        <w:rPr>
          <w:lang w:val="en-CA"/>
        </w:rPr>
        <w:t xml:space="preserve">The </w:t>
      </w:r>
      <w:r w:rsidR="00D76132" w:rsidRPr="000A3539">
        <w:rPr>
          <w:lang w:val="en-CA"/>
        </w:rPr>
        <w:t>appel</w:t>
      </w:r>
      <w:r w:rsidRPr="000A3539">
        <w:rPr>
          <w:lang w:val="en-CA"/>
        </w:rPr>
        <w:t>l</w:t>
      </w:r>
      <w:r w:rsidR="00D76132" w:rsidRPr="000A3539">
        <w:rPr>
          <w:lang w:val="en-CA"/>
        </w:rPr>
        <w:t>ant</w:t>
      </w:r>
      <w:r w:rsidRPr="000A3539">
        <w:rPr>
          <w:lang w:val="en-CA"/>
        </w:rPr>
        <w:t xml:space="preserve"> </w:t>
      </w:r>
      <w:r w:rsidR="00D76132" w:rsidRPr="000A3539">
        <w:rPr>
          <w:lang w:val="en-CA"/>
        </w:rPr>
        <w:t>submit</w:t>
      </w:r>
      <w:r w:rsidRPr="000A3539">
        <w:rPr>
          <w:lang w:val="en-CA"/>
        </w:rPr>
        <w:t>s that the nature of the students’ contracts, which are “fixed</w:t>
      </w:r>
      <w:r w:rsidR="00B925E6" w:rsidRPr="000A3539">
        <w:rPr>
          <w:lang w:val="en-CA"/>
        </w:rPr>
        <w:t>-</w:t>
      </w:r>
      <w:r w:rsidRPr="000A3539">
        <w:rPr>
          <w:lang w:val="en-CA"/>
        </w:rPr>
        <w:t xml:space="preserve">term” contracts, </w:t>
      </w:r>
      <w:r w:rsidR="00567385" w:rsidRPr="000A3539">
        <w:rPr>
          <w:lang w:val="en-CA"/>
        </w:rPr>
        <w:t xml:space="preserve">falls under the exception set out in the second paragraph of section </w:t>
      </w:r>
      <w:r w:rsidR="00D76132" w:rsidRPr="000A3539">
        <w:rPr>
          <w:lang w:val="en-CA"/>
        </w:rPr>
        <w:t xml:space="preserve">19 </w:t>
      </w:r>
      <w:r w:rsidR="00567385" w:rsidRPr="000A3539">
        <w:rPr>
          <w:lang w:val="en-CA"/>
        </w:rPr>
        <w:t xml:space="preserve">of the </w:t>
      </w:r>
      <w:r w:rsidR="00DC430C" w:rsidRPr="00DC430C">
        <w:rPr>
          <w:i/>
          <w:lang w:val="en-CA"/>
        </w:rPr>
        <w:t>Quebec Charter</w:t>
      </w:r>
      <w:r w:rsidR="00567385" w:rsidRPr="000A3539">
        <w:rPr>
          <w:lang w:val="en-CA"/>
        </w:rPr>
        <w:t>, which provides that</w:t>
      </w:r>
      <w:r w:rsidR="001B0BB3" w:rsidRPr="000A3539">
        <w:rPr>
          <w:lang w:val="en-CA"/>
        </w:rPr>
        <w:t xml:space="preserve"> a “difference in salary or wages based on experience, seniority, </w:t>
      </w:r>
      <w:r w:rsidR="001B0BB3" w:rsidRPr="00BE7B2C">
        <w:rPr>
          <w:u w:val="single"/>
          <w:lang w:val="en-CA"/>
        </w:rPr>
        <w:t>years of service</w:t>
      </w:r>
      <w:r w:rsidR="001B0BB3" w:rsidRPr="000A3539">
        <w:rPr>
          <w:lang w:val="en-CA"/>
        </w:rPr>
        <w:t xml:space="preserve">, merit </w:t>
      </w:r>
      <w:r w:rsidR="00AE651D">
        <w:rPr>
          <w:lang w:val="en-CA"/>
        </w:rPr>
        <w:t>[</w:t>
      </w:r>
      <w:r w:rsidR="001B0BB3" w:rsidRPr="000A3539">
        <w:rPr>
          <w:lang w:val="en-CA"/>
        </w:rPr>
        <w:t>…</w:t>
      </w:r>
      <w:r w:rsidR="00AE651D">
        <w:rPr>
          <w:lang w:val="en-CA"/>
        </w:rPr>
        <w:t>]</w:t>
      </w:r>
      <w:r w:rsidR="001B0BB3" w:rsidRPr="000A3539">
        <w:rPr>
          <w:lang w:val="en-CA"/>
        </w:rPr>
        <w:t xml:space="preserve"> is not considered discriminatory”</w:t>
      </w:r>
      <w:r w:rsidR="00D76132" w:rsidRPr="000A3539">
        <w:rPr>
          <w:rFonts w:cs="Arial"/>
          <w:szCs w:val="24"/>
          <w:shd w:val="clear" w:color="auto" w:fill="FFFFFF"/>
          <w:lang w:val="en-CA"/>
        </w:rPr>
        <w:t>.</w:t>
      </w:r>
    </w:p>
    <w:p w14:paraId="1B7F0887" w14:textId="197BCAEB" w:rsidR="00352837" w:rsidRPr="000A3539" w:rsidRDefault="003E1F82" w:rsidP="009E3188">
      <w:pPr>
        <w:pStyle w:val="Paragraphe"/>
        <w:rPr>
          <w:lang w:val="en-CA"/>
        </w:rPr>
      </w:pPr>
      <w:r w:rsidRPr="000A3539">
        <w:rPr>
          <w:shd w:val="clear" w:color="auto" w:fill="FFFFFF"/>
          <w:lang w:val="en-CA"/>
        </w:rPr>
        <w:t>In the same breath, the appellant submits</w:t>
      </w:r>
      <w:r w:rsidR="00B925E6" w:rsidRPr="000A3539">
        <w:rPr>
          <w:shd w:val="clear" w:color="auto" w:fill="FFFFFF"/>
          <w:lang w:val="en-CA"/>
        </w:rPr>
        <w:t xml:space="preserve"> that all the employees who have a </w:t>
      </w:r>
      <w:r w:rsidR="00D76132" w:rsidRPr="000A3539">
        <w:rPr>
          <w:shd w:val="clear" w:color="auto" w:fill="FFFFFF"/>
          <w:lang w:val="en-CA"/>
        </w:rPr>
        <w:t>fixed-term</w:t>
      </w:r>
      <w:r w:rsidR="00B925E6" w:rsidRPr="000A3539">
        <w:rPr>
          <w:shd w:val="clear" w:color="auto" w:fill="FFFFFF"/>
          <w:lang w:val="en-CA"/>
        </w:rPr>
        <w:t xml:space="preserve"> </w:t>
      </w:r>
      <w:r w:rsidR="00D76132" w:rsidRPr="000A3539">
        <w:rPr>
          <w:shd w:val="clear" w:color="auto" w:fill="FFFFFF"/>
          <w:lang w:val="en-CA"/>
        </w:rPr>
        <w:t>contract</w:t>
      </w:r>
      <w:r w:rsidR="00B925E6" w:rsidRPr="000A3539">
        <w:rPr>
          <w:shd w:val="clear" w:color="auto" w:fill="FFFFFF"/>
          <w:lang w:val="en-CA"/>
        </w:rPr>
        <w:t xml:space="preserve"> are treated the same way</w:t>
      </w:r>
      <w:r w:rsidR="00D76132" w:rsidRPr="000A3539">
        <w:rPr>
          <w:shd w:val="clear" w:color="auto" w:fill="FFFFFF"/>
          <w:lang w:val="en-CA"/>
        </w:rPr>
        <w:t>.</w:t>
      </w:r>
      <w:r w:rsidR="00B925E6" w:rsidRPr="000A3539">
        <w:rPr>
          <w:shd w:val="clear" w:color="auto" w:fill="FFFFFF"/>
          <w:lang w:val="en-CA"/>
        </w:rPr>
        <w:t xml:space="preserve"> It adds</w:t>
      </w:r>
      <w:r w:rsidR="009E3188">
        <w:rPr>
          <w:shd w:val="clear" w:color="auto" w:fill="FFFFFF"/>
          <w:lang w:val="en-CA"/>
        </w:rPr>
        <w:t xml:space="preserve"> that, in concluding</w:t>
      </w:r>
      <w:r w:rsidR="009E3188" w:rsidRPr="009E3188">
        <w:t xml:space="preserve"> </w:t>
      </w:r>
      <w:r w:rsidR="009E3188" w:rsidRPr="009E3188">
        <w:rPr>
          <w:shd w:val="clear" w:color="auto" w:fill="FFFFFF"/>
          <w:lang w:val="en-CA"/>
        </w:rPr>
        <w:t>that years of service was not the source of the difference in wages between the students and the other employees</w:t>
      </w:r>
      <w:r w:rsidR="009E3188">
        <w:rPr>
          <w:shd w:val="clear" w:color="auto" w:fill="FFFFFF"/>
          <w:lang w:val="en-CA"/>
        </w:rPr>
        <w:t>,</w:t>
      </w:r>
      <w:r w:rsidR="00B925E6" w:rsidRPr="000A3539">
        <w:rPr>
          <w:shd w:val="clear" w:color="auto" w:fill="FFFFFF"/>
          <w:lang w:val="en-CA"/>
        </w:rPr>
        <w:t xml:space="preserve"> the </w:t>
      </w:r>
      <w:r w:rsidR="00E95843">
        <w:rPr>
          <w:lang w:val="en-CA"/>
        </w:rPr>
        <w:t xml:space="preserve">Tribunal </w:t>
      </w:r>
      <w:r w:rsidR="00B925E6" w:rsidRPr="000A3539">
        <w:rPr>
          <w:lang w:val="en-CA"/>
        </w:rPr>
        <w:t xml:space="preserve">made a </w:t>
      </w:r>
      <w:r w:rsidR="00D76132" w:rsidRPr="000A3539">
        <w:rPr>
          <w:lang w:val="en-CA"/>
        </w:rPr>
        <w:t>palpable</w:t>
      </w:r>
      <w:r w:rsidR="00B925E6" w:rsidRPr="000A3539">
        <w:rPr>
          <w:lang w:val="en-CA"/>
        </w:rPr>
        <w:t xml:space="preserve"> </w:t>
      </w:r>
      <w:r w:rsidR="00D76132" w:rsidRPr="000A3539">
        <w:rPr>
          <w:lang w:val="en-CA"/>
        </w:rPr>
        <w:t>and</w:t>
      </w:r>
      <w:r w:rsidR="00B925E6" w:rsidRPr="000A3539">
        <w:rPr>
          <w:lang w:val="en-CA"/>
        </w:rPr>
        <w:t xml:space="preserve"> </w:t>
      </w:r>
      <w:r w:rsidR="00D76132" w:rsidRPr="000A3539">
        <w:rPr>
          <w:lang w:val="en-CA"/>
        </w:rPr>
        <w:t>overriding</w:t>
      </w:r>
      <w:r w:rsidR="00B925E6" w:rsidRPr="000A3539">
        <w:rPr>
          <w:lang w:val="en-CA"/>
        </w:rPr>
        <w:t xml:space="preserve"> </w:t>
      </w:r>
      <w:r w:rsidR="00D76132" w:rsidRPr="000A3539">
        <w:rPr>
          <w:lang w:val="en-CA"/>
        </w:rPr>
        <w:t>error</w:t>
      </w:r>
      <w:r w:rsidR="00B925E6" w:rsidRPr="000A3539">
        <w:rPr>
          <w:lang w:val="en-CA"/>
        </w:rPr>
        <w:t xml:space="preserve"> in its assessment of the </w:t>
      </w:r>
      <w:r w:rsidR="00D76132" w:rsidRPr="000A3539">
        <w:rPr>
          <w:lang w:val="en-CA"/>
        </w:rPr>
        <w:t>testimony</w:t>
      </w:r>
      <w:r w:rsidR="00B925E6" w:rsidRPr="000A3539">
        <w:rPr>
          <w:lang w:val="en-CA"/>
        </w:rPr>
        <w:t xml:space="preserve"> of </w:t>
      </w:r>
      <w:r w:rsidR="00D76132" w:rsidRPr="000A3539">
        <w:rPr>
          <w:lang w:val="en-CA"/>
        </w:rPr>
        <w:t xml:space="preserve">Annie Dubois, </w:t>
      </w:r>
      <w:r w:rsidR="00CA5A92" w:rsidRPr="000A3539">
        <w:rPr>
          <w:rFonts w:cs="Arial"/>
          <w:color w:val="000000"/>
          <w:lang w:val="en-CA"/>
        </w:rPr>
        <w:t>Human Resources Advisor at ABI</w:t>
      </w:r>
      <w:r w:rsidR="00D76132" w:rsidRPr="000A3539">
        <w:rPr>
          <w:lang w:val="en-CA"/>
        </w:rPr>
        <w:t>.</w:t>
      </w:r>
      <w:r w:rsidR="00CA5A92" w:rsidRPr="000A3539">
        <w:rPr>
          <w:lang w:val="en-CA"/>
        </w:rPr>
        <w:t xml:space="preserve"> The appellant also argues that the </w:t>
      </w:r>
      <w:r w:rsidR="00D76132" w:rsidRPr="000A3539">
        <w:rPr>
          <w:i/>
          <w:lang w:val="en-CA"/>
        </w:rPr>
        <w:t>Pay</w:t>
      </w:r>
      <w:r w:rsidR="00CA5A92" w:rsidRPr="000A3539">
        <w:rPr>
          <w:i/>
          <w:lang w:val="en-CA"/>
        </w:rPr>
        <w:t xml:space="preserve"> </w:t>
      </w:r>
      <w:r w:rsidR="00D76132" w:rsidRPr="000A3539">
        <w:rPr>
          <w:i/>
          <w:lang w:val="en-CA"/>
        </w:rPr>
        <w:t>Equity</w:t>
      </w:r>
      <w:r w:rsidR="00CA5A92" w:rsidRPr="000A3539">
        <w:rPr>
          <w:i/>
          <w:lang w:val="en-CA"/>
        </w:rPr>
        <w:t xml:space="preserve"> </w:t>
      </w:r>
      <w:r w:rsidR="00D76132" w:rsidRPr="000A3539">
        <w:rPr>
          <w:i/>
          <w:lang w:val="en-CA"/>
        </w:rPr>
        <w:t>Act</w:t>
      </w:r>
      <w:bookmarkStart w:id="35" w:name="_Ref71628919"/>
      <w:r w:rsidR="00D76132" w:rsidRPr="000A3539">
        <w:rPr>
          <w:rStyle w:val="Appelnotedebasdep"/>
          <w:lang w:val="en-CA"/>
        </w:rPr>
        <w:footnoteReference w:id="115"/>
      </w:r>
      <w:bookmarkEnd w:id="35"/>
      <w:r w:rsidR="00CA5A92" w:rsidRPr="000A3539">
        <w:rPr>
          <w:lang w:val="en-CA"/>
        </w:rPr>
        <w:t xml:space="preserve"> </w:t>
      </w:r>
      <w:r w:rsidR="00426405" w:rsidRPr="000A3539">
        <w:rPr>
          <w:lang w:val="en-CA"/>
        </w:rPr>
        <w:t>[</w:t>
      </w:r>
      <w:r w:rsidR="00426405" w:rsidRPr="000A3539">
        <w:rPr>
          <w:smallCaps/>
          <w:lang w:val="en-CA"/>
        </w:rPr>
        <w:t>translation</w:t>
      </w:r>
      <w:r w:rsidR="00426405" w:rsidRPr="000A3539">
        <w:rPr>
          <w:lang w:val="en-CA"/>
        </w:rPr>
        <w:t>]</w:t>
      </w:r>
      <w:r w:rsidR="00D76132" w:rsidRPr="000A3539">
        <w:rPr>
          <w:szCs w:val="24"/>
          <w:lang w:val="en-CA"/>
        </w:rPr>
        <w:t xml:space="preserve"> </w:t>
      </w:r>
      <w:r w:rsidR="00A41DBF" w:rsidRPr="000A3539">
        <w:rPr>
          <w:szCs w:val="24"/>
          <w:lang w:val="en-CA"/>
        </w:rPr>
        <w:t xml:space="preserve">“expressly </w:t>
      </w:r>
      <w:r w:rsidR="00D76132" w:rsidRPr="000A3539">
        <w:rPr>
          <w:szCs w:val="24"/>
          <w:lang w:val="en-CA"/>
        </w:rPr>
        <w:t>exclu</w:t>
      </w:r>
      <w:r w:rsidR="00A41DBF" w:rsidRPr="000A3539">
        <w:rPr>
          <w:szCs w:val="24"/>
          <w:lang w:val="en-CA"/>
        </w:rPr>
        <w:t>des students employed for their vacation period”</w:t>
      </w:r>
      <w:r w:rsidR="00D76132" w:rsidRPr="000A3539">
        <w:rPr>
          <w:lang w:val="en-CA"/>
        </w:rPr>
        <w:t>.</w:t>
      </w:r>
    </w:p>
    <w:p w14:paraId="7376DEE8" w14:textId="2D76DDF6" w:rsidR="00352837" w:rsidRPr="000A3539" w:rsidRDefault="007F7D9F" w:rsidP="00352837">
      <w:pPr>
        <w:pStyle w:val="Paragraphe"/>
        <w:rPr>
          <w:lang w:val="en-CA"/>
        </w:rPr>
      </w:pPr>
      <w:r w:rsidRPr="000A3539">
        <w:rPr>
          <w:lang w:val="en-CA"/>
        </w:rPr>
        <w:t xml:space="preserve">According to the </w:t>
      </w:r>
      <w:r w:rsidR="00D76132" w:rsidRPr="000A3539">
        <w:rPr>
          <w:lang w:val="en-CA"/>
        </w:rPr>
        <w:t xml:space="preserve">respondent, </w:t>
      </w:r>
      <w:r w:rsidRPr="000A3539">
        <w:rPr>
          <w:lang w:val="en-CA"/>
        </w:rPr>
        <w:t>it is incorrect to equate “years of service” with “</w:t>
      </w:r>
      <w:r w:rsidR="00D76132" w:rsidRPr="000A3539">
        <w:rPr>
          <w:lang w:val="en-CA"/>
        </w:rPr>
        <w:t>fixed-term</w:t>
      </w:r>
      <w:r w:rsidRPr="000A3539">
        <w:rPr>
          <w:lang w:val="en-CA"/>
        </w:rPr>
        <w:t xml:space="preserve"> </w:t>
      </w:r>
      <w:r w:rsidR="00D76132" w:rsidRPr="000A3539">
        <w:rPr>
          <w:lang w:val="en-CA"/>
        </w:rPr>
        <w:t>contract</w:t>
      </w:r>
      <w:r w:rsidRPr="000A3539">
        <w:rPr>
          <w:lang w:val="en-CA"/>
        </w:rPr>
        <w:t>s”</w:t>
      </w:r>
      <w:r w:rsidR="00D76132" w:rsidRPr="000A3539">
        <w:rPr>
          <w:lang w:val="en-CA"/>
        </w:rPr>
        <w:t>.</w:t>
      </w:r>
      <w:r w:rsidR="00CF0CAB" w:rsidRPr="000A3539">
        <w:rPr>
          <w:lang w:val="en-CA"/>
        </w:rPr>
        <w:t xml:space="preserve"> It is also of the view that the </w:t>
      </w:r>
      <w:r w:rsidR="00D76132" w:rsidRPr="000A3539">
        <w:rPr>
          <w:lang w:val="en-CA"/>
        </w:rPr>
        <w:t>appel</w:t>
      </w:r>
      <w:r w:rsidR="00CF0CAB" w:rsidRPr="000A3539">
        <w:rPr>
          <w:lang w:val="en-CA"/>
        </w:rPr>
        <w:t>l</w:t>
      </w:r>
      <w:r w:rsidR="00D76132" w:rsidRPr="000A3539">
        <w:rPr>
          <w:lang w:val="en-CA"/>
        </w:rPr>
        <w:t>ant</w:t>
      </w:r>
      <w:r w:rsidR="00CF0CAB" w:rsidRPr="000A3539">
        <w:rPr>
          <w:lang w:val="en-CA"/>
        </w:rPr>
        <w:t xml:space="preserve"> has not established a </w:t>
      </w:r>
      <w:r w:rsidR="00D76132" w:rsidRPr="000A3539">
        <w:rPr>
          <w:lang w:val="en-CA"/>
        </w:rPr>
        <w:t>palpable</w:t>
      </w:r>
      <w:r w:rsidR="00CF0CAB" w:rsidRPr="000A3539">
        <w:rPr>
          <w:lang w:val="en-CA"/>
        </w:rPr>
        <w:t xml:space="preserve"> </w:t>
      </w:r>
      <w:r w:rsidR="00D76132" w:rsidRPr="000A3539">
        <w:rPr>
          <w:lang w:val="en-CA"/>
        </w:rPr>
        <w:t>and</w:t>
      </w:r>
      <w:r w:rsidR="00CF0CAB" w:rsidRPr="000A3539">
        <w:rPr>
          <w:lang w:val="en-CA"/>
        </w:rPr>
        <w:t xml:space="preserve"> </w:t>
      </w:r>
      <w:r w:rsidR="00D76132" w:rsidRPr="000A3539">
        <w:rPr>
          <w:lang w:val="en-CA"/>
        </w:rPr>
        <w:t>overriding</w:t>
      </w:r>
      <w:r w:rsidR="00CF0CAB" w:rsidRPr="000A3539">
        <w:rPr>
          <w:lang w:val="en-CA"/>
        </w:rPr>
        <w:t xml:space="preserve"> </w:t>
      </w:r>
      <w:r w:rsidR="00D76132" w:rsidRPr="000A3539">
        <w:rPr>
          <w:lang w:val="en-CA"/>
        </w:rPr>
        <w:t xml:space="preserve">error </w:t>
      </w:r>
      <w:r w:rsidR="00CF0CAB" w:rsidRPr="000A3539">
        <w:rPr>
          <w:lang w:val="en-CA"/>
        </w:rPr>
        <w:t xml:space="preserve">in the </w:t>
      </w:r>
      <w:r w:rsidR="00D76132" w:rsidRPr="000A3539">
        <w:rPr>
          <w:lang w:val="en-CA"/>
        </w:rPr>
        <w:t>Tribunal</w:t>
      </w:r>
      <w:r w:rsidR="00CF0CAB" w:rsidRPr="000A3539">
        <w:rPr>
          <w:lang w:val="en-CA"/>
        </w:rPr>
        <w:t xml:space="preserve">’s assessment of all the </w:t>
      </w:r>
      <w:r w:rsidR="00D76132" w:rsidRPr="000A3539">
        <w:rPr>
          <w:lang w:val="en-CA"/>
        </w:rPr>
        <w:t>evidence</w:t>
      </w:r>
      <w:r w:rsidR="00CF0CAB" w:rsidRPr="000A3539">
        <w:rPr>
          <w:lang w:val="en-CA"/>
        </w:rPr>
        <w:t xml:space="preserve"> and, in particular, the </w:t>
      </w:r>
      <w:r w:rsidR="00D76132" w:rsidRPr="000A3539">
        <w:rPr>
          <w:lang w:val="en-CA"/>
        </w:rPr>
        <w:t>testimony</w:t>
      </w:r>
      <w:r w:rsidR="00CF0CAB" w:rsidRPr="000A3539">
        <w:rPr>
          <w:lang w:val="en-CA"/>
        </w:rPr>
        <w:t xml:space="preserve"> of </w:t>
      </w:r>
      <w:r w:rsidR="00D76132" w:rsidRPr="000A3539">
        <w:rPr>
          <w:lang w:val="en-CA"/>
        </w:rPr>
        <w:t>Annie Dubois.</w:t>
      </w:r>
    </w:p>
    <w:p w14:paraId="32526F81" w14:textId="0A79412C" w:rsidR="00352837" w:rsidRPr="000A3539" w:rsidRDefault="00CF0CAB" w:rsidP="00352837">
      <w:pPr>
        <w:pStyle w:val="Paragraphe"/>
        <w:rPr>
          <w:lang w:val="en-CA"/>
        </w:rPr>
      </w:pPr>
      <w:r w:rsidRPr="000A3539">
        <w:rPr>
          <w:lang w:val="en-CA"/>
        </w:rPr>
        <w:t xml:space="preserve">The </w:t>
      </w:r>
      <w:r w:rsidR="00D76132" w:rsidRPr="000A3539">
        <w:rPr>
          <w:lang w:val="en-CA"/>
        </w:rPr>
        <w:t>impleaded</w:t>
      </w:r>
      <w:r w:rsidRPr="000A3539">
        <w:rPr>
          <w:lang w:val="en-CA"/>
        </w:rPr>
        <w:t xml:space="preserve"> </w:t>
      </w:r>
      <w:r w:rsidR="00D76132" w:rsidRPr="000A3539">
        <w:rPr>
          <w:lang w:val="en-CA"/>
        </w:rPr>
        <w:t xml:space="preserve">party </w:t>
      </w:r>
      <w:r w:rsidR="00836680" w:rsidRPr="000A3539">
        <w:rPr>
          <w:lang w:val="en-CA"/>
        </w:rPr>
        <w:t xml:space="preserve">notes that the limited period of the students’ </w:t>
      </w:r>
      <w:r w:rsidR="00D76132" w:rsidRPr="000A3539">
        <w:rPr>
          <w:lang w:val="en-CA"/>
        </w:rPr>
        <w:t>contract</w:t>
      </w:r>
      <w:r w:rsidR="00836680" w:rsidRPr="000A3539">
        <w:rPr>
          <w:lang w:val="en-CA"/>
        </w:rPr>
        <w:t xml:space="preserve"> </w:t>
      </w:r>
      <w:r w:rsidR="00D76132" w:rsidRPr="000A3539">
        <w:rPr>
          <w:lang w:val="en-CA"/>
        </w:rPr>
        <w:t>of</w:t>
      </w:r>
      <w:r w:rsidR="00836680" w:rsidRPr="000A3539">
        <w:rPr>
          <w:lang w:val="en-CA"/>
        </w:rPr>
        <w:t xml:space="preserve"> </w:t>
      </w:r>
      <w:r w:rsidR="00D76132" w:rsidRPr="000A3539">
        <w:rPr>
          <w:lang w:val="en-CA"/>
        </w:rPr>
        <w:t>employment (</w:t>
      </w:r>
      <w:r w:rsidR="00836680" w:rsidRPr="000A3539">
        <w:rPr>
          <w:lang w:val="en-CA"/>
        </w:rPr>
        <w:t xml:space="preserve">the </w:t>
      </w:r>
      <w:r w:rsidR="00D76132" w:rsidRPr="000A3539">
        <w:rPr>
          <w:lang w:val="en-CA"/>
        </w:rPr>
        <w:t>fixed-term</w:t>
      </w:r>
      <w:r w:rsidR="00836680" w:rsidRPr="000A3539">
        <w:rPr>
          <w:lang w:val="en-CA"/>
        </w:rPr>
        <w:t xml:space="preserve"> </w:t>
      </w:r>
      <w:r w:rsidR="00D76132" w:rsidRPr="000A3539">
        <w:rPr>
          <w:lang w:val="en-CA"/>
        </w:rPr>
        <w:t xml:space="preserve">contract) </w:t>
      </w:r>
      <w:r w:rsidR="00836680" w:rsidRPr="000A3539">
        <w:rPr>
          <w:lang w:val="en-CA"/>
        </w:rPr>
        <w:t xml:space="preserve">should not be confused with the </w:t>
      </w:r>
      <w:r w:rsidR="00D76132" w:rsidRPr="000A3539">
        <w:rPr>
          <w:lang w:val="en-CA"/>
        </w:rPr>
        <w:t xml:space="preserve">concept </w:t>
      </w:r>
      <w:r w:rsidR="00836680" w:rsidRPr="000A3539">
        <w:rPr>
          <w:lang w:val="en-CA"/>
        </w:rPr>
        <w:t xml:space="preserve">of “years of </w:t>
      </w:r>
      <w:r w:rsidR="00D76132" w:rsidRPr="000A3539">
        <w:rPr>
          <w:lang w:val="en-CA"/>
        </w:rPr>
        <w:t>service</w:t>
      </w:r>
      <w:r w:rsidR="00836680" w:rsidRPr="000A3539">
        <w:rPr>
          <w:lang w:val="en-CA"/>
        </w:rPr>
        <w:t xml:space="preserve">” because the fixed term of the students’ </w:t>
      </w:r>
      <w:r w:rsidR="00D76132" w:rsidRPr="000A3539">
        <w:rPr>
          <w:lang w:val="en-CA"/>
        </w:rPr>
        <w:t>contract</w:t>
      </w:r>
      <w:r w:rsidR="00836680" w:rsidRPr="000A3539">
        <w:rPr>
          <w:lang w:val="en-CA"/>
        </w:rPr>
        <w:t xml:space="preserve"> </w:t>
      </w:r>
      <w:r w:rsidR="00D76132" w:rsidRPr="000A3539">
        <w:rPr>
          <w:lang w:val="en-CA"/>
        </w:rPr>
        <w:t>of</w:t>
      </w:r>
      <w:r w:rsidR="00836680" w:rsidRPr="000A3539">
        <w:rPr>
          <w:lang w:val="en-CA"/>
        </w:rPr>
        <w:t xml:space="preserve"> </w:t>
      </w:r>
      <w:r w:rsidR="00D76132" w:rsidRPr="000A3539">
        <w:rPr>
          <w:lang w:val="en-CA"/>
        </w:rPr>
        <w:t>employment</w:t>
      </w:r>
      <w:r w:rsidR="00836680" w:rsidRPr="000A3539">
        <w:rPr>
          <w:lang w:val="en-CA"/>
        </w:rPr>
        <w:t xml:space="preserve"> has no impact on their ability and </w:t>
      </w:r>
      <w:r w:rsidR="00D76132" w:rsidRPr="000A3539">
        <w:rPr>
          <w:lang w:val="en-CA"/>
        </w:rPr>
        <w:t>comp</w:t>
      </w:r>
      <w:r w:rsidR="00836680" w:rsidRPr="000A3539">
        <w:rPr>
          <w:lang w:val="en-CA"/>
        </w:rPr>
        <w:t>e</w:t>
      </w:r>
      <w:r w:rsidR="00D76132" w:rsidRPr="000A3539">
        <w:rPr>
          <w:lang w:val="en-CA"/>
        </w:rPr>
        <w:t>tence</w:t>
      </w:r>
      <w:r w:rsidR="00836680" w:rsidRPr="000A3539">
        <w:rPr>
          <w:lang w:val="en-CA"/>
        </w:rPr>
        <w:t xml:space="preserve"> to perform the work. It </w:t>
      </w:r>
      <w:r w:rsidR="005B6F67" w:rsidRPr="000A3539">
        <w:rPr>
          <w:lang w:val="en-CA"/>
        </w:rPr>
        <w:t xml:space="preserve">adds that the </w:t>
      </w:r>
      <w:r w:rsidR="00D76132" w:rsidRPr="000A3539">
        <w:rPr>
          <w:lang w:val="en-CA"/>
        </w:rPr>
        <w:t>evidence</w:t>
      </w:r>
      <w:r w:rsidR="005B6F67" w:rsidRPr="000A3539">
        <w:rPr>
          <w:lang w:val="en-CA"/>
        </w:rPr>
        <w:t xml:space="preserve"> clearly establishes, as the </w:t>
      </w:r>
      <w:r w:rsidR="00D76132" w:rsidRPr="000A3539">
        <w:rPr>
          <w:lang w:val="en-CA"/>
        </w:rPr>
        <w:t>Tribunal</w:t>
      </w:r>
      <w:r w:rsidR="005B6F67" w:rsidRPr="000A3539">
        <w:rPr>
          <w:lang w:val="en-CA"/>
        </w:rPr>
        <w:t xml:space="preserve"> accepted, that the years of service of all the appellant’s </w:t>
      </w:r>
      <w:r w:rsidR="00D76132" w:rsidRPr="000A3539">
        <w:rPr>
          <w:lang w:val="en-CA"/>
        </w:rPr>
        <w:t>employees</w:t>
      </w:r>
      <w:r w:rsidR="005B6F67" w:rsidRPr="000A3539">
        <w:rPr>
          <w:lang w:val="en-CA"/>
        </w:rPr>
        <w:t xml:space="preserve"> was never a criterion used to determine the </w:t>
      </w:r>
      <w:r w:rsidR="00C15786" w:rsidRPr="000A3539">
        <w:rPr>
          <w:lang w:val="en-CA"/>
        </w:rPr>
        <w:t>wage rate paid to employees of the plant</w:t>
      </w:r>
      <w:r w:rsidR="00D76132" w:rsidRPr="000A3539">
        <w:rPr>
          <w:lang w:val="en-CA"/>
        </w:rPr>
        <w:t>.</w:t>
      </w:r>
    </w:p>
    <w:p w14:paraId="1F8C8035" w14:textId="50782471" w:rsidR="00352837" w:rsidRPr="000A3539" w:rsidRDefault="00C15786"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rejected the appellant’s </w:t>
      </w:r>
      <w:r w:rsidR="00D76132" w:rsidRPr="000A3539">
        <w:rPr>
          <w:lang w:val="en-CA"/>
        </w:rPr>
        <w:t xml:space="preserve">argument </w:t>
      </w:r>
      <w:r w:rsidRPr="000A3539">
        <w:rPr>
          <w:lang w:val="en-CA"/>
        </w:rPr>
        <w:t xml:space="preserve">based on the “years of service” </w:t>
      </w:r>
      <w:r w:rsidR="00D76132" w:rsidRPr="000A3539">
        <w:rPr>
          <w:lang w:val="en-CA"/>
        </w:rPr>
        <w:t xml:space="preserve">exception </w:t>
      </w:r>
      <w:r w:rsidRPr="000A3539">
        <w:rPr>
          <w:lang w:val="en-CA"/>
        </w:rPr>
        <w:t>in the following terms</w:t>
      </w:r>
      <w:r w:rsidR="00D76132" w:rsidRPr="000A3539">
        <w:rPr>
          <w:lang w:val="en-CA"/>
        </w:rPr>
        <w:t>:</w:t>
      </w:r>
    </w:p>
    <w:p w14:paraId="2A4EC8D2" w14:textId="26CA832D" w:rsidR="00783EAC" w:rsidRPr="000A3539" w:rsidRDefault="00783EAC" w:rsidP="00352837">
      <w:pPr>
        <w:pStyle w:val="Citationenretrait"/>
        <w:rPr>
          <w:lang w:val="en-CA"/>
        </w:rPr>
      </w:pPr>
      <w:r w:rsidRPr="000A3539">
        <w:rPr>
          <w:lang w:val="en-CA"/>
        </w:rPr>
        <w:t>[</w:t>
      </w:r>
      <w:r w:rsidRPr="000A3539">
        <w:rPr>
          <w:smallCaps/>
          <w:lang w:val="en-CA"/>
        </w:rPr>
        <w:t>translation</w:t>
      </w:r>
      <w:r w:rsidRPr="000A3539">
        <w:rPr>
          <w:lang w:val="en-CA"/>
        </w:rPr>
        <w:t>]</w:t>
      </w:r>
    </w:p>
    <w:p w14:paraId="6C1F2AA6" w14:textId="2BF2331A" w:rsidR="00352837" w:rsidRPr="000A3539" w:rsidRDefault="00D76132" w:rsidP="00352837">
      <w:pPr>
        <w:pStyle w:val="Citationenretrait"/>
        <w:rPr>
          <w:dstrike/>
          <w:lang w:val="en-CA"/>
        </w:rPr>
      </w:pPr>
      <w:r w:rsidRPr="000A3539">
        <w:rPr>
          <w:lang w:val="en-CA"/>
        </w:rPr>
        <w:t>[396]  </w:t>
      </w:r>
      <w:r w:rsidR="00783EAC" w:rsidRPr="000A3539">
        <w:rPr>
          <w:rFonts w:cs="Arial"/>
          <w:color w:val="000000"/>
          <w:lang w:val="en-CA"/>
        </w:rPr>
        <w:t>ABI then referred to the concept of “years of service” set out in the second paragraph of </w:t>
      </w:r>
      <w:r w:rsidR="00783EAC" w:rsidRPr="000A3539">
        <w:rPr>
          <w:rStyle w:val="reflex2-link"/>
          <w:rFonts w:cs="Arial"/>
          <w:color w:val="000000"/>
          <w:lang w:val="en-CA"/>
        </w:rPr>
        <w:t>section 19</w:t>
      </w:r>
      <w:r w:rsidR="00783EAC" w:rsidRPr="000A3539">
        <w:rPr>
          <w:rFonts w:cs="Arial"/>
          <w:color w:val="000000"/>
          <w:lang w:val="en-CA"/>
        </w:rPr>
        <w:t> of the </w:t>
      </w:r>
      <w:r w:rsidR="00783EAC" w:rsidRPr="000A3539">
        <w:rPr>
          <w:rStyle w:val="reflex2-link"/>
          <w:rFonts w:cs="Arial"/>
          <w:i/>
          <w:iCs/>
          <w:color w:val="000000"/>
          <w:lang w:val="en-CA"/>
        </w:rPr>
        <w:t>Charter</w:t>
      </w:r>
      <w:r w:rsidR="00783EAC" w:rsidRPr="000A3539">
        <w:rPr>
          <w:rFonts w:cs="Arial"/>
          <w:color w:val="000000"/>
          <w:lang w:val="en-CA"/>
        </w:rPr>
        <w:t>. This criterion, however, was set aside by Annie Dubois as the source of the lower wages paid to students</w:t>
      </w:r>
      <w:r w:rsidRPr="000A3539">
        <w:rPr>
          <w:lang w:val="en-CA"/>
        </w:rPr>
        <w:t>.</w:t>
      </w:r>
    </w:p>
    <w:p w14:paraId="02B40165" w14:textId="071569A1" w:rsidR="00352837" w:rsidRPr="000A3539" w:rsidRDefault="00D76132" w:rsidP="00352837">
      <w:pPr>
        <w:pStyle w:val="Citationenretrait"/>
        <w:rPr>
          <w:dstrike/>
          <w:lang w:val="en-CA"/>
        </w:rPr>
      </w:pPr>
      <w:r w:rsidRPr="000A3539">
        <w:rPr>
          <w:lang w:val="en-CA"/>
        </w:rPr>
        <w:lastRenderedPageBreak/>
        <w:t>[397]  </w:t>
      </w:r>
      <w:r w:rsidR="00783EAC" w:rsidRPr="000A3539">
        <w:rPr>
          <w:rFonts w:cs="Arial"/>
          <w:color w:val="000000"/>
          <w:lang w:val="en-CA"/>
        </w:rPr>
        <w:t>ABI’s argument that all the employees with a fixed-term contract are treated the same is circular, like the </w:t>
      </w:r>
      <w:r w:rsidR="00783EAC" w:rsidRPr="00F21A6E">
        <w:rPr>
          <w:rFonts w:cs="Arial"/>
          <w:i/>
          <w:iCs/>
          <w:color w:val="000000"/>
          <w:lang w:val="en-CA"/>
        </w:rPr>
        <w:t>separate but equal</w:t>
      </w:r>
      <w:r w:rsidR="00783EAC" w:rsidRPr="000A3539">
        <w:rPr>
          <w:rFonts w:cs="Arial"/>
          <w:color w:val="000000"/>
          <w:lang w:val="en-CA"/>
        </w:rPr>
        <w:t> doctrine rejected by the Supreme Court,</w:t>
      </w:r>
      <w:r w:rsidRPr="000A3539">
        <w:rPr>
          <w:rStyle w:val="Appelnotedebasdep"/>
          <w:lang w:val="en-CA"/>
        </w:rPr>
        <w:footnoteReference w:id="116"/>
      </w:r>
      <w:r w:rsidRPr="000A3539">
        <w:rPr>
          <w:lang w:val="en-CA"/>
        </w:rPr>
        <w:t xml:space="preserve">, </w:t>
      </w:r>
      <w:r w:rsidR="00783EAC" w:rsidRPr="000A3539">
        <w:rPr>
          <w:rFonts w:cs="Arial"/>
          <w:color w:val="000000"/>
          <w:lang w:val="en-CA"/>
        </w:rPr>
        <w:t>because – save for the exceptional circumstances of 2011 – students are the only employees with fixed-term contracts</w:t>
      </w:r>
      <w:r w:rsidRPr="000A3539">
        <w:rPr>
          <w:lang w:val="en-CA"/>
        </w:rPr>
        <w:t>.</w:t>
      </w:r>
    </w:p>
    <w:p w14:paraId="4EA62023" w14:textId="36120215" w:rsidR="00352837" w:rsidRPr="000A3539" w:rsidRDefault="00D76132" w:rsidP="00352837">
      <w:pPr>
        <w:pStyle w:val="Citationenretrait"/>
        <w:rPr>
          <w:dstrike/>
          <w:u w:val="single"/>
          <w:lang w:val="en-CA"/>
        </w:rPr>
      </w:pPr>
      <w:r w:rsidRPr="000A3539">
        <w:rPr>
          <w:lang w:val="en-CA"/>
        </w:rPr>
        <w:t>[398]  </w:t>
      </w:r>
      <w:r w:rsidR="003D63F6">
        <w:rPr>
          <w:lang w:val="en-CA"/>
        </w:rPr>
        <w:t>Admittedly, s</w:t>
      </w:r>
      <w:r w:rsidR="00783EAC" w:rsidRPr="000A3539">
        <w:rPr>
          <w:rFonts w:cs="Arial"/>
          <w:color w:val="000000"/>
          <w:lang w:val="en-CA"/>
        </w:rPr>
        <w:t xml:space="preserve">tudents are hired under contracts for a term determined further to negotiations with the Union, but until December 31, 1994, they earned the same wage as regular employees. </w:t>
      </w:r>
      <w:r w:rsidR="00783EAC" w:rsidRPr="000A3539">
        <w:rPr>
          <w:rFonts w:cs="Arial"/>
          <w:color w:val="000000"/>
          <w:u w:val="single"/>
          <w:lang w:val="en-CA"/>
        </w:rPr>
        <w:t xml:space="preserve">The reduction in their remuneration was imposed unilaterally by ABI when it submitted a final offer aiming to conclude the negotiations related to the renewal of the collective agreements, not on the basis of fixed-term contracts, but without reason, or, according to the argument put forward by ABI during the hearing, </w:t>
      </w:r>
      <w:r w:rsidR="007C1B34">
        <w:rPr>
          <w:rFonts w:cs="Arial"/>
          <w:color w:val="000000"/>
          <w:u w:val="single"/>
          <w:lang w:val="en-CA"/>
        </w:rPr>
        <w:t xml:space="preserve">because </w:t>
      </w:r>
      <w:r w:rsidR="00783EAC" w:rsidRPr="000A3539">
        <w:rPr>
          <w:rFonts w:cs="Arial"/>
          <w:color w:val="000000"/>
          <w:u w:val="single"/>
          <w:lang w:val="en-CA"/>
        </w:rPr>
        <w:t>the students perform only 85% of the tasks that regular employees perform</w:t>
      </w:r>
      <w:r w:rsidRPr="000A3539">
        <w:rPr>
          <w:lang w:val="en-CA"/>
        </w:rPr>
        <w:t>.</w:t>
      </w:r>
    </w:p>
    <w:p w14:paraId="562BAB25" w14:textId="0933CE5E" w:rsidR="00352837" w:rsidRPr="000A3539" w:rsidRDefault="00D76132" w:rsidP="00352837">
      <w:pPr>
        <w:pStyle w:val="Citationenretrait"/>
        <w:rPr>
          <w:dstrike/>
          <w:u w:val="single"/>
          <w:lang w:val="en-CA"/>
        </w:rPr>
      </w:pPr>
      <w:r w:rsidRPr="000A3539">
        <w:rPr>
          <w:lang w:val="en-CA"/>
        </w:rPr>
        <w:t>[399]  </w:t>
      </w:r>
      <w:r w:rsidR="00A03CB9" w:rsidRPr="000A3539">
        <w:rPr>
          <w:rFonts w:cs="Arial"/>
          <w:color w:val="000000"/>
          <w:u w:val="single"/>
          <w:lang w:val="en-CA"/>
        </w:rPr>
        <w:t>This last argument is less than convincing, and it is not accepted for several reasons</w:t>
      </w:r>
      <w:r w:rsidRPr="000A3539">
        <w:rPr>
          <w:lang w:val="en-CA"/>
        </w:rPr>
        <w:t>.</w:t>
      </w:r>
    </w:p>
    <w:p w14:paraId="64517F68" w14:textId="3F876C4A" w:rsidR="00352837" w:rsidRPr="000A3539" w:rsidRDefault="00D76132" w:rsidP="00352837">
      <w:pPr>
        <w:pStyle w:val="Citationenretrait"/>
        <w:rPr>
          <w:dstrike/>
          <w:lang w:val="en-CA"/>
        </w:rPr>
      </w:pPr>
      <w:r w:rsidRPr="000A3539">
        <w:rPr>
          <w:lang w:val="en-CA"/>
        </w:rPr>
        <w:t>[400]  </w:t>
      </w:r>
      <w:r w:rsidR="00A03CB9" w:rsidRPr="000A3539">
        <w:rPr>
          <w:rFonts w:cs="Arial"/>
          <w:color w:val="000000"/>
          <w:lang w:val="en-CA"/>
        </w:rPr>
        <w:t>The only witness who alluded to the fact that ABI’s reason for suggesting that the hourly rate paid to students be reduced as of 1995 was the percentage of tasks they performed in relation to the regular employees, confirmed that ABI may not have told the Union its reasoning when it introduced this element into the final negotiation offer</w:t>
      </w:r>
      <w:r w:rsidRPr="000A3539">
        <w:rPr>
          <w:lang w:val="en-CA"/>
        </w:rPr>
        <w:t>.</w:t>
      </w:r>
    </w:p>
    <w:p w14:paraId="2591B83C" w14:textId="63BBB493" w:rsidR="00352837" w:rsidRPr="000A3539" w:rsidRDefault="00D76132" w:rsidP="00352837">
      <w:pPr>
        <w:pStyle w:val="Citationenretrait"/>
        <w:rPr>
          <w:dstrike/>
          <w:lang w:val="en-CA"/>
        </w:rPr>
      </w:pPr>
      <w:r w:rsidRPr="000A3539">
        <w:rPr>
          <w:lang w:val="en-CA"/>
        </w:rPr>
        <w:t>[401]  </w:t>
      </w:r>
      <w:r w:rsidR="00A03CB9" w:rsidRPr="000A3539">
        <w:rPr>
          <w:rFonts w:cs="Arial"/>
          <w:color w:val="000000"/>
          <w:lang w:val="en-CA"/>
        </w:rPr>
        <w:t>For its part, the Union argued that ABI did not inform it of any reason for including the reduction of students’ wages in its final offer</w:t>
      </w:r>
      <w:r w:rsidRPr="000A3539">
        <w:rPr>
          <w:lang w:val="en-CA"/>
        </w:rPr>
        <w:t>.</w:t>
      </w:r>
    </w:p>
    <w:p w14:paraId="6255AE83" w14:textId="498447CB" w:rsidR="00352837" w:rsidRPr="000A3539" w:rsidRDefault="00D76132" w:rsidP="00352837">
      <w:pPr>
        <w:pStyle w:val="Citationenretrait"/>
        <w:rPr>
          <w:dstrike/>
          <w:lang w:val="en-CA"/>
        </w:rPr>
      </w:pPr>
      <w:r w:rsidRPr="000A3539">
        <w:rPr>
          <w:lang w:val="en-CA"/>
        </w:rPr>
        <w:t>[402]  </w:t>
      </w:r>
      <w:r w:rsidR="00A03CB9" w:rsidRPr="000A3539">
        <w:rPr>
          <w:rFonts w:cs="Arial"/>
          <w:color w:val="000000"/>
          <w:lang w:val="en-CA"/>
        </w:rPr>
        <w:t>The evidence on this point is thus inconclusive and leads the Tribunal to set aside the testimony of the only witness who seems to remember this justification. But there is more</w:t>
      </w:r>
      <w:r w:rsidRPr="000A3539">
        <w:rPr>
          <w:lang w:val="en-CA"/>
        </w:rPr>
        <w:t>.</w:t>
      </w:r>
    </w:p>
    <w:p w14:paraId="0C14B3D4" w14:textId="45694F7D" w:rsidR="00352837" w:rsidRPr="000A3539" w:rsidRDefault="00D76132" w:rsidP="00352837">
      <w:pPr>
        <w:pStyle w:val="Citationenretrait"/>
        <w:rPr>
          <w:lang w:val="en-CA"/>
        </w:rPr>
      </w:pPr>
      <w:r w:rsidRPr="000A3539">
        <w:rPr>
          <w:lang w:val="en-CA"/>
        </w:rPr>
        <w:t>[403]  </w:t>
      </w:r>
      <w:r w:rsidR="00A03CB9" w:rsidRPr="000A3539">
        <w:rPr>
          <w:rFonts w:cs="Arial"/>
          <w:color w:val="000000"/>
          <w:lang w:val="en-CA"/>
        </w:rPr>
        <w:t>If that had been the case, ABI would have certainly requested an analysis of the percentages of tasks that students perform in the positions to which they are assigned. But it does not allege that any such analysis was done. Moreover, it is not unreasonable to think that if such an analysis had been conducted, the Union would have been informed and asked to confirm the data gathered, which was not done</w:t>
      </w:r>
      <w:r w:rsidRPr="000A3539">
        <w:rPr>
          <w:lang w:val="en-CA"/>
        </w:rPr>
        <w:t>.</w:t>
      </w:r>
    </w:p>
    <w:p w14:paraId="1143967F" w14:textId="0475D5D6" w:rsidR="00352837" w:rsidRPr="000A3539" w:rsidRDefault="00D76132" w:rsidP="00352837">
      <w:pPr>
        <w:pStyle w:val="Citationenretrait"/>
        <w:rPr>
          <w:lang w:val="en-CA"/>
        </w:rPr>
      </w:pPr>
      <w:r w:rsidRPr="000A3539">
        <w:rPr>
          <w:lang w:val="en-CA"/>
        </w:rPr>
        <w:t>[404]  </w:t>
      </w:r>
      <w:r w:rsidR="00A03CB9" w:rsidRPr="000A3539">
        <w:rPr>
          <w:rFonts w:cs="Arial"/>
          <w:color w:val="000000"/>
          <w:lang w:val="en-CA"/>
        </w:rPr>
        <w:t>Finally, the evidence does not support the conclusion that students perform 85% of the tasks of the positions they are assigned to, because</w:t>
      </w:r>
      <w:r w:rsidRPr="000A3539">
        <w:rPr>
          <w:lang w:val="en-CA"/>
        </w:rPr>
        <w:t>:</w:t>
      </w:r>
    </w:p>
    <w:p w14:paraId="68F14EBD" w14:textId="4BB1EFCB" w:rsidR="00352837" w:rsidRPr="000A3539" w:rsidRDefault="00D76132" w:rsidP="00352837">
      <w:pPr>
        <w:pStyle w:val="Citationenretrait"/>
        <w:tabs>
          <w:tab w:val="left" w:pos="1843"/>
        </w:tabs>
        <w:ind w:firstLine="698"/>
        <w:rPr>
          <w:lang w:val="en-CA"/>
        </w:rPr>
      </w:pPr>
      <w:r w:rsidRPr="000A3539">
        <w:rPr>
          <w:lang w:val="en-CA"/>
        </w:rPr>
        <w:t>1.</w:t>
      </w:r>
      <w:r w:rsidRPr="000A3539">
        <w:rPr>
          <w:lang w:val="en-CA"/>
        </w:rPr>
        <w:tab/>
      </w:r>
      <w:r w:rsidR="00A03CB9" w:rsidRPr="000A3539">
        <w:rPr>
          <w:rFonts w:cs="Arial"/>
          <w:color w:val="000000"/>
          <w:lang w:val="en-CA"/>
        </w:rPr>
        <w:t>They perform 100% of the tasks of certain positions</w:t>
      </w:r>
      <w:r w:rsidRPr="000A3539">
        <w:rPr>
          <w:lang w:val="en-CA"/>
        </w:rPr>
        <w:t>;</w:t>
      </w:r>
    </w:p>
    <w:p w14:paraId="0C66A93E" w14:textId="3FAFA58D" w:rsidR="00352837" w:rsidRPr="000A3539" w:rsidRDefault="00D76132" w:rsidP="00352837">
      <w:pPr>
        <w:pStyle w:val="Citationenretrait"/>
        <w:tabs>
          <w:tab w:val="left" w:pos="1843"/>
        </w:tabs>
        <w:ind w:left="1843" w:hanging="425"/>
        <w:rPr>
          <w:lang w:val="en-CA"/>
        </w:rPr>
      </w:pPr>
      <w:r w:rsidRPr="000A3539">
        <w:rPr>
          <w:lang w:val="en-CA"/>
        </w:rPr>
        <w:lastRenderedPageBreak/>
        <w:t>2.</w:t>
      </w:r>
      <w:r w:rsidRPr="000A3539">
        <w:rPr>
          <w:lang w:val="en-CA"/>
        </w:rPr>
        <w:tab/>
      </w:r>
      <w:r w:rsidR="00770088" w:rsidRPr="000A3539">
        <w:rPr>
          <w:rFonts w:cs="Arial"/>
          <w:color w:val="000000"/>
          <w:lang w:val="en-CA"/>
        </w:rPr>
        <w:t>Except for certain tasks (e.g., changing the saws, replacing the anodes in the pyramid, cleaning the pots and the shot-blasting machine, and working on the large butts), the evidence is silent in regard to the percentage of time occupied by each task of a position in relation to a normal workday, such that the Tribunal cannot assess whether the students actually perform 85% of the tasks</w:t>
      </w:r>
      <w:r w:rsidRPr="000A3539">
        <w:rPr>
          <w:lang w:val="en-CA"/>
        </w:rPr>
        <w:t>;</w:t>
      </w:r>
    </w:p>
    <w:p w14:paraId="5977574F" w14:textId="506ED6C8" w:rsidR="00352837" w:rsidRPr="000A3539" w:rsidRDefault="00D76132" w:rsidP="00352837">
      <w:pPr>
        <w:pStyle w:val="Citationenretrait"/>
        <w:tabs>
          <w:tab w:val="left" w:pos="1843"/>
        </w:tabs>
        <w:ind w:left="1843" w:hanging="425"/>
        <w:rPr>
          <w:lang w:val="en-CA"/>
        </w:rPr>
      </w:pPr>
      <w:r w:rsidRPr="000A3539">
        <w:rPr>
          <w:lang w:val="en-CA"/>
        </w:rPr>
        <w:t>3.</w:t>
      </w:r>
      <w:r w:rsidRPr="000A3539">
        <w:rPr>
          <w:lang w:val="en-CA"/>
        </w:rPr>
        <w:tab/>
      </w:r>
      <w:r w:rsidR="00770088" w:rsidRPr="000A3539">
        <w:rPr>
          <w:rFonts w:cs="Arial"/>
          <w:color w:val="000000"/>
          <w:lang w:val="en-CA"/>
        </w:rPr>
        <w:t>Apart from the theory that students cannot perform part of a task of a position (e.g., changing the saws, replacing the anodes in the pyramid, cleaning the pots and the shot-blasting machine, and working on the large butts), the evidence did not establish that this part of the task of the position was in fact performed by another employee when a student was assigned to the task</w:t>
      </w:r>
      <w:r w:rsidRPr="000A3539">
        <w:rPr>
          <w:lang w:val="en-CA"/>
        </w:rPr>
        <w:t>;</w:t>
      </w:r>
    </w:p>
    <w:p w14:paraId="525D5CD9" w14:textId="1C2A4C53" w:rsidR="00352837" w:rsidRPr="000A3539" w:rsidRDefault="00D76132" w:rsidP="00352837">
      <w:pPr>
        <w:pStyle w:val="Citationenretrait"/>
        <w:tabs>
          <w:tab w:val="left" w:pos="1843"/>
        </w:tabs>
        <w:ind w:left="1843" w:hanging="425"/>
        <w:rPr>
          <w:lang w:val="en-CA"/>
        </w:rPr>
      </w:pPr>
      <w:r w:rsidRPr="000A3539">
        <w:rPr>
          <w:lang w:val="en-CA"/>
        </w:rPr>
        <w:t>4.</w:t>
      </w:r>
      <w:r w:rsidRPr="000A3539">
        <w:rPr>
          <w:lang w:val="en-CA"/>
        </w:rPr>
        <w:tab/>
      </w:r>
      <w:r w:rsidR="00770088" w:rsidRPr="000A3539">
        <w:rPr>
          <w:rFonts w:cs="Arial"/>
          <w:color w:val="000000"/>
          <w:lang w:val="en-CA"/>
        </w:rPr>
        <w:t>Subject to certain exceptions, students perform 100% of the tasks of the employees they replace</w:t>
      </w:r>
      <w:r w:rsidRPr="000A3539">
        <w:rPr>
          <w:lang w:val="en-CA"/>
        </w:rPr>
        <w:t>;</w:t>
      </w:r>
    </w:p>
    <w:p w14:paraId="62BFC0EE" w14:textId="5FA286E3" w:rsidR="00352837" w:rsidRPr="000A3539" w:rsidRDefault="00D76132" w:rsidP="00352837">
      <w:pPr>
        <w:pStyle w:val="Citationenretrait"/>
        <w:tabs>
          <w:tab w:val="left" w:pos="1843"/>
        </w:tabs>
        <w:ind w:left="1843" w:hanging="425"/>
        <w:rPr>
          <w:lang w:val="en-CA"/>
        </w:rPr>
      </w:pPr>
      <w:r w:rsidRPr="000A3539">
        <w:rPr>
          <w:lang w:val="en-CA"/>
        </w:rPr>
        <w:t>5.</w:t>
      </w:r>
      <w:r w:rsidRPr="000A3539">
        <w:rPr>
          <w:lang w:val="en-CA"/>
        </w:rPr>
        <w:tab/>
      </w:r>
      <w:r w:rsidR="00770088" w:rsidRPr="000A3539">
        <w:rPr>
          <w:rFonts w:cs="Arial"/>
          <w:color w:val="000000"/>
          <w:lang w:val="en-CA"/>
        </w:rPr>
        <w:t xml:space="preserve">For most positions, the number of tasks that students may perform in relation to the total number of tasks of the position is less than 85% of the tasks of the position, going as low as 22% for the position of Handling – Transport Operator. The evidence did not establish that the number of tasks that students perform represents 85% of the time of a shift </w:t>
      </w:r>
      <w:r w:rsidR="00C36EC9">
        <w:rPr>
          <w:rFonts w:cs="Arial"/>
          <w:color w:val="000000"/>
          <w:lang w:val="en-CA"/>
        </w:rPr>
        <w:t xml:space="preserve">worked by </w:t>
      </w:r>
      <w:r w:rsidR="00770088" w:rsidRPr="000A3539">
        <w:rPr>
          <w:rFonts w:cs="Arial"/>
          <w:color w:val="000000"/>
          <w:lang w:val="en-CA"/>
        </w:rPr>
        <w:t xml:space="preserve">regular or casual employees holding the position </w:t>
      </w:r>
      <w:r w:rsidR="001F3E63">
        <w:rPr>
          <w:rFonts w:cs="Arial"/>
          <w:color w:val="000000"/>
          <w:lang w:val="en-CA"/>
        </w:rPr>
        <w:t xml:space="preserve">for </w:t>
      </w:r>
      <w:r w:rsidR="00770088" w:rsidRPr="000A3539">
        <w:rPr>
          <w:rFonts w:cs="Arial"/>
          <w:color w:val="000000"/>
          <w:lang w:val="en-CA"/>
        </w:rPr>
        <w:t xml:space="preserve">which the student </w:t>
      </w:r>
      <w:r w:rsidR="00C36EC9">
        <w:rPr>
          <w:rFonts w:cs="Arial"/>
          <w:color w:val="000000"/>
          <w:lang w:val="en-CA"/>
        </w:rPr>
        <w:t xml:space="preserve">has </w:t>
      </w:r>
      <w:r w:rsidR="00770088" w:rsidRPr="000A3539">
        <w:rPr>
          <w:rFonts w:cs="Arial"/>
          <w:color w:val="000000"/>
          <w:lang w:val="en-CA"/>
        </w:rPr>
        <w:t xml:space="preserve">been assigned tasks, and </w:t>
      </w:r>
      <w:r w:rsidR="00C36EC9">
        <w:rPr>
          <w:rFonts w:cs="Arial"/>
          <w:color w:val="000000"/>
          <w:lang w:val="en-CA"/>
        </w:rPr>
        <w:t xml:space="preserve">the evidence </w:t>
      </w:r>
      <w:r w:rsidR="00770088" w:rsidRPr="000A3539">
        <w:rPr>
          <w:rFonts w:cs="Arial"/>
          <w:color w:val="000000"/>
          <w:lang w:val="en-CA"/>
        </w:rPr>
        <w:t>did not address this point</w:t>
      </w:r>
      <w:r w:rsidRPr="000A3539">
        <w:rPr>
          <w:lang w:val="en-CA"/>
        </w:rPr>
        <w:t>.</w:t>
      </w:r>
    </w:p>
    <w:p w14:paraId="71594AF7" w14:textId="3E3D1FCA" w:rsidR="00352837" w:rsidRPr="000A3539" w:rsidRDefault="005E5AA0" w:rsidP="00352837">
      <w:pPr>
        <w:pStyle w:val="Citationenretrait"/>
        <w:tabs>
          <w:tab w:val="left" w:pos="1843"/>
        </w:tabs>
        <w:ind w:left="1145" w:hanging="425"/>
        <w:rPr>
          <w:lang w:val="en-CA"/>
        </w:rPr>
      </w:pPr>
      <w:r>
        <w:rPr>
          <w:lang w:val="en-CA"/>
        </w:rPr>
        <w:t>[</w:t>
      </w:r>
      <w:r w:rsidR="00D76132" w:rsidRPr="000A3539">
        <w:rPr>
          <w:lang w:val="en-CA"/>
        </w:rPr>
        <w:t>…</w:t>
      </w:r>
      <w:r>
        <w:rPr>
          <w:lang w:val="en-CA"/>
        </w:rPr>
        <w:t>]</w:t>
      </w:r>
    </w:p>
    <w:p w14:paraId="099DE423" w14:textId="6819527F" w:rsidR="00352837" w:rsidRPr="000A3539" w:rsidRDefault="00D76132" w:rsidP="00352837">
      <w:pPr>
        <w:pStyle w:val="Citationenretrait"/>
        <w:rPr>
          <w:lang w:val="en-CA"/>
        </w:rPr>
      </w:pPr>
      <w:r w:rsidRPr="000A3539">
        <w:rPr>
          <w:lang w:val="en-CA"/>
        </w:rPr>
        <w:t>[412]  </w:t>
      </w:r>
      <w:r w:rsidR="00770088" w:rsidRPr="000A3539">
        <w:rPr>
          <w:lang w:val="en-CA"/>
        </w:rPr>
        <w:t>The difference in wages is not based on experience (as discussed above), seniority – which refers to the length of employment with the same employer – or merit – as permitted by section 19 of the </w:t>
      </w:r>
      <w:r w:rsidR="00770088" w:rsidRPr="000A3539">
        <w:rPr>
          <w:i/>
          <w:iCs/>
          <w:lang w:val="en-CA"/>
        </w:rPr>
        <w:t>Charter</w:t>
      </w:r>
      <w:r w:rsidR="00770088" w:rsidRPr="000A3539">
        <w:rPr>
          <w:lang w:val="en-CA"/>
        </w:rPr>
        <w:t> – because as of their first day of work, casual employees earn more than students in their fourth summer employment period who may also have worked just as many year-end holiday employment periods</w:t>
      </w:r>
      <w:r w:rsidRPr="000A3539">
        <w:rPr>
          <w:lang w:val="en-CA"/>
        </w:rPr>
        <w:t>.</w:t>
      </w:r>
    </w:p>
    <w:p w14:paraId="0945D6AE" w14:textId="0762128D" w:rsidR="00352837" w:rsidRPr="000A3539" w:rsidRDefault="00D76132" w:rsidP="00352837">
      <w:pPr>
        <w:pStyle w:val="Citationenretrait"/>
        <w:rPr>
          <w:lang w:val="en-CA"/>
        </w:rPr>
      </w:pPr>
      <w:r w:rsidRPr="000A3539">
        <w:rPr>
          <w:lang w:val="en-CA"/>
        </w:rPr>
        <w:t>[413]  </w:t>
      </w:r>
      <w:r w:rsidR="00770088" w:rsidRPr="000A3539">
        <w:rPr>
          <w:lang w:val="en-CA"/>
        </w:rPr>
        <w:t>Nor is the difference based on overtime</w:t>
      </w:r>
      <w:r w:rsidR="00CD15A8">
        <w:rPr>
          <w:lang w:val="en-CA"/>
        </w:rPr>
        <w:t>,</w:t>
      </w:r>
      <w:r w:rsidR="00770088" w:rsidRPr="000A3539">
        <w:rPr>
          <w:lang w:val="en-CA"/>
        </w:rPr>
        <w:t xml:space="preserve"> because when students work overtime, they are paid the same rate as casual employees</w:t>
      </w:r>
      <w:r w:rsidRPr="000A3539">
        <w:rPr>
          <w:lang w:val="en-CA"/>
        </w:rPr>
        <w:t>.</w:t>
      </w:r>
    </w:p>
    <w:p w14:paraId="57497B05" w14:textId="0066F6EE" w:rsidR="00352837" w:rsidRPr="000A3539" w:rsidRDefault="00D76132" w:rsidP="00352837">
      <w:pPr>
        <w:pStyle w:val="Citationenretrait"/>
        <w:rPr>
          <w:lang w:val="en-CA"/>
        </w:rPr>
      </w:pPr>
      <w:r w:rsidRPr="000A3539">
        <w:rPr>
          <w:lang w:val="en-CA"/>
        </w:rPr>
        <w:t>[414]  </w:t>
      </w:r>
      <w:r w:rsidR="00770088" w:rsidRPr="000A3539">
        <w:rPr>
          <w:rFonts w:cs="Arial"/>
          <w:color w:val="000000"/>
          <w:lang w:val="en-CA"/>
        </w:rPr>
        <w:t>ABI does not argue that the lower remuneration paid to students is related to their productivity</w:t>
      </w:r>
      <w:r w:rsidRPr="000A3539">
        <w:rPr>
          <w:lang w:val="en-CA"/>
        </w:rPr>
        <w:t>.</w:t>
      </w:r>
      <w:r w:rsidRPr="000A3539">
        <w:rPr>
          <w:rStyle w:val="Appelnotedebasdep"/>
          <w:lang w:val="en-CA"/>
        </w:rPr>
        <w:footnoteReference w:id="117"/>
      </w:r>
    </w:p>
    <w:p w14:paraId="3901564B" w14:textId="69FC65FD" w:rsidR="00352837" w:rsidRPr="000A3539" w:rsidRDefault="00D76132" w:rsidP="00352837">
      <w:pPr>
        <w:pStyle w:val="Citationenretrait"/>
        <w:tabs>
          <w:tab w:val="left" w:pos="1843"/>
        </w:tabs>
        <w:ind w:left="1843" w:hanging="425"/>
        <w:jc w:val="right"/>
        <w:rPr>
          <w:lang w:val="en-CA"/>
        </w:rPr>
      </w:pPr>
      <w:r w:rsidRPr="000A3539">
        <w:rPr>
          <w:lang w:val="en-CA"/>
        </w:rPr>
        <w:t>[</w:t>
      </w:r>
      <w:r w:rsidR="00770088" w:rsidRPr="000A3539">
        <w:rPr>
          <w:lang w:val="en-CA"/>
        </w:rPr>
        <w:t xml:space="preserve">Underlining </w:t>
      </w:r>
      <w:r w:rsidRPr="000A3539">
        <w:rPr>
          <w:lang w:val="en-CA"/>
        </w:rPr>
        <w:t xml:space="preserve">added; </w:t>
      </w:r>
      <w:r w:rsidR="00770088" w:rsidRPr="000A3539">
        <w:rPr>
          <w:lang w:val="en-CA"/>
        </w:rPr>
        <w:t>c</w:t>
      </w:r>
      <w:r w:rsidRPr="000A3539">
        <w:rPr>
          <w:lang w:val="en-CA"/>
        </w:rPr>
        <w:t>itation</w:t>
      </w:r>
      <w:r w:rsidR="00770088" w:rsidRPr="000A3539">
        <w:rPr>
          <w:lang w:val="en-CA"/>
        </w:rPr>
        <w:t xml:space="preserve">s </w:t>
      </w:r>
      <w:r w:rsidRPr="000A3539">
        <w:rPr>
          <w:lang w:val="en-CA"/>
        </w:rPr>
        <w:t>omitted]</w:t>
      </w:r>
    </w:p>
    <w:p w14:paraId="03584F2B" w14:textId="570A01FF" w:rsidR="00352837" w:rsidRPr="000A3539" w:rsidRDefault="00B3709A" w:rsidP="00352837">
      <w:pPr>
        <w:pStyle w:val="Paragraphe"/>
        <w:rPr>
          <w:rFonts w:cs="Arial"/>
          <w:lang w:val="en-CA"/>
        </w:rPr>
      </w:pPr>
      <w:r w:rsidRPr="000A3539">
        <w:rPr>
          <w:lang w:val="en-CA"/>
        </w:rPr>
        <w:lastRenderedPageBreak/>
        <w:t xml:space="preserve">The second paragraph of </w:t>
      </w:r>
      <w:r w:rsidR="00D76132" w:rsidRPr="000A3539">
        <w:rPr>
          <w:lang w:val="en-CA"/>
        </w:rPr>
        <w:t>section 19 </w:t>
      </w:r>
      <w:r w:rsidRPr="000A3539">
        <w:rPr>
          <w:lang w:val="en-CA"/>
        </w:rPr>
        <w:t xml:space="preserve">of the </w:t>
      </w:r>
      <w:r w:rsidR="00DC430C" w:rsidRPr="00DC430C">
        <w:rPr>
          <w:i/>
          <w:lang w:val="en-CA"/>
        </w:rPr>
        <w:t>Quebec Charter</w:t>
      </w:r>
      <w:r w:rsidR="00D76132" w:rsidRPr="000A3539">
        <w:rPr>
          <w:rFonts w:cs="Arial"/>
          <w:lang w:val="en-CA"/>
        </w:rPr>
        <w:t xml:space="preserve"> </w:t>
      </w:r>
      <w:r w:rsidR="00385ABF" w:rsidRPr="000A3539">
        <w:rPr>
          <w:rFonts w:cs="Arial"/>
          <w:lang w:val="en-CA"/>
        </w:rPr>
        <w:t>provides that a difference in wages based years of service (or “</w:t>
      </w:r>
      <w:proofErr w:type="spellStart"/>
      <w:r w:rsidR="00385ABF" w:rsidRPr="000A3539">
        <w:rPr>
          <w:rFonts w:cs="Arial"/>
          <w:i/>
          <w:lang w:val="en-CA"/>
        </w:rPr>
        <w:t>durée</w:t>
      </w:r>
      <w:proofErr w:type="spellEnd"/>
      <w:r w:rsidR="00385ABF" w:rsidRPr="000A3539">
        <w:rPr>
          <w:rFonts w:cs="Arial"/>
          <w:i/>
          <w:lang w:val="en-CA"/>
        </w:rPr>
        <w:t xml:space="preserve"> de service</w:t>
      </w:r>
      <w:r w:rsidR="00385ABF" w:rsidRPr="000A3539">
        <w:rPr>
          <w:rFonts w:cs="Arial"/>
          <w:lang w:val="en-CA"/>
        </w:rPr>
        <w:t>” in the French version) is not considered discriminatory</w:t>
      </w:r>
      <w:r w:rsidR="00D76132" w:rsidRPr="000A3539">
        <w:rPr>
          <w:rFonts w:cs="Arial"/>
          <w:lang w:val="en-CA"/>
        </w:rPr>
        <w:t xml:space="preserve">. </w:t>
      </w:r>
      <w:r w:rsidR="00385ABF" w:rsidRPr="000A3539">
        <w:rPr>
          <w:rFonts w:cs="Arial"/>
          <w:lang w:val="en-CA"/>
        </w:rPr>
        <w:t>I</w:t>
      </w:r>
      <w:r w:rsidR="00D76132" w:rsidRPr="000A3539">
        <w:rPr>
          <w:rFonts w:cs="Arial"/>
          <w:lang w:val="en-CA"/>
        </w:rPr>
        <w:t>n</w:t>
      </w:r>
      <w:r w:rsidR="00385ABF" w:rsidRPr="000A3539">
        <w:rPr>
          <w:rFonts w:cs="Arial"/>
          <w:lang w:val="en-CA"/>
        </w:rPr>
        <w:t xml:space="preserve"> </w:t>
      </w:r>
      <w:r w:rsidR="00D76132" w:rsidRPr="000A3539">
        <w:rPr>
          <w:rFonts w:cs="Arial"/>
          <w:lang w:val="en-CA"/>
        </w:rPr>
        <w:t>addition,</w:t>
      </w:r>
      <w:r w:rsidR="00385ABF" w:rsidRPr="000A3539">
        <w:rPr>
          <w:rFonts w:cs="Arial"/>
          <w:lang w:val="en-CA"/>
        </w:rPr>
        <w:t xml:space="preserve"> this criterion must be common to all employees working in the enter</w:t>
      </w:r>
      <w:r w:rsidR="00D76132" w:rsidRPr="000A3539">
        <w:rPr>
          <w:rFonts w:cs="Arial"/>
          <w:lang w:val="en-CA"/>
        </w:rPr>
        <w:t>prise.</w:t>
      </w:r>
    </w:p>
    <w:p w14:paraId="6DE1E8E1" w14:textId="35FB8441" w:rsidR="00352837" w:rsidRPr="000A3539" w:rsidRDefault="00B1212E" w:rsidP="00352837">
      <w:pPr>
        <w:pStyle w:val="Paragraphe"/>
        <w:rPr>
          <w:lang w:val="en-CA"/>
        </w:rPr>
      </w:pPr>
      <w:r w:rsidRPr="000A3539">
        <w:rPr>
          <w:lang w:val="en-CA"/>
        </w:rPr>
        <w:t xml:space="preserve">All </w:t>
      </w:r>
      <w:r w:rsidR="00D76132" w:rsidRPr="000A3539">
        <w:rPr>
          <w:lang w:val="en-CA"/>
        </w:rPr>
        <w:t xml:space="preserve">parties </w:t>
      </w:r>
      <w:r w:rsidRPr="000A3539">
        <w:rPr>
          <w:lang w:val="en-CA"/>
        </w:rPr>
        <w:t xml:space="preserve">seek to benefit from the </w:t>
      </w:r>
      <w:r w:rsidR="00D76132" w:rsidRPr="000A3539">
        <w:rPr>
          <w:lang w:val="en-CA"/>
        </w:rPr>
        <w:t>ju</w:t>
      </w:r>
      <w:r w:rsidRPr="000A3539">
        <w:rPr>
          <w:lang w:val="en-CA"/>
        </w:rPr>
        <w:t>d</w:t>
      </w:r>
      <w:r w:rsidR="00D76132" w:rsidRPr="000A3539">
        <w:rPr>
          <w:lang w:val="en-CA"/>
        </w:rPr>
        <w:t>gment</w:t>
      </w:r>
      <w:r w:rsidRPr="000A3539">
        <w:rPr>
          <w:lang w:val="en-CA"/>
        </w:rPr>
        <w:t xml:space="preserve"> rendered by the </w:t>
      </w:r>
      <w:r w:rsidR="00D76132" w:rsidRPr="000A3539">
        <w:rPr>
          <w:lang w:val="en-CA"/>
        </w:rPr>
        <w:t>Court</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Qu</w:t>
      </w:r>
      <w:r w:rsidR="002F298B">
        <w:rPr>
          <w:lang w:val="en-CA"/>
        </w:rPr>
        <w:t>é</w:t>
      </w:r>
      <w:r w:rsidR="00D76132" w:rsidRPr="000A3539">
        <w:rPr>
          <w:lang w:val="en-CA"/>
        </w:rPr>
        <w:t>bec</w:t>
      </w:r>
      <w:r w:rsidRPr="000A3539">
        <w:rPr>
          <w:lang w:val="en-CA"/>
        </w:rPr>
        <w:t xml:space="preserve"> in </w:t>
      </w:r>
      <w:r w:rsidR="00D76132" w:rsidRPr="000A3539">
        <w:rPr>
          <w:lang w:val="en-CA"/>
        </w:rPr>
        <w:t>1982</w:t>
      </w:r>
      <w:r w:rsidRPr="000A3539">
        <w:rPr>
          <w:lang w:val="en-CA"/>
        </w:rPr>
        <w:t xml:space="preserve"> in </w:t>
      </w:r>
      <w:proofErr w:type="spellStart"/>
      <w:r w:rsidR="00D76132" w:rsidRPr="000A3539">
        <w:rPr>
          <w:i/>
          <w:lang w:val="en-CA"/>
        </w:rPr>
        <w:t>Ferme</w:t>
      </w:r>
      <w:proofErr w:type="spellEnd"/>
      <w:r w:rsidR="00D76132" w:rsidRPr="000A3539">
        <w:rPr>
          <w:i/>
          <w:lang w:val="en-CA"/>
        </w:rPr>
        <w:t xml:space="preserve"> de la </w:t>
      </w:r>
      <w:proofErr w:type="spellStart"/>
      <w:r w:rsidR="00D76132" w:rsidRPr="000A3539">
        <w:rPr>
          <w:i/>
          <w:lang w:val="en-CA"/>
        </w:rPr>
        <w:t>poulette</w:t>
      </w:r>
      <w:proofErr w:type="spellEnd"/>
      <w:r w:rsidR="00D76132" w:rsidRPr="000A3539">
        <w:rPr>
          <w:i/>
          <w:lang w:val="en-CA"/>
        </w:rPr>
        <w:t xml:space="preserve"> </w:t>
      </w:r>
      <w:proofErr w:type="spellStart"/>
      <w:r w:rsidR="00D76132" w:rsidRPr="000A3539">
        <w:rPr>
          <w:i/>
          <w:lang w:val="en-CA"/>
        </w:rPr>
        <w:t>grise</w:t>
      </w:r>
      <w:proofErr w:type="spellEnd"/>
      <w:r w:rsidR="00D76132" w:rsidRPr="000A3539">
        <w:rPr>
          <w:i/>
          <w:lang w:val="en-CA"/>
        </w:rPr>
        <w:t xml:space="preserve"> Inc.</w:t>
      </w:r>
      <w:bookmarkStart w:id="36" w:name="_Ref71628223"/>
      <w:r w:rsidR="00D76132" w:rsidRPr="000A3539">
        <w:rPr>
          <w:rStyle w:val="Appelnotedebasdep"/>
          <w:lang w:val="en-CA"/>
        </w:rPr>
        <w:footnoteReference w:id="118"/>
      </w:r>
      <w:bookmarkEnd w:id="36"/>
      <w:r w:rsidR="00D76132" w:rsidRPr="000A3539">
        <w:rPr>
          <w:lang w:val="en-CA"/>
        </w:rPr>
        <w:t xml:space="preserve"> </w:t>
      </w:r>
      <w:r w:rsidRPr="000A3539">
        <w:rPr>
          <w:lang w:val="en-CA"/>
        </w:rPr>
        <w:t xml:space="preserve">In that case, the </w:t>
      </w:r>
      <w:r w:rsidR="00D76132" w:rsidRPr="000A3539">
        <w:rPr>
          <w:lang w:val="en-CA"/>
        </w:rPr>
        <w:t>employer</w:t>
      </w:r>
      <w:r w:rsidRPr="000A3539">
        <w:rPr>
          <w:lang w:val="en-CA"/>
        </w:rPr>
        <w:t xml:space="preserve"> had hired three students for the summer holiday period and paid them lower wages than the other employees, for equivalent work</w:t>
      </w:r>
      <w:r w:rsidR="00D76132" w:rsidRPr="000A3539">
        <w:rPr>
          <w:lang w:val="en-CA"/>
        </w:rPr>
        <w:t>.</w:t>
      </w:r>
      <w:r w:rsidRPr="000A3539">
        <w:rPr>
          <w:lang w:val="en-CA"/>
        </w:rPr>
        <w:t xml:space="preserve"> It argued that the short </w:t>
      </w:r>
      <w:r w:rsidR="00D76132" w:rsidRPr="000A3539">
        <w:rPr>
          <w:lang w:val="en-CA"/>
        </w:rPr>
        <w:t>duration</w:t>
      </w:r>
      <w:r w:rsidRPr="000A3539">
        <w:rPr>
          <w:lang w:val="en-CA"/>
        </w:rPr>
        <w:t xml:space="preserve"> of their employment did not permit students to</w:t>
      </w:r>
      <w:r w:rsidR="00A677D5" w:rsidRPr="000A3539">
        <w:rPr>
          <w:lang w:val="en-CA"/>
        </w:rPr>
        <w:t xml:space="preserve"> </w:t>
      </w:r>
      <w:r w:rsidR="00A677D5" w:rsidRPr="000A3539">
        <w:rPr>
          <w:color w:val="000000"/>
          <w:lang w:val="en-CA"/>
        </w:rPr>
        <w:t>acquire skills and productivity comparable to that of regular employees</w:t>
      </w:r>
      <w:r w:rsidR="00D76132" w:rsidRPr="000A3539">
        <w:rPr>
          <w:lang w:val="en-CA"/>
        </w:rPr>
        <w:t xml:space="preserve">. </w:t>
      </w:r>
    </w:p>
    <w:p w14:paraId="0EAFEBCA" w14:textId="7CAEF147" w:rsidR="00352837" w:rsidRPr="000A3539" w:rsidRDefault="00A677D5"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accepted the following from</w:t>
      </w:r>
      <w:r w:rsidR="00D76132" w:rsidRPr="000A3539">
        <w:rPr>
          <w:lang w:val="en-CA"/>
        </w:rPr>
        <w:t xml:space="preserve"> </w:t>
      </w:r>
      <w:proofErr w:type="spellStart"/>
      <w:r w:rsidR="00D76132" w:rsidRPr="000A3539">
        <w:rPr>
          <w:i/>
          <w:lang w:val="en-CA"/>
        </w:rPr>
        <w:t>Ferme</w:t>
      </w:r>
      <w:proofErr w:type="spellEnd"/>
      <w:r w:rsidR="00D76132" w:rsidRPr="000A3539">
        <w:rPr>
          <w:i/>
          <w:lang w:val="en-CA"/>
        </w:rPr>
        <w:t xml:space="preserve"> de la </w:t>
      </w:r>
      <w:proofErr w:type="spellStart"/>
      <w:r w:rsidR="00D76132" w:rsidRPr="000A3539">
        <w:rPr>
          <w:i/>
          <w:lang w:val="en-CA"/>
        </w:rPr>
        <w:t>poulette</w:t>
      </w:r>
      <w:proofErr w:type="spellEnd"/>
      <w:r w:rsidR="00D76132" w:rsidRPr="000A3539">
        <w:rPr>
          <w:i/>
          <w:lang w:val="en-CA"/>
        </w:rPr>
        <w:t xml:space="preserve"> </w:t>
      </w:r>
      <w:proofErr w:type="spellStart"/>
      <w:r w:rsidR="00D76132" w:rsidRPr="000A3539">
        <w:rPr>
          <w:i/>
          <w:lang w:val="en-CA"/>
        </w:rPr>
        <w:t>grise</w:t>
      </w:r>
      <w:proofErr w:type="spellEnd"/>
      <w:r w:rsidR="00D76132" w:rsidRPr="000A3539">
        <w:rPr>
          <w:lang w:val="en-CA"/>
        </w:rPr>
        <w:t xml:space="preserve"> </w:t>
      </w:r>
      <w:r w:rsidR="00D76132" w:rsidRPr="000A3539">
        <w:rPr>
          <w:i/>
          <w:lang w:val="en-CA"/>
        </w:rPr>
        <w:t>Inc</w:t>
      </w:r>
      <w:r w:rsidR="00D76132" w:rsidRPr="000A3539">
        <w:rPr>
          <w:lang w:val="en-CA"/>
        </w:rPr>
        <w:t>.:</w:t>
      </w:r>
    </w:p>
    <w:p w14:paraId="6182D55A" w14:textId="793801F4" w:rsidR="00A677D5" w:rsidRPr="000A3539" w:rsidRDefault="00A677D5" w:rsidP="00352837">
      <w:pPr>
        <w:pStyle w:val="Citationenretrait"/>
        <w:rPr>
          <w:lang w:val="en-CA"/>
        </w:rPr>
      </w:pPr>
      <w:r w:rsidRPr="000A3539">
        <w:rPr>
          <w:lang w:val="en-CA"/>
        </w:rPr>
        <w:t>[</w:t>
      </w:r>
      <w:r w:rsidRPr="000A3539">
        <w:rPr>
          <w:smallCaps/>
          <w:lang w:val="en-CA"/>
        </w:rPr>
        <w:t>translation</w:t>
      </w:r>
      <w:r w:rsidRPr="000A3539">
        <w:rPr>
          <w:lang w:val="en-CA"/>
        </w:rPr>
        <w:t>]</w:t>
      </w:r>
    </w:p>
    <w:p w14:paraId="0DF5552A" w14:textId="25A69147" w:rsidR="00352837" w:rsidRPr="000A3539" w:rsidRDefault="00D76132" w:rsidP="00352837">
      <w:pPr>
        <w:pStyle w:val="Citationenretrait"/>
        <w:rPr>
          <w:lang w:val="en-CA"/>
        </w:rPr>
      </w:pPr>
      <w:r w:rsidRPr="000A3539">
        <w:rPr>
          <w:lang w:val="en-CA"/>
        </w:rPr>
        <w:t>[416]  </w:t>
      </w:r>
      <w:r w:rsidR="00A677D5" w:rsidRPr="000A3539">
        <w:rPr>
          <w:rFonts w:cs="Arial"/>
          <w:color w:val="000000"/>
          <w:lang w:val="en-CA"/>
        </w:rPr>
        <w:t>In that case, the Provincial Court found that the students did not perform the same tasks as the regular employees and that the short period during which they worked in the summer did not allow them to acquire skills and productivity comparable to that of regular employees.</w:t>
      </w:r>
    </w:p>
    <w:p w14:paraId="17D0E941" w14:textId="29233988" w:rsidR="00352837" w:rsidRPr="000A3539" w:rsidRDefault="00D76132" w:rsidP="00352837">
      <w:pPr>
        <w:pStyle w:val="Citationenretrait"/>
        <w:rPr>
          <w:lang w:val="en-CA"/>
        </w:rPr>
      </w:pPr>
      <w:r w:rsidRPr="000A3539">
        <w:rPr>
          <w:lang w:val="en-CA"/>
        </w:rPr>
        <w:t>[417]  </w:t>
      </w:r>
      <w:r w:rsidR="00A677D5" w:rsidRPr="000A3539">
        <w:rPr>
          <w:rFonts w:cs="Arial"/>
          <w:color w:val="000000"/>
          <w:lang w:val="en-CA"/>
        </w:rPr>
        <w:t>That is not the case at ABI where students are not only exposed to the same risks as casual and regular employees but also perform the same tasks as the employees they replace.</w:t>
      </w:r>
      <w:r w:rsidRPr="000A3539">
        <w:rPr>
          <w:rStyle w:val="Appelnotedebasdep"/>
          <w:lang w:val="en-CA"/>
        </w:rPr>
        <w:footnoteReference w:id="119"/>
      </w:r>
    </w:p>
    <w:p w14:paraId="4491108B" w14:textId="0D0D8BAE" w:rsidR="00352837" w:rsidRPr="000A3539" w:rsidRDefault="00D30F0F"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’s comment is not strictly accurate because the </w:t>
      </w:r>
      <w:r w:rsidR="00D76132" w:rsidRPr="000A3539">
        <w:rPr>
          <w:lang w:val="en-CA"/>
        </w:rPr>
        <w:t>Court</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Qu</w:t>
      </w:r>
      <w:r w:rsidR="000D234D">
        <w:rPr>
          <w:lang w:val="en-CA"/>
        </w:rPr>
        <w:t>é</w:t>
      </w:r>
      <w:r w:rsidR="00D76132" w:rsidRPr="000A3539">
        <w:rPr>
          <w:lang w:val="en-CA"/>
        </w:rPr>
        <w:t>bec</w:t>
      </w:r>
      <w:r w:rsidRPr="000A3539">
        <w:rPr>
          <w:lang w:val="en-CA"/>
        </w:rPr>
        <w:t xml:space="preserve"> stated</w:t>
      </w:r>
      <w:r w:rsidR="00D76132" w:rsidRPr="000A3539">
        <w:rPr>
          <w:lang w:val="en-CA"/>
        </w:rPr>
        <w:t>:</w:t>
      </w:r>
    </w:p>
    <w:p w14:paraId="43872CF6" w14:textId="6BA88521" w:rsidR="00407105" w:rsidRPr="000A3539" w:rsidRDefault="00407105" w:rsidP="00352837">
      <w:pPr>
        <w:pStyle w:val="Citationenretrait"/>
        <w:rPr>
          <w:rFonts w:cs="Arial"/>
          <w:lang w:val="en-CA"/>
        </w:rPr>
      </w:pPr>
      <w:r w:rsidRPr="000A3539">
        <w:rPr>
          <w:rFonts w:cs="Arial"/>
          <w:lang w:val="en-CA"/>
        </w:rPr>
        <w:t>[</w:t>
      </w:r>
      <w:r w:rsidRPr="000A3539">
        <w:rPr>
          <w:rFonts w:cs="Arial"/>
          <w:smallCaps/>
          <w:lang w:val="en-CA"/>
        </w:rPr>
        <w:t>translation</w:t>
      </w:r>
      <w:r w:rsidR="00D035D4" w:rsidRPr="000A3539">
        <w:rPr>
          <w:rFonts w:cs="Arial"/>
          <w:smallCaps/>
          <w:lang w:val="en-CA"/>
        </w:rPr>
        <w:t>]</w:t>
      </w:r>
    </w:p>
    <w:p w14:paraId="0C348B9A" w14:textId="38EA0755" w:rsidR="00352837" w:rsidRPr="000A3539" w:rsidRDefault="00E84A3D" w:rsidP="00352837">
      <w:pPr>
        <w:pStyle w:val="Citationenretrait"/>
        <w:rPr>
          <w:rFonts w:cs="Arial"/>
          <w:lang w:val="en-CA"/>
        </w:rPr>
      </w:pPr>
      <w:r w:rsidRPr="000A3539">
        <w:rPr>
          <w:rFonts w:cs="Arial"/>
          <w:lang w:val="en-CA"/>
        </w:rPr>
        <w:t xml:space="preserve">It appears to the </w:t>
      </w:r>
      <w:r w:rsidR="00D76132" w:rsidRPr="000A3539">
        <w:rPr>
          <w:rFonts w:cs="Arial"/>
          <w:lang w:val="en-CA"/>
        </w:rPr>
        <w:t xml:space="preserve">Court, </w:t>
      </w:r>
      <w:r w:rsidRPr="000A3539">
        <w:rPr>
          <w:rFonts w:cs="Arial"/>
          <w:lang w:val="en-CA"/>
        </w:rPr>
        <w:t xml:space="preserve">according to the </w:t>
      </w:r>
      <w:r w:rsidR="00D76132" w:rsidRPr="000A3539">
        <w:rPr>
          <w:rFonts w:cs="Arial"/>
          <w:lang w:val="en-CA"/>
        </w:rPr>
        <w:t>evidence</w:t>
      </w:r>
      <w:r w:rsidRPr="000A3539">
        <w:rPr>
          <w:rFonts w:cs="Arial"/>
          <w:lang w:val="en-CA"/>
        </w:rPr>
        <w:t xml:space="preserve"> adduced, that the </w:t>
      </w:r>
      <w:r w:rsidR="00D76132" w:rsidRPr="000A3539">
        <w:rPr>
          <w:rFonts w:cs="Arial"/>
          <w:lang w:val="en-CA"/>
        </w:rPr>
        <w:t>differential</w:t>
      </w:r>
      <w:r w:rsidRPr="000A3539">
        <w:rPr>
          <w:rFonts w:cs="Arial"/>
          <w:lang w:val="en-CA"/>
        </w:rPr>
        <w:t xml:space="preserve"> </w:t>
      </w:r>
      <w:r w:rsidR="00D76132" w:rsidRPr="000A3539">
        <w:rPr>
          <w:rFonts w:cs="Arial"/>
          <w:lang w:val="en-CA"/>
        </w:rPr>
        <w:t>treatment</w:t>
      </w:r>
      <w:r w:rsidRPr="000A3539">
        <w:rPr>
          <w:rFonts w:cs="Arial"/>
          <w:lang w:val="en-CA"/>
        </w:rPr>
        <w:t xml:space="preserve"> is based on years of </w:t>
      </w:r>
      <w:r w:rsidR="00D76132" w:rsidRPr="000A3539">
        <w:rPr>
          <w:rFonts w:cs="Arial"/>
          <w:lang w:val="en-CA"/>
        </w:rPr>
        <w:t xml:space="preserve">service, </w:t>
      </w:r>
      <w:r w:rsidRPr="000A3539">
        <w:rPr>
          <w:rFonts w:cs="Arial"/>
          <w:lang w:val="en-CA"/>
        </w:rPr>
        <w:t xml:space="preserve">but is this criterion </w:t>
      </w:r>
      <w:r w:rsidRPr="000A3539">
        <w:rPr>
          <w:rFonts w:cs="Arial"/>
          <w:color w:val="000000"/>
          <w:szCs w:val="22"/>
          <w:lang w:val="en-CA"/>
        </w:rPr>
        <w:t>common to all members of the personnel</w:t>
      </w:r>
      <w:r w:rsidR="00D76132" w:rsidRPr="000A3539">
        <w:rPr>
          <w:rFonts w:cs="Arial"/>
          <w:lang w:val="en-CA"/>
        </w:rPr>
        <w:t xml:space="preserve">? </w:t>
      </w:r>
      <w:r w:rsidR="00D76132" w:rsidRPr="000A3539">
        <w:rPr>
          <w:rFonts w:cs="Arial"/>
          <w:u w:val="single"/>
          <w:lang w:val="en-CA"/>
        </w:rPr>
        <w:t>I</w:t>
      </w:r>
      <w:r w:rsidRPr="000A3539">
        <w:rPr>
          <w:rFonts w:cs="Arial"/>
          <w:u w:val="single"/>
          <w:lang w:val="en-CA"/>
        </w:rPr>
        <w:t>t is clear that the wages paid to a student, who</w:t>
      </w:r>
      <w:r w:rsidR="009C46F0">
        <w:rPr>
          <w:rFonts w:cs="Arial"/>
          <w:u w:val="single"/>
          <w:lang w:val="en-CA"/>
        </w:rPr>
        <w:t xml:space="preserve"> is hired </w:t>
      </w:r>
      <w:r w:rsidRPr="000A3539">
        <w:rPr>
          <w:rFonts w:cs="Arial"/>
          <w:u w:val="single"/>
          <w:lang w:val="en-CA"/>
        </w:rPr>
        <w:t xml:space="preserve">for a limited </w:t>
      </w:r>
      <w:r w:rsidR="009C46F0">
        <w:rPr>
          <w:rFonts w:cs="Arial"/>
          <w:u w:val="single"/>
          <w:lang w:val="en-CA"/>
        </w:rPr>
        <w:t>time</w:t>
      </w:r>
      <w:r w:rsidR="00D76132" w:rsidRPr="00A85C4C">
        <w:rPr>
          <w:rFonts w:cs="Arial"/>
          <w:u w:val="single"/>
          <w:lang w:val="en-CA"/>
        </w:rPr>
        <w:t>,</w:t>
      </w:r>
      <w:r w:rsidR="00D76132" w:rsidRPr="000A3539">
        <w:rPr>
          <w:rFonts w:cs="Arial"/>
          <w:u w:val="single"/>
          <w:lang w:val="en-CA"/>
        </w:rPr>
        <w:t xml:space="preserve"> </w:t>
      </w:r>
      <w:r w:rsidR="00C20DD1" w:rsidRPr="000A3539">
        <w:rPr>
          <w:rFonts w:cs="Arial"/>
          <w:u w:val="single"/>
          <w:lang w:val="en-CA"/>
        </w:rPr>
        <w:t xml:space="preserve">are not the same as the wages paid to the </w:t>
      </w:r>
      <w:r w:rsidR="00D76132" w:rsidRPr="00A85C4C">
        <w:rPr>
          <w:rFonts w:cs="Arial"/>
          <w:u w:val="single"/>
          <w:lang w:val="en-CA"/>
        </w:rPr>
        <w:t>defendant</w:t>
      </w:r>
      <w:r w:rsidR="00C20DD1" w:rsidRPr="00A85C4C">
        <w:rPr>
          <w:rFonts w:cs="Arial"/>
          <w:u w:val="single"/>
          <w:lang w:val="en-CA"/>
        </w:rPr>
        <w:t>’s other employee</w:t>
      </w:r>
      <w:r w:rsidR="00200E0A" w:rsidRPr="00A85C4C">
        <w:rPr>
          <w:rFonts w:cs="Arial"/>
          <w:u w:val="single"/>
          <w:lang w:val="en-CA"/>
        </w:rPr>
        <w:t>s</w:t>
      </w:r>
      <w:r w:rsidR="00C20DD1" w:rsidRPr="00A85C4C">
        <w:rPr>
          <w:rFonts w:cs="Arial"/>
          <w:u w:val="single"/>
          <w:lang w:val="en-CA"/>
        </w:rPr>
        <w:t xml:space="preserve">, but </w:t>
      </w:r>
      <w:r w:rsidR="008A2C76">
        <w:rPr>
          <w:rFonts w:cs="Arial"/>
          <w:u w:val="single"/>
          <w:lang w:val="en-CA"/>
        </w:rPr>
        <w:t>it is the same</w:t>
      </w:r>
      <w:r w:rsidR="00C20DD1" w:rsidRPr="00A85C4C">
        <w:rPr>
          <w:rFonts w:cs="Arial"/>
          <w:u w:val="single"/>
          <w:lang w:val="en-CA"/>
        </w:rPr>
        <w:t xml:space="preserve"> for all the employees who have a </w:t>
      </w:r>
      <w:r w:rsidR="00D76132" w:rsidRPr="000A3539">
        <w:rPr>
          <w:rFonts w:cs="Arial"/>
          <w:u w:val="single"/>
          <w:lang w:val="en-CA"/>
        </w:rPr>
        <w:t>contra</w:t>
      </w:r>
      <w:r w:rsidR="00F72043" w:rsidRPr="000A3539">
        <w:rPr>
          <w:rFonts w:cs="Arial"/>
          <w:u w:val="single"/>
          <w:lang w:val="en-CA"/>
        </w:rPr>
        <w:t>c</w:t>
      </w:r>
      <w:r w:rsidR="00D76132" w:rsidRPr="000A3539">
        <w:rPr>
          <w:rFonts w:cs="Arial"/>
          <w:u w:val="single"/>
          <w:lang w:val="en-CA"/>
        </w:rPr>
        <w:t>t</w:t>
      </w:r>
      <w:r w:rsidR="00F72043" w:rsidRPr="000A3539">
        <w:rPr>
          <w:rFonts w:cs="Arial"/>
          <w:u w:val="single"/>
          <w:lang w:val="en-CA"/>
        </w:rPr>
        <w:t xml:space="preserve"> of limited </w:t>
      </w:r>
      <w:r w:rsidR="00F72043" w:rsidRPr="00A85C4C">
        <w:rPr>
          <w:rFonts w:cs="Arial"/>
          <w:u w:val="single"/>
          <w:lang w:val="en-CA"/>
        </w:rPr>
        <w:t>duration</w:t>
      </w:r>
      <w:r w:rsidR="00F72043" w:rsidRPr="000A3539">
        <w:rPr>
          <w:rFonts w:cs="Arial"/>
          <w:u w:val="single"/>
          <w:lang w:val="en-CA"/>
        </w:rPr>
        <w:t xml:space="preserve"> for the lease and hire of work</w:t>
      </w:r>
      <w:r w:rsidR="00D76132" w:rsidRPr="000A3539">
        <w:rPr>
          <w:rFonts w:cs="Arial"/>
          <w:lang w:val="en-CA"/>
        </w:rPr>
        <w:t xml:space="preserve">, </w:t>
      </w:r>
      <w:r w:rsidR="00200E0A" w:rsidRPr="000A3539">
        <w:rPr>
          <w:rFonts w:cs="Arial"/>
          <w:lang w:val="en-CA"/>
        </w:rPr>
        <w:t xml:space="preserve">or at least no evidence to the contrary was </w:t>
      </w:r>
      <w:r w:rsidR="00730D67">
        <w:rPr>
          <w:rFonts w:cs="Arial"/>
          <w:lang w:val="en-CA"/>
        </w:rPr>
        <w:t>presented</w:t>
      </w:r>
      <w:r w:rsidR="008A2C76">
        <w:rPr>
          <w:rFonts w:cs="Arial"/>
          <w:lang w:val="en-CA"/>
        </w:rPr>
        <w:t xml:space="preserve"> to</w:t>
      </w:r>
      <w:r w:rsidR="00200E0A" w:rsidRPr="000A3539">
        <w:rPr>
          <w:rFonts w:cs="Arial"/>
          <w:lang w:val="en-CA"/>
        </w:rPr>
        <w:t xml:space="preserve"> </w:t>
      </w:r>
      <w:r w:rsidR="00D76132" w:rsidRPr="000A3539">
        <w:rPr>
          <w:rFonts w:cs="Arial"/>
          <w:lang w:val="en-CA"/>
        </w:rPr>
        <w:t>the</w:t>
      </w:r>
      <w:r w:rsidR="00200E0A" w:rsidRPr="000A3539">
        <w:rPr>
          <w:rFonts w:cs="Arial"/>
          <w:lang w:val="en-CA"/>
        </w:rPr>
        <w:t xml:space="preserve"> </w:t>
      </w:r>
      <w:r w:rsidR="00D76132" w:rsidRPr="000A3539">
        <w:rPr>
          <w:rFonts w:cs="Arial"/>
          <w:lang w:val="en-CA"/>
        </w:rPr>
        <w:t xml:space="preserve">Court. </w:t>
      </w:r>
      <w:r w:rsidR="00200E0A" w:rsidRPr="000A3539">
        <w:rPr>
          <w:rFonts w:cs="Arial"/>
          <w:lang w:val="en-CA"/>
        </w:rPr>
        <w:t>The</w:t>
      </w:r>
      <w:r w:rsidR="0047597C" w:rsidRPr="000A3539">
        <w:rPr>
          <w:rFonts w:cs="Arial"/>
          <w:lang w:val="en-CA"/>
        </w:rPr>
        <w:t>re</w:t>
      </w:r>
      <w:r w:rsidR="00200E0A" w:rsidRPr="000A3539">
        <w:rPr>
          <w:rFonts w:cs="Arial"/>
          <w:lang w:val="en-CA"/>
        </w:rPr>
        <w:t xml:space="preserve"> are different </w:t>
      </w:r>
      <w:r w:rsidR="0047597C" w:rsidRPr="000A3539">
        <w:rPr>
          <w:rFonts w:cs="Arial"/>
          <w:color w:val="000000"/>
          <w:lang w:val="en-CA"/>
        </w:rPr>
        <w:t>wage rates</w:t>
      </w:r>
      <w:r w:rsidR="0047597C" w:rsidRPr="000A3539">
        <w:rPr>
          <w:rFonts w:cs="Arial"/>
          <w:lang w:val="en-CA"/>
        </w:rPr>
        <w:t xml:space="preserve"> in the </w:t>
      </w:r>
      <w:r w:rsidR="00D76132" w:rsidRPr="000A3539">
        <w:rPr>
          <w:rFonts w:cs="Arial"/>
          <w:lang w:val="en-CA"/>
        </w:rPr>
        <w:t>ent</w:t>
      </w:r>
      <w:r w:rsidR="00D035D4" w:rsidRPr="000A3539">
        <w:rPr>
          <w:rFonts w:cs="Arial"/>
          <w:lang w:val="en-CA"/>
        </w:rPr>
        <w:t>e</w:t>
      </w:r>
      <w:r w:rsidR="00D76132" w:rsidRPr="000A3539">
        <w:rPr>
          <w:rFonts w:cs="Arial"/>
          <w:lang w:val="en-CA"/>
        </w:rPr>
        <w:t xml:space="preserve">rprise </w:t>
      </w:r>
      <w:r w:rsidR="00D035D4" w:rsidRPr="000A3539">
        <w:rPr>
          <w:rFonts w:cs="Arial"/>
          <w:lang w:val="en-CA"/>
        </w:rPr>
        <w:t xml:space="preserve">depending on whether the </w:t>
      </w:r>
      <w:r w:rsidR="00D76132" w:rsidRPr="000A3539">
        <w:rPr>
          <w:rFonts w:cs="Arial"/>
          <w:lang w:val="en-CA"/>
        </w:rPr>
        <w:t>contra</w:t>
      </w:r>
      <w:r w:rsidR="00D035D4" w:rsidRPr="000A3539">
        <w:rPr>
          <w:rFonts w:cs="Arial"/>
          <w:lang w:val="en-CA"/>
        </w:rPr>
        <w:t>c</w:t>
      </w:r>
      <w:r w:rsidR="00D76132" w:rsidRPr="000A3539">
        <w:rPr>
          <w:rFonts w:cs="Arial"/>
          <w:lang w:val="en-CA"/>
        </w:rPr>
        <w:t xml:space="preserve">t </w:t>
      </w:r>
      <w:r w:rsidR="00D035D4" w:rsidRPr="000A3539">
        <w:rPr>
          <w:rFonts w:cs="Arial"/>
          <w:lang w:val="en-CA"/>
        </w:rPr>
        <w:t xml:space="preserve">for the lease and hire of work is for a limited </w:t>
      </w:r>
      <w:r w:rsidR="00D76132" w:rsidRPr="000A3539">
        <w:rPr>
          <w:rFonts w:cs="Arial"/>
          <w:lang w:val="en-CA"/>
        </w:rPr>
        <w:t>duration</w:t>
      </w:r>
      <w:r w:rsidR="00D035D4" w:rsidRPr="000A3539">
        <w:rPr>
          <w:rFonts w:cs="Arial"/>
          <w:lang w:val="en-CA"/>
        </w:rPr>
        <w:t xml:space="preserve"> or not</w:t>
      </w:r>
      <w:r w:rsidR="00D76132" w:rsidRPr="000A3539">
        <w:rPr>
          <w:rFonts w:cs="Arial"/>
          <w:lang w:val="en-CA"/>
        </w:rPr>
        <w:t xml:space="preserve">, </w:t>
      </w:r>
      <w:r w:rsidR="00D035D4" w:rsidRPr="000A3539">
        <w:rPr>
          <w:rFonts w:cs="Arial"/>
          <w:lang w:val="en-CA"/>
        </w:rPr>
        <w:t xml:space="preserve">but there is no </w:t>
      </w:r>
      <w:r w:rsidR="00D76132" w:rsidRPr="000A3539">
        <w:rPr>
          <w:rFonts w:cs="Arial"/>
          <w:lang w:val="en-CA"/>
        </w:rPr>
        <w:t>discrimination</w:t>
      </w:r>
      <w:r w:rsidR="00CA73D3" w:rsidRPr="000A3539">
        <w:rPr>
          <w:rFonts w:cs="Arial"/>
          <w:lang w:val="en-CA"/>
        </w:rPr>
        <w:t xml:space="preserve"> </w:t>
      </w:r>
      <w:r w:rsidR="00D76132" w:rsidRPr="000A3539">
        <w:rPr>
          <w:rFonts w:cs="Arial"/>
          <w:lang w:val="en-CA"/>
        </w:rPr>
        <w:t>within</w:t>
      </w:r>
      <w:r w:rsidR="00CA73D3" w:rsidRPr="000A3539">
        <w:rPr>
          <w:rFonts w:cs="Arial"/>
          <w:lang w:val="en-CA"/>
        </w:rPr>
        <w:t xml:space="preserve"> </w:t>
      </w:r>
      <w:r w:rsidR="00D76132" w:rsidRPr="000A3539">
        <w:rPr>
          <w:rFonts w:cs="Arial"/>
          <w:lang w:val="en-CA"/>
        </w:rPr>
        <w:t>the</w:t>
      </w:r>
      <w:r w:rsidR="00CA73D3" w:rsidRPr="000A3539">
        <w:rPr>
          <w:rFonts w:cs="Arial"/>
          <w:lang w:val="en-CA"/>
        </w:rPr>
        <w:t xml:space="preserve"> </w:t>
      </w:r>
      <w:r w:rsidR="00D76132" w:rsidRPr="000A3539">
        <w:rPr>
          <w:rFonts w:cs="Arial"/>
          <w:lang w:val="en-CA"/>
        </w:rPr>
        <w:t>meaning</w:t>
      </w:r>
      <w:r w:rsidR="00CA73D3" w:rsidRPr="000A3539">
        <w:rPr>
          <w:rFonts w:cs="Arial"/>
          <w:lang w:val="en-CA"/>
        </w:rPr>
        <w:t xml:space="preserve"> </w:t>
      </w:r>
      <w:r w:rsidR="00D76132" w:rsidRPr="000A3539">
        <w:rPr>
          <w:rFonts w:cs="Arial"/>
          <w:lang w:val="en-CA"/>
        </w:rPr>
        <w:t>of</w:t>
      </w:r>
      <w:r w:rsidR="00CA73D3" w:rsidRPr="000A3539">
        <w:rPr>
          <w:rFonts w:cs="Arial"/>
          <w:lang w:val="en-CA"/>
        </w:rPr>
        <w:t xml:space="preserve"> </w:t>
      </w:r>
      <w:r w:rsidR="00D76132" w:rsidRPr="000A3539">
        <w:rPr>
          <w:rFonts w:cs="Arial"/>
          <w:lang w:val="en-CA"/>
        </w:rPr>
        <w:t xml:space="preserve">section 19 </w:t>
      </w:r>
      <w:r w:rsidR="00CA73D3" w:rsidRPr="000A3539">
        <w:rPr>
          <w:rFonts w:cs="Arial"/>
          <w:lang w:val="en-CA"/>
        </w:rPr>
        <w:t xml:space="preserve">of the </w:t>
      </w:r>
      <w:r w:rsidR="00D76132" w:rsidRPr="000A3539">
        <w:rPr>
          <w:rFonts w:cs="Arial"/>
          <w:i/>
          <w:lang w:val="en-CA"/>
        </w:rPr>
        <w:t>Charter</w:t>
      </w:r>
      <w:r w:rsidR="00CA73D3" w:rsidRPr="000A3539">
        <w:rPr>
          <w:rFonts w:cs="Arial"/>
          <w:lang w:val="en-CA"/>
        </w:rPr>
        <w:t xml:space="preserve"> </w:t>
      </w:r>
      <w:r w:rsidR="00CA73D3" w:rsidRPr="000A3539">
        <w:rPr>
          <w:rFonts w:cs="Arial"/>
          <w:lang w:val="en-CA"/>
        </w:rPr>
        <w:lastRenderedPageBreak/>
        <w:t xml:space="preserve">if the same wages are paid to all employees whose </w:t>
      </w:r>
      <w:r w:rsidR="00D76132" w:rsidRPr="000A3539">
        <w:rPr>
          <w:rFonts w:cs="Arial"/>
          <w:lang w:val="en-CA"/>
        </w:rPr>
        <w:t>contra</w:t>
      </w:r>
      <w:r w:rsidR="00CA73D3" w:rsidRPr="000A3539">
        <w:rPr>
          <w:rFonts w:cs="Arial"/>
          <w:lang w:val="en-CA"/>
        </w:rPr>
        <w:t>c</w:t>
      </w:r>
      <w:r w:rsidR="00D76132" w:rsidRPr="000A3539">
        <w:rPr>
          <w:rFonts w:cs="Arial"/>
          <w:lang w:val="en-CA"/>
        </w:rPr>
        <w:t>t</w:t>
      </w:r>
      <w:r w:rsidR="008A2C76">
        <w:rPr>
          <w:rFonts w:cs="Arial"/>
          <w:lang w:val="en-CA"/>
        </w:rPr>
        <w:t>s</w:t>
      </w:r>
      <w:r w:rsidR="00D76132" w:rsidRPr="000A3539">
        <w:rPr>
          <w:rFonts w:cs="Arial"/>
          <w:lang w:val="en-CA"/>
        </w:rPr>
        <w:t xml:space="preserve"> </w:t>
      </w:r>
      <w:r w:rsidR="008A2C76">
        <w:rPr>
          <w:rFonts w:cs="Arial"/>
          <w:lang w:val="en-CA"/>
        </w:rPr>
        <w:t>are</w:t>
      </w:r>
      <w:r w:rsidR="00CA73D3" w:rsidRPr="000A3539">
        <w:rPr>
          <w:rFonts w:cs="Arial"/>
          <w:lang w:val="en-CA"/>
        </w:rPr>
        <w:t xml:space="preserve"> for a limited </w:t>
      </w:r>
      <w:r w:rsidR="00D76132" w:rsidRPr="000A3539">
        <w:rPr>
          <w:rFonts w:cs="Arial"/>
          <w:lang w:val="en-CA"/>
        </w:rPr>
        <w:t>duration</w:t>
      </w:r>
      <w:r w:rsidR="00CA73D3" w:rsidRPr="000A3539">
        <w:rPr>
          <w:rFonts w:cs="Arial"/>
          <w:lang w:val="en-CA"/>
        </w:rPr>
        <w:t xml:space="preserve"> and </w:t>
      </w:r>
      <w:r w:rsidR="008A2C76">
        <w:rPr>
          <w:rFonts w:cs="Arial"/>
          <w:lang w:val="en-CA"/>
        </w:rPr>
        <w:t xml:space="preserve">who </w:t>
      </w:r>
      <w:r w:rsidR="00CA73D3" w:rsidRPr="000A3539">
        <w:rPr>
          <w:rFonts w:cs="Arial"/>
          <w:lang w:val="en-CA"/>
        </w:rPr>
        <w:t>perform equivalent work</w:t>
      </w:r>
      <w:r w:rsidR="00D76132" w:rsidRPr="000A3539">
        <w:rPr>
          <w:rFonts w:cs="Arial"/>
          <w:lang w:val="en-CA"/>
        </w:rPr>
        <w:t>.</w:t>
      </w:r>
      <w:r w:rsidR="00D76132" w:rsidRPr="000A3539">
        <w:rPr>
          <w:rStyle w:val="Appelnotedebasdep"/>
          <w:rFonts w:cs="Arial"/>
          <w:lang w:val="en-CA"/>
        </w:rPr>
        <w:footnoteReference w:id="120"/>
      </w:r>
    </w:p>
    <w:p w14:paraId="56DC4406" w14:textId="5BB4526C" w:rsidR="00352837" w:rsidRPr="000A3539" w:rsidRDefault="000F1A2E" w:rsidP="00352837">
      <w:pPr>
        <w:pStyle w:val="Citationenretrait"/>
        <w:spacing w:before="0"/>
        <w:jc w:val="right"/>
        <w:rPr>
          <w:rFonts w:cs="Arial"/>
          <w:lang w:val="en-CA"/>
        </w:rPr>
      </w:pPr>
      <w:r w:rsidRPr="000A3539">
        <w:rPr>
          <w:rFonts w:cs="Arial"/>
          <w:lang w:val="en-CA"/>
        </w:rPr>
        <w:t>[Emphasis added]</w:t>
      </w:r>
    </w:p>
    <w:p w14:paraId="5B2A730B" w14:textId="4C715244" w:rsidR="00352837" w:rsidRPr="000A3539" w:rsidRDefault="00705FF7" w:rsidP="00352837">
      <w:pPr>
        <w:pStyle w:val="Paragraphe"/>
        <w:rPr>
          <w:lang w:val="en-CA"/>
        </w:rPr>
      </w:pPr>
      <w:r w:rsidRPr="000A3539">
        <w:rPr>
          <w:lang w:val="en-CA"/>
        </w:rPr>
        <w:t xml:space="preserve">However, this misunderstanding by the </w:t>
      </w:r>
      <w:r w:rsidR="00D76132" w:rsidRPr="000A3539">
        <w:rPr>
          <w:lang w:val="en-CA"/>
        </w:rPr>
        <w:t>Tribunal</w:t>
      </w:r>
      <w:r w:rsidRPr="000A3539">
        <w:rPr>
          <w:lang w:val="en-CA"/>
        </w:rPr>
        <w:t xml:space="preserve"> has no impact on the outcome of the dispute. After analyzing the evidence</w:t>
      </w:r>
      <w:r w:rsidR="00D76132" w:rsidRPr="000A3539">
        <w:rPr>
          <w:lang w:val="en-CA"/>
        </w:rPr>
        <w:t xml:space="preserve">, </w:t>
      </w:r>
      <w:r w:rsidRPr="000A3539">
        <w:rPr>
          <w:lang w:val="en-CA"/>
        </w:rPr>
        <w:t xml:space="preserve">the </w:t>
      </w:r>
      <w:r w:rsidR="00D76132" w:rsidRPr="000A3539">
        <w:rPr>
          <w:lang w:val="en-CA"/>
        </w:rPr>
        <w:t>Tribunal</w:t>
      </w:r>
      <w:r w:rsidRPr="000A3539">
        <w:rPr>
          <w:lang w:val="en-CA"/>
        </w:rPr>
        <w:t xml:space="preserve"> noted that the </w:t>
      </w:r>
      <w:r w:rsidR="00D76132" w:rsidRPr="000A3539">
        <w:rPr>
          <w:lang w:val="en-CA"/>
        </w:rPr>
        <w:t>differential</w:t>
      </w:r>
      <w:r w:rsidRPr="000A3539">
        <w:rPr>
          <w:lang w:val="en-CA"/>
        </w:rPr>
        <w:t xml:space="preserve"> treatment in question</w:t>
      </w:r>
      <w:r w:rsidR="007D2CB5">
        <w:rPr>
          <w:lang w:val="en-CA"/>
        </w:rPr>
        <w:t xml:space="preserve"> here</w:t>
      </w:r>
      <w:r w:rsidRPr="000A3539">
        <w:rPr>
          <w:lang w:val="en-CA"/>
        </w:rPr>
        <w:t xml:space="preserve"> is not based on the employees’ expe</w:t>
      </w:r>
      <w:r w:rsidR="00D76132" w:rsidRPr="000A3539">
        <w:rPr>
          <w:lang w:val="en-CA"/>
        </w:rPr>
        <w:t xml:space="preserve">rience, </w:t>
      </w:r>
      <w:r w:rsidRPr="000A3539">
        <w:rPr>
          <w:lang w:val="en-CA"/>
        </w:rPr>
        <w:t>seniority, or years of service</w:t>
      </w:r>
      <w:r w:rsidR="00D76132" w:rsidRPr="000A3539">
        <w:rPr>
          <w:lang w:val="en-CA"/>
        </w:rPr>
        <w:t xml:space="preserve">. </w:t>
      </w:r>
      <w:r w:rsidRPr="000A3539">
        <w:rPr>
          <w:lang w:val="en-CA"/>
        </w:rPr>
        <w:t xml:space="preserve">Casual employees are paid </w:t>
      </w:r>
      <w:r w:rsidR="004C25FA" w:rsidRPr="000A3539">
        <w:rPr>
          <w:lang w:val="en-CA"/>
        </w:rPr>
        <w:t xml:space="preserve">wages that are </w:t>
      </w:r>
      <w:r w:rsidRPr="000A3539">
        <w:rPr>
          <w:lang w:val="en-CA"/>
        </w:rPr>
        <w:t>hig</w:t>
      </w:r>
      <w:r w:rsidR="004C25FA" w:rsidRPr="000A3539">
        <w:rPr>
          <w:lang w:val="en-CA"/>
        </w:rPr>
        <w:t>h</w:t>
      </w:r>
      <w:r w:rsidRPr="000A3539">
        <w:rPr>
          <w:lang w:val="en-CA"/>
        </w:rPr>
        <w:t xml:space="preserve">er </w:t>
      </w:r>
      <w:r w:rsidR="004C25FA" w:rsidRPr="000A3539">
        <w:rPr>
          <w:lang w:val="en-CA"/>
        </w:rPr>
        <w:t xml:space="preserve">to those paid to students </w:t>
      </w:r>
      <w:r w:rsidR="007D2CB5">
        <w:rPr>
          <w:lang w:val="en-CA"/>
        </w:rPr>
        <w:t>from</w:t>
      </w:r>
      <w:r w:rsidR="004C25FA" w:rsidRPr="000A3539">
        <w:rPr>
          <w:lang w:val="en-CA"/>
        </w:rPr>
        <w:t xml:space="preserve"> the</w:t>
      </w:r>
      <w:r w:rsidR="007D2CB5">
        <w:rPr>
          <w:lang w:val="en-CA"/>
        </w:rPr>
        <w:t>ir</w:t>
      </w:r>
      <w:r w:rsidR="004C25FA" w:rsidRPr="000A3539">
        <w:rPr>
          <w:lang w:val="en-CA"/>
        </w:rPr>
        <w:t xml:space="preserve"> first day of employment, and the wage scales have a single rate that is </w:t>
      </w:r>
      <w:r w:rsidR="00352F06" w:rsidRPr="000A3539">
        <w:rPr>
          <w:lang w:val="en-CA"/>
        </w:rPr>
        <w:t>independent</w:t>
      </w:r>
      <w:r w:rsidR="004C25FA" w:rsidRPr="000A3539">
        <w:rPr>
          <w:lang w:val="en-CA"/>
        </w:rPr>
        <w:t xml:space="preserve"> from employees’ years of service</w:t>
      </w:r>
      <w:r w:rsidR="00D76132" w:rsidRPr="000A3539">
        <w:rPr>
          <w:lang w:val="en-CA"/>
        </w:rPr>
        <w:t xml:space="preserve">. </w:t>
      </w:r>
      <w:r w:rsidR="004C25FA" w:rsidRPr="000A3539">
        <w:rPr>
          <w:lang w:val="en-CA"/>
        </w:rPr>
        <w:t xml:space="preserve">In this regard, the </w:t>
      </w:r>
      <w:r w:rsidR="00D76132" w:rsidRPr="000A3539">
        <w:rPr>
          <w:lang w:val="en-CA"/>
        </w:rPr>
        <w:t>testimony</w:t>
      </w:r>
      <w:r w:rsidR="004C25FA" w:rsidRPr="000A3539">
        <w:rPr>
          <w:lang w:val="en-CA"/>
        </w:rPr>
        <w:t xml:space="preserve"> of </w:t>
      </w:r>
      <w:r w:rsidR="00D76132" w:rsidRPr="000A3539">
        <w:rPr>
          <w:lang w:val="en-CA"/>
        </w:rPr>
        <w:t xml:space="preserve">Annie Dubois </w:t>
      </w:r>
      <w:r w:rsidR="004C25FA" w:rsidRPr="000A3539">
        <w:rPr>
          <w:lang w:val="en-CA"/>
        </w:rPr>
        <w:t>reveals that, for</w:t>
      </w:r>
      <w:r w:rsidR="00C34AA2" w:rsidRPr="000A3539">
        <w:rPr>
          <w:lang w:val="en-CA"/>
        </w:rPr>
        <w:t xml:space="preserve"> all members of the personnel, wages are tied to the position occupied and have no connection to “years of service”.</w:t>
      </w:r>
      <w:r w:rsidR="00D76132" w:rsidRPr="000A3539">
        <w:rPr>
          <w:rStyle w:val="Appelnotedebasdep"/>
          <w:lang w:val="en-CA"/>
        </w:rPr>
        <w:footnoteReference w:id="121"/>
      </w:r>
      <w:r w:rsidR="00D76132" w:rsidRPr="000A3539">
        <w:rPr>
          <w:lang w:val="en-CA"/>
        </w:rPr>
        <w:t xml:space="preserve"> </w:t>
      </w:r>
    </w:p>
    <w:p w14:paraId="068C572C" w14:textId="1A67986F" w:rsidR="00352837" w:rsidRPr="000A3539" w:rsidRDefault="00485222"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also accepted, from its assessment of </w:t>
      </w:r>
      <w:r w:rsidR="00D76132" w:rsidRPr="000A3539">
        <w:rPr>
          <w:lang w:val="en-CA"/>
        </w:rPr>
        <w:t>Annie Dubois</w:t>
      </w:r>
      <w:r w:rsidRPr="000A3539">
        <w:rPr>
          <w:lang w:val="en-CA"/>
        </w:rPr>
        <w:t>’</w:t>
      </w:r>
      <w:r w:rsidR="00B43717" w:rsidRPr="000A3539">
        <w:rPr>
          <w:lang w:val="en-CA"/>
        </w:rPr>
        <w:t>s</w:t>
      </w:r>
      <w:r w:rsidRPr="000A3539">
        <w:rPr>
          <w:lang w:val="en-CA"/>
        </w:rPr>
        <w:t xml:space="preserve"> testimony as a whole</w:t>
      </w:r>
      <w:r w:rsidR="00D76132" w:rsidRPr="000A3539">
        <w:rPr>
          <w:lang w:val="en-CA"/>
        </w:rPr>
        <w:t xml:space="preserve">, </w:t>
      </w:r>
      <w:r w:rsidRPr="000A3539">
        <w:rPr>
          <w:lang w:val="en-CA"/>
        </w:rPr>
        <w:t>that it is not due to the criterion of “years of service” that students receive lower wages. Her testimony indicated that students are hired for a fixed period and that they</w:t>
      </w:r>
      <w:r w:rsidR="00CF10B6" w:rsidRPr="000A3539">
        <w:rPr>
          <w:lang w:val="en-CA"/>
        </w:rPr>
        <w:t xml:space="preserve"> [</w:t>
      </w:r>
      <w:r w:rsidR="00CF10B6" w:rsidRPr="000A3539">
        <w:rPr>
          <w:smallCaps/>
          <w:lang w:val="en-CA"/>
        </w:rPr>
        <w:t>translation</w:t>
      </w:r>
      <w:r w:rsidR="00CF10B6" w:rsidRPr="000A3539">
        <w:rPr>
          <w:lang w:val="en-CA"/>
        </w:rPr>
        <w:t xml:space="preserve">] “have different wages because they are for </w:t>
      </w:r>
      <w:r w:rsidR="00D76132" w:rsidRPr="000A3539">
        <w:rPr>
          <w:lang w:val="en-CA"/>
        </w:rPr>
        <w:t>fixed-term</w:t>
      </w:r>
      <w:r w:rsidR="00CF10B6" w:rsidRPr="000A3539">
        <w:rPr>
          <w:lang w:val="en-CA"/>
        </w:rPr>
        <w:t xml:space="preserve"> </w:t>
      </w:r>
      <w:r w:rsidR="00D76132" w:rsidRPr="000A3539">
        <w:rPr>
          <w:lang w:val="en-CA"/>
        </w:rPr>
        <w:t>contracts</w:t>
      </w:r>
      <w:r w:rsidR="00B43717" w:rsidRPr="000A3539">
        <w:rPr>
          <w:lang w:val="en-CA"/>
        </w:rPr>
        <w:t>; they do not perform all the tasks of a given position”.</w:t>
      </w:r>
      <w:r w:rsidR="00D76132" w:rsidRPr="000A3539">
        <w:rPr>
          <w:rStyle w:val="Appelnotedebasdep"/>
          <w:rFonts w:cs="Arial"/>
          <w:lang w:val="en-CA"/>
        </w:rPr>
        <w:footnoteReference w:id="122"/>
      </w:r>
      <w:r w:rsidR="00B43717" w:rsidRPr="000A3539">
        <w:rPr>
          <w:lang w:val="en-CA"/>
        </w:rPr>
        <w:t xml:space="preserve"> </w:t>
      </w:r>
      <w:r w:rsidR="00D76132" w:rsidRPr="000A3539">
        <w:rPr>
          <w:lang w:val="en-CA"/>
        </w:rPr>
        <w:t>Annie Dubois</w:t>
      </w:r>
      <w:r w:rsidR="00B43717" w:rsidRPr="000A3539">
        <w:rPr>
          <w:lang w:val="en-CA"/>
        </w:rPr>
        <w:t>’s testimony</w:t>
      </w:r>
      <w:r w:rsidR="00D76132" w:rsidRPr="000A3539">
        <w:rPr>
          <w:lang w:val="en-CA"/>
        </w:rPr>
        <w:t xml:space="preserve">, </w:t>
      </w:r>
      <w:r w:rsidR="00B43717" w:rsidRPr="000A3539">
        <w:rPr>
          <w:lang w:val="en-CA"/>
        </w:rPr>
        <w:t xml:space="preserve">considered as a whole, is </w:t>
      </w:r>
      <w:r w:rsidR="00D76132" w:rsidRPr="000A3539">
        <w:rPr>
          <w:lang w:val="en-CA"/>
        </w:rPr>
        <w:t>ambigu</w:t>
      </w:r>
      <w:r w:rsidR="00B43717" w:rsidRPr="000A3539">
        <w:rPr>
          <w:lang w:val="en-CA"/>
        </w:rPr>
        <w:t xml:space="preserve">ous with respect to the </w:t>
      </w:r>
      <w:r w:rsidR="00D76132" w:rsidRPr="000A3539">
        <w:rPr>
          <w:lang w:val="en-CA"/>
        </w:rPr>
        <w:t xml:space="preserve">justification </w:t>
      </w:r>
      <w:r w:rsidR="00B43717" w:rsidRPr="000A3539">
        <w:rPr>
          <w:lang w:val="en-CA"/>
        </w:rPr>
        <w:t xml:space="preserve">for the </w:t>
      </w:r>
      <w:r w:rsidR="00D76132" w:rsidRPr="000A3539">
        <w:rPr>
          <w:lang w:val="en-CA"/>
        </w:rPr>
        <w:t xml:space="preserve">distinction </w:t>
      </w:r>
      <w:r w:rsidR="00B43717" w:rsidRPr="000A3539">
        <w:rPr>
          <w:lang w:val="en-CA"/>
        </w:rPr>
        <w:t>between the wages paid to students and that paid to regular and casual employees</w:t>
      </w:r>
      <w:r w:rsidR="00D76132" w:rsidRPr="000A3539">
        <w:rPr>
          <w:lang w:val="en-CA"/>
        </w:rPr>
        <w:t xml:space="preserve">. </w:t>
      </w:r>
      <w:r w:rsidR="00B43717" w:rsidRPr="000A3539">
        <w:rPr>
          <w:lang w:val="en-CA"/>
        </w:rPr>
        <w:t xml:space="preserve">Accordingly, the </w:t>
      </w:r>
      <w:r w:rsidR="00D76132" w:rsidRPr="000A3539">
        <w:rPr>
          <w:lang w:val="en-CA"/>
        </w:rPr>
        <w:t>Tribunal</w:t>
      </w:r>
      <w:r w:rsidR="00B43717" w:rsidRPr="000A3539">
        <w:rPr>
          <w:lang w:val="en-CA"/>
        </w:rPr>
        <w:t xml:space="preserve"> cannot be criticized for having accepted from the </w:t>
      </w:r>
      <w:r w:rsidR="00D76132" w:rsidRPr="000A3539">
        <w:rPr>
          <w:lang w:val="en-CA"/>
        </w:rPr>
        <w:t>evidence</w:t>
      </w:r>
      <w:r w:rsidR="00B43717" w:rsidRPr="000A3539">
        <w:rPr>
          <w:lang w:val="en-CA"/>
        </w:rPr>
        <w:t xml:space="preserve"> that </w:t>
      </w:r>
      <w:r w:rsidR="002A2BC4">
        <w:rPr>
          <w:lang w:val="en-CA"/>
        </w:rPr>
        <w:t xml:space="preserve">students </w:t>
      </w:r>
      <w:r w:rsidR="002A2BC4" w:rsidRPr="000A3539">
        <w:rPr>
          <w:lang w:val="en-CA"/>
        </w:rPr>
        <w:t>were</w:t>
      </w:r>
      <w:r w:rsidR="002A2BC4">
        <w:rPr>
          <w:lang w:val="en-CA"/>
        </w:rPr>
        <w:t xml:space="preserve"> not</w:t>
      </w:r>
      <w:r w:rsidR="002A2BC4" w:rsidRPr="000A3539">
        <w:rPr>
          <w:lang w:val="en-CA"/>
        </w:rPr>
        <w:t xml:space="preserve"> paid different wages </w:t>
      </w:r>
      <w:r w:rsidR="00B43717" w:rsidRPr="000A3539">
        <w:rPr>
          <w:lang w:val="en-CA"/>
        </w:rPr>
        <w:t xml:space="preserve">because of their </w:t>
      </w:r>
      <w:r w:rsidR="00D76132" w:rsidRPr="000A3539">
        <w:rPr>
          <w:lang w:val="en-CA"/>
        </w:rPr>
        <w:t>fixed-term</w:t>
      </w:r>
      <w:r w:rsidR="00B43717" w:rsidRPr="000A3539">
        <w:rPr>
          <w:lang w:val="en-CA"/>
        </w:rPr>
        <w:t xml:space="preserve"> </w:t>
      </w:r>
      <w:r w:rsidR="00D76132" w:rsidRPr="000A3539">
        <w:rPr>
          <w:lang w:val="en-CA"/>
        </w:rPr>
        <w:t>contract</w:t>
      </w:r>
      <w:r w:rsidR="00F865D9" w:rsidRPr="000A3539">
        <w:rPr>
          <w:lang w:val="en-CA"/>
        </w:rPr>
        <w:t xml:space="preserve">. In the </w:t>
      </w:r>
      <w:r w:rsidR="00D76132" w:rsidRPr="000A3539">
        <w:rPr>
          <w:lang w:val="en-CA"/>
        </w:rPr>
        <w:t>Tribunal</w:t>
      </w:r>
      <w:r w:rsidR="00F865D9" w:rsidRPr="000A3539">
        <w:rPr>
          <w:lang w:val="en-CA"/>
        </w:rPr>
        <w:t xml:space="preserve">’s view, this is a pretext behind which the appellant takes refuge to </w:t>
      </w:r>
      <w:r w:rsidR="00D76132" w:rsidRPr="000A3539">
        <w:rPr>
          <w:lang w:val="en-CA"/>
        </w:rPr>
        <w:t>justif</w:t>
      </w:r>
      <w:r w:rsidR="00F865D9" w:rsidRPr="000A3539">
        <w:rPr>
          <w:lang w:val="en-CA"/>
        </w:rPr>
        <w:t xml:space="preserve">y its </w:t>
      </w:r>
      <w:r w:rsidR="00D76132" w:rsidRPr="000A3539">
        <w:rPr>
          <w:lang w:val="en-CA"/>
        </w:rPr>
        <w:t xml:space="preserve">decision: </w:t>
      </w:r>
    </w:p>
    <w:p w14:paraId="7E03A4CD" w14:textId="06EC93EC" w:rsidR="00F865D9" w:rsidRPr="000A3539" w:rsidRDefault="00F865D9" w:rsidP="00352837">
      <w:pPr>
        <w:pStyle w:val="Citationenretrait"/>
        <w:rPr>
          <w:lang w:val="en-CA"/>
        </w:rPr>
      </w:pPr>
      <w:r w:rsidRPr="000A3539">
        <w:rPr>
          <w:lang w:val="en-CA"/>
        </w:rPr>
        <w:t>[</w:t>
      </w:r>
      <w:r w:rsidRPr="000A3539">
        <w:rPr>
          <w:smallCaps/>
          <w:lang w:val="en-CA"/>
        </w:rPr>
        <w:t>translation</w:t>
      </w:r>
      <w:r w:rsidRPr="000A3539">
        <w:rPr>
          <w:lang w:val="en-CA"/>
        </w:rPr>
        <w:t>]</w:t>
      </w:r>
    </w:p>
    <w:p w14:paraId="50F8F538" w14:textId="3612A8C1" w:rsidR="00352837" w:rsidRPr="000A3539" w:rsidRDefault="00D76132" w:rsidP="00352837">
      <w:pPr>
        <w:pStyle w:val="Citationenretrait"/>
        <w:rPr>
          <w:dstrike/>
          <w:lang w:val="en-CA"/>
        </w:rPr>
      </w:pPr>
      <w:r w:rsidRPr="000A3539">
        <w:rPr>
          <w:lang w:val="en-CA"/>
        </w:rPr>
        <w:t>[405]  </w:t>
      </w:r>
      <w:r w:rsidR="00F865D9" w:rsidRPr="000A3539">
        <w:rPr>
          <w:rFonts w:cs="Arial"/>
          <w:color w:val="000000"/>
          <w:lang w:val="en-CA"/>
        </w:rPr>
        <w:t>If ABI did not provide any justification when it decided to modify the students’ wage conditions, it cannot establish one after the fact.</w:t>
      </w:r>
      <w:r w:rsidRPr="000A3539">
        <w:rPr>
          <w:rStyle w:val="Appelnotedebasdep"/>
          <w:lang w:val="en-CA"/>
        </w:rPr>
        <w:footnoteReference w:id="123"/>
      </w:r>
    </w:p>
    <w:p w14:paraId="79E4550F" w14:textId="7B5A081C" w:rsidR="00352837" w:rsidRPr="000A3539" w:rsidRDefault="00C26A69" w:rsidP="00352837">
      <w:pPr>
        <w:pStyle w:val="Paragraphe"/>
        <w:rPr>
          <w:lang w:val="en-CA"/>
        </w:rPr>
      </w:pPr>
      <w:r w:rsidRPr="000A3539">
        <w:rPr>
          <w:lang w:val="en-CA"/>
        </w:rPr>
        <w:t xml:space="preserve">The </w:t>
      </w:r>
      <w:r w:rsidR="00D76132" w:rsidRPr="000A3539">
        <w:rPr>
          <w:lang w:val="en-CA"/>
        </w:rPr>
        <w:t>appe</w:t>
      </w:r>
      <w:r w:rsidRPr="000A3539">
        <w:rPr>
          <w:lang w:val="en-CA"/>
        </w:rPr>
        <w:t>l</w:t>
      </w:r>
      <w:r w:rsidR="00D76132" w:rsidRPr="000A3539">
        <w:rPr>
          <w:lang w:val="en-CA"/>
        </w:rPr>
        <w:t>lant</w:t>
      </w:r>
      <w:r w:rsidRPr="000A3539">
        <w:rPr>
          <w:lang w:val="en-CA"/>
        </w:rPr>
        <w:t xml:space="preserve"> </w:t>
      </w:r>
      <w:r w:rsidR="00D76132" w:rsidRPr="000A3539">
        <w:rPr>
          <w:lang w:val="en-CA"/>
        </w:rPr>
        <w:t>submit</w:t>
      </w:r>
      <w:r w:rsidRPr="000A3539">
        <w:rPr>
          <w:lang w:val="en-CA"/>
        </w:rPr>
        <w:t xml:space="preserve">s that the </w:t>
      </w:r>
      <w:r w:rsidR="00D76132" w:rsidRPr="000A3539">
        <w:rPr>
          <w:lang w:val="en-CA"/>
        </w:rPr>
        <w:t>expression</w:t>
      </w:r>
      <w:r w:rsidRPr="000A3539">
        <w:rPr>
          <w:lang w:val="en-CA"/>
        </w:rPr>
        <w:t xml:space="preserve"> “years of </w:t>
      </w:r>
      <w:r w:rsidR="00D76132" w:rsidRPr="000A3539">
        <w:rPr>
          <w:lang w:val="en-CA"/>
        </w:rPr>
        <w:t>service</w:t>
      </w:r>
      <w:r w:rsidRPr="000A3539">
        <w:rPr>
          <w:lang w:val="en-CA"/>
        </w:rPr>
        <w:t xml:space="preserve"> / </w:t>
      </w:r>
      <w:proofErr w:type="spellStart"/>
      <w:r w:rsidRPr="000A3539">
        <w:rPr>
          <w:i/>
          <w:lang w:val="en-CA"/>
        </w:rPr>
        <w:t>durée</w:t>
      </w:r>
      <w:proofErr w:type="spellEnd"/>
      <w:r w:rsidRPr="000A3539">
        <w:rPr>
          <w:i/>
          <w:lang w:val="en-CA"/>
        </w:rPr>
        <w:t xml:space="preserve"> de service</w:t>
      </w:r>
      <w:r w:rsidRPr="000A3539">
        <w:rPr>
          <w:lang w:val="en-CA"/>
        </w:rPr>
        <w:t xml:space="preserve">” refers to the fixed nature of the </w:t>
      </w:r>
      <w:r w:rsidR="00D76132" w:rsidRPr="000A3539">
        <w:rPr>
          <w:lang w:val="en-CA"/>
        </w:rPr>
        <w:t>duration</w:t>
      </w:r>
      <w:r w:rsidRPr="000A3539">
        <w:rPr>
          <w:lang w:val="en-CA"/>
        </w:rPr>
        <w:t xml:space="preserve"> of the </w:t>
      </w:r>
      <w:r w:rsidR="00D76132" w:rsidRPr="000A3539">
        <w:rPr>
          <w:lang w:val="en-CA"/>
        </w:rPr>
        <w:t>contract</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 xml:space="preserve">employment. </w:t>
      </w:r>
      <w:r w:rsidRPr="000A3539">
        <w:rPr>
          <w:lang w:val="en-CA"/>
        </w:rPr>
        <w:t xml:space="preserve">The English version of </w:t>
      </w:r>
      <w:r w:rsidR="00D76132" w:rsidRPr="000A3539">
        <w:rPr>
          <w:lang w:val="en-CA"/>
        </w:rPr>
        <w:t>section</w:t>
      </w:r>
      <w:r w:rsidRPr="000A3539">
        <w:rPr>
          <w:lang w:val="en-CA"/>
        </w:rPr>
        <w:t xml:space="preserve"> </w:t>
      </w:r>
      <w:r w:rsidR="00D76132" w:rsidRPr="000A3539">
        <w:rPr>
          <w:lang w:val="en-CA"/>
        </w:rPr>
        <w:t xml:space="preserve">19 </w:t>
      </w:r>
      <w:r w:rsidRPr="000A3539">
        <w:rPr>
          <w:lang w:val="en-CA"/>
        </w:rPr>
        <w:t xml:space="preserve">of the </w:t>
      </w:r>
      <w:r w:rsidR="00DC430C" w:rsidRPr="00DC430C">
        <w:rPr>
          <w:i/>
          <w:lang w:val="en-CA"/>
        </w:rPr>
        <w:t>Quebec Charter</w:t>
      </w:r>
      <w:r w:rsidR="00D76132" w:rsidRPr="000A3539">
        <w:rPr>
          <w:lang w:val="en-CA"/>
        </w:rPr>
        <w:t xml:space="preserve"> </w:t>
      </w:r>
      <w:r w:rsidR="00F84BD9" w:rsidRPr="000A3539">
        <w:rPr>
          <w:lang w:val="en-CA"/>
        </w:rPr>
        <w:t>clears up any ambiguity and connects the concept of “</w:t>
      </w:r>
      <w:r w:rsidR="00D76132" w:rsidRPr="000A3539">
        <w:rPr>
          <w:lang w:val="en-CA"/>
        </w:rPr>
        <w:t>years of service</w:t>
      </w:r>
      <w:r w:rsidR="00F84BD9" w:rsidRPr="000A3539">
        <w:rPr>
          <w:lang w:val="en-CA"/>
        </w:rPr>
        <w:t>” to the</w:t>
      </w:r>
      <w:r w:rsidR="00206CDB" w:rsidRPr="000A3539">
        <w:rPr>
          <w:lang w:val="en-CA"/>
        </w:rPr>
        <w:t xml:space="preserve"> worker’s temporal attachment to the </w:t>
      </w:r>
      <w:r w:rsidR="00D76132" w:rsidRPr="000A3539">
        <w:rPr>
          <w:lang w:val="en-CA"/>
        </w:rPr>
        <w:t>ent</w:t>
      </w:r>
      <w:r w:rsidR="00206CDB" w:rsidRPr="000A3539">
        <w:rPr>
          <w:lang w:val="en-CA"/>
        </w:rPr>
        <w:t>er</w:t>
      </w:r>
      <w:r w:rsidR="00D76132" w:rsidRPr="000A3539">
        <w:rPr>
          <w:lang w:val="en-CA"/>
        </w:rPr>
        <w:t xml:space="preserve">prise </w:t>
      </w:r>
      <w:r w:rsidR="00206CDB" w:rsidRPr="000A3539">
        <w:rPr>
          <w:lang w:val="en-CA"/>
        </w:rPr>
        <w:t xml:space="preserve">rather than to the </w:t>
      </w:r>
      <w:r w:rsidR="00D76132" w:rsidRPr="000A3539">
        <w:rPr>
          <w:lang w:val="en-CA"/>
        </w:rPr>
        <w:t>nature</w:t>
      </w:r>
      <w:r w:rsidR="00206CDB" w:rsidRPr="000A3539">
        <w:rPr>
          <w:lang w:val="en-CA"/>
        </w:rPr>
        <w:t xml:space="preserve"> of </w:t>
      </w:r>
      <w:r w:rsidR="0042046A">
        <w:rPr>
          <w:lang w:val="en-CA"/>
        </w:rPr>
        <w:t xml:space="preserve">the worker’s </w:t>
      </w:r>
      <w:r w:rsidR="00206CDB" w:rsidRPr="000A3539">
        <w:rPr>
          <w:lang w:val="en-CA"/>
        </w:rPr>
        <w:t>contract of employment</w:t>
      </w:r>
      <w:r w:rsidR="00D76132" w:rsidRPr="000A3539">
        <w:rPr>
          <w:lang w:val="en-CA"/>
        </w:rPr>
        <w:t xml:space="preserve">. </w:t>
      </w:r>
      <w:r w:rsidR="00206CDB" w:rsidRPr="000A3539">
        <w:rPr>
          <w:lang w:val="en-CA"/>
        </w:rPr>
        <w:t xml:space="preserve">This </w:t>
      </w:r>
      <w:r w:rsidR="00D76132" w:rsidRPr="000A3539">
        <w:rPr>
          <w:lang w:val="en-CA"/>
        </w:rPr>
        <w:t xml:space="preserve">interpretation </w:t>
      </w:r>
      <w:r w:rsidR="00482BAB" w:rsidRPr="000A3539">
        <w:rPr>
          <w:lang w:val="en-CA"/>
        </w:rPr>
        <w:t xml:space="preserve">is consistent with the other </w:t>
      </w:r>
      <w:r w:rsidR="00D76132" w:rsidRPr="000A3539">
        <w:rPr>
          <w:lang w:val="en-CA"/>
        </w:rPr>
        <w:t>grounds</w:t>
      </w:r>
      <w:r w:rsidR="00482BAB" w:rsidRPr="000A3539">
        <w:rPr>
          <w:lang w:val="en-CA"/>
        </w:rPr>
        <w:t xml:space="preserve"> of </w:t>
      </w:r>
      <w:r w:rsidR="00D76132" w:rsidRPr="000A3539">
        <w:rPr>
          <w:lang w:val="en-CA"/>
        </w:rPr>
        <w:t>justification (</w:t>
      </w:r>
      <w:r w:rsidR="00482BAB" w:rsidRPr="000A3539">
        <w:rPr>
          <w:lang w:val="en-CA"/>
        </w:rPr>
        <w:t>expe</w:t>
      </w:r>
      <w:r w:rsidR="00D76132" w:rsidRPr="000A3539">
        <w:rPr>
          <w:lang w:val="en-CA"/>
        </w:rPr>
        <w:t xml:space="preserve">rience, </w:t>
      </w:r>
      <w:r w:rsidR="00482BAB" w:rsidRPr="000A3539">
        <w:rPr>
          <w:lang w:val="en-CA"/>
        </w:rPr>
        <w:t>seniority</w:t>
      </w:r>
      <w:r w:rsidR="00D76132" w:rsidRPr="000A3539">
        <w:rPr>
          <w:lang w:val="en-CA"/>
        </w:rPr>
        <w:t xml:space="preserve">, </w:t>
      </w:r>
      <w:r w:rsidR="00482BAB" w:rsidRPr="000A3539">
        <w:rPr>
          <w:lang w:val="en-CA"/>
        </w:rPr>
        <w:t xml:space="preserve">merit, productivity, and overtime), which are related to an employee’s </w:t>
      </w:r>
      <w:r w:rsidR="00D76132" w:rsidRPr="000A3539">
        <w:rPr>
          <w:lang w:val="en-CA"/>
        </w:rPr>
        <w:t>productivit</w:t>
      </w:r>
      <w:r w:rsidR="00482BAB" w:rsidRPr="000A3539">
        <w:rPr>
          <w:lang w:val="en-CA"/>
        </w:rPr>
        <w:t>y</w:t>
      </w:r>
      <w:r w:rsidR="00D76132" w:rsidRPr="000A3539">
        <w:rPr>
          <w:lang w:val="en-CA"/>
        </w:rPr>
        <w:t>.</w:t>
      </w:r>
      <w:r w:rsidR="002F3C28" w:rsidRPr="000A3539">
        <w:rPr>
          <w:lang w:val="en-CA"/>
        </w:rPr>
        <w:t xml:space="preserve"> That is in fact how the </w:t>
      </w:r>
      <w:r w:rsidR="00D76132" w:rsidRPr="000A3539">
        <w:rPr>
          <w:lang w:val="en-CA"/>
        </w:rPr>
        <w:lastRenderedPageBreak/>
        <w:t>exception</w:t>
      </w:r>
      <w:r w:rsidR="002F3C28" w:rsidRPr="000A3539">
        <w:rPr>
          <w:lang w:val="en-CA"/>
        </w:rPr>
        <w:t xml:space="preserve"> set out in </w:t>
      </w:r>
      <w:r w:rsidR="00D76132" w:rsidRPr="000A3539">
        <w:rPr>
          <w:lang w:val="en-CA"/>
        </w:rPr>
        <w:t>section 87.2</w:t>
      </w:r>
      <w:r w:rsidR="002F3C28" w:rsidRPr="000A3539">
        <w:rPr>
          <w:lang w:val="en-CA"/>
        </w:rPr>
        <w:t xml:space="preserve"> of the </w:t>
      </w:r>
      <w:r w:rsidR="002F3C28" w:rsidRPr="000A3539">
        <w:rPr>
          <w:i/>
          <w:lang w:val="en-CA"/>
        </w:rPr>
        <w:t>Act respecting labour standards</w:t>
      </w:r>
      <w:r w:rsidR="00AA2177" w:rsidRPr="000A3539">
        <w:rPr>
          <w:lang w:val="en-CA"/>
        </w:rPr>
        <w:t>,</w:t>
      </w:r>
      <w:r w:rsidR="00D76132" w:rsidRPr="000A3539">
        <w:rPr>
          <w:rStyle w:val="Appelnotedebasdep"/>
          <w:lang w:val="en-CA"/>
        </w:rPr>
        <w:footnoteReference w:id="124"/>
      </w:r>
      <w:r w:rsidR="00AA2177" w:rsidRPr="000A3539">
        <w:rPr>
          <w:lang w:val="en-CA"/>
        </w:rPr>
        <w:t xml:space="preserve"> which uses the same terms, </w:t>
      </w:r>
      <w:r w:rsidR="002F3C28" w:rsidRPr="000A3539">
        <w:rPr>
          <w:lang w:val="en-CA"/>
        </w:rPr>
        <w:t>is explained in the commentary</w:t>
      </w:r>
      <w:r w:rsidR="00D76132" w:rsidRPr="000A3539">
        <w:rPr>
          <w:lang w:val="en-CA"/>
        </w:rPr>
        <w:t>:</w:t>
      </w:r>
    </w:p>
    <w:p w14:paraId="6AFDCEC1" w14:textId="1BABD308" w:rsidR="00AA2177" w:rsidRPr="000A3539" w:rsidRDefault="00AA2177" w:rsidP="00352837">
      <w:pPr>
        <w:pStyle w:val="Citationenretrait"/>
        <w:rPr>
          <w:lang w:val="en-CA"/>
        </w:rPr>
      </w:pPr>
      <w:r w:rsidRPr="000A3539">
        <w:rPr>
          <w:lang w:val="en-CA"/>
        </w:rPr>
        <w:t>[</w:t>
      </w:r>
      <w:r w:rsidRPr="000A3539">
        <w:rPr>
          <w:smallCaps/>
          <w:lang w:val="en-CA"/>
        </w:rPr>
        <w:t>translation</w:t>
      </w:r>
      <w:r w:rsidRPr="000A3539">
        <w:rPr>
          <w:lang w:val="en-CA"/>
        </w:rPr>
        <w:t>]</w:t>
      </w:r>
    </w:p>
    <w:p w14:paraId="47A019FC" w14:textId="37232F03" w:rsidR="00352837" w:rsidRPr="000A3539" w:rsidRDefault="00AA2177" w:rsidP="00352837">
      <w:pPr>
        <w:pStyle w:val="Citationenretrait"/>
        <w:rPr>
          <w:lang w:val="en-CA"/>
        </w:rPr>
      </w:pPr>
      <w:r w:rsidRPr="000A3539">
        <w:rPr>
          <w:lang w:val="en-CA"/>
        </w:rPr>
        <w:t>Section</w:t>
      </w:r>
      <w:r w:rsidR="00D76132" w:rsidRPr="000A3539">
        <w:rPr>
          <w:lang w:val="en-CA"/>
        </w:rPr>
        <w:t> 87.2 </w:t>
      </w:r>
      <w:r w:rsidRPr="000A3539">
        <w:rPr>
          <w:lang w:val="en-CA"/>
        </w:rPr>
        <w:t xml:space="preserve">A.L.S. establishes that </w:t>
      </w:r>
      <w:r w:rsidR="009116F7" w:rsidRPr="000A3539">
        <w:rPr>
          <w:lang w:val="en-CA"/>
        </w:rPr>
        <w:t xml:space="preserve">a condition of employment based on </w:t>
      </w:r>
      <w:r w:rsidR="009116F7" w:rsidRPr="000A3539">
        <w:rPr>
          <w:rFonts w:cs="Arial"/>
          <w:color w:val="000000"/>
          <w:szCs w:val="22"/>
          <w:lang w:val="en-CA"/>
        </w:rPr>
        <w:t xml:space="preserve">seniority or </w:t>
      </w:r>
      <w:r w:rsidR="009116F7" w:rsidRPr="000A3539">
        <w:rPr>
          <w:rFonts w:cs="Arial"/>
          <w:color w:val="000000"/>
          <w:szCs w:val="22"/>
          <w:u w:val="single"/>
          <w:lang w:val="en-CA"/>
        </w:rPr>
        <w:t>years of service</w:t>
      </w:r>
      <w:r w:rsidR="009116F7" w:rsidRPr="000A3539">
        <w:rPr>
          <w:lang w:val="en-CA"/>
        </w:rPr>
        <w:t xml:space="preserve"> does not contravene the prohibition set out in </w:t>
      </w:r>
      <w:r w:rsidR="00D76132" w:rsidRPr="000A3539">
        <w:rPr>
          <w:lang w:val="en-CA"/>
        </w:rPr>
        <w:t>section</w:t>
      </w:r>
      <w:bookmarkStart w:id="37" w:name="87.1"/>
      <w:r w:rsidR="00D76132" w:rsidRPr="000A3539">
        <w:rPr>
          <w:lang w:val="en-CA"/>
        </w:rPr>
        <w:t> </w:t>
      </w:r>
      <w:r w:rsidR="00D76132" w:rsidRPr="003E6BC4">
        <w:rPr>
          <w:rStyle w:val="Lienhypertexte"/>
          <w:color w:val="auto"/>
          <w:u w:val="none"/>
          <w:lang w:val="en-CA"/>
        </w:rPr>
        <w:t>87.1</w:t>
      </w:r>
      <w:bookmarkEnd w:id="37"/>
      <w:r w:rsidR="00D76132" w:rsidRPr="000A3539">
        <w:rPr>
          <w:lang w:val="en-CA"/>
        </w:rPr>
        <w:t xml:space="preserve"> of</w:t>
      </w:r>
      <w:r w:rsidR="009116F7" w:rsidRPr="000A3539">
        <w:rPr>
          <w:lang w:val="en-CA"/>
        </w:rPr>
        <w:t xml:space="preserve"> </w:t>
      </w:r>
      <w:r w:rsidR="00D76132" w:rsidRPr="000A3539">
        <w:rPr>
          <w:lang w:val="en-CA"/>
        </w:rPr>
        <w:t>the</w:t>
      </w:r>
      <w:r w:rsidR="009116F7" w:rsidRPr="000A3539">
        <w:rPr>
          <w:lang w:val="en-CA"/>
        </w:rPr>
        <w:t xml:space="preserve"> </w:t>
      </w:r>
      <w:r w:rsidR="00D76132" w:rsidRPr="000A3539">
        <w:rPr>
          <w:i/>
          <w:lang w:val="en-CA"/>
        </w:rPr>
        <w:t>Act</w:t>
      </w:r>
      <w:r w:rsidR="00D76132" w:rsidRPr="000A3539">
        <w:rPr>
          <w:lang w:val="en-CA"/>
        </w:rPr>
        <w:t xml:space="preserve">. </w:t>
      </w:r>
      <w:r w:rsidR="00BE6D7C" w:rsidRPr="000A3539">
        <w:rPr>
          <w:lang w:val="en-CA"/>
        </w:rPr>
        <w:t>Strictly speaking, i</w:t>
      </w:r>
      <w:r w:rsidR="009116F7" w:rsidRPr="000A3539">
        <w:rPr>
          <w:lang w:val="en-CA"/>
        </w:rPr>
        <w:t xml:space="preserve">t is not an </w:t>
      </w:r>
      <w:r w:rsidR="00D76132" w:rsidRPr="000A3539">
        <w:rPr>
          <w:lang w:val="en-CA"/>
        </w:rPr>
        <w:t>exception o</w:t>
      </w:r>
      <w:r w:rsidR="00BE6D7C" w:rsidRPr="000A3539">
        <w:rPr>
          <w:lang w:val="en-CA"/>
        </w:rPr>
        <w:t>r a de</w:t>
      </w:r>
      <w:r w:rsidR="00D76132" w:rsidRPr="000A3539">
        <w:rPr>
          <w:lang w:val="en-CA"/>
        </w:rPr>
        <w:t xml:space="preserve">rogation. </w:t>
      </w:r>
      <w:r w:rsidR="00BE6D7C" w:rsidRPr="000A3539">
        <w:rPr>
          <w:lang w:val="en-CA"/>
        </w:rPr>
        <w:t xml:space="preserve">Indeed, the prohibition set out in </w:t>
      </w:r>
      <w:r w:rsidR="00D76132" w:rsidRPr="000A3539">
        <w:rPr>
          <w:lang w:val="en-CA"/>
        </w:rPr>
        <w:t>section</w:t>
      </w:r>
      <w:bookmarkStart w:id="38" w:name="87.1_L.N.T."/>
      <w:r w:rsidR="00D76132" w:rsidRPr="000A3539">
        <w:rPr>
          <w:lang w:val="en-CA"/>
        </w:rPr>
        <w:t> </w:t>
      </w:r>
      <w:r w:rsidR="00D76132" w:rsidRPr="003E6BC4">
        <w:rPr>
          <w:rStyle w:val="Lienhypertexte"/>
          <w:color w:val="auto"/>
          <w:u w:val="none"/>
          <w:lang w:val="en-CA"/>
        </w:rPr>
        <w:t>87.1 </w:t>
      </w:r>
      <w:r w:rsidR="00BE6D7C" w:rsidRPr="003E6BC4">
        <w:rPr>
          <w:rStyle w:val="Lienhypertexte"/>
          <w:color w:val="auto"/>
          <w:u w:val="none"/>
          <w:lang w:val="en-CA"/>
        </w:rPr>
        <w:t>A.</w:t>
      </w:r>
      <w:r w:rsidR="00D76132" w:rsidRPr="003E6BC4">
        <w:rPr>
          <w:rStyle w:val="Lienhypertexte"/>
          <w:color w:val="auto"/>
          <w:u w:val="none"/>
          <w:lang w:val="en-CA"/>
        </w:rPr>
        <w:t>L.</w:t>
      </w:r>
      <w:r w:rsidR="00BE6D7C" w:rsidRPr="003E6BC4">
        <w:rPr>
          <w:rStyle w:val="Lienhypertexte"/>
          <w:color w:val="auto"/>
          <w:u w:val="none"/>
          <w:lang w:val="en-CA"/>
        </w:rPr>
        <w:t>S.</w:t>
      </w:r>
      <w:bookmarkEnd w:id="38"/>
      <w:r w:rsidR="00D76132" w:rsidRPr="000A3539">
        <w:rPr>
          <w:lang w:val="en-CA"/>
        </w:rPr>
        <w:t xml:space="preserve"> </w:t>
      </w:r>
      <w:r w:rsidR="00BE6D7C" w:rsidRPr="000A3539">
        <w:rPr>
          <w:lang w:val="en-CA"/>
        </w:rPr>
        <w:t xml:space="preserve">deals with </w:t>
      </w:r>
      <w:r w:rsidR="00A24C1D">
        <w:rPr>
          <w:lang w:val="en-CA"/>
        </w:rPr>
        <w:t xml:space="preserve">the </w:t>
      </w:r>
      <w:r w:rsidR="00BE6D7C" w:rsidRPr="000A3539">
        <w:rPr>
          <w:lang w:val="en-CA"/>
        </w:rPr>
        <w:t xml:space="preserve">hiring date as the sole basis of a </w:t>
      </w:r>
      <w:r w:rsidR="00D76132" w:rsidRPr="000A3539">
        <w:rPr>
          <w:lang w:val="en-CA"/>
        </w:rPr>
        <w:t xml:space="preserve">distinction. </w:t>
      </w:r>
      <w:r w:rsidR="00BE6D7C" w:rsidRPr="000A3539">
        <w:rPr>
          <w:u w:val="single"/>
          <w:lang w:val="en-CA"/>
        </w:rPr>
        <w:t>C</w:t>
      </w:r>
      <w:r w:rsidR="00D76132" w:rsidRPr="000A3539">
        <w:rPr>
          <w:u w:val="single"/>
          <w:lang w:val="en-CA"/>
        </w:rPr>
        <w:t>onsid</w:t>
      </w:r>
      <w:r w:rsidR="00BE6D7C" w:rsidRPr="000A3539">
        <w:rPr>
          <w:u w:val="single"/>
          <w:lang w:val="en-CA"/>
        </w:rPr>
        <w:t>e</w:t>
      </w:r>
      <w:r w:rsidR="00D76132" w:rsidRPr="000A3539">
        <w:rPr>
          <w:u w:val="single"/>
          <w:lang w:val="en-CA"/>
        </w:rPr>
        <w:t xml:space="preserve">ration </w:t>
      </w:r>
      <w:r w:rsidR="00BE6D7C" w:rsidRPr="000A3539">
        <w:rPr>
          <w:u w:val="single"/>
          <w:lang w:val="en-CA"/>
        </w:rPr>
        <w:t xml:space="preserve">of seniority or years of service, which </w:t>
      </w:r>
      <w:bookmarkStart w:id="39" w:name="87_.2__L.N.T."/>
      <w:r w:rsidR="00D76132" w:rsidRPr="00BA12AF">
        <w:rPr>
          <w:u w:val="single"/>
          <w:lang w:val="en-CA"/>
        </w:rPr>
        <w:t>section </w:t>
      </w:r>
      <w:r w:rsidR="00D76132" w:rsidRPr="000A3539">
        <w:rPr>
          <w:u w:val="single"/>
          <w:lang w:val="en-CA"/>
        </w:rPr>
        <w:t>87.2 </w:t>
      </w:r>
      <w:r w:rsidR="00BE6D7C" w:rsidRPr="000A3539">
        <w:rPr>
          <w:u w:val="single"/>
          <w:lang w:val="en-CA"/>
        </w:rPr>
        <w:t>A.</w:t>
      </w:r>
      <w:r w:rsidR="00D76132" w:rsidRPr="003E6BC4">
        <w:rPr>
          <w:rStyle w:val="Lienhypertexte"/>
          <w:color w:val="auto"/>
          <w:lang w:val="en-CA"/>
        </w:rPr>
        <w:t>L.</w:t>
      </w:r>
      <w:r w:rsidR="00BE6D7C" w:rsidRPr="003E6BC4">
        <w:rPr>
          <w:rStyle w:val="Lienhypertexte"/>
          <w:color w:val="auto"/>
          <w:lang w:val="en-CA"/>
        </w:rPr>
        <w:t>S.</w:t>
      </w:r>
      <w:bookmarkEnd w:id="39"/>
      <w:r w:rsidR="00D76132" w:rsidRPr="000A3539">
        <w:rPr>
          <w:u w:val="single"/>
          <w:lang w:val="en-CA"/>
        </w:rPr>
        <w:t xml:space="preserve"> d</w:t>
      </w:r>
      <w:r w:rsidR="0028026F" w:rsidRPr="000A3539">
        <w:rPr>
          <w:u w:val="single"/>
          <w:lang w:val="en-CA"/>
        </w:rPr>
        <w:t>e</w:t>
      </w:r>
      <w:r w:rsidR="00D76132" w:rsidRPr="000A3539">
        <w:rPr>
          <w:u w:val="single"/>
          <w:lang w:val="en-CA"/>
        </w:rPr>
        <w:t>clare</w:t>
      </w:r>
      <w:r w:rsidR="0028026F" w:rsidRPr="000A3539">
        <w:rPr>
          <w:u w:val="single"/>
          <w:lang w:val="en-CA"/>
        </w:rPr>
        <w:t>s</w:t>
      </w:r>
      <w:r w:rsidR="00D76132" w:rsidRPr="000A3539">
        <w:rPr>
          <w:u w:val="single"/>
          <w:lang w:val="en-CA"/>
        </w:rPr>
        <w:t xml:space="preserve"> l</w:t>
      </w:r>
      <w:r w:rsidR="0028026F" w:rsidRPr="000A3539">
        <w:rPr>
          <w:u w:val="single"/>
          <w:lang w:val="en-CA"/>
        </w:rPr>
        <w:t>e</w:t>
      </w:r>
      <w:r w:rsidR="00D76132" w:rsidRPr="000A3539">
        <w:rPr>
          <w:u w:val="single"/>
          <w:lang w:val="en-CA"/>
        </w:rPr>
        <w:t>gitim</w:t>
      </w:r>
      <w:r w:rsidR="0028026F" w:rsidRPr="000A3539">
        <w:rPr>
          <w:u w:val="single"/>
          <w:lang w:val="en-CA"/>
        </w:rPr>
        <w:t>at</w:t>
      </w:r>
      <w:r w:rsidR="00D76132" w:rsidRPr="000A3539">
        <w:rPr>
          <w:u w:val="single"/>
          <w:lang w:val="en-CA"/>
        </w:rPr>
        <w:t>e, t</w:t>
      </w:r>
      <w:r w:rsidR="0028026F" w:rsidRPr="000A3539">
        <w:rPr>
          <w:u w:val="single"/>
          <w:lang w:val="en-CA"/>
        </w:rPr>
        <w:t>akes into account the time elapsed since the</w:t>
      </w:r>
      <w:r w:rsidR="005D565F" w:rsidRPr="000A3539">
        <w:rPr>
          <w:u w:val="single"/>
          <w:lang w:val="en-CA"/>
        </w:rPr>
        <w:t xml:space="preserve"> hiring date</w:t>
      </w:r>
      <w:r w:rsidR="00D76132" w:rsidRPr="000A3539">
        <w:rPr>
          <w:lang w:val="en-CA"/>
        </w:rPr>
        <w:t xml:space="preserve"> </w:t>
      </w:r>
      <w:r w:rsidR="005D565F" w:rsidRPr="000A3539">
        <w:rPr>
          <w:lang w:val="en-CA"/>
        </w:rPr>
        <w:t xml:space="preserve">rather than exclusively the hiring date </w:t>
      </w:r>
      <w:r w:rsidR="005D565F" w:rsidRPr="000A3539">
        <w:rPr>
          <w:i/>
          <w:lang w:val="en-CA"/>
        </w:rPr>
        <w:t>per se</w:t>
      </w:r>
      <w:r w:rsidR="00D76132" w:rsidRPr="000A3539">
        <w:rPr>
          <w:lang w:val="en-CA"/>
        </w:rPr>
        <w:t>.</w:t>
      </w:r>
      <w:r w:rsidR="00D76132" w:rsidRPr="000A3539">
        <w:rPr>
          <w:rStyle w:val="Appelnotedebasdep"/>
          <w:lang w:val="en-CA"/>
        </w:rPr>
        <w:footnoteReference w:id="125"/>
      </w:r>
    </w:p>
    <w:p w14:paraId="6411A3FF" w14:textId="47F62709" w:rsidR="00352837" w:rsidRPr="000A3539" w:rsidRDefault="000F1A2E" w:rsidP="00352837">
      <w:pPr>
        <w:pStyle w:val="Citationenretrait"/>
        <w:spacing w:before="0"/>
        <w:jc w:val="right"/>
        <w:rPr>
          <w:lang w:val="en-CA"/>
        </w:rPr>
      </w:pPr>
      <w:r w:rsidRPr="000A3539">
        <w:rPr>
          <w:rFonts w:cs="Arial"/>
          <w:lang w:val="en-CA"/>
        </w:rPr>
        <w:t>[Emphasis added]</w:t>
      </w:r>
    </w:p>
    <w:p w14:paraId="13CD6A78" w14:textId="768A1C7C" w:rsidR="00352837" w:rsidRPr="000A3539" w:rsidRDefault="00F83D91" w:rsidP="00352837">
      <w:pPr>
        <w:pStyle w:val="Paragraphe"/>
        <w:rPr>
          <w:lang w:val="en-CA"/>
        </w:rPr>
      </w:pPr>
      <w:r w:rsidRPr="000A3539">
        <w:rPr>
          <w:lang w:val="en-CA"/>
        </w:rPr>
        <w:t xml:space="preserve">The </w:t>
      </w:r>
      <w:r w:rsidR="00D76132" w:rsidRPr="000A3539">
        <w:rPr>
          <w:lang w:val="en-CA"/>
        </w:rPr>
        <w:t>appe</w:t>
      </w:r>
      <w:r w:rsidRPr="000A3539">
        <w:rPr>
          <w:lang w:val="en-CA"/>
        </w:rPr>
        <w:t>l</w:t>
      </w:r>
      <w:r w:rsidR="00D76132" w:rsidRPr="000A3539">
        <w:rPr>
          <w:lang w:val="en-CA"/>
        </w:rPr>
        <w:t>lant</w:t>
      </w:r>
      <w:r w:rsidRPr="000A3539">
        <w:rPr>
          <w:lang w:val="en-CA"/>
        </w:rPr>
        <w:t xml:space="preserve"> submits that the </w:t>
      </w:r>
      <w:r w:rsidR="00D76132" w:rsidRPr="000A3539">
        <w:rPr>
          <w:lang w:val="en-CA"/>
        </w:rPr>
        <w:t>exclusion</w:t>
      </w:r>
      <w:r w:rsidRPr="000A3539">
        <w:rPr>
          <w:lang w:val="en-CA"/>
        </w:rPr>
        <w:t xml:space="preserve"> of students </w:t>
      </w:r>
      <w:r w:rsidR="00370B5D">
        <w:rPr>
          <w:lang w:val="en-CA"/>
        </w:rPr>
        <w:t>under</w:t>
      </w:r>
      <w:r w:rsidR="00370B5D" w:rsidRPr="000A3539">
        <w:rPr>
          <w:lang w:val="en-CA"/>
        </w:rPr>
        <w:t xml:space="preserve"> </w:t>
      </w:r>
      <w:r w:rsidRPr="000A3539">
        <w:rPr>
          <w:lang w:val="en-CA"/>
        </w:rPr>
        <w:t xml:space="preserve">s. 8(2) of the </w:t>
      </w:r>
      <w:r w:rsidR="00D76132" w:rsidRPr="000A3539">
        <w:rPr>
          <w:i/>
          <w:lang w:val="en-CA"/>
        </w:rPr>
        <w:t>Pay</w:t>
      </w:r>
      <w:r w:rsidRPr="000A3539">
        <w:rPr>
          <w:i/>
          <w:lang w:val="en-CA"/>
        </w:rPr>
        <w:t xml:space="preserve"> </w:t>
      </w:r>
      <w:r w:rsidR="00D76132" w:rsidRPr="000A3539">
        <w:rPr>
          <w:i/>
          <w:lang w:val="en-CA"/>
        </w:rPr>
        <w:t>Equity</w:t>
      </w:r>
      <w:r w:rsidRPr="000A3539">
        <w:rPr>
          <w:i/>
          <w:lang w:val="en-CA"/>
        </w:rPr>
        <w:t xml:space="preserve"> </w:t>
      </w:r>
      <w:r w:rsidR="00D76132" w:rsidRPr="000A3539">
        <w:rPr>
          <w:i/>
          <w:lang w:val="en-CA"/>
        </w:rPr>
        <w:t>Act</w:t>
      </w:r>
      <w:r w:rsidR="00D76132" w:rsidRPr="000A3539">
        <w:rPr>
          <w:rStyle w:val="Appelnotedebasdep"/>
          <w:lang w:val="en-CA"/>
        </w:rPr>
        <w:footnoteReference w:id="126"/>
      </w:r>
      <w:r w:rsidR="00D76132" w:rsidRPr="000A3539">
        <w:rPr>
          <w:i/>
          <w:lang w:val="en-CA"/>
        </w:rPr>
        <w:t xml:space="preserve"> </w:t>
      </w:r>
      <w:r w:rsidRPr="000A3539">
        <w:rPr>
          <w:lang w:val="en-CA"/>
        </w:rPr>
        <w:t xml:space="preserve">shows the </w:t>
      </w:r>
      <w:r w:rsidR="00370B5D" w:rsidRPr="000A3539">
        <w:rPr>
          <w:rFonts w:cs="Arial"/>
          <w:lang w:val="en-CA"/>
        </w:rPr>
        <w:t>Quebec legislature</w:t>
      </w:r>
      <w:r w:rsidR="00370B5D">
        <w:rPr>
          <w:rFonts w:cs="Arial"/>
          <w:lang w:val="en-CA"/>
        </w:rPr>
        <w:t>’s</w:t>
      </w:r>
      <w:r w:rsidR="00370B5D" w:rsidRPr="000A3539">
        <w:rPr>
          <w:rFonts w:cs="Arial"/>
          <w:lang w:val="en-CA"/>
        </w:rPr>
        <w:t xml:space="preserve"> </w:t>
      </w:r>
      <w:r w:rsidRPr="000A3539">
        <w:rPr>
          <w:lang w:val="en-CA"/>
        </w:rPr>
        <w:t xml:space="preserve">intention </w:t>
      </w:r>
      <w:r w:rsidRPr="000A3539">
        <w:rPr>
          <w:rFonts w:cs="Arial"/>
          <w:lang w:val="en-CA"/>
        </w:rPr>
        <w:t xml:space="preserve">to recognize that it is not </w:t>
      </w:r>
      <w:r w:rsidR="00D76132" w:rsidRPr="000A3539">
        <w:rPr>
          <w:rFonts w:cs="Arial"/>
          <w:lang w:val="en-CA"/>
        </w:rPr>
        <w:t>discriminator</w:t>
      </w:r>
      <w:r w:rsidR="009B57EF" w:rsidRPr="000A3539">
        <w:rPr>
          <w:rFonts w:cs="Arial"/>
          <w:lang w:val="en-CA"/>
        </w:rPr>
        <w:t>y</w:t>
      </w:r>
      <w:r w:rsidR="00D76132" w:rsidRPr="000A3539">
        <w:rPr>
          <w:rFonts w:cs="Arial"/>
          <w:lang w:val="en-CA"/>
        </w:rPr>
        <w:t xml:space="preserve"> </w:t>
      </w:r>
      <w:r w:rsidR="009B57EF" w:rsidRPr="000A3539">
        <w:rPr>
          <w:rFonts w:cs="Arial"/>
          <w:lang w:val="en-CA"/>
        </w:rPr>
        <w:t>to remunerate students hired during their vacation period at a lower rate</w:t>
      </w:r>
      <w:r w:rsidR="00D76132" w:rsidRPr="000A3539">
        <w:rPr>
          <w:rFonts w:cs="Arial"/>
          <w:lang w:val="en-CA"/>
        </w:rPr>
        <w:t xml:space="preserve">. </w:t>
      </w:r>
      <w:r w:rsidR="009D4B59" w:rsidRPr="000A3539">
        <w:rPr>
          <w:rFonts w:cs="Arial"/>
          <w:lang w:val="en-CA"/>
        </w:rPr>
        <w:t xml:space="preserve">Following this reasoning, it would be necessary to conclude that </w:t>
      </w:r>
      <w:r w:rsidR="00D76132" w:rsidRPr="000A3539">
        <w:rPr>
          <w:rFonts w:cs="Arial"/>
          <w:lang w:val="en-CA"/>
        </w:rPr>
        <w:t xml:space="preserve">discrimination </w:t>
      </w:r>
      <w:r w:rsidR="003D7DC4" w:rsidRPr="000A3539">
        <w:rPr>
          <w:rFonts w:cs="Arial"/>
          <w:lang w:val="en-CA"/>
        </w:rPr>
        <w:t xml:space="preserve">is permitted in the case of all the </w:t>
      </w:r>
      <w:r w:rsidR="00D76132" w:rsidRPr="000A3539">
        <w:rPr>
          <w:rFonts w:cs="Arial"/>
          <w:lang w:val="en-CA"/>
        </w:rPr>
        <w:t xml:space="preserve">exclusions </w:t>
      </w:r>
      <w:r w:rsidR="003D7DC4" w:rsidRPr="000A3539">
        <w:rPr>
          <w:rFonts w:cs="Arial"/>
          <w:lang w:val="en-CA"/>
        </w:rPr>
        <w:t xml:space="preserve">set out in the </w:t>
      </w:r>
      <w:r w:rsidR="003D7DC4" w:rsidRPr="000A3539">
        <w:rPr>
          <w:rFonts w:cs="Arial"/>
          <w:i/>
          <w:lang w:val="en-CA"/>
        </w:rPr>
        <w:t>Act</w:t>
      </w:r>
      <w:r w:rsidR="00D76132" w:rsidRPr="000A3539">
        <w:rPr>
          <w:rFonts w:cs="Arial"/>
          <w:lang w:val="en-CA"/>
        </w:rPr>
        <w:t xml:space="preserve">: </w:t>
      </w:r>
      <w:r w:rsidR="003D7DC4" w:rsidRPr="000A3539">
        <w:rPr>
          <w:rFonts w:cs="Arial"/>
          <w:lang w:val="en-CA"/>
        </w:rPr>
        <w:t>students</w:t>
      </w:r>
      <w:r w:rsidR="00D76132" w:rsidRPr="000A3539">
        <w:rPr>
          <w:rFonts w:cs="Arial"/>
          <w:lang w:val="en-CA"/>
        </w:rPr>
        <w:t xml:space="preserve">, </w:t>
      </w:r>
      <w:r w:rsidR="003D7DC4" w:rsidRPr="000A3539">
        <w:rPr>
          <w:rFonts w:cs="Arial"/>
          <w:lang w:val="en-CA"/>
        </w:rPr>
        <w:t>trainees</w:t>
      </w:r>
      <w:r w:rsidR="00D76132" w:rsidRPr="000A3539">
        <w:rPr>
          <w:rFonts w:cs="Arial"/>
          <w:lang w:val="en-CA"/>
        </w:rPr>
        <w:t xml:space="preserve">, </w:t>
      </w:r>
      <w:r w:rsidR="003D7DC4" w:rsidRPr="000A3539">
        <w:rPr>
          <w:rFonts w:cs="Arial"/>
          <w:lang w:val="en-CA"/>
        </w:rPr>
        <w:t>senior management officers</w:t>
      </w:r>
      <w:r w:rsidR="00D76132" w:rsidRPr="000A3539">
        <w:rPr>
          <w:rFonts w:cs="Arial"/>
          <w:lang w:val="en-CA"/>
        </w:rPr>
        <w:t xml:space="preserve">, </w:t>
      </w:r>
      <w:r w:rsidR="003D7DC4" w:rsidRPr="000A3539">
        <w:rPr>
          <w:rFonts w:cs="Arial"/>
          <w:lang w:val="en-CA"/>
        </w:rPr>
        <w:t xml:space="preserve">police officers, fire fighters, </w:t>
      </w:r>
      <w:r w:rsidR="00D76132" w:rsidRPr="000A3539">
        <w:rPr>
          <w:rFonts w:cs="Arial"/>
          <w:lang w:val="en-CA"/>
        </w:rPr>
        <w:t>independent</w:t>
      </w:r>
      <w:r w:rsidR="003D7DC4" w:rsidRPr="000A3539">
        <w:rPr>
          <w:rFonts w:cs="Arial"/>
          <w:lang w:val="en-CA"/>
        </w:rPr>
        <w:t xml:space="preserve"> </w:t>
      </w:r>
      <w:r w:rsidR="00D76132" w:rsidRPr="000A3539">
        <w:rPr>
          <w:rFonts w:cs="Arial"/>
          <w:lang w:val="en-CA"/>
        </w:rPr>
        <w:t>operator</w:t>
      </w:r>
      <w:r w:rsidR="003D7DC4" w:rsidRPr="000A3539">
        <w:rPr>
          <w:rFonts w:cs="Arial"/>
          <w:lang w:val="en-CA"/>
        </w:rPr>
        <w:t>s</w:t>
      </w:r>
      <w:r w:rsidR="00D76132" w:rsidRPr="000A3539">
        <w:rPr>
          <w:rFonts w:cs="Arial"/>
          <w:lang w:val="en-CA"/>
        </w:rPr>
        <w:t xml:space="preserve">, etc. </w:t>
      </w:r>
      <w:r w:rsidR="000F1A2E" w:rsidRPr="000A3539">
        <w:rPr>
          <w:rFonts w:cs="Arial"/>
          <w:lang w:val="en-CA"/>
        </w:rPr>
        <w:t>This reasoning must be rejected.</w:t>
      </w:r>
      <w:r w:rsidR="00D76132" w:rsidRPr="000A3539">
        <w:rPr>
          <w:rFonts w:cs="Arial"/>
          <w:lang w:val="en-CA"/>
        </w:rPr>
        <w:t xml:space="preserve"> </w:t>
      </w:r>
      <w:r w:rsidR="00A11116" w:rsidRPr="000A3539">
        <w:rPr>
          <w:rFonts w:cs="Arial"/>
          <w:lang w:val="en-CA"/>
        </w:rPr>
        <w:t xml:space="preserve">The purpose of the </w:t>
      </w:r>
      <w:r w:rsidR="00A11116" w:rsidRPr="000A3539">
        <w:rPr>
          <w:rFonts w:cs="Arial"/>
          <w:i/>
          <w:lang w:val="en-CA"/>
        </w:rPr>
        <w:t xml:space="preserve">Act </w:t>
      </w:r>
      <w:r w:rsidR="00A11116" w:rsidRPr="000A3539">
        <w:rPr>
          <w:rFonts w:cs="Arial"/>
          <w:lang w:val="en-CA"/>
        </w:rPr>
        <w:t xml:space="preserve">is to </w:t>
      </w:r>
      <w:r w:rsidR="00C66466" w:rsidRPr="000A3539">
        <w:rPr>
          <w:rFonts w:cs="Arial"/>
          <w:lang w:val="en-CA"/>
        </w:rPr>
        <w:t>“redress differences in compensation due to the systemic gender discrimination suffered by persons who occupy positions in predominantly female job classes”.</w:t>
      </w:r>
      <w:r w:rsidR="00D76132" w:rsidRPr="000A3539">
        <w:rPr>
          <w:rStyle w:val="Appelnotedebasdep"/>
          <w:rFonts w:cs="Arial"/>
          <w:lang w:val="en-CA"/>
        </w:rPr>
        <w:footnoteReference w:id="127"/>
      </w:r>
      <w:r w:rsidR="00C66466" w:rsidRPr="000A3539">
        <w:rPr>
          <w:rFonts w:cs="Arial"/>
          <w:lang w:val="en-CA"/>
        </w:rPr>
        <w:t xml:space="preserve"> The </w:t>
      </w:r>
      <w:r w:rsidR="00D76132" w:rsidRPr="000A3539">
        <w:rPr>
          <w:rFonts w:cs="Arial"/>
          <w:lang w:val="en-CA"/>
        </w:rPr>
        <w:t>legislature</w:t>
      </w:r>
      <w:r w:rsidR="00C66466" w:rsidRPr="000A3539">
        <w:rPr>
          <w:rFonts w:cs="Arial"/>
          <w:lang w:val="en-CA"/>
        </w:rPr>
        <w:t xml:space="preserve"> clearly decided not to subject certain </w:t>
      </w:r>
      <w:r w:rsidR="00D76132" w:rsidRPr="000A3539">
        <w:rPr>
          <w:rFonts w:cs="Arial"/>
          <w:lang w:val="en-CA"/>
        </w:rPr>
        <w:t>cat</w:t>
      </w:r>
      <w:r w:rsidR="00C66466" w:rsidRPr="000A3539">
        <w:rPr>
          <w:rFonts w:cs="Arial"/>
          <w:lang w:val="en-CA"/>
        </w:rPr>
        <w:t>e</w:t>
      </w:r>
      <w:r w:rsidR="00D76132" w:rsidRPr="000A3539">
        <w:rPr>
          <w:rFonts w:cs="Arial"/>
          <w:lang w:val="en-CA"/>
        </w:rPr>
        <w:t xml:space="preserve">gories </w:t>
      </w:r>
      <w:r w:rsidR="00C66466" w:rsidRPr="000A3539">
        <w:rPr>
          <w:rFonts w:cs="Arial"/>
          <w:lang w:val="en-CA"/>
        </w:rPr>
        <w:t xml:space="preserve">of employees to the </w:t>
      </w:r>
      <w:r w:rsidR="00D76132" w:rsidRPr="000A3539">
        <w:rPr>
          <w:rFonts w:cs="Arial"/>
          <w:lang w:val="en-CA"/>
        </w:rPr>
        <w:t>m</w:t>
      </w:r>
      <w:r w:rsidR="00C66466" w:rsidRPr="000A3539">
        <w:rPr>
          <w:rFonts w:cs="Arial"/>
          <w:lang w:val="en-CA"/>
        </w:rPr>
        <w:t>ech</w:t>
      </w:r>
      <w:r w:rsidR="00D76132" w:rsidRPr="000A3539">
        <w:rPr>
          <w:rFonts w:cs="Arial"/>
          <w:lang w:val="en-CA"/>
        </w:rPr>
        <w:t>anisms</w:t>
      </w:r>
      <w:r w:rsidR="00C66466" w:rsidRPr="000A3539">
        <w:rPr>
          <w:rFonts w:cs="Arial"/>
          <w:lang w:val="en-CA"/>
        </w:rPr>
        <w:t xml:space="preserve"> set out in the </w:t>
      </w:r>
      <w:r w:rsidR="00C66466" w:rsidRPr="000A3539">
        <w:rPr>
          <w:rFonts w:cs="Arial"/>
          <w:i/>
          <w:lang w:val="en-CA"/>
        </w:rPr>
        <w:t xml:space="preserve">Act </w:t>
      </w:r>
      <w:r w:rsidR="00C66466" w:rsidRPr="000A3539">
        <w:rPr>
          <w:rFonts w:cs="Arial"/>
          <w:lang w:val="en-CA"/>
        </w:rPr>
        <w:t xml:space="preserve">to redress differences in compensation based on gender discrimination and </w:t>
      </w:r>
      <w:r w:rsidR="00D76132" w:rsidRPr="000A3539">
        <w:rPr>
          <w:rFonts w:cs="Arial"/>
          <w:lang w:val="en-CA"/>
        </w:rPr>
        <w:t>restore</w:t>
      </w:r>
      <w:r w:rsidR="00C66466" w:rsidRPr="000A3539">
        <w:rPr>
          <w:rFonts w:cs="Arial"/>
          <w:lang w:val="en-CA"/>
        </w:rPr>
        <w:t xml:space="preserve"> pay </w:t>
      </w:r>
      <w:r w:rsidR="00D76132" w:rsidRPr="000A3539">
        <w:rPr>
          <w:rFonts w:cs="Arial"/>
          <w:lang w:val="en-CA"/>
        </w:rPr>
        <w:t>equity,</w:t>
      </w:r>
      <w:r w:rsidR="00C66466" w:rsidRPr="000A3539">
        <w:rPr>
          <w:rFonts w:cs="Arial"/>
          <w:lang w:val="en-CA"/>
        </w:rPr>
        <w:t xml:space="preserve"> but that does not mean that it authorize</w:t>
      </w:r>
      <w:r w:rsidR="00E725E1" w:rsidRPr="000A3539">
        <w:rPr>
          <w:rFonts w:cs="Arial"/>
          <w:lang w:val="en-CA"/>
        </w:rPr>
        <w:t>d</w:t>
      </w:r>
      <w:r w:rsidR="00C66466" w:rsidRPr="000A3539">
        <w:rPr>
          <w:rFonts w:cs="Arial"/>
          <w:lang w:val="en-CA"/>
        </w:rPr>
        <w:t xml:space="preserve"> an </w:t>
      </w:r>
      <w:r w:rsidR="00D76132" w:rsidRPr="000A3539">
        <w:rPr>
          <w:rFonts w:cs="Arial"/>
          <w:lang w:val="en-CA"/>
        </w:rPr>
        <w:t xml:space="preserve">employer </w:t>
      </w:r>
      <w:r w:rsidR="00E725E1" w:rsidRPr="000A3539">
        <w:rPr>
          <w:rFonts w:cs="Arial"/>
          <w:lang w:val="en-CA"/>
        </w:rPr>
        <w:t>to impair these persons’ right to obtain equal wages for e</w:t>
      </w:r>
      <w:r w:rsidR="00D76132" w:rsidRPr="000A3539">
        <w:rPr>
          <w:rFonts w:cs="Arial"/>
          <w:lang w:val="en-CA"/>
        </w:rPr>
        <w:t xml:space="preserve">quivalent </w:t>
      </w:r>
      <w:r w:rsidR="00E725E1" w:rsidRPr="000A3539">
        <w:rPr>
          <w:rFonts w:cs="Arial"/>
          <w:lang w:val="en-CA"/>
        </w:rPr>
        <w:t xml:space="preserve">work or that it intended to deprive them of the assistance of </w:t>
      </w:r>
      <w:r w:rsidR="00D76132" w:rsidRPr="000A3539">
        <w:rPr>
          <w:rFonts w:cs="Arial"/>
          <w:lang w:val="en-CA"/>
        </w:rPr>
        <w:t>public</w:t>
      </w:r>
      <w:r w:rsidR="00E725E1" w:rsidRPr="000A3539">
        <w:rPr>
          <w:rFonts w:cs="Arial"/>
          <w:lang w:val="en-CA"/>
        </w:rPr>
        <w:t xml:space="preserve"> </w:t>
      </w:r>
      <w:r w:rsidR="00D76132" w:rsidRPr="000A3539">
        <w:rPr>
          <w:rFonts w:cs="Arial"/>
          <w:lang w:val="en-CA"/>
        </w:rPr>
        <w:t>order</w:t>
      </w:r>
      <w:r w:rsidR="005C00CC">
        <w:rPr>
          <w:rFonts w:cs="Arial"/>
          <w:lang w:val="en-CA"/>
        </w:rPr>
        <w:t xml:space="preserve"> legislation</w:t>
      </w:r>
      <w:r w:rsidR="00D76132" w:rsidRPr="000A3539">
        <w:rPr>
          <w:rFonts w:cs="Arial"/>
          <w:lang w:val="en-CA"/>
        </w:rPr>
        <w:t xml:space="preserve">. </w:t>
      </w:r>
    </w:p>
    <w:p w14:paraId="4A7A4899" w14:textId="0CC87228" w:rsidR="00352837" w:rsidRPr="000A3539" w:rsidRDefault="00E725E1" w:rsidP="00352837">
      <w:pPr>
        <w:pStyle w:val="Paragraphe"/>
        <w:rPr>
          <w:lang w:val="en-CA"/>
        </w:rPr>
      </w:pPr>
      <w:r w:rsidRPr="000A3539">
        <w:rPr>
          <w:lang w:val="en-CA"/>
        </w:rPr>
        <w:t xml:space="preserve">The </w:t>
      </w:r>
      <w:r w:rsidR="00D76132" w:rsidRPr="000A3539">
        <w:rPr>
          <w:lang w:val="en-CA"/>
        </w:rPr>
        <w:t>appel</w:t>
      </w:r>
      <w:r w:rsidRPr="000A3539">
        <w:rPr>
          <w:lang w:val="en-CA"/>
        </w:rPr>
        <w:t>l</w:t>
      </w:r>
      <w:r w:rsidR="00D76132" w:rsidRPr="000A3539">
        <w:rPr>
          <w:lang w:val="en-CA"/>
        </w:rPr>
        <w:t>ant</w:t>
      </w:r>
      <w:r w:rsidRPr="000A3539">
        <w:rPr>
          <w:lang w:val="en-CA"/>
        </w:rPr>
        <w:t xml:space="preserve"> did not establish that the </w:t>
      </w:r>
      <w:r w:rsidR="00D76132" w:rsidRPr="000A3539">
        <w:rPr>
          <w:lang w:val="en-CA"/>
        </w:rPr>
        <w:t>Tribunal</w:t>
      </w:r>
      <w:r w:rsidRPr="000A3539">
        <w:rPr>
          <w:lang w:val="en-CA"/>
        </w:rPr>
        <w:t xml:space="preserve"> made a </w:t>
      </w:r>
      <w:r w:rsidR="00D76132" w:rsidRPr="000A3539">
        <w:rPr>
          <w:lang w:val="en-CA"/>
        </w:rPr>
        <w:t>palpable</w:t>
      </w:r>
      <w:r w:rsidRPr="000A3539">
        <w:rPr>
          <w:lang w:val="en-CA"/>
        </w:rPr>
        <w:t xml:space="preserve"> </w:t>
      </w:r>
      <w:r w:rsidR="00D76132" w:rsidRPr="000A3539">
        <w:rPr>
          <w:lang w:val="en-CA"/>
        </w:rPr>
        <w:t>and</w:t>
      </w:r>
      <w:r w:rsidRPr="000A3539">
        <w:rPr>
          <w:lang w:val="en-CA"/>
        </w:rPr>
        <w:t xml:space="preserve"> </w:t>
      </w:r>
      <w:r w:rsidR="00D76132" w:rsidRPr="000A3539">
        <w:rPr>
          <w:lang w:val="en-CA"/>
        </w:rPr>
        <w:t>overriding</w:t>
      </w:r>
      <w:r w:rsidRPr="000A3539">
        <w:rPr>
          <w:lang w:val="en-CA"/>
        </w:rPr>
        <w:t xml:space="preserve"> </w:t>
      </w:r>
      <w:r w:rsidR="00D76132" w:rsidRPr="000A3539">
        <w:rPr>
          <w:lang w:val="en-CA"/>
        </w:rPr>
        <w:t>error</w:t>
      </w:r>
      <w:r w:rsidRPr="000A3539">
        <w:rPr>
          <w:lang w:val="en-CA"/>
        </w:rPr>
        <w:t xml:space="preserve"> in deciding that the </w:t>
      </w:r>
      <w:r w:rsidR="00D76132" w:rsidRPr="000A3539">
        <w:rPr>
          <w:lang w:val="en-CA"/>
        </w:rPr>
        <w:t>evidence</w:t>
      </w:r>
      <w:r w:rsidRPr="000A3539">
        <w:rPr>
          <w:lang w:val="en-CA"/>
        </w:rPr>
        <w:t xml:space="preserve"> did not support the finding that the </w:t>
      </w:r>
      <w:r w:rsidR="00D76132" w:rsidRPr="000A3539">
        <w:rPr>
          <w:lang w:val="en-CA"/>
        </w:rPr>
        <w:t>differential</w:t>
      </w:r>
      <w:r w:rsidRPr="000A3539">
        <w:rPr>
          <w:lang w:val="en-CA"/>
        </w:rPr>
        <w:t xml:space="preserve"> </w:t>
      </w:r>
      <w:r w:rsidR="00D76132" w:rsidRPr="000A3539">
        <w:rPr>
          <w:lang w:val="en-CA"/>
        </w:rPr>
        <w:t>treatment</w:t>
      </w:r>
      <w:r w:rsidRPr="000A3539">
        <w:rPr>
          <w:lang w:val="en-CA"/>
        </w:rPr>
        <w:t xml:space="preserve"> was based on students’ years of service</w:t>
      </w:r>
      <w:r w:rsidR="00D76132" w:rsidRPr="000A3539">
        <w:rPr>
          <w:lang w:val="en-CA"/>
        </w:rPr>
        <w:t xml:space="preserve">. </w:t>
      </w:r>
    </w:p>
    <w:p w14:paraId="503FE89A" w14:textId="2291F749" w:rsidR="00352837" w:rsidRPr="000A3539" w:rsidRDefault="000F1A2E" w:rsidP="00352837">
      <w:pPr>
        <w:pStyle w:val="Paragraphe"/>
        <w:rPr>
          <w:lang w:val="en-CA" w:eastAsia="fr-CA"/>
        </w:rPr>
      </w:pPr>
      <w:r w:rsidRPr="000A3539">
        <w:rPr>
          <w:lang w:val="en-CA" w:eastAsia="fr-CA"/>
        </w:rPr>
        <w:t>This ground of appeal must be rejected.</w:t>
      </w:r>
    </w:p>
    <w:p w14:paraId="3ECB3FAD" w14:textId="77777777" w:rsidR="00352837" w:rsidRPr="000A3539" w:rsidRDefault="00D76132" w:rsidP="00352837">
      <w:pPr>
        <w:pStyle w:val="Paragraphe"/>
        <w:numPr>
          <w:ilvl w:val="0"/>
          <w:numId w:val="0"/>
        </w:numPr>
        <w:jc w:val="center"/>
        <w:rPr>
          <w:b/>
          <w:lang w:val="en-CA" w:eastAsia="fr-CA"/>
        </w:rPr>
      </w:pPr>
      <w:r w:rsidRPr="000A3539">
        <w:rPr>
          <w:b/>
          <w:lang w:val="en-CA" w:eastAsia="fr-CA"/>
        </w:rPr>
        <w:t>*****</w:t>
      </w:r>
    </w:p>
    <w:p w14:paraId="1656A0A0" w14:textId="6D17B1BE" w:rsidR="00352837" w:rsidRPr="000A3539" w:rsidRDefault="00E51E56" w:rsidP="00352837">
      <w:pPr>
        <w:pStyle w:val="Paragraphe"/>
        <w:rPr>
          <w:lang w:val="en-CA" w:eastAsia="fr-CA"/>
        </w:rPr>
      </w:pPr>
      <w:r w:rsidRPr="000A3539">
        <w:rPr>
          <w:lang w:val="en-CA" w:eastAsia="fr-CA"/>
        </w:rPr>
        <w:t xml:space="preserve">In </w:t>
      </w:r>
      <w:r w:rsidR="00D76132" w:rsidRPr="000A3539">
        <w:rPr>
          <w:lang w:val="en-CA" w:eastAsia="fr-CA"/>
        </w:rPr>
        <w:t>conclusion,</w:t>
      </w:r>
      <w:r w:rsidR="00C60021" w:rsidRPr="000A3539">
        <w:rPr>
          <w:lang w:val="en-CA" w:eastAsia="fr-CA"/>
        </w:rPr>
        <w:t xml:space="preserve"> on the issues of the </w:t>
      </w:r>
      <w:r w:rsidR="00D76132" w:rsidRPr="000A3539">
        <w:rPr>
          <w:lang w:val="en-CA" w:eastAsia="fr-CA"/>
        </w:rPr>
        <w:t xml:space="preserve">existence </w:t>
      </w:r>
      <w:r w:rsidR="00C60021" w:rsidRPr="000A3539">
        <w:rPr>
          <w:lang w:val="en-CA" w:eastAsia="fr-CA"/>
        </w:rPr>
        <w:t xml:space="preserve">of a </w:t>
      </w:r>
      <w:r w:rsidR="00D76132" w:rsidRPr="000A3539">
        <w:rPr>
          <w:lang w:val="en-CA" w:eastAsia="fr-CA"/>
        </w:rPr>
        <w:t xml:space="preserve">distinction </w:t>
      </w:r>
      <w:r w:rsidR="00C60021" w:rsidRPr="000A3539">
        <w:rPr>
          <w:lang w:val="en-CA" w:eastAsia="fr-CA"/>
        </w:rPr>
        <w:t xml:space="preserve">and the </w:t>
      </w:r>
      <w:r w:rsidR="00D76132" w:rsidRPr="000A3539">
        <w:rPr>
          <w:lang w:val="en-CA" w:eastAsia="fr-CA"/>
        </w:rPr>
        <w:t>justification</w:t>
      </w:r>
      <w:r w:rsidR="00C60021" w:rsidRPr="000A3539">
        <w:rPr>
          <w:lang w:val="en-CA" w:eastAsia="fr-CA"/>
        </w:rPr>
        <w:t xml:space="preserve"> for the </w:t>
      </w:r>
      <w:r w:rsidR="00D76132" w:rsidRPr="000A3539">
        <w:rPr>
          <w:lang w:val="en-CA" w:eastAsia="fr-CA"/>
        </w:rPr>
        <w:t xml:space="preserve">distinction, </w:t>
      </w:r>
      <w:r w:rsidR="00C60021" w:rsidRPr="000A3539">
        <w:rPr>
          <w:lang w:val="en-CA" w:eastAsia="fr-CA"/>
        </w:rPr>
        <w:t xml:space="preserve">the Tribunal’s </w:t>
      </w:r>
      <w:r w:rsidR="00D76132" w:rsidRPr="000A3539">
        <w:rPr>
          <w:lang w:val="en-CA" w:eastAsia="fr-CA"/>
        </w:rPr>
        <w:t>analys</w:t>
      </w:r>
      <w:r w:rsidR="00C60021" w:rsidRPr="000A3539">
        <w:rPr>
          <w:lang w:val="en-CA" w:eastAsia="fr-CA"/>
        </w:rPr>
        <w:t xml:space="preserve">is of the evidence is just as thorough as it is </w:t>
      </w:r>
      <w:r w:rsidR="00C60021" w:rsidRPr="000A3539">
        <w:rPr>
          <w:lang w:val="en-CA" w:eastAsia="fr-CA"/>
        </w:rPr>
        <w:lastRenderedPageBreak/>
        <w:t>irrefutable</w:t>
      </w:r>
      <w:r w:rsidR="00D76132" w:rsidRPr="000A3539">
        <w:rPr>
          <w:lang w:val="en-CA" w:eastAsia="fr-CA"/>
        </w:rPr>
        <w:t xml:space="preserve">. </w:t>
      </w:r>
      <w:r w:rsidR="007A7D67" w:rsidRPr="000A3539">
        <w:rPr>
          <w:lang w:val="en-CA" w:eastAsia="fr-CA"/>
        </w:rPr>
        <w:t>It meticulously s</w:t>
      </w:r>
      <w:r w:rsidR="00D76132" w:rsidRPr="000A3539">
        <w:rPr>
          <w:lang w:val="en-CA" w:eastAsia="fr-CA"/>
        </w:rPr>
        <w:t>crut</w:t>
      </w:r>
      <w:r w:rsidR="007A7D67" w:rsidRPr="000A3539">
        <w:rPr>
          <w:lang w:val="en-CA" w:eastAsia="fr-CA"/>
        </w:rPr>
        <w:t xml:space="preserve">inized all the facts and established a very strong factual basis </w:t>
      </w:r>
      <w:r w:rsidR="00FB7566" w:rsidRPr="000A3539">
        <w:rPr>
          <w:lang w:val="en-CA" w:eastAsia="fr-CA"/>
        </w:rPr>
        <w:t xml:space="preserve">for its finding of a distinction, and, moreover, a </w:t>
      </w:r>
      <w:r w:rsidR="00D76132" w:rsidRPr="000A3539">
        <w:rPr>
          <w:lang w:val="en-CA" w:eastAsia="fr-CA"/>
        </w:rPr>
        <w:t xml:space="preserve">distinction </w:t>
      </w:r>
      <w:r w:rsidR="00FB7566" w:rsidRPr="000A3539">
        <w:rPr>
          <w:lang w:val="en-CA" w:eastAsia="fr-CA"/>
        </w:rPr>
        <w:t xml:space="preserve">that is not justified by actual </w:t>
      </w:r>
      <w:r w:rsidR="00D76132" w:rsidRPr="000A3539">
        <w:rPr>
          <w:lang w:val="en-CA" w:eastAsia="fr-CA"/>
        </w:rPr>
        <w:t>diff</w:t>
      </w:r>
      <w:r w:rsidR="00F24BDE" w:rsidRPr="000A3539">
        <w:rPr>
          <w:lang w:val="en-CA" w:eastAsia="fr-CA"/>
        </w:rPr>
        <w:t>e</w:t>
      </w:r>
      <w:r w:rsidR="00D76132" w:rsidRPr="000A3539">
        <w:rPr>
          <w:lang w:val="en-CA" w:eastAsia="fr-CA"/>
        </w:rPr>
        <w:t xml:space="preserve">rences </w:t>
      </w:r>
      <w:r w:rsidR="00F24BDE" w:rsidRPr="000A3539">
        <w:rPr>
          <w:lang w:val="en-CA" w:eastAsia="fr-CA"/>
        </w:rPr>
        <w:t xml:space="preserve">between the tasks performed by regular and casual employees and those performed by students, </w:t>
      </w:r>
      <w:r w:rsidR="00051FEB">
        <w:rPr>
          <w:lang w:val="en-CA" w:eastAsia="fr-CA"/>
        </w:rPr>
        <w:t>n</w:t>
      </w:r>
      <w:r w:rsidR="00F24BDE" w:rsidRPr="000A3539">
        <w:rPr>
          <w:lang w:val="en-CA" w:eastAsia="fr-CA"/>
        </w:rPr>
        <w:t xml:space="preserve">or by other </w:t>
      </w:r>
      <w:r w:rsidR="00D76132" w:rsidRPr="000A3539">
        <w:rPr>
          <w:lang w:val="en-CA" w:eastAsia="fr-CA"/>
        </w:rPr>
        <w:t>consid</w:t>
      </w:r>
      <w:r w:rsidR="00F24BDE" w:rsidRPr="000A3539">
        <w:rPr>
          <w:lang w:val="en-CA" w:eastAsia="fr-CA"/>
        </w:rPr>
        <w:t>e</w:t>
      </w:r>
      <w:r w:rsidR="00D76132" w:rsidRPr="000A3539">
        <w:rPr>
          <w:lang w:val="en-CA" w:eastAsia="fr-CA"/>
        </w:rPr>
        <w:t xml:space="preserve">rations </w:t>
      </w:r>
      <w:r w:rsidR="00F24BDE" w:rsidRPr="000A3539">
        <w:rPr>
          <w:lang w:val="en-CA" w:eastAsia="fr-CA"/>
        </w:rPr>
        <w:t xml:space="preserve">related to their </w:t>
      </w:r>
      <w:r w:rsidR="00D76132" w:rsidRPr="000A3539">
        <w:rPr>
          <w:lang w:val="en-CA" w:eastAsia="fr-CA"/>
        </w:rPr>
        <w:t>productivit</w:t>
      </w:r>
      <w:r w:rsidR="00F24BDE" w:rsidRPr="000A3539">
        <w:rPr>
          <w:lang w:val="en-CA" w:eastAsia="fr-CA"/>
        </w:rPr>
        <w:t xml:space="preserve">y or </w:t>
      </w:r>
      <w:r w:rsidR="009A0D86">
        <w:rPr>
          <w:lang w:val="en-CA" w:eastAsia="fr-CA"/>
        </w:rPr>
        <w:t xml:space="preserve">to </w:t>
      </w:r>
      <w:r w:rsidR="00F24BDE" w:rsidRPr="000A3539">
        <w:rPr>
          <w:lang w:val="en-CA" w:eastAsia="fr-CA"/>
        </w:rPr>
        <w:t xml:space="preserve">one of the </w:t>
      </w:r>
      <w:r w:rsidR="00D76132" w:rsidRPr="000A3539">
        <w:rPr>
          <w:lang w:val="en-CA" w:eastAsia="fr-CA"/>
        </w:rPr>
        <w:t>grounds</w:t>
      </w:r>
      <w:r w:rsidR="00F24BDE" w:rsidRPr="000A3539">
        <w:rPr>
          <w:lang w:val="en-CA" w:eastAsia="fr-CA"/>
        </w:rPr>
        <w:t xml:space="preserve"> set out in the second paragraph of </w:t>
      </w:r>
      <w:r w:rsidR="00D76132" w:rsidRPr="000A3539">
        <w:rPr>
          <w:lang w:val="en-CA" w:eastAsia="fr-CA"/>
        </w:rPr>
        <w:t xml:space="preserve">section 19 </w:t>
      </w:r>
      <w:r w:rsidR="00F24BDE" w:rsidRPr="000A3539">
        <w:rPr>
          <w:lang w:val="en-CA" w:eastAsia="fr-CA"/>
        </w:rPr>
        <w:t xml:space="preserve">of the </w:t>
      </w:r>
      <w:r w:rsidR="00DC430C" w:rsidRPr="00DC430C">
        <w:rPr>
          <w:i/>
          <w:lang w:val="en-CA" w:eastAsia="fr-CA"/>
        </w:rPr>
        <w:t>Quebec Charter</w:t>
      </w:r>
      <w:r w:rsidR="00D76132" w:rsidRPr="000A3539">
        <w:rPr>
          <w:lang w:val="en-CA" w:eastAsia="fr-CA"/>
        </w:rPr>
        <w:t xml:space="preserve">. </w:t>
      </w:r>
      <w:r w:rsidR="000F1A2E" w:rsidRPr="000A3539">
        <w:rPr>
          <w:lang w:val="en-CA" w:eastAsia="fr-CA"/>
        </w:rPr>
        <w:t xml:space="preserve">These highly </w:t>
      </w:r>
      <w:r w:rsidR="00D76132" w:rsidRPr="000A3539">
        <w:rPr>
          <w:lang w:val="en-CA" w:eastAsia="fr-CA"/>
        </w:rPr>
        <w:t>factu</w:t>
      </w:r>
      <w:r w:rsidR="000F1A2E" w:rsidRPr="000A3539">
        <w:rPr>
          <w:lang w:val="en-CA" w:eastAsia="fr-CA"/>
        </w:rPr>
        <w:t>a</w:t>
      </w:r>
      <w:r w:rsidR="00D76132" w:rsidRPr="000A3539">
        <w:rPr>
          <w:lang w:val="en-CA" w:eastAsia="fr-CA"/>
        </w:rPr>
        <w:t xml:space="preserve">l </w:t>
      </w:r>
      <w:r w:rsidR="000F1A2E" w:rsidRPr="000A3539">
        <w:rPr>
          <w:lang w:val="en-CA" w:eastAsia="fr-CA"/>
        </w:rPr>
        <w:t xml:space="preserve">conclusions cannot be </w:t>
      </w:r>
      <w:r w:rsidR="00BC6E2C">
        <w:rPr>
          <w:lang w:val="en-CA" w:eastAsia="fr-CA"/>
        </w:rPr>
        <w:t xml:space="preserve">called into </w:t>
      </w:r>
      <w:r w:rsidR="000F1A2E" w:rsidRPr="000A3539">
        <w:rPr>
          <w:lang w:val="en-CA" w:eastAsia="fr-CA"/>
        </w:rPr>
        <w:t>q</w:t>
      </w:r>
      <w:r w:rsidR="00D76132" w:rsidRPr="000A3539">
        <w:rPr>
          <w:lang w:val="en-CA" w:eastAsia="fr-CA"/>
        </w:rPr>
        <w:t>uestion</w:t>
      </w:r>
      <w:r w:rsidR="000F1A2E" w:rsidRPr="000A3539">
        <w:rPr>
          <w:lang w:val="en-CA" w:eastAsia="fr-CA"/>
        </w:rPr>
        <w:t xml:space="preserve"> in the absence of any </w:t>
      </w:r>
      <w:r w:rsidR="00D76132" w:rsidRPr="000A3539">
        <w:rPr>
          <w:lang w:val="en-CA" w:eastAsia="fr-CA"/>
        </w:rPr>
        <w:t>palpable</w:t>
      </w:r>
      <w:r w:rsidR="000F1A2E" w:rsidRPr="000A3539">
        <w:rPr>
          <w:lang w:val="en-CA" w:eastAsia="fr-CA"/>
        </w:rPr>
        <w:t xml:space="preserve"> </w:t>
      </w:r>
      <w:r w:rsidR="00D76132" w:rsidRPr="000A3539">
        <w:rPr>
          <w:lang w:val="en-CA" w:eastAsia="fr-CA"/>
        </w:rPr>
        <w:t>and</w:t>
      </w:r>
      <w:r w:rsidR="000F1A2E" w:rsidRPr="000A3539">
        <w:rPr>
          <w:lang w:val="en-CA" w:eastAsia="fr-CA"/>
        </w:rPr>
        <w:t xml:space="preserve"> </w:t>
      </w:r>
      <w:r w:rsidR="00D76132" w:rsidRPr="000A3539">
        <w:rPr>
          <w:lang w:val="en-CA" w:eastAsia="fr-CA"/>
        </w:rPr>
        <w:t>overriding</w:t>
      </w:r>
      <w:r w:rsidR="000F1A2E" w:rsidRPr="000A3539">
        <w:rPr>
          <w:lang w:val="en-CA" w:eastAsia="fr-CA"/>
        </w:rPr>
        <w:t xml:space="preserve"> </w:t>
      </w:r>
      <w:r w:rsidR="00D76132" w:rsidRPr="000A3539">
        <w:rPr>
          <w:lang w:val="en-CA" w:eastAsia="fr-CA"/>
        </w:rPr>
        <w:t>error.</w:t>
      </w:r>
    </w:p>
    <w:p w14:paraId="145CC643" w14:textId="589D3D61" w:rsidR="00352837" w:rsidRPr="000A3539" w:rsidRDefault="00D76132" w:rsidP="00352837">
      <w:pPr>
        <w:pStyle w:val="Style1sous-titrenumrot"/>
        <w:tabs>
          <w:tab w:val="left" w:pos="1418"/>
        </w:tabs>
        <w:spacing w:line="280" w:lineRule="exact"/>
        <w:ind w:left="1417" w:hanging="697"/>
        <w:rPr>
          <w:b/>
          <w:lang w:val="en-CA"/>
        </w:rPr>
      </w:pPr>
      <w:r w:rsidRPr="000A3539">
        <w:rPr>
          <w:b/>
          <w:lang w:val="en-CA"/>
        </w:rPr>
        <w:t>4.5-</w:t>
      </w:r>
      <w:r w:rsidRPr="000A3539">
        <w:rPr>
          <w:b/>
          <w:lang w:val="en-CA"/>
        </w:rPr>
        <w:tab/>
      </w:r>
      <w:r w:rsidR="00E66BBE" w:rsidRPr="000A3539">
        <w:rPr>
          <w:b/>
          <w:lang w:val="en-CA"/>
        </w:rPr>
        <w:t xml:space="preserve">Did the </w:t>
      </w:r>
      <w:r w:rsidRPr="000A3539">
        <w:rPr>
          <w:b/>
          <w:lang w:val="en-CA"/>
        </w:rPr>
        <w:t>Tribunal</w:t>
      </w:r>
      <w:r w:rsidR="00E66BBE" w:rsidRPr="000A3539">
        <w:rPr>
          <w:b/>
          <w:lang w:val="en-CA"/>
        </w:rPr>
        <w:t xml:space="preserve"> err in awarding moral damages</w:t>
      </w:r>
      <w:r w:rsidRPr="000A3539">
        <w:rPr>
          <w:b/>
          <w:lang w:val="en-CA"/>
        </w:rPr>
        <w:t>?</w:t>
      </w:r>
    </w:p>
    <w:p w14:paraId="462EAB4B" w14:textId="1C0F1892" w:rsidR="00352837" w:rsidRPr="000A3539" w:rsidRDefault="007742D2" w:rsidP="00352837">
      <w:pPr>
        <w:pStyle w:val="Paragraphe"/>
        <w:rPr>
          <w:i/>
          <w:lang w:val="en-CA"/>
        </w:rPr>
      </w:pPr>
      <w:r w:rsidRPr="000A3539">
        <w:rPr>
          <w:lang w:val="en-CA"/>
        </w:rPr>
        <w:t xml:space="preserve">This </w:t>
      </w:r>
      <w:r w:rsidR="00D76132" w:rsidRPr="000A3539">
        <w:rPr>
          <w:lang w:val="en-CA"/>
        </w:rPr>
        <w:t>ground</w:t>
      </w:r>
      <w:r w:rsidRPr="000A3539">
        <w:rPr>
          <w:lang w:val="en-CA"/>
        </w:rPr>
        <w:t xml:space="preserve"> </w:t>
      </w:r>
      <w:r w:rsidR="00D76132" w:rsidRPr="000A3539">
        <w:rPr>
          <w:lang w:val="en-CA"/>
        </w:rPr>
        <w:t>of</w:t>
      </w:r>
      <w:r w:rsidRPr="000A3539">
        <w:rPr>
          <w:lang w:val="en-CA"/>
        </w:rPr>
        <w:t xml:space="preserve"> </w:t>
      </w:r>
      <w:r w:rsidR="00D76132" w:rsidRPr="000A3539">
        <w:rPr>
          <w:lang w:val="en-CA"/>
        </w:rPr>
        <w:t>appeal</w:t>
      </w:r>
      <w:r w:rsidRPr="000A3539">
        <w:rPr>
          <w:lang w:val="en-CA"/>
        </w:rPr>
        <w:t xml:space="preserve"> is subject to a standard of review of </w:t>
      </w:r>
      <w:r w:rsidR="00156A96" w:rsidRPr="000A3539">
        <w:rPr>
          <w:lang w:val="en-CA"/>
        </w:rPr>
        <w:t xml:space="preserve">high deference because it rests largely on the assessment of the witnesses’ </w:t>
      </w:r>
      <w:r w:rsidR="00D76132" w:rsidRPr="000A3539">
        <w:rPr>
          <w:lang w:val="en-CA"/>
        </w:rPr>
        <w:t xml:space="preserve">credibility. </w:t>
      </w:r>
      <w:r w:rsidR="00156A96" w:rsidRPr="000A3539">
        <w:rPr>
          <w:lang w:val="en-CA"/>
        </w:rPr>
        <w:t>The T</w:t>
      </w:r>
      <w:r w:rsidR="00D76132" w:rsidRPr="000A3539">
        <w:rPr>
          <w:lang w:val="en-CA"/>
        </w:rPr>
        <w:t>ribunal</w:t>
      </w:r>
      <w:r w:rsidR="00156A96" w:rsidRPr="000A3539">
        <w:rPr>
          <w:lang w:val="en-CA"/>
        </w:rPr>
        <w:t xml:space="preserve"> acknowledged that the infringement of a right guaranteed by the </w:t>
      </w:r>
      <w:r w:rsidR="00D76132" w:rsidRPr="000A3539">
        <w:rPr>
          <w:i/>
          <w:lang w:val="en-CA"/>
        </w:rPr>
        <w:t>Charter</w:t>
      </w:r>
      <w:r w:rsidR="00156A96" w:rsidRPr="000A3539">
        <w:rPr>
          <w:lang w:val="en-CA"/>
        </w:rPr>
        <w:t xml:space="preserve"> is not sufficient to give rise to compensation</w:t>
      </w:r>
      <w:r w:rsidR="00691CE0" w:rsidRPr="000A3539">
        <w:rPr>
          <w:lang w:val="en-CA"/>
        </w:rPr>
        <w:t>, even symbolic</w:t>
      </w:r>
      <w:r w:rsidR="00691CE0">
        <w:rPr>
          <w:lang w:val="en-CA"/>
        </w:rPr>
        <w:t>,</w:t>
      </w:r>
      <w:r w:rsidR="00156A96" w:rsidRPr="000A3539">
        <w:rPr>
          <w:lang w:val="en-CA"/>
        </w:rPr>
        <w:t xml:space="preserve"> for </w:t>
      </w:r>
      <w:r w:rsidR="00D76132" w:rsidRPr="000A3539">
        <w:rPr>
          <w:lang w:val="en-CA"/>
        </w:rPr>
        <w:t>moral</w:t>
      </w:r>
      <w:r w:rsidR="00156A96" w:rsidRPr="000A3539">
        <w:rPr>
          <w:lang w:val="en-CA"/>
        </w:rPr>
        <w:t xml:space="preserve"> injury</w:t>
      </w:r>
      <w:r w:rsidR="00D76132" w:rsidRPr="000A3539">
        <w:rPr>
          <w:lang w:val="en-CA"/>
        </w:rPr>
        <w:t>.</w:t>
      </w:r>
      <w:r w:rsidR="00156A96" w:rsidRPr="000A3539">
        <w:rPr>
          <w:lang w:val="en-CA"/>
        </w:rPr>
        <w:t xml:space="preserve"> However, it </w:t>
      </w:r>
      <w:r w:rsidR="00D76132" w:rsidRPr="000A3539">
        <w:rPr>
          <w:lang w:val="en-CA"/>
        </w:rPr>
        <w:t>conclu</w:t>
      </w:r>
      <w:r w:rsidR="00156A96" w:rsidRPr="000A3539">
        <w:rPr>
          <w:lang w:val="en-CA"/>
        </w:rPr>
        <w:t xml:space="preserve">ded, after </w:t>
      </w:r>
      <w:r w:rsidR="00D76132" w:rsidRPr="000A3539">
        <w:rPr>
          <w:lang w:val="en-CA"/>
        </w:rPr>
        <w:t>analy</w:t>
      </w:r>
      <w:r w:rsidR="00156A96" w:rsidRPr="000A3539">
        <w:rPr>
          <w:lang w:val="en-CA"/>
        </w:rPr>
        <w:t xml:space="preserve">zing the evidence, of which it cited excerpts, that the </w:t>
      </w:r>
      <w:r w:rsidR="00D76132" w:rsidRPr="000A3539">
        <w:rPr>
          <w:lang w:val="en-CA"/>
        </w:rPr>
        <w:t xml:space="preserve">discrimination </w:t>
      </w:r>
      <w:r w:rsidR="00156A96" w:rsidRPr="000A3539">
        <w:rPr>
          <w:lang w:val="en-CA"/>
        </w:rPr>
        <w:t xml:space="preserve">suffered by the students </w:t>
      </w:r>
      <w:r w:rsidR="006D251D" w:rsidRPr="000A3539">
        <w:rPr>
          <w:lang w:val="en-CA"/>
        </w:rPr>
        <w:t xml:space="preserve">infringed their </w:t>
      </w:r>
      <w:r w:rsidR="00D76132" w:rsidRPr="000A3539">
        <w:rPr>
          <w:lang w:val="en-CA"/>
        </w:rPr>
        <w:t>dignit</w:t>
      </w:r>
      <w:r w:rsidR="006D251D" w:rsidRPr="000A3539">
        <w:rPr>
          <w:lang w:val="en-CA"/>
        </w:rPr>
        <w:t xml:space="preserve">y. They felt like the victims of </w:t>
      </w:r>
      <w:r w:rsidR="00D76132" w:rsidRPr="000A3539">
        <w:rPr>
          <w:lang w:val="en-CA"/>
        </w:rPr>
        <w:t>injustice</w:t>
      </w:r>
      <w:r w:rsidR="00691CE0">
        <w:rPr>
          <w:lang w:val="en-CA"/>
        </w:rPr>
        <w:t>;</w:t>
      </w:r>
      <w:r w:rsidR="00D76132" w:rsidRPr="000A3539">
        <w:rPr>
          <w:lang w:val="en-CA"/>
        </w:rPr>
        <w:t xml:space="preserve"> </w:t>
      </w:r>
      <w:r w:rsidR="00691CE0">
        <w:rPr>
          <w:lang w:val="en-CA"/>
        </w:rPr>
        <w:t xml:space="preserve">they felt </w:t>
      </w:r>
      <w:r w:rsidR="006D251D" w:rsidRPr="000A3539">
        <w:rPr>
          <w:lang w:val="en-CA"/>
        </w:rPr>
        <w:t>demeaned</w:t>
      </w:r>
      <w:r w:rsidR="00D76132" w:rsidRPr="000A3539">
        <w:rPr>
          <w:lang w:val="en-CA"/>
        </w:rPr>
        <w:t xml:space="preserve">, </w:t>
      </w:r>
      <w:r w:rsidR="006D251D" w:rsidRPr="000A3539">
        <w:rPr>
          <w:lang w:val="en-CA"/>
        </w:rPr>
        <w:t>belittled,</w:t>
      </w:r>
      <w:r w:rsidR="00D76132" w:rsidRPr="000A3539">
        <w:rPr>
          <w:lang w:val="en-CA"/>
        </w:rPr>
        <w:t xml:space="preserve"> etc.</w:t>
      </w:r>
      <w:r w:rsidR="006D251D" w:rsidRPr="000A3539">
        <w:rPr>
          <w:lang w:val="en-CA"/>
        </w:rPr>
        <w:t xml:space="preserve">, which </w:t>
      </w:r>
      <w:r w:rsidR="00D76132" w:rsidRPr="000A3539">
        <w:rPr>
          <w:lang w:val="en-CA"/>
        </w:rPr>
        <w:t>justifie</w:t>
      </w:r>
      <w:r w:rsidR="006D251D" w:rsidRPr="000A3539">
        <w:rPr>
          <w:lang w:val="en-CA"/>
        </w:rPr>
        <w:t xml:space="preserve">s the award of $1,000 in damages to each of them for the </w:t>
      </w:r>
      <w:r w:rsidR="00D76132" w:rsidRPr="000A3539">
        <w:rPr>
          <w:lang w:val="en-CA"/>
        </w:rPr>
        <w:t>moral</w:t>
      </w:r>
      <w:r w:rsidR="006D251D" w:rsidRPr="000A3539">
        <w:rPr>
          <w:lang w:val="en-CA"/>
        </w:rPr>
        <w:t xml:space="preserve"> injury suffered, as the </w:t>
      </w:r>
      <w:r w:rsidR="00D76132" w:rsidRPr="000A3539">
        <w:rPr>
          <w:lang w:val="en-CA"/>
        </w:rPr>
        <w:t>Court</w:t>
      </w:r>
      <w:r w:rsidR="006D251D" w:rsidRPr="000A3539">
        <w:rPr>
          <w:lang w:val="en-CA"/>
        </w:rPr>
        <w:t xml:space="preserve"> recognized in </w:t>
      </w:r>
      <w:proofErr w:type="spellStart"/>
      <w:r w:rsidR="00D76132" w:rsidRPr="000A3539">
        <w:rPr>
          <w:i/>
          <w:lang w:val="en-CA"/>
        </w:rPr>
        <w:t>Université</w:t>
      </w:r>
      <w:proofErr w:type="spellEnd"/>
      <w:r w:rsidR="00D76132" w:rsidRPr="000A3539">
        <w:rPr>
          <w:i/>
          <w:lang w:val="en-CA"/>
        </w:rPr>
        <w:t xml:space="preserve"> de </w:t>
      </w:r>
      <w:proofErr w:type="spellStart"/>
      <w:r w:rsidR="00D76132" w:rsidRPr="000A3539">
        <w:rPr>
          <w:i/>
          <w:lang w:val="en-CA"/>
        </w:rPr>
        <w:t>Sherbrooke</w:t>
      </w:r>
      <w:proofErr w:type="spellEnd"/>
      <w:r w:rsidR="00D76132" w:rsidRPr="000A3539">
        <w:rPr>
          <w:i/>
          <w:lang w:val="en-CA"/>
        </w:rPr>
        <w:t xml:space="preserve"> c. Commission</w:t>
      </w:r>
      <w:r w:rsidR="006D251D" w:rsidRPr="000A3539">
        <w:rPr>
          <w:i/>
          <w:lang w:val="en-CA"/>
        </w:rPr>
        <w:t xml:space="preserve"> </w:t>
      </w:r>
      <w:r w:rsidR="00D76132" w:rsidRPr="000A3539">
        <w:rPr>
          <w:i/>
          <w:lang w:val="en-CA"/>
        </w:rPr>
        <w:t>des</w:t>
      </w:r>
      <w:r w:rsidR="006D251D" w:rsidRPr="000A3539">
        <w:rPr>
          <w:i/>
          <w:lang w:val="en-CA"/>
        </w:rPr>
        <w:t xml:space="preserve"> </w:t>
      </w:r>
      <w:r w:rsidR="00D76132" w:rsidRPr="000A3539">
        <w:rPr>
          <w:i/>
          <w:lang w:val="en-CA"/>
        </w:rPr>
        <w:t>droits</w:t>
      </w:r>
      <w:r w:rsidR="006D251D" w:rsidRPr="000A3539">
        <w:rPr>
          <w:i/>
          <w:lang w:val="en-CA"/>
        </w:rPr>
        <w:t xml:space="preserve"> </w:t>
      </w:r>
      <w:r w:rsidR="00D76132" w:rsidRPr="000A3539">
        <w:rPr>
          <w:i/>
          <w:lang w:val="en-CA"/>
        </w:rPr>
        <w:t>de</w:t>
      </w:r>
      <w:r w:rsidR="006D251D" w:rsidRPr="000A3539">
        <w:rPr>
          <w:i/>
          <w:lang w:val="en-CA"/>
        </w:rPr>
        <w:t xml:space="preserve"> </w:t>
      </w:r>
      <w:r w:rsidR="00D76132" w:rsidRPr="000A3539">
        <w:rPr>
          <w:i/>
          <w:lang w:val="en-CA"/>
        </w:rPr>
        <w:t>la</w:t>
      </w:r>
      <w:r w:rsidR="006D251D" w:rsidRPr="000A3539">
        <w:rPr>
          <w:i/>
          <w:lang w:val="en-CA"/>
        </w:rPr>
        <w:t xml:space="preserve"> </w:t>
      </w:r>
      <w:r w:rsidR="00D76132" w:rsidRPr="000A3539">
        <w:rPr>
          <w:i/>
          <w:lang w:val="en-CA"/>
        </w:rPr>
        <w:t>personne</w:t>
      </w:r>
      <w:r w:rsidR="006D251D" w:rsidRPr="000A3539">
        <w:rPr>
          <w:i/>
          <w:lang w:val="en-CA"/>
        </w:rPr>
        <w:t xml:space="preserve"> </w:t>
      </w:r>
      <w:r w:rsidR="00D76132" w:rsidRPr="000A3539">
        <w:rPr>
          <w:i/>
          <w:lang w:val="en-CA"/>
        </w:rPr>
        <w:t xml:space="preserve">et des droits de la </w:t>
      </w:r>
      <w:proofErr w:type="spellStart"/>
      <w:r w:rsidR="00D76132" w:rsidRPr="000A3539">
        <w:rPr>
          <w:i/>
          <w:lang w:val="en-CA"/>
        </w:rPr>
        <w:t>jeunesse</w:t>
      </w:r>
      <w:proofErr w:type="spellEnd"/>
      <w:r w:rsidR="006D251D" w:rsidRPr="000A3539">
        <w:rPr>
          <w:lang w:val="en-CA"/>
        </w:rPr>
        <w:t>.</w:t>
      </w:r>
      <w:r w:rsidR="00D76132" w:rsidRPr="000A3539">
        <w:rPr>
          <w:rStyle w:val="Appelnotedebasdep"/>
          <w:lang w:val="en-CA"/>
        </w:rPr>
        <w:footnoteReference w:id="128"/>
      </w:r>
      <w:r w:rsidR="00D76132" w:rsidRPr="000A3539">
        <w:rPr>
          <w:i/>
          <w:lang w:val="en-CA"/>
        </w:rPr>
        <w:t xml:space="preserve"> </w:t>
      </w:r>
    </w:p>
    <w:p w14:paraId="076E2382" w14:textId="679F2D24" w:rsidR="00352837" w:rsidRPr="000A3539" w:rsidRDefault="00D76132" w:rsidP="00352837">
      <w:pPr>
        <w:pStyle w:val="Paragraphe"/>
        <w:keepNext/>
        <w:numPr>
          <w:ilvl w:val="0"/>
          <w:numId w:val="0"/>
        </w:numPr>
        <w:ind w:left="1440" w:hanging="720"/>
        <w:rPr>
          <w:b/>
          <w:lang w:val="en-CA"/>
        </w:rPr>
      </w:pPr>
      <w:r w:rsidRPr="000A3539">
        <w:rPr>
          <w:b/>
          <w:lang w:val="en-CA"/>
        </w:rPr>
        <w:t>4.6-</w:t>
      </w:r>
      <w:r w:rsidRPr="000A3539">
        <w:rPr>
          <w:b/>
          <w:lang w:val="en-CA"/>
        </w:rPr>
        <w:tab/>
      </w:r>
      <w:r w:rsidR="005D1BBF" w:rsidRPr="000A3539">
        <w:rPr>
          <w:b/>
          <w:bCs/>
          <w:lang w:val="en-CA"/>
        </w:rPr>
        <w:t>Did the Tribunal err in refusing to recognize the solidary liability of the impleaded party?</w:t>
      </w:r>
    </w:p>
    <w:p w14:paraId="2754DBBD" w14:textId="77EE9F79" w:rsidR="00352837" w:rsidRPr="000A3539" w:rsidRDefault="006F43BC" w:rsidP="00352837">
      <w:pPr>
        <w:pStyle w:val="Paragraphe"/>
        <w:rPr>
          <w:lang w:val="en-CA"/>
        </w:rPr>
      </w:pPr>
      <w:r w:rsidRPr="000A3539">
        <w:rPr>
          <w:lang w:val="en-CA"/>
        </w:rPr>
        <w:t xml:space="preserve">The </w:t>
      </w:r>
      <w:r w:rsidR="00D76132" w:rsidRPr="000A3539">
        <w:rPr>
          <w:lang w:val="en-CA"/>
        </w:rPr>
        <w:t>Tribunal</w:t>
      </w:r>
      <w:r w:rsidRPr="000A3539">
        <w:rPr>
          <w:lang w:val="en-CA"/>
        </w:rPr>
        <w:t xml:space="preserve"> made no re</w:t>
      </w:r>
      <w:r w:rsidR="00D76132" w:rsidRPr="000A3539">
        <w:rPr>
          <w:lang w:val="en-CA"/>
        </w:rPr>
        <w:t>viewable</w:t>
      </w:r>
      <w:r w:rsidRPr="000A3539">
        <w:rPr>
          <w:lang w:val="en-CA"/>
        </w:rPr>
        <w:t xml:space="preserve"> </w:t>
      </w:r>
      <w:r w:rsidR="00D76132" w:rsidRPr="000A3539">
        <w:rPr>
          <w:lang w:val="en-CA"/>
        </w:rPr>
        <w:t>error</w:t>
      </w:r>
      <w:r w:rsidRPr="000A3539">
        <w:rPr>
          <w:lang w:val="en-CA"/>
        </w:rPr>
        <w:t xml:space="preserve"> in finding that the </w:t>
      </w:r>
      <w:r w:rsidR="00D76132" w:rsidRPr="000A3539">
        <w:rPr>
          <w:lang w:val="en-CA"/>
        </w:rPr>
        <w:t>impleaded</w:t>
      </w:r>
      <w:r w:rsidRPr="000A3539">
        <w:rPr>
          <w:lang w:val="en-CA"/>
        </w:rPr>
        <w:t xml:space="preserve"> </w:t>
      </w:r>
      <w:r w:rsidR="00D76132" w:rsidRPr="000A3539">
        <w:rPr>
          <w:lang w:val="en-CA"/>
        </w:rPr>
        <w:t>party</w:t>
      </w:r>
      <w:r w:rsidRPr="000A3539">
        <w:rPr>
          <w:lang w:val="en-CA"/>
        </w:rPr>
        <w:t xml:space="preserve"> is not </w:t>
      </w:r>
      <w:r w:rsidR="00D76132" w:rsidRPr="000A3539">
        <w:rPr>
          <w:lang w:val="en-CA"/>
        </w:rPr>
        <w:t>respons</w:t>
      </w:r>
      <w:r w:rsidRPr="000A3539">
        <w:rPr>
          <w:lang w:val="en-CA"/>
        </w:rPr>
        <w:t>i</w:t>
      </w:r>
      <w:r w:rsidR="00D76132" w:rsidRPr="000A3539">
        <w:rPr>
          <w:lang w:val="en-CA"/>
        </w:rPr>
        <w:t xml:space="preserve">ble </w:t>
      </w:r>
      <w:r w:rsidRPr="000A3539">
        <w:rPr>
          <w:lang w:val="en-CA"/>
        </w:rPr>
        <w:t xml:space="preserve">for the discriminatory </w:t>
      </w:r>
      <w:r w:rsidR="00D76132" w:rsidRPr="000A3539">
        <w:rPr>
          <w:lang w:val="en-CA"/>
        </w:rPr>
        <w:t xml:space="preserve">situation </w:t>
      </w:r>
      <w:r w:rsidRPr="000A3539">
        <w:rPr>
          <w:lang w:val="en-CA"/>
        </w:rPr>
        <w:t xml:space="preserve">experienced by the students. After an </w:t>
      </w:r>
      <w:r w:rsidR="00D76132" w:rsidRPr="000A3539">
        <w:rPr>
          <w:lang w:val="en-CA"/>
        </w:rPr>
        <w:t xml:space="preserve">exhaustive </w:t>
      </w:r>
      <w:r w:rsidRPr="000A3539">
        <w:rPr>
          <w:lang w:val="en-CA"/>
        </w:rPr>
        <w:t xml:space="preserve">review of the </w:t>
      </w:r>
      <w:r w:rsidR="00D76132" w:rsidRPr="000A3539">
        <w:rPr>
          <w:lang w:val="en-CA"/>
        </w:rPr>
        <w:t>evidence</w:t>
      </w:r>
      <w:r w:rsidRPr="000A3539">
        <w:rPr>
          <w:lang w:val="en-CA"/>
        </w:rPr>
        <w:t xml:space="preserve"> </w:t>
      </w:r>
      <w:r w:rsidR="00514B66">
        <w:rPr>
          <w:lang w:val="en-CA"/>
        </w:rPr>
        <w:t>about</w:t>
      </w:r>
      <w:r w:rsidRPr="000A3539">
        <w:rPr>
          <w:lang w:val="en-CA"/>
        </w:rPr>
        <w:t xml:space="preserve"> which the </w:t>
      </w:r>
      <w:r w:rsidR="00352F06" w:rsidRPr="000A3539">
        <w:rPr>
          <w:lang w:val="en-CA"/>
        </w:rPr>
        <w:t>appellant</w:t>
      </w:r>
      <w:r w:rsidR="00514B66">
        <w:rPr>
          <w:lang w:val="en-CA"/>
        </w:rPr>
        <w:t xml:space="preserve"> failed to</w:t>
      </w:r>
      <w:r w:rsidRPr="000A3539">
        <w:rPr>
          <w:lang w:val="en-CA"/>
        </w:rPr>
        <w:t xml:space="preserve"> establish </w:t>
      </w:r>
      <w:r w:rsidR="00514B66">
        <w:rPr>
          <w:lang w:val="en-CA"/>
        </w:rPr>
        <w:t>any</w:t>
      </w:r>
      <w:r w:rsidRPr="000A3539">
        <w:rPr>
          <w:lang w:val="en-CA"/>
        </w:rPr>
        <w:t xml:space="preserve"> </w:t>
      </w:r>
      <w:r w:rsidR="00D76132" w:rsidRPr="000A3539">
        <w:rPr>
          <w:lang w:val="en-CA"/>
        </w:rPr>
        <w:t>palpable</w:t>
      </w:r>
      <w:r w:rsidRPr="000A3539">
        <w:rPr>
          <w:lang w:val="en-CA"/>
        </w:rPr>
        <w:t xml:space="preserve"> </w:t>
      </w:r>
      <w:r w:rsidR="00D76132" w:rsidRPr="000A3539">
        <w:rPr>
          <w:lang w:val="en-CA"/>
        </w:rPr>
        <w:t>and</w:t>
      </w:r>
      <w:r w:rsidRPr="000A3539">
        <w:rPr>
          <w:lang w:val="en-CA"/>
        </w:rPr>
        <w:t xml:space="preserve"> </w:t>
      </w:r>
      <w:r w:rsidR="00D76132" w:rsidRPr="000A3539">
        <w:rPr>
          <w:lang w:val="en-CA"/>
        </w:rPr>
        <w:t>overriding</w:t>
      </w:r>
      <w:r w:rsidRPr="000A3539">
        <w:rPr>
          <w:lang w:val="en-CA"/>
        </w:rPr>
        <w:t xml:space="preserve"> error</w:t>
      </w:r>
      <w:r w:rsidR="00D76132" w:rsidRPr="000A3539">
        <w:rPr>
          <w:lang w:val="en-CA"/>
        </w:rPr>
        <w:t xml:space="preserve">, </w:t>
      </w:r>
      <w:r w:rsidR="005B7FA0">
        <w:rPr>
          <w:lang w:val="en-CA"/>
        </w:rPr>
        <w:t>the Tribunal</w:t>
      </w:r>
      <w:r w:rsidRPr="000A3539">
        <w:rPr>
          <w:lang w:val="en-CA"/>
        </w:rPr>
        <w:t xml:space="preserve"> </w:t>
      </w:r>
      <w:r w:rsidR="00D76132" w:rsidRPr="000A3539">
        <w:rPr>
          <w:lang w:val="en-CA"/>
        </w:rPr>
        <w:t>conclu</w:t>
      </w:r>
      <w:r w:rsidRPr="000A3539">
        <w:rPr>
          <w:lang w:val="en-CA"/>
        </w:rPr>
        <w:t>ded</w:t>
      </w:r>
      <w:r w:rsidR="00D76132" w:rsidRPr="000A3539">
        <w:rPr>
          <w:lang w:val="en-CA"/>
        </w:rPr>
        <w:t>:</w:t>
      </w:r>
    </w:p>
    <w:p w14:paraId="00A935CD" w14:textId="740A488E" w:rsidR="00705CBE" w:rsidRPr="000A3539" w:rsidRDefault="00705CBE" w:rsidP="00352837">
      <w:pPr>
        <w:pStyle w:val="Citationenretrait"/>
        <w:rPr>
          <w:lang w:val="en-CA"/>
        </w:rPr>
      </w:pPr>
      <w:r w:rsidRPr="000A3539">
        <w:rPr>
          <w:lang w:val="en-CA"/>
        </w:rPr>
        <w:t>[</w:t>
      </w:r>
      <w:r w:rsidRPr="000A3539">
        <w:rPr>
          <w:smallCaps/>
          <w:lang w:val="en-CA"/>
        </w:rPr>
        <w:t>translation</w:t>
      </w:r>
      <w:r w:rsidRPr="000A3539">
        <w:rPr>
          <w:lang w:val="en-CA"/>
        </w:rPr>
        <w:t>]</w:t>
      </w:r>
    </w:p>
    <w:p w14:paraId="7D7EAD42" w14:textId="0C42FB23" w:rsidR="00352837" w:rsidRPr="000A3539" w:rsidRDefault="00D76132" w:rsidP="00352837">
      <w:pPr>
        <w:pStyle w:val="Citationenretrait"/>
        <w:rPr>
          <w:lang w:val="en-CA"/>
        </w:rPr>
      </w:pPr>
      <w:r w:rsidRPr="000A3539">
        <w:rPr>
          <w:lang w:val="en-CA"/>
        </w:rPr>
        <w:t>[501]  </w:t>
      </w:r>
      <w:r w:rsidR="00C11B17" w:rsidRPr="000A3539">
        <w:rPr>
          <w:rFonts w:cs="Arial"/>
          <w:color w:val="000000"/>
          <w:lang w:val="en-CA"/>
        </w:rPr>
        <w:t>It appears from the evidence that the Union never wanted a wage difference for the students. The measure was brought to the negotiating table by ABI unilaterally in 1994 as part of a final offer, and since then, and even after the Union filed a complaint with the Commission, ABI has refused to withdraw it from the collective agreements that were subsequently adopted.</w:t>
      </w:r>
    </w:p>
    <w:p w14:paraId="7FC9C7BD" w14:textId="77777777" w:rsidR="00352837" w:rsidRPr="000A3539" w:rsidRDefault="00D76132" w:rsidP="00352837">
      <w:pPr>
        <w:spacing w:before="120" w:after="120"/>
        <w:jc w:val="center"/>
        <w:rPr>
          <w:b/>
          <w:lang w:val="en-CA"/>
        </w:rPr>
      </w:pPr>
      <w:r w:rsidRPr="000A3539">
        <w:rPr>
          <w:b/>
          <w:lang w:val="en-CA"/>
        </w:rPr>
        <w:t>*****</w:t>
      </w:r>
    </w:p>
    <w:p w14:paraId="7B00AD25" w14:textId="4AD1C2A7" w:rsidR="00352837" w:rsidRPr="000A3539" w:rsidRDefault="00E66BBE" w:rsidP="002F5371">
      <w:pPr>
        <w:pStyle w:val="Paragraphe"/>
        <w:keepNext/>
        <w:numPr>
          <w:ilvl w:val="0"/>
          <w:numId w:val="0"/>
        </w:numPr>
        <w:rPr>
          <w:b/>
          <w:lang w:val="en-CA"/>
        </w:rPr>
      </w:pPr>
      <w:r w:rsidRPr="000A3539">
        <w:rPr>
          <w:b/>
          <w:lang w:val="en-CA"/>
        </w:rPr>
        <w:lastRenderedPageBreak/>
        <w:t>FOR THESE REASONS, THE COURT:</w:t>
      </w:r>
    </w:p>
    <w:p w14:paraId="63FF5EA6" w14:textId="7C083BF8" w:rsidR="00352837" w:rsidRPr="000A3539" w:rsidRDefault="00E66BBE" w:rsidP="002F5371">
      <w:pPr>
        <w:pStyle w:val="Paragraphe"/>
        <w:keepNext/>
        <w:rPr>
          <w:lang w:val="en-CA"/>
        </w:rPr>
      </w:pPr>
      <w:r w:rsidRPr="000A3539">
        <w:rPr>
          <w:b/>
          <w:lang w:val="en-CA"/>
        </w:rPr>
        <w:t>DISMISSES</w:t>
      </w:r>
      <w:r w:rsidRPr="000A3539">
        <w:rPr>
          <w:lang w:val="en-CA"/>
        </w:rPr>
        <w:t xml:space="preserve"> the appeal, with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5C73F6" w:rsidRPr="0048686D" w14:paraId="40C52C0B" w14:textId="77777777" w:rsidTr="00352837">
        <w:trPr>
          <w:trHeight w:val="576"/>
        </w:trPr>
        <w:tc>
          <w:tcPr>
            <w:tcW w:w="9362" w:type="dxa"/>
            <w:gridSpan w:val="3"/>
            <w:tcBorders>
              <w:top w:val="nil"/>
              <w:bottom w:val="nil"/>
            </w:tcBorders>
          </w:tcPr>
          <w:p w14:paraId="56DEEA08" w14:textId="77777777" w:rsidR="00352837" w:rsidRPr="000A3539" w:rsidRDefault="00352837" w:rsidP="002F5371">
            <w:pPr>
              <w:keepNext/>
              <w:rPr>
                <w:lang w:val="en-CA"/>
              </w:rPr>
            </w:pPr>
          </w:p>
        </w:tc>
      </w:tr>
      <w:tr w:rsidR="005C73F6" w:rsidRPr="0048686D" w14:paraId="32873C9D" w14:textId="77777777" w:rsidTr="00352837">
        <w:trPr>
          <w:trHeight w:val="283"/>
        </w:trPr>
        <w:tc>
          <w:tcPr>
            <w:tcW w:w="4682" w:type="dxa"/>
            <w:gridSpan w:val="2"/>
            <w:tcBorders>
              <w:top w:val="nil"/>
              <w:bottom w:val="nil"/>
            </w:tcBorders>
          </w:tcPr>
          <w:p w14:paraId="6737747D" w14:textId="77777777" w:rsidR="00352837" w:rsidRPr="000A3539" w:rsidRDefault="00352837" w:rsidP="002F5371">
            <w:pPr>
              <w:keepNext/>
              <w:rPr>
                <w:lang w:val="en-CA"/>
              </w:rPr>
            </w:pPr>
          </w:p>
        </w:tc>
        <w:tc>
          <w:tcPr>
            <w:tcW w:w="4680" w:type="dxa"/>
            <w:tcBorders>
              <w:top w:val="nil"/>
              <w:bottom w:val="single" w:sz="8" w:space="0" w:color="auto"/>
            </w:tcBorders>
          </w:tcPr>
          <w:p w14:paraId="557CDF16" w14:textId="77777777" w:rsidR="00352837" w:rsidRPr="000A3539" w:rsidRDefault="00352837" w:rsidP="002F5371">
            <w:pPr>
              <w:keepNext/>
              <w:rPr>
                <w:lang w:val="en-CA"/>
              </w:rPr>
            </w:pPr>
          </w:p>
        </w:tc>
      </w:tr>
      <w:tr w:rsidR="005C73F6" w:rsidRPr="000A3539" w14:paraId="74F9254A" w14:textId="77777777" w:rsidTr="00352837">
        <w:trPr>
          <w:trHeight w:val="283"/>
        </w:trPr>
        <w:tc>
          <w:tcPr>
            <w:tcW w:w="4682" w:type="dxa"/>
            <w:gridSpan w:val="2"/>
            <w:tcBorders>
              <w:top w:val="nil"/>
            </w:tcBorders>
          </w:tcPr>
          <w:p w14:paraId="092D22EA" w14:textId="77777777" w:rsidR="00352837" w:rsidRPr="000A3539" w:rsidRDefault="00352837">
            <w:pPr>
              <w:keepNext/>
              <w:rPr>
                <w:lang w:val="en-CA"/>
              </w:rPr>
            </w:pPr>
          </w:p>
        </w:tc>
        <w:tc>
          <w:tcPr>
            <w:tcW w:w="4680" w:type="dxa"/>
            <w:tcBorders>
              <w:top w:val="single" w:sz="8" w:space="0" w:color="auto"/>
            </w:tcBorders>
          </w:tcPr>
          <w:p w14:paraId="23A11040" w14:textId="3EAAC406" w:rsidR="00352837" w:rsidRPr="000A3539" w:rsidRDefault="003E6BC4" w:rsidP="00E66BBE">
            <w:pPr>
              <w:rPr>
                <w:lang w:val="en-CA"/>
              </w:rPr>
            </w:pPr>
            <w:r w:rsidRPr="00877FA5">
              <w:t>FRANCE THIBAULT, J.A.</w:t>
            </w:r>
          </w:p>
        </w:tc>
      </w:tr>
      <w:tr w:rsidR="005C73F6" w:rsidRPr="000A3539" w14:paraId="4C451DB1" w14:textId="77777777" w:rsidTr="00352837">
        <w:trPr>
          <w:trHeight w:val="283"/>
        </w:trPr>
        <w:tc>
          <w:tcPr>
            <w:tcW w:w="4682" w:type="dxa"/>
            <w:gridSpan w:val="2"/>
            <w:tcBorders>
              <w:top w:val="nil"/>
            </w:tcBorders>
          </w:tcPr>
          <w:p w14:paraId="15187103" w14:textId="77777777" w:rsidR="00352837" w:rsidRPr="000A3539" w:rsidRDefault="00352837">
            <w:pPr>
              <w:keepNext/>
              <w:rPr>
                <w:lang w:val="en-CA"/>
              </w:rPr>
            </w:pPr>
            <w:bookmarkStart w:id="40" w:name="Signature2"/>
          </w:p>
        </w:tc>
        <w:tc>
          <w:tcPr>
            <w:tcW w:w="4680" w:type="dxa"/>
            <w:tcBorders>
              <w:top w:val="nil"/>
            </w:tcBorders>
          </w:tcPr>
          <w:p w14:paraId="65B42D92" w14:textId="77777777" w:rsidR="00352837" w:rsidRPr="000A3539" w:rsidRDefault="00352837">
            <w:pPr>
              <w:keepNext/>
              <w:rPr>
                <w:lang w:val="en-CA"/>
              </w:rPr>
            </w:pPr>
          </w:p>
        </w:tc>
      </w:tr>
      <w:tr w:rsidR="005C73F6" w:rsidRPr="000A3539" w14:paraId="698E718E" w14:textId="77777777" w:rsidTr="00352837">
        <w:trPr>
          <w:trHeight w:val="283"/>
        </w:trPr>
        <w:tc>
          <w:tcPr>
            <w:tcW w:w="4682" w:type="dxa"/>
            <w:gridSpan w:val="2"/>
            <w:tcBorders>
              <w:top w:val="nil"/>
              <w:bottom w:val="nil"/>
            </w:tcBorders>
          </w:tcPr>
          <w:p w14:paraId="1290FF79" w14:textId="77777777" w:rsidR="00352837" w:rsidRPr="000A3539" w:rsidRDefault="00352837">
            <w:pPr>
              <w:keepNext/>
              <w:rPr>
                <w:lang w:val="en-CA"/>
              </w:rPr>
            </w:pPr>
          </w:p>
        </w:tc>
        <w:tc>
          <w:tcPr>
            <w:tcW w:w="4680" w:type="dxa"/>
            <w:tcBorders>
              <w:top w:val="nil"/>
              <w:bottom w:val="single" w:sz="8" w:space="0" w:color="auto"/>
            </w:tcBorders>
          </w:tcPr>
          <w:p w14:paraId="5FA57536" w14:textId="77777777" w:rsidR="00352837" w:rsidRPr="000A3539" w:rsidRDefault="00352837">
            <w:pPr>
              <w:keepNext/>
              <w:rPr>
                <w:lang w:val="en-CA"/>
              </w:rPr>
            </w:pPr>
          </w:p>
        </w:tc>
      </w:tr>
      <w:tr w:rsidR="005C73F6" w:rsidRPr="000A3539" w14:paraId="5A3C1D73" w14:textId="77777777" w:rsidTr="00352837">
        <w:trPr>
          <w:trHeight w:val="283"/>
        </w:trPr>
        <w:tc>
          <w:tcPr>
            <w:tcW w:w="4682" w:type="dxa"/>
            <w:gridSpan w:val="2"/>
            <w:tcBorders>
              <w:top w:val="nil"/>
            </w:tcBorders>
          </w:tcPr>
          <w:p w14:paraId="18A745BB" w14:textId="77777777" w:rsidR="00352837" w:rsidRPr="000A3539" w:rsidRDefault="00352837">
            <w:pPr>
              <w:keepNext/>
              <w:rPr>
                <w:lang w:val="en-CA"/>
              </w:rPr>
            </w:pPr>
          </w:p>
        </w:tc>
        <w:tc>
          <w:tcPr>
            <w:tcW w:w="4680" w:type="dxa"/>
            <w:tcBorders>
              <w:top w:val="single" w:sz="8" w:space="0" w:color="auto"/>
            </w:tcBorders>
          </w:tcPr>
          <w:p w14:paraId="642AD50C" w14:textId="592B07AE" w:rsidR="00352837" w:rsidRPr="00877FA5" w:rsidRDefault="003E6BC4" w:rsidP="00E66BBE">
            <w:pPr>
              <w:keepNext/>
            </w:pPr>
            <w:r w:rsidRPr="00877FA5">
              <w:t>JACQUES J. LEVESQUE, J.A.</w:t>
            </w:r>
          </w:p>
        </w:tc>
      </w:tr>
      <w:tr w:rsidR="005C73F6" w:rsidRPr="000A3539" w14:paraId="258B43D2" w14:textId="77777777" w:rsidTr="00352837">
        <w:trPr>
          <w:trHeight w:val="283"/>
        </w:trPr>
        <w:tc>
          <w:tcPr>
            <w:tcW w:w="4682" w:type="dxa"/>
            <w:gridSpan w:val="2"/>
            <w:tcBorders>
              <w:top w:val="nil"/>
            </w:tcBorders>
          </w:tcPr>
          <w:p w14:paraId="4F42BACA" w14:textId="77777777" w:rsidR="00352837" w:rsidRPr="00877FA5" w:rsidRDefault="00352837">
            <w:pPr>
              <w:keepNext/>
            </w:pPr>
            <w:bookmarkStart w:id="41" w:name="Signature3"/>
            <w:bookmarkEnd w:id="40"/>
          </w:p>
        </w:tc>
        <w:tc>
          <w:tcPr>
            <w:tcW w:w="4680" w:type="dxa"/>
            <w:tcBorders>
              <w:top w:val="nil"/>
            </w:tcBorders>
          </w:tcPr>
          <w:p w14:paraId="4E04B471" w14:textId="77777777" w:rsidR="00352837" w:rsidRPr="00877FA5" w:rsidRDefault="00352837">
            <w:pPr>
              <w:keepNext/>
            </w:pPr>
          </w:p>
        </w:tc>
      </w:tr>
      <w:tr w:rsidR="005C73F6" w:rsidRPr="000A3539" w14:paraId="6E1B1A19" w14:textId="77777777" w:rsidTr="00352837">
        <w:trPr>
          <w:trHeight w:val="283"/>
        </w:trPr>
        <w:tc>
          <w:tcPr>
            <w:tcW w:w="4682" w:type="dxa"/>
            <w:gridSpan w:val="2"/>
            <w:tcBorders>
              <w:top w:val="nil"/>
              <w:bottom w:val="nil"/>
            </w:tcBorders>
          </w:tcPr>
          <w:p w14:paraId="6AB590ED" w14:textId="77777777" w:rsidR="00352837" w:rsidRPr="00877FA5" w:rsidRDefault="00352837">
            <w:pPr>
              <w:keepNext/>
            </w:pPr>
          </w:p>
        </w:tc>
        <w:tc>
          <w:tcPr>
            <w:tcW w:w="4680" w:type="dxa"/>
            <w:tcBorders>
              <w:top w:val="nil"/>
              <w:bottom w:val="single" w:sz="8" w:space="0" w:color="auto"/>
            </w:tcBorders>
          </w:tcPr>
          <w:p w14:paraId="5285B26E" w14:textId="77777777" w:rsidR="00352837" w:rsidRPr="00877FA5" w:rsidRDefault="00352837">
            <w:pPr>
              <w:keepNext/>
            </w:pPr>
          </w:p>
        </w:tc>
      </w:tr>
      <w:tr w:rsidR="005C73F6" w:rsidRPr="000A3539" w14:paraId="0C2839A6" w14:textId="77777777" w:rsidTr="00352837">
        <w:trPr>
          <w:trHeight w:val="283"/>
        </w:trPr>
        <w:tc>
          <w:tcPr>
            <w:tcW w:w="4682" w:type="dxa"/>
            <w:gridSpan w:val="2"/>
            <w:tcBorders>
              <w:top w:val="nil"/>
            </w:tcBorders>
          </w:tcPr>
          <w:p w14:paraId="20C51FC1" w14:textId="77777777" w:rsidR="00352837" w:rsidRPr="00877FA5" w:rsidRDefault="00352837">
            <w:pPr>
              <w:keepNext/>
            </w:pPr>
          </w:p>
        </w:tc>
        <w:tc>
          <w:tcPr>
            <w:tcW w:w="4680" w:type="dxa"/>
            <w:tcBorders>
              <w:top w:val="single" w:sz="8" w:space="0" w:color="auto"/>
            </w:tcBorders>
          </w:tcPr>
          <w:p w14:paraId="455FED87" w14:textId="0D56FFB5" w:rsidR="00352837" w:rsidRPr="00877FA5" w:rsidRDefault="003E6BC4" w:rsidP="00E66BBE">
            <w:pPr>
              <w:keepNext/>
            </w:pPr>
            <w:r w:rsidRPr="00877FA5">
              <w:t>MARIE-JOSÉE HOGUE, J.A.</w:t>
            </w:r>
          </w:p>
        </w:tc>
      </w:tr>
      <w:bookmarkEnd w:id="41"/>
      <w:tr w:rsidR="005C73F6" w:rsidRPr="000A3539" w14:paraId="520D5E27" w14:textId="77777777" w:rsidTr="00352837">
        <w:tc>
          <w:tcPr>
            <w:tcW w:w="9362" w:type="dxa"/>
            <w:gridSpan w:val="3"/>
          </w:tcPr>
          <w:p w14:paraId="7E385477" w14:textId="77777777" w:rsidR="00352837" w:rsidRPr="00877FA5" w:rsidRDefault="00352837" w:rsidP="00352837"/>
        </w:tc>
      </w:tr>
      <w:tr w:rsidR="005C73F6" w:rsidRPr="000A3539" w14:paraId="75204352" w14:textId="77777777" w:rsidTr="00352837">
        <w:tc>
          <w:tcPr>
            <w:tcW w:w="9362" w:type="dxa"/>
            <w:gridSpan w:val="3"/>
          </w:tcPr>
          <w:p w14:paraId="65E1E0FF" w14:textId="7D429C7F" w:rsidR="00352837" w:rsidRPr="00877FA5" w:rsidRDefault="00D76132" w:rsidP="00352837">
            <w:pPr>
              <w:pStyle w:val="zSoquijdatNomProcureurDem"/>
            </w:pPr>
            <w:proofErr w:type="spellStart"/>
            <w:r w:rsidRPr="00877FA5">
              <w:t>Mtre</w:t>
            </w:r>
            <w:proofErr w:type="spellEnd"/>
            <w:r w:rsidRPr="00877FA5">
              <w:t xml:space="preserve"> Louise Laplante</w:t>
            </w:r>
          </w:p>
          <w:p w14:paraId="258186E2" w14:textId="3BC629AC" w:rsidR="00352837" w:rsidRPr="00877FA5" w:rsidRDefault="00D76132" w:rsidP="00320133">
            <w:pPr>
              <w:pStyle w:val="zSoquijdatNomProcureurDem"/>
            </w:pPr>
            <w:proofErr w:type="spellStart"/>
            <w:r w:rsidRPr="00877FA5">
              <w:t>Mtre</w:t>
            </w:r>
            <w:proofErr w:type="spellEnd"/>
            <w:r w:rsidRPr="00877FA5">
              <w:t xml:space="preserve"> Caroline </w:t>
            </w:r>
            <w:proofErr w:type="spellStart"/>
            <w:r w:rsidRPr="00877FA5">
              <w:t>Jodoin</w:t>
            </w:r>
            <w:proofErr w:type="spellEnd"/>
          </w:p>
        </w:tc>
      </w:tr>
      <w:tr w:rsidR="005C73F6" w:rsidRPr="000A3539" w14:paraId="78436A9B" w14:textId="77777777" w:rsidTr="00352837">
        <w:tc>
          <w:tcPr>
            <w:tcW w:w="9362" w:type="dxa"/>
            <w:gridSpan w:val="3"/>
          </w:tcPr>
          <w:p w14:paraId="71C39BF8" w14:textId="77777777" w:rsidR="00352837" w:rsidRPr="000A3539" w:rsidRDefault="00D76132" w:rsidP="00352837">
            <w:pPr>
              <w:pStyle w:val="zSoquijdatCabinetProcureurDem"/>
              <w:rPr>
                <w:caps/>
                <w:lang w:val="en-CA"/>
              </w:rPr>
            </w:pPr>
            <w:r w:rsidRPr="000A3539">
              <w:rPr>
                <w:caps/>
                <w:lang w:val="en-CA"/>
              </w:rPr>
              <w:t>Norton Rose Fulbright Canada</w:t>
            </w:r>
          </w:p>
        </w:tc>
      </w:tr>
      <w:tr w:rsidR="005C73F6" w:rsidRPr="000A3539" w14:paraId="2129B2EC" w14:textId="77777777" w:rsidTr="00352837">
        <w:tc>
          <w:tcPr>
            <w:tcW w:w="9362" w:type="dxa"/>
            <w:gridSpan w:val="3"/>
          </w:tcPr>
          <w:p w14:paraId="4D5DC3B4" w14:textId="3BB5ABB0" w:rsidR="00352837" w:rsidRPr="000A3539" w:rsidRDefault="00D76132" w:rsidP="00E66BBE">
            <w:pPr>
              <w:pStyle w:val="zSoquijdatNomProcureurDem"/>
              <w:rPr>
                <w:lang w:val="en-CA"/>
              </w:rPr>
            </w:pPr>
            <w:proofErr w:type="spellStart"/>
            <w:r w:rsidRPr="000A3539">
              <w:rPr>
                <w:lang w:val="en-CA"/>
              </w:rPr>
              <w:t>Mtre</w:t>
            </w:r>
            <w:proofErr w:type="spellEnd"/>
            <w:r w:rsidRPr="000A3539">
              <w:rPr>
                <w:lang w:val="en-CA"/>
              </w:rPr>
              <w:t xml:space="preserve"> Audrey </w:t>
            </w:r>
            <w:proofErr w:type="spellStart"/>
            <w:r w:rsidRPr="000A3539">
              <w:rPr>
                <w:lang w:val="en-CA"/>
              </w:rPr>
              <w:t>Boctor</w:t>
            </w:r>
            <w:proofErr w:type="spellEnd"/>
          </w:p>
        </w:tc>
      </w:tr>
      <w:tr w:rsidR="005C73F6" w:rsidRPr="000A3539" w14:paraId="4325BF84" w14:textId="77777777" w:rsidTr="00352837">
        <w:tc>
          <w:tcPr>
            <w:tcW w:w="9362" w:type="dxa"/>
            <w:gridSpan w:val="3"/>
          </w:tcPr>
          <w:p w14:paraId="57C1DC1A" w14:textId="77777777" w:rsidR="00352837" w:rsidRPr="000A3539" w:rsidRDefault="00D76132" w:rsidP="00352837">
            <w:pPr>
              <w:pStyle w:val="zSoquijdatCabinetProcureurDem"/>
              <w:rPr>
                <w:lang w:val="en-CA"/>
              </w:rPr>
            </w:pPr>
            <w:r w:rsidRPr="000A3539">
              <w:rPr>
                <w:lang w:val="en-CA"/>
              </w:rPr>
              <w:t xml:space="preserve">IMK </w:t>
            </w:r>
          </w:p>
        </w:tc>
      </w:tr>
      <w:tr w:rsidR="005C73F6" w:rsidRPr="000A3539" w14:paraId="64979CAB" w14:textId="77777777" w:rsidTr="00352837">
        <w:tc>
          <w:tcPr>
            <w:tcW w:w="9362" w:type="dxa"/>
            <w:gridSpan w:val="3"/>
            <w:tcBorders>
              <w:bottom w:val="nil"/>
            </w:tcBorders>
          </w:tcPr>
          <w:p w14:paraId="1A30FE47" w14:textId="50530B11" w:rsidR="00352837" w:rsidRPr="000A3539" w:rsidRDefault="00051FEB" w:rsidP="00051FEB">
            <w:pPr>
              <w:pStyle w:val="zSoquijlblProcureurDem"/>
              <w:rPr>
                <w:lang w:val="en-CA"/>
              </w:rPr>
            </w:pPr>
            <w:r>
              <w:rPr>
                <w:lang w:val="en-CA"/>
              </w:rPr>
              <w:t>F</w:t>
            </w:r>
            <w:r w:rsidR="00E66BBE" w:rsidRPr="000A3539">
              <w:rPr>
                <w:lang w:val="en-CA"/>
              </w:rPr>
              <w:t>or the appellant</w:t>
            </w:r>
          </w:p>
        </w:tc>
      </w:tr>
      <w:tr w:rsidR="005C73F6" w:rsidRPr="000A3539" w14:paraId="7D42A9EC" w14:textId="77777777" w:rsidTr="00352837">
        <w:tc>
          <w:tcPr>
            <w:tcW w:w="9362" w:type="dxa"/>
            <w:gridSpan w:val="3"/>
            <w:tcBorders>
              <w:top w:val="nil"/>
              <w:bottom w:val="nil"/>
            </w:tcBorders>
          </w:tcPr>
          <w:p w14:paraId="276232C6" w14:textId="77777777" w:rsidR="00352837" w:rsidRPr="000A3539" w:rsidRDefault="00352837" w:rsidP="00352837">
            <w:pPr>
              <w:rPr>
                <w:lang w:val="en-CA"/>
              </w:rPr>
            </w:pPr>
          </w:p>
        </w:tc>
      </w:tr>
      <w:tr w:rsidR="005C73F6" w:rsidRPr="000A3539" w14:paraId="7BEB22A1" w14:textId="77777777" w:rsidTr="00352837">
        <w:tc>
          <w:tcPr>
            <w:tcW w:w="9362" w:type="dxa"/>
            <w:gridSpan w:val="3"/>
            <w:tcBorders>
              <w:top w:val="nil"/>
            </w:tcBorders>
          </w:tcPr>
          <w:p w14:paraId="017DB454" w14:textId="05696498" w:rsidR="00352837" w:rsidRPr="00877FA5" w:rsidRDefault="00D76132" w:rsidP="00352837">
            <w:pPr>
              <w:pStyle w:val="zSoquijdatNomProcureurDef"/>
            </w:pPr>
            <w:proofErr w:type="spellStart"/>
            <w:r w:rsidRPr="00877FA5">
              <w:t>Mtre</w:t>
            </w:r>
            <w:proofErr w:type="spellEnd"/>
            <w:r w:rsidRPr="00877FA5">
              <w:t xml:space="preserve"> Stéphanie Fournier</w:t>
            </w:r>
          </w:p>
          <w:p w14:paraId="4E7BBC14" w14:textId="0D704967" w:rsidR="00352837" w:rsidRPr="00877FA5" w:rsidRDefault="00D76132" w:rsidP="00E66BBE">
            <w:pPr>
              <w:pStyle w:val="zSoquijdatNomProcureurDef"/>
            </w:pPr>
            <w:proofErr w:type="spellStart"/>
            <w:r w:rsidRPr="00877FA5">
              <w:t>Mtre</w:t>
            </w:r>
            <w:proofErr w:type="spellEnd"/>
            <w:r w:rsidRPr="00877FA5">
              <w:t xml:space="preserve"> Christine Campbell</w:t>
            </w:r>
          </w:p>
        </w:tc>
      </w:tr>
      <w:tr w:rsidR="005C73F6" w:rsidRPr="000A3539" w14:paraId="3CA2C40B" w14:textId="77777777" w:rsidTr="00352837">
        <w:tc>
          <w:tcPr>
            <w:tcW w:w="9362" w:type="dxa"/>
            <w:gridSpan w:val="3"/>
          </w:tcPr>
          <w:p w14:paraId="069C7E37" w14:textId="77777777" w:rsidR="00352837" w:rsidRPr="000A3539" w:rsidRDefault="00D76132" w:rsidP="00352837">
            <w:pPr>
              <w:pStyle w:val="zSoquijdatCabinetProcureurDef"/>
              <w:rPr>
                <w:caps/>
                <w:lang w:val="en-CA"/>
              </w:rPr>
            </w:pPr>
            <w:r w:rsidRPr="000A3539">
              <w:rPr>
                <w:caps/>
                <w:lang w:val="en-CA"/>
              </w:rPr>
              <w:t>Bitzakidis, Clément-Major</w:t>
            </w:r>
          </w:p>
        </w:tc>
      </w:tr>
      <w:tr w:rsidR="005C73F6" w:rsidRPr="000A3539" w14:paraId="1A88765F" w14:textId="77777777" w:rsidTr="00352837">
        <w:tc>
          <w:tcPr>
            <w:tcW w:w="9362" w:type="dxa"/>
            <w:gridSpan w:val="3"/>
          </w:tcPr>
          <w:p w14:paraId="4B47BF73" w14:textId="1CDC75BA" w:rsidR="00352837" w:rsidRPr="000A3539" w:rsidRDefault="00051FEB" w:rsidP="00051FEB">
            <w:pPr>
              <w:pStyle w:val="zSoquijlblProcureurDef"/>
              <w:rPr>
                <w:lang w:val="en-CA"/>
              </w:rPr>
            </w:pPr>
            <w:r>
              <w:rPr>
                <w:lang w:val="en-CA"/>
              </w:rPr>
              <w:t>F</w:t>
            </w:r>
            <w:r w:rsidR="00E66BBE" w:rsidRPr="000A3539">
              <w:rPr>
                <w:lang w:val="en-CA"/>
              </w:rPr>
              <w:t xml:space="preserve">or the </w:t>
            </w:r>
            <w:r w:rsidR="00D76132" w:rsidRPr="000A3539">
              <w:rPr>
                <w:lang w:val="en-CA"/>
              </w:rPr>
              <w:t>respondent</w:t>
            </w:r>
          </w:p>
        </w:tc>
      </w:tr>
      <w:tr w:rsidR="005C73F6" w:rsidRPr="000A3539" w14:paraId="13A97E36" w14:textId="77777777" w:rsidTr="00352837">
        <w:tc>
          <w:tcPr>
            <w:tcW w:w="9362" w:type="dxa"/>
            <w:gridSpan w:val="3"/>
            <w:tcBorders>
              <w:bottom w:val="nil"/>
            </w:tcBorders>
          </w:tcPr>
          <w:p w14:paraId="0031DAF4" w14:textId="77777777" w:rsidR="00352837" w:rsidRPr="000A3539" w:rsidRDefault="00352837" w:rsidP="00352837">
            <w:pPr>
              <w:rPr>
                <w:lang w:val="en-CA"/>
              </w:rPr>
            </w:pPr>
          </w:p>
        </w:tc>
      </w:tr>
      <w:tr w:rsidR="005C73F6" w:rsidRPr="0048686D" w14:paraId="1E2D2AFD" w14:textId="77777777" w:rsidTr="00352837">
        <w:tc>
          <w:tcPr>
            <w:tcW w:w="9362" w:type="dxa"/>
            <w:gridSpan w:val="3"/>
            <w:tcBorders>
              <w:top w:val="nil"/>
            </w:tcBorders>
          </w:tcPr>
          <w:p w14:paraId="685BA09A" w14:textId="00122989" w:rsidR="00352837" w:rsidRPr="000A3539" w:rsidRDefault="00D76132" w:rsidP="00E66BBE">
            <w:pPr>
              <w:pStyle w:val="zSoquijdatNomProcureurDef"/>
              <w:rPr>
                <w:lang w:val="en-CA"/>
              </w:rPr>
            </w:pPr>
            <w:proofErr w:type="spellStart"/>
            <w:r w:rsidRPr="000A3539">
              <w:rPr>
                <w:lang w:val="en-CA"/>
              </w:rPr>
              <w:t>Mtre</w:t>
            </w:r>
            <w:proofErr w:type="spellEnd"/>
            <w:r w:rsidRPr="000A3539">
              <w:rPr>
                <w:lang w:val="en-CA"/>
              </w:rPr>
              <w:t xml:space="preserve"> Katherine Sarah B. </w:t>
            </w:r>
            <w:proofErr w:type="spellStart"/>
            <w:r w:rsidRPr="000A3539">
              <w:rPr>
                <w:lang w:val="en-CA"/>
              </w:rPr>
              <w:t>Larouche</w:t>
            </w:r>
            <w:proofErr w:type="spellEnd"/>
          </w:p>
        </w:tc>
      </w:tr>
      <w:tr w:rsidR="005C73F6" w:rsidRPr="000A3539" w14:paraId="640D338B" w14:textId="77777777" w:rsidTr="00352837">
        <w:tc>
          <w:tcPr>
            <w:tcW w:w="9362" w:type="dxa"/>
            <w:gridSpan w:val="3"/>
          </w:tcPr>
          <w:p w14:paraId="45D6FF4E" w14:textId="77777777" w:rsidR="00352837" w:rsidRPr="000A3539" w:rsidRDefault="00D76132" w:rsidP="00352837">
            <w:pPr>
              <w:pStyle w:val="zSoquijdatCabinetProcureurDef"/>
              <w:rPr>
                <w:caps/>
                <w:lang w:val="en-CA"/>
              </w:rPr>
            </w:pPr>
            <w:r w:rsidRPr="000A3539">
              <w:rPr>
                <w:caps/>
                <w:lang w:val="en-CA"/>
              </w:rPr>
              <w:t xml:space="preserve">Philion Leblanc </w:t>
            </w:r>
          </w:p>
        </w:tc>
      </w:tr>
      <w:tr w:rsidR="005C73F6" w:rsidRPr="0048686D" w14:paraId="517B66E9" w14:textId="77777777" w:rsidTr="00352837">
        <w:tc>
          <w:tcPr>
            <w:tcW w:w="9362" w:type="dxa"/>
            <w:gridSpan w:val="3"/>
          </w:tcPr>
          <w:p w14:paraId="697F3E06" w14:textId="509D1F49" w:rsidR="00352837" w:rsidRPr="000A3539" w:rsidRDefault="00051FEB" w:rsidP="00051FEB">
            <w:pPr>
              <w:pStyle w:val="zSoquijlblProcureurDef"/>
              <w:rPr>
                <w:lang w:val="en-CA"/>
              </w:rPr>
            </w:pPr>
            <w:r>
              <w:rPr>
                <w:lang w:val="en-CA"/>
              </w:rPr>
              <w:t>F</w:t>
            </w:r>
            <w:r w:rsidR="00E66BBE" w:rsidRPr="000A3539">
              <w:rPr>
                <w:lang w:val="en-CA"/>
              </w:rPr>
              <w:t xml:space="preserve">or the </w:t>
            </w:r>
            <w:r w:rsidR="00D76132" w:rsidRPr="000A3539">
              <w:rPr>
                <w:lang w:val="en-CA"/>
              </w:rPr>
              <w:t>impleaded</w:t>
            </w:r>
            <w:r w:rsidR="00E66BBE" w:rsidRPr="000A3539">
              <w:rPr>
                <w:lang w:val="en-CA"/>
              </w:rPr>
              <w:t xml:space="preserve"> </w:t>
            </w:r>
            <w:r w:rsidR="00D76132" w:rsidRPr="000A3539">
              <w:rPr>
                <w:lang w:val="en-CA"/>
              </w:rPr>
              <w:t>party</w:t>
            </w:r>
          </w:p>
        </w:tc>
      </w:tr>
      <w:tr w:rsidR="005C73F6" w:rsidRPr="0048686D" w14:paraId="43CACDCD" w14:textId="77777777" w:rsidTr="00352837">
        <w:tc>
          <w:tcPr>
            <w:tcW w:w="9362" w:type="dxa"/>
            <w:gridSpan w:val="3"/>
          </w:tcPr>
          <w:p w14:paraId="0627E6B8" w14:textId="77777777" w:rsidR="00352837" w:rsidRPr="000A3539" w:rsidRDefault="00352837" w:rsidP="00352837">
            <w:pPr>
              <w:rPr>
                <w:lang w:val="en-CA"/>
              </w:rPr>
            </w:pPr>
          </w:p>
        </w:tc>
      </w:tr>
      <w:tr w:rsidR="005C73F6" w:rsidRPr="000A3539" w14:paraId="57AA2F8F" w14:textId="77777777" w:rsidTr="00352837">
        <w:tc>
          <w:tcPr>
            <w:tcW w:w="1997" w:type="dxa"/>
          </w:tcPr>
          <w:p w14:paraId="56460AB6" w14:textId="6653CA66" w:rsidR="00352837" w:rsidRPr="000A3539" w:rsidRDefault="00E66BBE" w:rsidP="00352837">
            <w:pPr>
              <w:pStyle w:val="zSoquijlblDateAudience"/>
              <w:rPr>
                <w:lang w:val="en-CA"/>
              </w:rPr>
            </w:pPr>
            <w:r w:rsidRPr="000A3539">
              <w:rPr>
                <w:lang w:val="en-CA"/>
              </w:rPr>
              <w:t>Date of hearing:</w:t>
            </w:r>
          </w:p>
        </w:tc>
        <w:tc>
          <w:tcPr>
            <w:tcW w:w="7365" w:type="dxa"/>
            <w:gridSpan w:val="2"/>
          </w:tcPr>
          <w:p w14:paraId="5815CEC5" w14:textId="37BD0C1A" w:rsidR="00352837" w:rsidRPr="000A3539" w:rsidRDefault="00D76132" w:rsidP="00E66BBE">
            <w:pPr>
              <w:pStyle w:val="zSoquijdatDateAudience"/>
              <w:rPr>
                <w:lang w:val="en-CA"/>
              </w:rPr>
            </w:pPr>
            <w:r w:rsidRPr="000A3539">
              <w:rPr>
                <w:lang w:val="en-CA"/>
              </w:rPr>
              <w:t>December</w:t>
            </w:r>
            <w:r w:rsidR="00E66BBE" w:rsidRPr="000A3539">
              <w:rPr>
                <w:lang w:val="en-CA"/>
              </w:rPr>
              <w:t xml:space="preserve"> 8,</w:t>
            </w:r>
            <w:r w:rsidRPr="000A3539">
              <w:rPr>
                <w:lang w:val="en-CA"/>
              </w:rPr>
              <w:t xml:space="preserve"> 2020</w:t>
            </w:r>
          </w:p>
        </w:tc>
      </w:tr>
      <w:bookmarkEnd w:id="7"/>
    </w:tbl>
    <w:p w14:paraId="36EF728B" w14:textId="77777777" w:rsidR="00352837" w:rsidRPr="000A3539" w:rsidRDefault="00352837" w:rsidP="00352837">
      <w:pPr>
        <w:rPr>
          <w:lang w:val="en-CA"/>
        </w:rPr>
      </w:pPr>
    </w:p>
    <w:sectPr w:rsidR="00352837" w:rsidRPr="000A3539" w:rsidSect="00352837">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BA26" w14:textId="77777777" w:rsidR="00E910B3" w:rsidRDefault="00E910B3">
      <w:pPr>
        <w:spacing w:line="240" w:lineRule="auto"/>
      </w:pPr>
      <w:r>
        <w:separator/>
      </w:r>
    </w:p>
  </w:endnote>
  <w:endnote w:type="continuationSeparator" w:id="0">
    <w:p w14:paraId="770518F4" w14:textId="77777777" w:rsidR="00E910B3" w:rsidRDefault="00E91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DD18" w14:textId="77777777" w:rsidR="00E910B3" w:rsidRDefault="00E910B3">
      <w:r>
        <w:separator/>
      </w:r>
    </w:p>
  </w:footnote>
  <w:footnote w:type="continuationSeparator" w:id="0">
    <w:p w14:paraId="78357209" w14:textId="77777777" w:rsidR="00E910B3" w:rsidRDefault="00E910B3">
      <w:r>
        <w:continuationSeparator/>
      </w:r>
    </w:p>
  </w:footnote>
  <w:footnote w:id="1">
    <w:p w14:paraId="76CD06F2" w14:textId="1EB55FE1" w:rsidR="002F298B" w:rsidRPr="00877FA5" w:rsidRDefault="002F298B">
      <w:pPr>
        <w:pStyle w:val="Notedebasdepage"/>
      </w:pPr>
      <w:r w:rsidRPr="000A3539">
        <w:rPr>
          <w:rStyle w:val="Appelnotedebasdep"/>
          <w:lang w:val="en-CA"/>
        </w:rPr>
        <w:footnoteRef/>
      </w:r>
      <w:r w:rsidRPr="00877FA5">
        <w:t xml:space="preserve"> </w:t>
      </w:r>
      <w:r w:rsidRPr="00877FA5">
        <w:tab/>
      </w:r>
      <w:r w:rsidRPr="00877FA5">
        <w:rPr>
          <w:i/>
        </w:rPr>
        <w:t xml:space="preserve">Commission des droits de la personne et des droits de la jeunesse (Beaudry et autres) c. Aluminerie de Bécancour </w:t>
      </w:r>
      <w:proofErr w:type="spellStart"/>
      <w:r w:rsidRPr="00877FA5">
        <w:rPr>
          <w:i/>
        </w:rPr>
        <w:t>inc.</w:t>
      </w:r>
      <w:proofErr w:type="spellEnd"/>
      <w:r w:rsidRPr="00877FA5">
        <w:t>, 2018 QCTDP 12 [</w:t>
      </w:r>
      <w:proofErr w:type="spellStart"/>
      <w:r w:rsidRPr="00877FA5">
        <w:t>Judgment</w:t>
      </w:r>
      <w:proofErr w:type="spellEnd"/>
      <w:r w:rsidRPr="00877FA5">
        <w:t xml:space="preserve"> </w:t>
      </w:r>
      <w:proofErr w:type="spellStart"/>
      <w:r w:rsidRPr="00877FA5">
        <w:t>under</w:t>
      </w:r>
      <w:proofErr w:type="spellEnd"/>
      <w:r w:rsidRPr="00877FA5">
        <w:t xml:space="preserve"> </w:t>
      </w:r>
      <w:proofErr w:type="spellStart"/>
      <w:r w:rsidRPr="00877FA5">
        <w:t>appeal</w:t>
      </w:r>
      <w:proofErr w:type="spellEnd"/>
      <w:r w:rsidRPr="00877FA5">
        <w:t>].</w:t>
      </w:r>
    </w:p>
  </w:footnote>
  <w:footnote w:id="2">
    <w:p w14:paraId="3290702B" w14:textId="09A35B04"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CB23CC">
        <w:rPr>
          <w:lang w:val="en-CA"/>
        </w:rPr>
        <w:t>,</w:t>
      </w:r>
      <w:r w:rsidRPr="000A3539">
        <w:rPr>
          <w:lang w:val="en-CA"/>
        </w:rPr>
        <w:t xml:space="preserve"> para. 3.</w:t>
      </w:r>
    </w:p>
  </w:footnote>
  <w:footnote w:id="3">
    <w:p w14:paraId="6A2BFE01" w14:textId="7A636F9F" w:rsidR="002F298B" w:rsidRPr="000A3539" w:rsidRDefault="002F298B">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Charter of </w:t>
      </w:r>
      <w:r>
        <w:rPr>
          <w:i/>
          <w:lang w:val="en-CA"/>
        </w:rPr>
        <w:t>H</w:t>
      </w:r>
      <w:r w:rsidRPr="000A3539">
        <w:rPr>
          <w:i/>
          <w:lang w:val="en-CA"/>
        </w:rPr>
        <w:t xml:space="preserve">uman </w:t>
      </w:r>
      <w:r>
        <w:rPr>
          <w:i/>
          <w:lang w:val="en-CA"/>
        </w:rPr>
        <w:t>R</w:t>
      </w:r>
      <w:r w:rsidRPr="000A3539">
        <w:rPr>
          <w:i/>
          <w:lang w:val="en-CA"/>
        </w:rPr>
        <w:t xml:space="preserve">ights and </w:t>
      </w:r>
      <w:r>
        <w:rPr>
          <w:i/>
          <w:lang w:val="en-CA"/>
        </w:rPr>
        <w:t>F</w:t>
      </w:r>
      <w:r w:rsidRPr="000A3539">
        <w:rPr>
          <w:i/>
          <w:lang w:val="en-CA"/>
        </w:rPr>
        <w:t>reedoms</w:t>
      </w:r>
      <w:r w:rsidRPr="000A3539">
        <w:rPr>
          <w:lang w:val="en-CA"/>
        </w:rPr>
        <w:t xml:space="preserve">, CQLR c. C-12 [Quebec </w:t>
      </w:r>
      <w:r w:rsidRPr="000A3539">
        <w:rPr>
          <w:i/>
          <w:lang w:val="en-CA"/>
        </w:rPr>
        <w:t>Charter</w:t>
      </w:r>
      <w:r w:rsidRPr="000A3539">
        <w:rPr>
          <w:lang w:val="en-CA"/>
        </w:rPr>
        <w:t>].</w:t>
      </w:r>
    </w:p>
  </w:footnote>
  <w:footnote w:id="4">
    <w:p w14:paraId="34BC6B25" w14:textId="53BE20AB"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CB23CC">
        <w:rPr>
          <w:lang w:val="en-CA"/>
        </w:rPr>
        <w:t>,</w:t>
      </w:r>
      <w:r w:rsidRPr="000A3539">
        <w:rPr>
          <w:lang w:val="en-CA"/>
        </w:rPr>
        <w:t xml:space="preserve"> para. 20.</w:t>
      </w:r>
    </w:p>
  </w:footnote>
  <w:footnote w:id="5">
    <w:p w14:paraId="3B672ACE" w14:textId="12260F49" w:rsidR="002F298B" w:rsidRPr="000A3539" w:rsidRDefault="002F298B" w:rsidP="00352837">
      <w:pPr>
        <w:pStyle w:val="Notedebasdepage"/>
        <w:ind w:left="357" w:hanging="357"/>
        <w:rPr>
          <w:rFonts w:ascii="ArialMT" w:hAnsi="ArialMT" w:cs="ArialMT"/>
          <w:szCs w:val="24"/>
          <w:lang w:val="en-CA" w:eastAsia="fr-CA"/>
        </w:rPr>
      </w:pPr>
      <w:r w:rsidRPr="000A3539">
        <w:rPr>
          <w:rStyle w:val="Appelnotedebasdep"/>
          <w:lang w:val="en-CA"/>
        </w:rPr>
        <w:footnoteRef/>
      </w:r>
      <w:r w:rsidRPr="000A3539">
        <w:rPr>
          <w:lang w:val="en-CA"/>
        </w:rPr>
        <w:t xml:space="preserve"> </w:t>
      </w:r>
      <w:r w:rsidRPr="000A3539">
        <w:rPr>
          <w:lang w:val="en-CA"/>
        </w:rPr>
        <w:tab/>
        <w:t xml:space="preserve">Exceptionally, some of them have worked during other periods. Testimony of Annie Dubois, March 20, 2017, </w:t>
      </w:r>
      <w:r w:rsidR="00CB23CC">
        <w:rPr>
          <w:lang w:val="en-CA"/>
        </w:rPr>
        <w:t>p.</w:t>
      </w:r>
      <w:r w:rsidRPr="000A3539">
        <w:rPr>
          <w:lang w:val="en-CA"/>
        </w:rPr>
        <w:t> 122. See also: Exhibit </w:t>
      </w:r>
      <w:r w:rsidRPr="000A3539">
        <w:rPr>
          <w:rFonts w:ascii="ArialMT" w:hAnsi="ArialMT" w:cs="ArialMT"/>
          <w:szCs w:val="24"/>
          <w:lang w:val="en-CA" w:eastAsia="fr-CA"/>
        </w:rPr>
        <w:t xml:space="preserve">D-9, Letter dated January 31, 2011, from Ms. </w:t>
      </w:r>
      <w:proofErr w:type="spellStart"/>
      <w:r w:rsidRPr="000A3539">
        <w:rPr>
          <w:rFonts w:ascii="ArialMT" w:hAnsi="ArialMT" w:cs="ArialMT"/>
          <w:szCs w:val="24"/>
          <w:lang w:val="en-CA" w:eastAsia="fr-CA"/>
        </w:rPr>
        <w:t>Bastien</w:t>
      </w:r>
      <w:proofErr w:type="spellEnd"/>
      <w:r w:rsidRPr="000A3539">
        <w:rPr>
          <w:rFonts w:ascii="ArialMT" w:hAnsi="ArialMT" w:cs="ArialMT"/>
          <w:szCs w:val="24"/>
          <w:lang w:val="en-CA" w:eastAsia="fr-CA"/>
        </w:rPr>
        <w:t xml:space="preserve"> to Mr. Masse, in which the appellant ask</w:t>
      </w:r>
      <w:r w:rsidR="00CB23CC">
        <w:rPr>
          <w:rFonts w:ascii="ArialMT" w:hAnsi="ArialMT" w:cs="ArialMT"/>
          <w:szCs w:val="24"/>
          <w:lang w:val="en-CA" w:eastAsia="fr-CA"/>
        </w:rPr>
        <w:t>ed</w:t>
      </w:r>
      <w:r w:rsidRPr="000A3539">
        <w:rPr>
          <w:rFonts w:ascii="ArialMT" w:hAnsi="ArialMT" w:cs="ArialMT"/>
          <w:szCs w:val="24"/>
          <w:lang w:val="en-CA" w:eastAsia="fr-CA"/>
        </w:rPr>
        <w:t xml:space="preserve"> to have the students work outside of the periods provided for, to which the impleaded party answered, [</w:t>
      </w:r>
      <w:r w:rsidRPr="000A3539">
        <w:rPr>
          <w:rFonts w:ascii="ArialMT" w:hAnsi="ArialMT" w:cs="ArialMT"/>
          <w:smallCaps/>
          <w:szCs w:val="24"/>
          <w:lang w:val="en-CA" w:eastAsia="fr-CA"/>
        </w:rPr>
        <w:t>translation</w:t>
      </w:r>
      <w:r w:rsidRPr="000A3539">
        <w:rPr>
          <w:rFonts w:ascii="ArialMT" w:hAnsi="ArialMT" w:cs="ArialMT"/>
          <w:szCs w:val="24"/>
          <w:lang w:val="en-CA" w:eastAsia="fr-CA"/>
        </w:rPr>
        <w:t xml:space="preserve">] “every year you make the same request again concerning the use of the students” (Exhibit D-10, Letter dated February 1, 2011, Mr. Masse’s answer to Ms. </w:t>
      </w:r>
      <w:proofErr w:type="spellStart"/>
      <w:r w:rsidRPr="000A3539">
        <w:rPr>
          <w:rFonts w:ascii="ArialMT" w:hAnsi="ArialMT" w:cs="ArialMT"/>
          <w:szCs w:val="24"/>
          <w:lang w:val="en-CA" w:eastAsia="fr-CA"/>
        </w:rPr>
        <w:t>Bastien</w:t>
      </w:r>
      <w:proofErr w:type="spellEnd"/>
      <w:r w:rsidR="00CB23CC">
        <w:rPr>
          <w:rFonts w:ascii="ArialMT" w:hAnsi="ArialMT" w:cs="ArialMT"/>
          <w:szCs w:val="24"/>
          <w:lang w:val="en-CA" w:eastAsia="fr-CA"/>
        </w:rPr>
        <w:t>,</w:t>
      </w:r>
      <w:r w:rsidRPr="000A3539">
        <w:rPr>
          <w:rFonts w:ascii="ArialMT" w:hAnsi="ArialMT" w:cs="ArialMT"/>
          <w:szCs w:val="24"/>
          <w:lang w:val="en-CA" w:eastAsia="fr-CA"/>
        </w:rPr>
        <w:t xml:space="preserve"> </w:t>
      </w:r>
      <w:r w:rsidR="00CB23CC">
        <w:rPr>
          <w:rFonts w:ascii="ArialMT" w:hAnsi="ArialMT" w:cs="ArialMT"/>
          <w:szCs w:val="24"/>
          <w:lang w:val="en-CA" w:eastAsia="fr-CA"/>
        </w:rPr>
        <w:t>pp.</w:t>
      </w:r>
      <w:r w:rsidRPr="000A3539">
        <w:rPr>
          <w:rFonts w:ascii="ArialMT" w:hAnsi="ArialMT" w:cs="ArialMT"/>
          <w:szCs w:val="24"/>
          <w:lang w:val="en-CA" w:eastAsia="fr-CA"/>
        </w:rPr>
        <w:t xml:space="preserve"> 1–2 of the </w:t>
      </w:r>
      <w:proofErr w:type="spellStart"/>
      <w:r w:rsidRPr="000A3539">
        <w:rPr>
          <w:rFonts w:ascii="ArialMT" w:hAnsi="ArialMT" w:cs="ArialMT"/>
          <w:szCs w:val="24"/>
          <w:lang w:val="en-CA" w:eastAsia="fr-CA"/>
        </w:rPr>
        <w:t>unpaginated</w:t>
      </w:r>
      <w:proofErr w:type="spellEnd"/>
      <w:r w:rsidRPr="000A3539">
        <w:rPr>
          <w:rFonts w:ascii="ArialMT" w:hAnsi="ArialMT" w:cs="ArialMT"/>
          <w:szCs w:val="24"/>
          <w:lang w:val="en-CA" w:eastAsia="fr-CA"/>
        </w:rPr>
        <w:t xml:space="preserve"> exhibit).</w:t>
      </w:r>
    </w:p>
  </w:footnote>
  <w:footnote w:id="6">
    <w:p w14:paraId="7FE1FBCC" w14:textId="5925248E"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Testimony of Annie Dubois, March 20, 2017</w:t>
      </w:r>
      <w:r w:rsidR="008E4055">
        <w:rPr>
          <w:lang w:val="en-CA"/>
        </w:rPr>
        <w:t>,</w:t>
      </w:r>
      <w:r w:rsidRPr="000A3539">
        <w:rPr>
          <w:lang w:val="en-CA"/>
        </w:rPr>
        <w:t xml:space="preserve"> </w:t>
      </w:r>
      <w:r w:rsidR="008E4055">
        <w:rPr>
          <w:lang w:val="en-CA"/>
        </w:rPr>
        <w:t>pp.</w:t>
      </w:r>
      <w:r w:rsidRPr="000A3539">
        <w:rPr>
          <w:lang w:val="en-CA"/>
        </w:rPr>
        <w:t> 60–67.</w:t>
      </w:r>
    </w:p>
  </w:footnote>
  <w:footnote w:id="7">
    <w:p w14:paraId="1B85AE95" w14:textId="00F84EE8"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 xml:space="preserve">Re-amended brief of the defendant </w:t>
      </w:r>
      <w:proofErr w:type="spellStart"/>
      <w:r w:rsidRPr="000A3539">
        <w:rPr>
          <w:lang w:val="en-CA"/>
        </w:rPr>
        <w:t>Aluminerie</w:t>
      </w:r>
      <w:proofErr w:type="spellEnd"/>
      <w:r w:rsidRPr="000A3539">
        <w:rPr>
          <w:lang w:val="en-CA"/>
        </w:rPr>
        <w:t xml:space="preserve"> </w:t>
      </w:r>
      <w:proofErr w:type="spellStart"/>
      <w:r w:rsidRPr="000A3539">
        <w:rPr>
          <w:lang w:val="en-CA"/>
        </w:rPr>
        <w:t>Bécancour</w:t>
      </w:r>
      <w:proofErr w:type="spellEnd"/>
      <w:r w:rsidRPr="000A3539">
        <w:rPr>
          <w:lang w:val="en-CA"/>
        </w:rPr>
        <w:t xml:space="preserve"> </w:t>
      </w:r>
      <w:proofErr w:type="spellStart"/>
      <w:r w:rsidRPr="000A3539">
        <w:rPr>
          <w:lang w:val="en-CA"/>
        </w:rPr>
        <w:t>inc.</w:t>
      </w:r>
      <w:proofErr w:type="spellEnd"/>
      <w:r w:rsidRPr="000A3539">
        <w:rPr>
          <w:lang w:val="en-CA"/>
        </w:rPr>
        <w:t xml:space="preserve">, July 6, 2017, </w:t>
      </w:r>
      <w:r w:rsidR="00BD454F">
        <w:rPr>
          <w:lang w:val="en-CA"/>
        </w:rPr>
        <w:t>p.</w:t>
      </w:r>
      <w:r w:rsidRPr="000A3539">
        <w:rPr>
          <w:lang w:val="en-CA"/>
        </w:rPr>
        <w:t xml:space="preserve"> 3, para. 17.</w:t>
      </w:r>
    </w:p>
  </w:footnote>
  <w:footnote w:id="8">
    <w:p w14:paraId="72874C23" w14:textId="4AFF9B48"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Table D-21B, Amended c</w:t>
      </w:r>
      <w:r w:rsidRPr="000A3539">
        <w:rPr>
          <w:rFonts w:cs="Arial"/>
          <w:color w:val="000000"/>
          <w:lang w:val="en-CA"/>
        </w:rPr>
        <w:t>omparative table of tasks performed by regulars vs. students vs. casuals</w:t>
      </w:r>
      <w:r w:rsidR="00BD454F">
        <w:rPr>
          <w:rFonts w:cs="Arial"/>
          <w:color w:val="000000"/>
          <w:lang w:val="en-CA"/>
        </w:rPr>
        <w:t>,</w:t>
      </w:r>
      <w:r w:rsidRPr="000A3539">
        <w:rPr>
          <w:rFonts w:cs="Arial"/>
          <w:color w:val="000000"/>
          <w:lang w:val="en-CA"/>
        </w:rPr>
        <w:t xml:space="preserve"> </w:t>
      </w:r>
      <w:r w:rsidR="00BD454F">
        <w:rPr>
          <w:rFonts w:cs="Arial"/>
          <w:color w:val="000000"/>
          <w:lang w:val="en-CA"/>
        </w:rPr>
        <w:t>p.</w:t>
      </w:r>
      <w:r w:rsidRPr="000A3539">
        <w:rPr>
          <w:lang w:val="en-CA"/>
        </w:rPr>
        <w:t> 1–15; Judgment under appeal</w:t>
      </w:r>
      <w:r w:rsidR="00423EE9">
        <w:rPr>
          <w:lang w:val="en-CA"/>
        </w:rPr>
        <w:t>,</w:t>
      </w:r>
      <w:r w:rsidRPr="000A3539">
        <w:rPr>
          <w:lang w:val="en-CA"/>
        </w:rPr>
        <w:t xml:space="preserve"> </w:t>
      </w:r>
      <w:r w:rsidR="00463C58">
        <w:rPr>
          <w:lang w:val="en-CA"/>
        </w:rPr>
        <w:t>pp.</w:t>
      </w:r>
      <w:r w:rsidRPr="000A3539">
        <w:rPr>
          <w:lang w:val="en-CA"/>
        </w:rPr>
        <w:t xml:space="preserve"> paras. 63–214.</w:t>
      </w:r>
    </w:p>
  </w:footnote>
  <w:footnote w:id="9">
    <w:p w14:paraId="4B80DBE4" w14:textId="33EC9D5C"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 xml:space="preserve">Testimony of Clément Masse, November 17, 2016, </w:t>
      </w:r>
      <w:proofErr w:type="spellStart"/>
      <w:r w:rsidR="007935BA">
        <w:rPr>
          <w:lang w:val="en-CA"/>
        </w:rPr>
        <w:t>pé</w:t>
      </w:r>
      <w:proofErr w:type="spellEnd"/>
      <w:r w:rsidRPr="000A3539">
        <w:rPr>
          <w:lang w:val="en-CA"/>
        </w:rPr>
        <w:t> 109; Judgment under appeal</w:t>
      </w:r>
      <w:r w:rsidR="004E01D0">
        <w:rPr>
          <w:lang w:val="en-CA"/>
        </w:rPr>
        <w:t>,</w:t>
      </w:r>
      <w:r w:rsidRPr="000A3539">
        <w:rPr>
          <w:lang w:val="en-CA"/>
        </w:rPr>
        <w:t xml:space="preserve"> paras. 56–57.</w:t>
      </w:r>
    </w:p>
  </w:footnote>
  <w:footnote w:id="10">
    <w:p w14:paraId="2980995D" w14:textId="175D9C61"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Exhibit </w:t>
      </w:r>
      <w:r w:rsidRPr="000A3539">
        <w:rPr>
          <w:rFonts w:ascii="ArialMT" w:hAnsi="ArialMT" w:cs="ArialMT"/>
          <w:szCs w:val="24"/>
          <w:lang w:val="en-CA" w:eastAsia="fr-CA"/>
        </w:rPr>
        <w:t>D-30, Excerpt from the 1994–2000 Collective Agreement, Letter of Understanding – Students</w:t>
      </w:r>
      <w:r w:rsidR="0063058E">
        <w:rPr>
          <w:rFonts w:ascii="ArialMT" w:hAnsi="ArialMT" w:cs="ArialMT"/>
          <w:szCs w:val="24"/>
          <w:lang w:val="en-CA" w:eastAsia="fr-CA"/>
        </w:rPr>
        <w:t>,</w:t>
      </w:r>
      <w:r w:rsidRPr="000A3539">
        <w:rPr>
          <w:rFonts w:ascii="ArialMT" w:hAnsi="ArialMT" w:cs="ArialMT"/>
          <w:szCs w:val="24"/>
          <w:lang w:val="en-CA" w:eastAsia="fr-CA"/>
        </w:rPr>
        <w:t xml:space="preserve"> </w:t>
      </w:r>
      <w:r w:rsidR="0063058E">
        <w:rPr>
          <w:rFonts w:ascii="ArialMT" w:hAnsi="ArialMT" w:cs="ArialMT"/>
          <w:szCs w:val="24"/>
          <w:lang w:val="en-CA" w:eastAsia="fr-CA"/>
        </w:rPr>
        <w:t>p.</w:t>
      </w:r>
      <w:r w:rsidRPr="000A3539">
        <w:rPr>
          <w:rFonts w:ascii="ArialMT" w:hAnsi="ArialMT" w:cs="ArialMT"/>
          <w:szCs w:val="24"/>
          <w:lang w:val="en-CA" w:eastAsia="fr-CA"/>
        </w:rPr>
        <w:t xml:space="preserve"> 98.</w:t>
      </w:r>
    </w:p>
  </w:footnote>
  <w:footnote w:id="11">
    <w:p w14:paraId="45884EF7" w14:textId="7D44F36D"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Exhibit </w:t>
      </w:r>
      <w:r w:rsidRPr="000A3539">
        <w:rPr>
          <w:rFonts w:ascii="ArialMT" w:hAnsi="ArialMT" w:cs="ArialMT"/>
          <w:szCs w:val="24"/>
          <w:lang w:val="en-CA" w:eastAsia="fr-CA"/>
        </w:rPr>
        <w:t>D-30A, 1994–2000 Collective Agreement (small agreement booklet), Schedule I</w:t>
      </w:r>
      <w:r w:rsidR="007407F7">
        <w:rPr>
          <w:rFonts w:ascii="ArialMT" w:hAnsi="ArialMT" w:cs="ArialMT"/>
          <w:szCs w:val="24"/>
          <w:lang w:val="en-CA" w:eastAsia="fr-CA"/>
        </w:rPr>
        <w:t>,</w:t>
      </w:r>
      <w:r w:rsidRPr="000A3539">
        <w:rPr>
          <w:rFonts w:ascii="ArialMT" w:hAnsi="ArialMT" w:cs="ArialMT"/>
          <w:szCs w:val="24"/>
          <w:lang w:val="en-CA" w:eastAsia="fr-CA"/>
        </w:rPr>
        <w:t xml:space="preserve"> </w:t>
      </w:r>
      <w:r w:rsidR="007407F7">
        <w:rPr>
          <w:rFonts w:ascii="ArialMT" w:hAnsi="ArialMT" w:cs="ArialMT"/>
          <w:szCs w:val="24"/>
          <w:lang w:val="en-CA" w:eastAsia="fr-CA"/>
        </w:rPr>
        <w:t>pp.</w:t>
      </w:r>
      <w:r w:rsidR="007407F7" w:rsidRPr="000A3539">
        <w:rPr>
          <w:rFonts w:ascii="ArialMT" w:hAnsi="ArialMT" w:cs="ArialMT"/>
          <w:szCs w:val="24"/>
          <w:lang w:val="en-CA" w:eastAsia="fr-CA"/>
        </w:rPr>
        <w:t xml:space="preserve"> </w:t>
      </w:r>
      <w:r w:rsidRPr="000A3539">
        <w:rPr>
          <w:rFonts w:ascii="ArialMT" w:hAnsi="ArialMT" w:cs="ArialMT"/>
          <w:szCs w:val="24"/>
          <w:lang w:val="en-CA" w:eastAsia="fr-CA"/>
        </w:rPr>
        <w:t>80–81.</w:t>
      </w:r>
    </w:p>
  </w:footnote>
  <w:footnote w:id="12">
    <w:p w14:paraId="194A2CD4" w14:textId="593B93A8"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 xml:space="preserve">Testimony of Clément Masse, November 17, 2016, </w:t>
      </w:r>
      <w:r w:rsidR="00FA6352">
        <w:rPr>
          <w:lang w:val="en-CA"/>
        </w:rPr>
        <w:t>pp.</w:t>
      </w:r>
      <w:r w:rsidRPr="000A3539">
        <w:rPr>
          <w:lang w:val="en-CA"/>
        </w:rPr>
        <w:t xml:space="preserve"> 109–110.</w:t>
      </w:r>
    </w:p>
  </w:footnote>
  <w:footnote w:id="13">
    <w:p w14:paraId="4DA6855A" w14:textId="5D9C85FF"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 xml:space="preserve">Testimony of Pierre Champagne, April 3, 2017, </w:t>
      </w:r>
      <w:r w:rsidR="00917D61">
        <w:rPr>
          <w:lang w:val="en-CA"/>
        </w:rPr>
        <w:t>pp.</w:t>
      </w:r>
      <w:r w:rsidRPr="000A3539">
        <w:rPr>
          <w:lang w:val="en-CA"/>
        </w:rPr>
        <w:t xml:space="preserve"> 17–19.</w:t>
      </w:r>
    </w:p>
  </w:footnote>
  <w:footnote w:id="14">
    <w:p w14:paraId="08569A5A" w14:textId="5BB6A4C1"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B42E91">
        <w:rPr>
          <w:lang w:val="en-CA"/>
        </w:rPr>
        <w:t>,</w:t>
      </w:r>
      <w:r w:rsidRPr="000A3539">
        <w:rPr>
          <w:lang w:val="en-CA"/>
        </w:rPr>
        <w:t xml:space="preserve"> </w:t>
      </w:r>
      <w:r w:rsidR="00B42E91">
        <w:rPr>
          <w:lang w:val="en-CA"/>
        </w:rPr>
        <w:t>p.</w:t>
      </w:r>
      <w:r w:rsidRPr="000A3539">
        <w:rPr>
          <w:lang w:val="en-CA"/>
        </w:rPr>
        <w:t xml:space="preserve"> 19.</w:t>
      </w:r>
    </w:p>
  </w:footnote>
  <w:footnote w:id="15">
    <w:p w14:paraId="7D6C1B33" w14:textId="08DB7A40"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C3FAF">
        <w:rPr>
          <w:lang w:val="en-CA"/>
        </w:rPr>
        <w:t>,</w:t>
      </w:r>
      <w:r w:rsidRPr="000A3539">
        <w:rPr>
          <w:lang w:val="en-CA"/>
        </w:rPr>
        <w:t xml:space="preserve"> para. 402.</w:t>
      </w:r>
    </w:p>
  </w:footnote>
  <w:footnote w:id="16">
    <w:p w14:paraId="375C6FAF" w14:textId="66ED9F92"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Exhibit </w:t>
      </w:r>
      <w:r w:rsidRPr="000A3539">
        <w:rPr>
          <w:rFonts w:ascii="ArialMT" w:hAnsi="ArialMT" w:cs="ArialMT"/>
          <w:szCs w:val="24"/>
          <w:lang w:val="en-CA" w:eastAsia="fr-CA"/>
        </w:rPr>
        <w:t>D-33, Collective Agreement (2000-2004) (booklet), Letter of Understanding – Students</w:t>
      </w:r>
      <w:r w:rsidR="003D77D5">
        <w:rPr>
          <w:rFonts w:ascii="ArialMT" w:hAnsi="ArialMT" w:cs="ArialMT"/>
          <w:szCs w:val="24"/>
          <w:lang w:val="en-CA" w:eastAsia="fr-CA"/>
        </w:rPr>
        <w:t>,</w:t>
      </w:r>
      <w:r w:rsidRPr="000A3539">
        <w:rPr>
          <w:rFonts w:ascii="ArialMT" w:hAnsi="ArialMT" w:cs="ArialMT"/>
          <w:szCs w:val="24"/>
          <w:lang w:val="en-CA" w:eastAsia="fr-CA"/>
        </w:rPr>
        <w:t xml:space="preserve"> </w:t>
      </w:r>
      <w:r w:rsidR="003D77D5">
        <w:rPr>
          <w:rFonts w:ascii="ArialMT" w:hAnsi="ArialMT" w:cs="ArialMT"/>
          <w:szCs w:val="24"/>
          <w:lang w:val="en-CA" w:eastAsia="fr-CA"/>
        </w:rPr>
        <w:t>p.</w:t>
      </w:r>
      <w:r w:rsidRPr="000A3539">
        <w:rPr>
          <w:rFonts w:ascii="ArialMT" w:hAnsi="ArialMT" w:cs="ArialMT"/>
          <w:szCs w:val="24"/>
          <w:lang w:val="en-CA" w:eastAsia="fr-CA"/>
        </w:rPr>
        <w:t xml:space="preserve"> 132.</w:t>
      </w:r>
    </w:p>
  </w:footnote>
  <w:footnote w:id="17">
    <w:p w14:paraId="703565A9" w14:textId="450F9854"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Testimony of Clément Masse, November 17, 2016, Submissions</w:t>
      </w:r>
      <w:r w:rsidR="005E428E">
        <w:rPr>
          <w:lang w:val="en-CA"/>
        </w:rPr>
        <w:t>,</w:t>
      </w:r>
      <w:r w:rsidRPr="000A3539">
        <w:rPr>
          <w:lang w:val="en-CA"/>
        </w:rPr>
        <w:t xml:space="preserve"> </w:t>
      </w:r>
      <w:r w:rsidR="005E428E">
        <w:rPr>
          <w:lang w:val="en-CA"/>
        </w:rPr>
        <w:t>pp.</w:t>
      </w:r>
      <w:r w:rsidRPr="000A3539">
        <w:rPr>
          <w:lang w:val="en-CA"/>
        </w:rPr>
        <w:t xml:space="preserve"> 191–192.</w:t>
      </w:r>
    </w:p>
  </w:footnote>
  <w:footnote w:id="18">
    <w:p w14:paraId="4B8A0379" w14:textId="22801093"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5E428E">
        <w:rPr>
          <w:lang w:val="en-CA"/>
        </w:rPr>
        <w:t>,</w:t>
      </w:r>
      <w:r w:rsidRPr="000A3539">
        <w:rPr>
          <w:lang w:val="en-CA"/>
        </w:rPr>
        <w:t xml:space="preserve"> para. 485; Testimony of Clément Masse, November 17, 2016, Submissions</w:t>
      </w:r>
      <w:r w:rsidR="005E428E">
        <w:rPr>
          <w:lang w:val="en-CA"/>
        </w:rPr>
        <w:t>,</w:t>
      </w:r>
      <w:r w:rsidRPr="000A3539">
        <w:rPr>
          <w:lang w:val="en-CA"/>
        </w:rPr>
        <w:t xml:space="preserve"> </w:t>
      </w:r>
      <w:r w:rsidR="005E428E">
        <w:rPr>
          <w:lang w:val="en-CA"/>
        </w:rPr>
        <w:t>pp.</w:t>
      </w:r>
      <w:r w:rsidRPr="000A3539">
        <w:rPr>
          <w:lang w:val="en-CA"/>
        </w:rPr>
        <w:t xml:space="preserve"> 197–204; Exhibit IN-3, </w:t>
      </w:r>
      <w:r w:rsidRPr="000A3539">
        <w:rPr>
          <w:rFonts w:cs="Arial"/>
          <w:color w:val="000000"/>
          <w:lang w:val="en-CA"/>
        </w:rPr>
        <w:t xml:space="preserve">Collective Labour Agreement between the </w:t>
      </w:r>
      <w:proofErr w:type="spellStart"/>
      <w:r w:rsidRPr="000A3539">
        <w:rPr>
          <w:rFonts w:cs="Arial"/>
          <w:color w:val="000000"/>
          <w:lang w:val="en-CA"/>
        </w:rPr>
        <w:t>Aluminerie</w:t>
      </w:r>
      <w:proofErr w:type="spellEnd"/>
      <w:r w:rsidRPr="000A3539">
        <w:rPr>
          <w:rFonts w:cs="Arial"/>
          <w:color w:val="000000"/>
          <w:lang w:val="en-CA"/>
        </w:rPr>
        <w:t xml:space="preserve"> de </w:t>
      </w:r>
      <w:proofErr w:type="spellStart"/>
      <w:r w:rsidRPr="000A3539">
        <w:rPr>
          <w:rFonts w:cs="Arial"/>
          <w:color w:val="000000"/>
          <w:lang w:val="en-CA"/>
        </w:rPr>
        <w:t>Bécancour</w:t>
      </w:r>
      <w:proofErr w:type="spellEnd"/>
      <w:r w:rsidRPr="000A3539">
        <w:rPr>
          <w:rFonts w:cs="Arial"/>
          <w:color w:val="000000"/>
          <w:lang w:val="en-CA"/>
        </w:rPr>
        <w:t xml:space="preserve"> Inc. and the </w:t>
      </w:r>
      <w:proofErr w:type="spellStart"/>
      <w:r w:rsidRPr="000A3539">
        <w:rPr>
          <w:rFonts w:cs="Arial"/>
          <w:color w:val="000000"/>
          <w:lang w:val="en-CA"/>
        </w:rPr>
        <w:t>Syndicat</w:t>
      </w:r>
      <w:proofErr w:type="spellEnd"/>
      <w:r w:rsidRPr="000A3539">
        <w:rPr>
          <w:rFonts w:cs="Arial"/>
          <w:color w:val="000000"/>
          <w:lang w:val="en-CA"/>
        </w:rPr>
        <w:t xml:space="preserve"> des </w:t>
      </w:r>
      <w:proofErr w:type="spellStart"/>
      <w:r w:rsidRPr="000A3539">
        <w:rPr>
          <w:rFonts w:cs="Arial"/>
          <w:color w:val="000000"/>
          <w:lang w:val="en-CA"/>
        </w:rPr>
        <w:t>métallos</w:t>
      </w:r>
      <w:proofErr w:type="spellEnd"/>
      <w:r w:rsidRPr="000A3539">
        <w:rPr>
          <w:rFonts w:cs="Arial"/>
          <w:color w:val="000000"/>
          <w:lang w:val="en-CA"/>
        </w:rPr>
        <w:t>, Local 9700 – Operations and Maintenance (2009 – 2012), </w:t>
      </w:r>
      <w:r w:rsidRPr="000A3539">
        <w:rPr>
          <w:lang w:val="en-CA"/>
        </w:rPr>
        <w:t>Letter of Understanding</w:t>
      </w:r>
      <w:r w:rsidR="009A4B7C">
        <w:rPr>
          <w:lang w:val="en-CA"/>
        </w:rPr>
        <w:t>,</w:t>
      </w:r>
      <w:r w:rsidRPr="000A3539">
        <w:rPr>
          <w:lang w:val="en-CA"/>
        </w:rPr>
        <w:t xml:space="preserve"> </w:t>
      </w:r>
      <w:r w:rsidR="009A4B7C">
        <w:rPr>
          <w:lang w:val="en-CA"/>
        </w:rPr>
        <w:t>pp.</w:t>
      </w:r>
      <w:r w:rsidRPr="000A3539">
        <w:rPr>
          <w:lang w:val="en-CA"/>
        </w:rPr>
        <w:t xml:space="preserve"> 142–143.</w:t>
      </w:r>
    </w:p>
  </w:footnote>
  <w:footnote w:id="19">
    <w:p w14:paraId="08B41533" w14:textId="2608AAA6"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895B66">
        <w:rPr>
          <w:lang w:val="en-CA"/>
        </w:rPr>
        <w:t>,</w:t>
      </w:r>
      <w:r w:rsidRPr="000A3539">
        <w:rPr>
          <w:lang w:val="en-CA"/>
        </w:rPr>
        <w:t xml:space="preserve"> paras. 58 and 485.</w:t>
      </w:r>
    </w:p>
  </w:footnote>
  <w:footnote w:id="20">
    <w:p w14:paraId="7F9DE9A4" w14:textId="35877494"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Exhibit </w:t>
      </w:r>
      <w:r w:rsidRPr="000A3539">
        <w:rPr>
          <w:rFonts w:ascii="ArialMT" w:hAnsi="ArialMT" w:cs="ArialMT"/>
          <w:szCs w:val="24"/>
          <w:lang w:val="en-CA" w:eastAsia="fr-CA"/>
        </w:rPr>
        <w:t xml:space="preserve">D-36, </w:t>
      </w:r>
      <w:r w:rsidRPr="000A3539">
        <w:rPr>
          <w:rFonts w:cs="Arial"/>
          <w:color w:val="000000"/>
          <w:lang w:val="en-CA"/>
        </w:rPr>
        <w:t>Collective Labour Agreement – O</w:t>
      </w:r>
      <w:r w:rsidRPr="000A3539">
        <w:rPr>
          <w:rFonts w:ascii="ArialMT" w:hAnsi="ArialMT" w:cs="ArialMT"/>
          <w:szCs w:val="24"/>
          <w:lang w:val="en-CA" w:eastAsia="fr-CA"/>
        </w:rPr>
        <w:t>perations and Maintenance (2012–2017) (big), Schedule I</w:t>
      </w:r>
      <w:r w:rsidR="00E955B5">
        <w:rPr>
          <w:rFonts w:ascii="ArialMT" w:hAnsi="ArialMT" w:cs="ArialMT"/>
          <w:szCs w:val="24"/>
          <w:lang w:val="en-CA" w:eastAsia="fr-CA"/>
        </w:rPr>
        <w:t>,</w:t>
      </w:r>
      <w:r w:rsidRPr="000A3539">
        <w:rPr>
          <w:rFonts w:ascii="ArialMT" w:hAnsi="ArialMT" w:cs="ArialMT"/>
          <w:szCs w:val="24"/>
          <w:lang w:val="en-CA" w:eastAsia="fr-CA"/>
        </w:rPr>
        <w:t xml:space="preserve"> </w:t>
      </w:r>
      <w:r w:rsidR="00E955B5">
        <w:rPr>
          <w:rFonts w:ascii="ArialMT" w:hAnsi="ArialMT" w:cs="ArialMT"/>
          <w:szCs w:val="24"/>
          <w:lang w:val="en-CA" w:eastAsia="fr-CA"/>
        </w:rPr>
        <w:t>p.</w:t>
      </w:r>
      <w:r w:rsidRPr="000A3539">
        <w:rPr>
          <w:rFonts w:ascii="ArialMT" w:hAnsi="ArialMT" w:cs="ArialMT"/>
          <w:szCs w:val="24"/>
          <w:lang w:val="en-CA" w:eastAsia="fr-CA"/>
        </w:rPr>
        <w:t> 110.</w:t>
      </w:r>
    </w:p>
  </w:footnote>
  <w:footnote w:id="21">
    <w:p w14:paraId="6819278B" w14:textId="2890162D"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F5EA5">
        <w:rPr>
          <w:lang w:val="en-CA"/>
        </w:rPr>
        <w:t>,</w:t>
      </w:r>
      <w:r w:rsidRPr="000A3539">
        <w:rPr>
          <w:lang w:val="en-CA"/>
        </w:rPr>
        <w:t xml:space="preserve"> paras. 63–90.</w:t>
      </w:r>
    </w:p>
  </w:footnote>
  <w:footnote w:id="22">
    <w:p w14:paraId="280F0026" w14:textId="7C32EBD7"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91–125.</w:t>
      </w:r>
    </w:p>
  </w:footnote>
  <w:footnote w:id="23">
    <w:p w14:paraId="628586EC" w14:textId="20C2A9DC"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126–163.</w:t>
      </w:r>
    </w:p>
  </w:footnote>
  <w:footnote w:id="24">
    <w:p w14:paraId="3795F2C3" w14:textId="4C3A61FD"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164–179.</w:t>
      </w:r>
    </w:p>
  </w:footnote>
  <w:footnote w:id="25">
    <w:p w14:paraId="0E8EF351" w14:textId="58DCED7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180–188.</w:t>
      </w:r>
    </w:p>
  </w:footnote>
  <w:footnote w:id="26">
    <w:p w14:paraId="1D19210D" w14:textId="35003ED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189–194.</w:t>
      </w:r>
    </w:p>
  </w:footnote>
  <w:footnote w:id="27">
    <w:p w14:paraId="6815B328" w14:textId="2F2E16C1"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FA6F11">
        <w:rPr>
          <w:lang w:val="en-CA"/>
        </w:rPr>
        <w:t>,</w:t>
      </w:r>
      <w:r w:rsidRPr="000A3539">
        <w:rPr>
          <w:lang w:val="en-CA"/>
        </w:rPr>
        <w:t xml:space="preserve"> paras. 195–199.</w:t>
      </w:r>
    </w:p>
  </w:footnote>
  <w:footnote w:id="28">
    <w:p w14:paraId="2386F1A8" w14:textId="272EC325"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paras. 200–204.</w:t>
      </w:r>
    </w:p>
  </w:footnote>
  <w:footnote w:id="29">
    <w:p w14:paraId="0AF171A2" w14:textId="6D92DFF4"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paras. 205–214.</w:t>
      </w:r>
    </w:p>
  </w:footnote>
  <w:footnote w:id="30">
    <w:p w14:paraId="6BA0FEC8" w14:textId="2D43B115"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 331.</w:t>
      </w:r>
    </w:p>
  </w:footnote>
  <w:footnote w:id="31">
    <w:p w14:paraId="1A5B41EF" w14:textId="609EA028"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 423.</w:t>
      </w:r>
    </w:p>
  </w:footnote>
  <w:footnote w:id="32">
    <w:p w14:paraId="39FD2A4B" w14:textId="15B2060F"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paras. 424–426.</w:t>
      </w:r>
    </w:p>
  </w:footnote>
  <w:footnote w:id="33">
    <w:p w14:paraId="404C4920" w14:textId="180F9DA9"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 427.</w:t>
      </w:r>
    </w:p>
  </w:footnote>
  <w:footnote w:id="34">
    <w:p w14:paraId="499E2E36" w14:textId="2E29EBDD"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paras. 432–437.</w:t>
      </w:r>
    </w:p>
  </w:footnote>
  <w:footnote w:id="35">
    <w:p w14:paraId="545FA26F" w14:textId="4F938B1F"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A65C63">
        <w:rPr>
          <w:lang w:val="en-CA"/>
        </w:rPr>
        <w:t>,</w:t>
      </w:r>
      <w:r w:rsidRPr="000A3539">
        <w:rPr>
          <w:lang w:val="en-CA"/>
        </w:rPr>
        <w:t xml:space="preserve"> para. 445.</w:t>
      </w:r>
    </w:p>
  </w:footnote>
  <w:footnote w:id="36">
    <w:p w14:paraId="257DF0CF" w14:textId="62D11DC2" w:rsidR="002F298B" w:rsidRPr="000A3539" w:rsidRDefault="002F298B">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FD1FB8">
        <w:rPr>
          <w:i/>
          <w:lang w:val="en-CA"/>
        </w:rPr>
        <w:t>Quebec</w:t>
      </w:r>
      <w:r w:rsidRPr="000A3539">
        <w:rPr>
          <w:i/>
          <w:lang w:val="en-CA"/>
        </w:rPr>
        <w:t xml:space="preserve"> Charter</w:t>
      </w:r>
      <w:r w:rsidRPr="000A3539">
        <w:rPr>
          <w:lang w:val="en-CA"/>
        </w:rPr>
        <w:t xml:space="preserve">, </w:t>
      </w:r>
      <w:r w:rsidR="00D602AF">
        <w:rPr>
          <w:i/>
          <w:lang w:val="en-CA"/>
        </w:rPr>
        <w:t xml:space="preserve">supra, </w:t>
      </w:r>
      <w:r w:rsidRPr="000A3539">
        <w:rPr>
          <w:lang w:val="en-CA"/>
        </w:rPr>
        <w:t xml:space="preserve">note </w:t>
      </w:r>
      <w:r w:rsidR="003E6BC4">
        <w:rPr>
          <w:lang w:val="en-CA"/>
        </w:rPr>
        <w:t>3</w:t>
      </w:r>
      <w:r w:rsidRPr="000A3539">
        <w:rPr>
          <w:lang w:val="en-CA"/>
        </w:rPr>
        <w:t>, ss. 10 and 19.</w:t>
      </w:r>
    </w:p>
  </w:footnote>
  <w:footnote w:id="37">
    <w:p w14:paraId="73E76DD6" w14:textId="11ED6767" w:rsidR="002F298B" w:rsidRPr="00877FA5" w:rsidRDefault="002F298B" w:rsidP="00352837">
      <w:pPr>
        <w:pStyle w:val="Notedebasdepage"/>
        <w:ind w:left="357" w:hanging="357"/>
      </w:pPr>
      <w:r w:rsidRPr="000A3539">
        <w:rPr>
          <w:rStyle w:val="Appelnotedebasdep"/>
          <w:lang w:val="en-CA"/>
        </w:rPr>
        <w:footnoteRef/>
      </w:r>
      <w:r w:rsidRPr="000A3539">
        <w:rPr>
          <w:lang w:val="en-CA"/>
        </w:rPr>
        <w:t xml:space="preserve"> </w:t>
      </w:r>
      <w:r w:rsidRPr="000A3539">
        <w:rPr>
          <w:lang w:val="en-CA"/>
        </w:rPr>
        <w:tab/>
      </w:r>
      <w:r w:rsidRPr="000A3539">
        <w:rPr>
          <w:i/>
          <w:lang w:val="en-CA"/>
        </w:rPr>
        <w:t>Ford v. Quebec (Attorney General)</w:t>
      </w:r>
      <w:r w:rsidRPr="000A3539">
        <w:rPr>
          <w:lang w:val="en-CA"/>
        </w:rPr>
        <w:t>, [1988] 2 S.C.R. 712</w:t>
      </w:r>
      <w:r w:rsidR="0078011C">
        <w:rPr>
          <w:lang w:val="en-CA"/>
        </w:rPr>
        <w:t>,</w:t>
      </w:r>
      <w:r w:rsidRPr="000A3539">
        <w:rPr>
          <w:lang w:val="en-CA"/>
        </w:rPr>
        <w:t xml:space="preserve"> para. 78, citing </w:t>
      </w:r>
      <w:r w:rsidRPr="000A3539">
        <w:rPr>
          <w:i/>
          <w:lang w:val="en-CA"/>
        </w:rPr>
        <w:t>Forget v. Quebec (Attorney General)</w:t>
      </w:r>
      <w:r w:rsidRPr="000A3539">
        <w:rPr>
          <w:lang w:val="en-CA"/>
        </w:rPr>
        <w:t>, [1988] 2 S.C.R. 90</w:t>
      </w:r>
      <w:r w:rsidR="0078011C">
        <w:rPr>
          <w:lang w:val="en-CA"/>
        </w:rPr>
        <w:t>,</w:t>
      </w:r>
      <w:r w:rsidRPr="000A3539">
        <w:rPr>
          <w:lang w:val="en-CA"/>
        </w:rPr>
        <w:t xml:space="preserve"> para. </w:t>
      </w:r>
      <w:r w:rsidRPr="00877FA5">
        <w:t>10.</w:t>
      </w:r>
    </w:p>
  </w:footnote>
  <w:footnote w:id="38">
    <w:p w14:paraId="106DB211" w14:textId="05E38A59" w:rsidR="002F298B" w:rsidRPr="00877FA5" w:rsidRDefault="002F298B" w:rsidP="00352837">
      <w:pPr>
        <w:pStyle w:val="Notedebasdepage"/>
        <w:ind w:left="357" w:hanging="357"/>
      </w:pPr>
      <w:r w:rsidRPr="000A3539">
        <w:rPr>
          <w:rStyle w:val="Appelnotedebasdep"/>
          <w:lang w:val="en-CA"/>
        </w:rPr>
        <w:footnoteRef/>
      </w:r>
      <w:r w:rsidRPr="00877FA5">
        <w:t xml:space="preserve"> </w:t>
      </w:r>
      <w:r w:rsidRPr="00877FA5">
        <w:tab/>
      </w:r>
      <w:r w:rsidRPr="00877FA5">
        <w:rPr>
          <w:i/>
        </w:rPr>
        <w:t xml:space="preserve">Forget v. </w:t>
      </w:r>
      <w:proofErr w:type="spellStart"/>
      <w:r w:rsidRPr="00877FA5">
        <w:rPr>
          <w:i/>
        </w:rPr>
        <w:t>Quebec</w:t>
      </w:r>
      <w:proofErr w:type="spellEnd"/>
      <w:r w:rsidRPr="00877FA5">
        <w:rPr>
          <w:i/>
        </w:rPr>
        <w:t xml:space="preserve"> (Attorney General)</w:t>
      </w:r>
      <w:r w:rsidRPr="00877FA5">
        <w:t xml:space="preserve">, </w:t>
      </w:r>
      <w:r w:rsidRPr="00877FA5">
        <w:rPr>
          <w:i/>
        </w:rPr>
        <w:t>supra</w:t>
      </w:r>
      <w:r w:rsidR="0078011C">
        <w:t>,</w:t>
      </w:r>
      <w:r w:rsidRPr="00877FA5">
        <w:t xml:space="preserve"> note </w:t>
      </w:r>
      <w:r w:rsidR="003E6BC4">
        <w:t>37</w:t>
      </w:r>
      <w:r w:rsidR="0078011C">
        <w:rPr>
          <w:lang w:val="en-CA"/>
        </w:rPr>
        <w:t>,</w:t>
      </w:r>
      <w:r w:rsidRPr="00877FA5">
        <w:t xml:space="preserve"> para. 10.</w:t>
      </w:r>
    </w:p>
  </w:footnote>
  <w:footnote w:id="39">
    <w:p w14:paraId="5B54EB73" w14:textId="0361613C" w:rsidR="002F298B" w:rsidRPr="000A3539" w:rsidRDefault="002F298B" w:rsidP="00352837">
      <w:pPr>
        <w:pStyle w:val="Notedebasdepage"/>
        <w:ind w:left="357" w:hanging="357"/>
        <w:rPr>
          <w:lang w:val="en-CA"/>
        </w:rPr>
      </w:pPr>
      <w:r w:rsidRPr="000A3539">
        <w:rPr>
          <w:rStyle w:val="Appelnotedebasdep"/>
          <w:lang w:val="en-CA"/>
        </w:rPr>
        <w:footnoteRef/>
      </w:r>
      <w:r w:rsidRPr="00877FA5">
        <w:t xml:space="preserve"> </w:t>
      </w:r>
      <w:r w:rsidRPr="00877FA5">
        <w:tab/>
      </w:r>
      <w:proofErr w:type="spellStart"/>
      <w:r w:rsidRPr="00877FA5">
        <w:rPr>
          <w:i/>
        </w:rPr>
        <w:t>Quebec</w:t>
      </w:r>
      <w:proofErr w:type="spellEnd"/>
      <w:r w:rsidRPr="00877FA5">
        <w:rPr>
          <w:i/>
        </w:rPr>
        <w:t xml:space="preserve"> (Commission des droits de la personne et des droits de la jeunesse) v. Bombardier Inc. </w:t>
      </w:r>
      <w:r w:rsidRPr="000A3539">
        <w:rPr>
          <w:i/>
          <w:lang w:val="en-CA"/>
        </w:rPr>
        <w:t>(Bombardier Aerospace Training Center)</w:t>
      </w:r>
      <w:r w:rsidRPr="000A3539">
        <w:rPr>
          <w:lang w:val="en-CA"/>
        </w:rPr>
        <w:t>, 2015 SCC 39.</w:t>
      </w:r>
    </w:p>
  </w:footnote>
  <w:footnote w:id="40">
    <w:p w14:paraId="63D97A3C" w14:textId="411832E5"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78011C">
        <w:rPr>
          <w:lang w:val="en-CA"/>
        </w:rPr>
        <w:t>, para</w:t>
      </w:r>
      <w:r w:rsidRPr="000A3539">
        <w:rPr>
          <w:lang w:val="en-CA"/>
        </w:rPr>
        <w:t>. 64.</w:t>
      </w:r>
    </w:p>
  </w:footnote>
  <w:footnote w:id="41">
    <w:p w14:paraId="2933395F" w14:textId="40A19AEB" w:rsidR="002F298B" w:rsidRPr="00877FA5" w:rsidRDefault="002F298B" w:rsidP="00352837">
      <w:pPr>
        <w:pStyle w:val="Notedebasdepage"/>
      </w:pPr>
      <w:r w:rsidRPr="000A3539">
        <w:rPr>
          <w:rStyle w:val="Appelnotedebasdep"/>
          <w:lang w:val="en-CA"/>
        </w:rPr>
        <w:footnoteRef/>
      </w:r>
      <w:r w:rsidRPr="000A3539">
        <w:rPr>
          <w:lang w:val="en-CA"/>
        </w:rPr>
        <w:t xml:space="preserve"> </w:t>
      </w:r>
      <w:r w:rsidRPr="000A3539">
        <w:rPr>
          <w:lang w:val="en-CA"/>
        </w:rPr>
        <w:tab/>
      </w:r>
      <w:r w:rsidRPr="000A3539">
        <w:rPr>
          <w:i/>
          <w:lang w:val="en-CA"/>
        </w:rPr>
        <w:t>Id</w:t>
      </w:r>
      <w:r w:rsidRPr="000A3539">
        <w:rPr>
          <w:lang w:val="en-CA"/>
        </w:rPr>
        <w:t>.</w:t>
      </w:r>
      <w:r w:rsidR="00D602AF">
        <w:rPr>
          <w:lang w:val="en-CA"/>
        </w:rPr>
        <w:t>, para</w:t>
      </w:r>
      <w:r w:rsidRPr="000A3539">
        <w:rPr>
          <w:lang w:val="en-CA"/>
        </w:rPr>
        <w:t xml:space="preserve">s. </w:t>
      </w:r>
      <w:r w:rsidRPr="00877FA5">
        <w:t>50–52.</w:t>
      </w:r>
    </w:p>
  </w:footnote>
  <w:footnote w:id="42">
    <w:p w14:paraId="2D2CC8BB" w14:textId="770AE6F9"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(Ville de) c. Commission des droits de la personne du Québec</w:t>
      </w:r>
      <w:r w:rsidRPr="00877FA5">
        <w:t>, [1989] R.J.Q. 831, 1989 </w:t>
      </w:r>
      <w:proofErr w:type="spellStart"/>
      <w:r w:rsidRPr="00877FA5">
        <w:t>CanLII</w:t>
      </w:r>
      <w:proofErr w:type="spellEnd"/>
      <w:r w:rsidRPr="00877FA5">
        <w:t> 613 (C.A.).</w:t>
      </w:r>
    </w:p>
  </w:footnote>
  <w:footnote w:id="43">
    <w:p w14:paraId="2A1D71E5" w14:textId="0FFE734E"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Université Laval c. Commission des droits de la personne et des droits de la jeunesse</w:t>
      </w:r>
      <w:r w:rsidRPr="00877FA5">
        <w:t>, 2005 QCCA 27</w:t>
      </w:r>
      <w:r w:rsidR="00D602AF">
        <w:t>, para</w:t>
      </w:r>
      <w:r w:rsidRPr="00877FA5">
        <w:t xml:space="preserve">. </w:t>
      </w:r>
      <w:r w:rsidRPr="000A3539">
        <w:rPr>
          <w:lang w:val="en-CA"/>
        </w:rPr>
        <w:t xml:space="preserve">57. It should be noted that the </w:t>
      </w:r>
      <w:r w:rsidR="00C43992">
        <w:rPr>
          <w:lang w:val="en-CA"/>
        </w:rPr>
        <w:t xml:space="preserve">university admitted the </w:t>
      </w:r>
      <w:r w:rsidRPr="000A3539">
        <w:rPr>
          <w:lang w:val="en-CA"/>
        </w:rPr>
        <w:t xml:space="preserve">existence of a discriminatory system of remuneration (para. </w:t>
      </w:r>
      <w:r w:rsidRPr="00877FA5">
        <w:t>24).</w:t>
      </w:r>
    </w:p>
  </w:footnote>
  <w:footnote w:id="44">
    <w:p w14:paraId="46A72E5D" w14:textId="4A632AC0" w:rsidR="002F298B" w:rsidRPr="00877FA5" w:rsidRDefault="002F298B" w:rsidP="00352837">
      <w:pPr>
        <w:pStyle w:val="Notedebasdepage"/>
      </w:pPr>
      <w:r w:rsidRPr="000A3539">
        <w:rPr>
          <w:rStyle w:val="Appelnotedebasdep"/>
          <w:lang w:val="en-CA"/>
        </w:rPr>
        <w:footnoteRef/>
      </w:r>
      <w:r w:rsidRPr="00877FA5">
        <w:t xml:space="preserve"> </w:t>
      </w:r>
      <w:r w:rsidRPr="00877FA5">
        <w:tab/>
        <w:t xml:space="preserve">Henri Brun, Guy Tremblay </w:t>
      </w:r>
      <w:r w:rsidR="004A7588">
        <w:t xml:space="preserve">and </w:t>
      </w:r>
      <w:r w:rsidRPr="00877FA5">
        <w:t xml:space="preserve">Eugénie Brouillet, </w:t>
      </w:r>
      <w:r w:rsidRPr="00877FA5">
        <w:rPr>
          <w:i/>
        </w:rPr>
        <w:t>Droit constitutionnel</w:t>
      </w:r>
      <w:r w:rsidRPr="00877FA5">
        <w:t xml:space="preserve">, 6th </w:t>
      </w:r>
      <w:proofErr w:type="spellStart"/>
      <w:r w:rsidRPr="00877FA5">
        <w:t>ed</w:t>
      </w:r>
      <w:proofErr w:type="spellEnd"/>
      <w:r w:rsidRPr="00877FA5">
        <w:t>.</w:t>
      </w:r>
      <w:r w:rsidR="004639CC">
        <w:t>,</w:t>
      </w:r>
      <w:r w:rsidRPr="00877FA5">
        <w:t xml:space="preserve"> </w:t>
      </w:r>
      <w:proofErr w:type="spellStart"/>
      <w:r w:rsidRPr="00877FA5">
        <w:t>Cowansville</w:t>
      </w:r>
      <w:proofErr w:type="spellEnd"/>
      <w:r w:rsidRPr="00877FA5">
        <w:t>, Yvon Blais, 2014, no.</w:t>
      </w:r>
      <w:r w:rsidRPr="00877FA5">
        <w:rPr>
          <w:vertAlign w:val="superscript"/>
        </w:rPr>
        <w:t> </w:t>
      </w:r>
      <w:r w:rsidRPr="00877FA5">
        <w:rPr>
          <w:bCs/>
        </w:rPr>
        <w:t>XII-7.103.</w:t>
      </w:r>
    </w:p>
  </w:footnote>
  <w:footnote w:id="45">
    <w:p w14:paraId="16AA8D44" w14:textId="3E91651B" w:rsidR="002F298B" w:rsidRPr="00877FA5" w:rsidRDefault="002F298B" w:rsidP="00352837">
      <w:pPr>
        <w:pStyle w:val="Notedebasdepage"/>
      </w:pPr>
      <w:r w:rsidRPr="000A3539">
        <w:rPr>
          <w:rStyle w:val="Appelnotedebasdep"/>
          <w:lang w:val="en-CA"/>
        </w:rPr>
        <w:footnoteRef/>
      </w:r>
      <w:r w:rsidRPr="00877FA5">
        <w:t xml:space="preserve"> </w:t>
      </w:r>
      <w:r w:rsidRPr="00877FA5">
        <w:tab/>
        <w:t xml:space="preserve">Jean-Yves Brière </w:t>
      </w:r>
      <w:r w:rsidRPr="00877FA5">
        <w:rPr>
          <w:i/>
        </w:rPr>
        <w:t>et al</w:t>
      </w:r>
      <w:r w:rsidRPr="00877FA5">
        <w:t xml:space="preserve">., </w:t>
      </w:r>
      <w:r w:rsidRPr="00877FA5">
        <w:rPr>
          <w:i/>
        </w:rPr>
        <w:t>Le droit de l’emploi au Québec</w:t>
      </w:r>
      <w:r w:rsidRPr="00877FA5">
        <w:t xml:space="preserve">, 4th </w:t>
      </w:r>
      <w:proofErr w:type="spellStart"/>
      <w:r w:rsidRPr="00877FA5">
        <w:t>ed</w:t>
      </w:r>
      <w:proofErr w:type="spellEnd"/>
      <w:r w:rsidRPr="00877FA5">
        <w:t>.</w:t>
      </w:r>
      <w:r w:rsidR="004639CC">
        <w:t>,</w:t>
      </w:r>
      <w:r w:rsidRPr="00877FA5">
        <w:t xml:space="preserve"> </w:t>
      </w:r>
      <w:proofErr w:type="spellStart"/>
      <w:r w:rsidRPr="00877FA5">
        <w:t>Montreal</w:t>
      </w:r>
      <w:proofErr w:type="spellEnd"/>
      <w:r w:rsidR="00EE5084">
        <w:t>,</w:t>
      </w:r>
      <w:r w:rsidRPr="00877FA5">
        <w:t xml:space="preserve"> Wilson &amp; Lafleur, 2010, no.</w:t>
      </w:r>
      <w:r w:rsidRPr="00877FA5">
        <w:rPr>
          <w:vertAlign w:val="superscript"/>
        </w:rPr>
        <w:t> </w:t>
      </w:r>
      <w:r w:rsidRPr="00877FA5">
        <w:t>III</w:t>
      </w:r>
      <w:r w:rsidRPr="00877FA5">
        <w:noBreakHyphen/>
        <w:t>106.</w:t>
      </w:r>
    </w:p>
  </w:footnote>
  <w:footnote w:id="46">
    <w:p w14:paraId="27FA1743" w14:textId="32A32258" w:rsidR="002F298B" w:rsidRPr="00877FA5" w:rsidRDefault="002F298B" w:rsidP="00352837">
      <w:pPr>
        <w:pStyle w:val="Notedebasdepage"/>
      </w:pPr>
      <w:r w:rsidRPr="000A3539">
        <w:rPr>
          <w:rStyle w:val="Appelnotedebasdep"/>
          <w:lang w:val="en-CA"/>
        </w:rPr>
        <w:footnoteRef/>
      </w:r>
      <w:r w:rsidRPr="00877FA5">
        <w:t xml:space="preserve"> </w:t>
      </w:r>
      <w:r w:rsidRPr="00877FA5">
        <w:tab/>
        <w:t xml:space="preserve">Linda Bernier </w:t>
      </w:r>
      <w:r w:rsidRPr="00877FA5">
        <w:rPr>
          <w:i/>
        </w:rPr>
        <w:t>et al.</w:t>
      </w:r>
      <w:r w:rsidRPr="00877FA5">
        <w:t xml:space="preserve">, </w:t>
      </w:r>
      <w:r w:rsidRPr="00877FA5">
        <w:rPr>
          <w:i/>
        </w:rPr>
        <w:t>Les droits de la personne et les relations du travail</w:t>
      </w:r>
      <w:r w:rsidR="004639CC">
        <w:t>,</w:t>
      </w:r>
      <w:r w:rsidRPr="00877FA5">
        <w:rPr>
          <w:i/>
        </w:rPr>
        <w:t xml:space="preserve"> </w:t>
      </w:r>
      <w:proofErr w:type="spellStart"/>
      <w:r w:rsidRPr="00877FA5">
        <w:t>Cowansville</w:t>
      </w:r>
      <w:proofErr w:type="spellEnd"/>
      <w:r w:rsidRPr="00877FA5">
        <w:t>, Yvon Blais, 1997</w:t>
      </w:r>
      <w:r w:rsidR="004639CC">
        <w:t>,</w:t>
      </w:r>
      <w:r w:rsidR="00EE5084">
        <w:t xml:space="preserve"> (</w:t>
      </w:r>
      <w:proofErr w:type="spellStart"/>
      <w:r w:rsidRPr="00877FA5">
        <w:t>looseleaf</w:t>
      </w:r>
      <w:proofErr w:type="spellEnd"/>
      <w:r w:rsidRPr="00877FA5">
        <w:t>, update no. 46, 2020</w:t>
      </w:r>
      <w:r w:rsidR="004639CC">
        <w:t>)</w:t>
      </w:r>
      <w:r w:rsidRPr="00877FA5">
        <w:t xml:space="preserve"> nos. 7.3274 and 7.3279.</w:t>
      </w:r>
    </w:p>
  </w:footnote>
  <w:footnote w:id="47">
    <w:p w14:paraId="405B299A" w14:textId="0723C4C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proofErr w:type="spellStart"/>
      <w:r w:rsidRPr="000A3539">
        <w:rPr>
          <w:i/>
          <w:lang w:val="en-CA"/>
        </w:rPr>
        <w:t>Housen</w:t>
      </w:r>
      <w:proofErr w:type="spellEnd"/>
      <w:r w:rsidRPr="000A3539">
        <w:rPr>
          <w:i/>
          <w:lang w:val="en-CA"/>
        </w:rPr>
        <w:t xml:space="preserve"> v. </w:t>
      </w:r>
      <w:proofErr w:type="spellStart"/>
      <w:r w:rsidRPr="000A3539">
        <w:rPr>
          <w:i/>
          <w:lang w:val="en-CA"/>
        </w:rPr>
        <w:t>Nikolaisen</w:t>
      </w:r>
      <w:proofErr w:type="spellEnd"/>
      <w:r w:rsidRPr="000A3539">
        <w:rPr>
          <w:lang w:val="en-CA"/>
        </w:rPr>
        <w:t xml:space="preserve">, </w:t>
      </w:r>
      <w:r w:rsidRPr="000A3539">
        <w:rPr>
          <w:rStyle w:val="Lienhypertexte"/>
          <w:color w:val="auto"/>
          <w:u w:val="none"/>
          <w:lang w:val="en-CA"/>
        </w:rPr>
        <w:t>2002 SCC 33</w:t>
      </w:r>
      <w:r w:rsidRPr="000A3539">
        <w:rPr>
          <w:lang w:val="en-CA"/>
        </w:rPr>
        <w:t>.</w:t>
      </w:r>
    </w:p>
  </w:footnote>
  <w:footnote w:id="48">
    <w:p w14:paraId="0457BEA2" w14:textId="37695E30"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Canada (Minister of Citizenship and Immigration) v. </w:t>
      </w:r>
      <w:proofErr w:type="spellStart"/>
      <w:r w:rsidRPr="000A3539">
        <w:rPr>
          <w:i/>
          <w:lang w:val="en-CA"/>
        </w:rPr>
        <w:t>Vavilov</w:t>
      </w:r>
      <w:proofErr w:type="spellEnd"/>
      <w:r w:rsidRPr="000A3539">
        <w:rPr>
          <w:lang w:val="en-CA"/>
        </w:rPr>
        <w:t>, 2019 SCC 65</w:t>
      </w:r>
      <w:r w:rsidR="00D602AF">
        <w:rPr>
          <w:lang w:val="en-CA"/>
        </w:rPr>
        <w:t>, para</w:t>
      </w:r>
      <w:r w:rsidRPr="000A3539">
        <w:rPr>
          <w:lang w:val="en-CA"/>
        </w:rPr>
        <w:t>. 37.</w:t>
      </w:r>
    </w:p>
  </w:footnote>
  <w:footnote w:id="49">
    <w:p w14:paraId="3538FD7B" w14:textId="037E5F23"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Charter of </w:t>
      </w:r>
      <w:r w:rsidR="004639CC">
        <w:rPr>
          <w:i/>
          <w:lang w:val="en-CA"/>
        </w:rPr>
        <w:t>H</w:t>
      </w:r>
      <w:r w:rsidRPr="000A3539">
        <w:rPr>
          <w:i/>
          <w:lang w:val="en-CA"/>
        </w:rPr>
        <w:t xml:space="preserve">uman </w:t>
      </w:r>
      <w:r w:rsidR="004639CC">
        <w:rPr>
          <w:i/>
          <w:lang w:val="en-CA"/>
        </w:rPr>
        <w:t>R</w:t>
      </w:r>
      <w:r w:rsidRPr="000A3539">
        <w:rPr>
          <w:i/>
          <w:lang w:val="en-CA"/>
        </w:rPr>
        <w:t xml:space="preserve">ights and </w:t>
      </w:r>
      <w:r w:rsidR="004639CC">
        <w:rPr>
          <w:i/>
          <w:lang w:val="en-CA"/>
        </w:rPr>
        <w:t>F</w:t>
      </w:r>
      <w:r w:rsidRPr="000A3539">
        <w:rPr>
          <w:i/>
          <w:lang w:val="en-CA"/>
        </w:rPr>
        <w:t>reedoms</w:t>
      </w:r>
      <w:r w:rsidRPr="000A3539">
        <w:rPr>
          <w:lang w:val="en-CA"/>
        </w:rPr>
        <w:t xml:space="preserve">, </w:t>
      </w:r>
      <w:r w:rsidR="00D602AF">
        <w:rPr>
          <w:i/>
          <w:lang w:val="en-CA"/>
        </w:rPr>
        <w:t xml:space="preserve">supra, </w:t>
      </w:r>
      <w:r w:rsidRPr="000A3539">
        <w:rPr>
          <w:lang w:val="en-CA"/>
        </w:rPr>
        <w:t xml:space="preserve">note </w:t>
      </w:r>
      <w:r w:rsidR="003E6BC4">
        <w:rPr>
          <w:lang w:val="en-CA"/>
        </w:rPr>
        <w:t>3</w:t>
      </w:r>
      <w:r w:rsidRPr="000A3539">
        <w:rPr>
          <w:lang w:val="en-CA"/>
        </w:rPr>
        <w:t>, s. 132.</w:t>
      </w:r>
    </w:p>
  </w:footnote>
  <w:footnote w:id="50">
    <w:p w14:paraId="66612D1A" w14:textId="75ACABE0"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rFonts w:cs="Arial"/>
          <w:bCs/>
          <w:i/>
          <w:color w:val="000000"/>
          <w:lang w:val="en-CA"/>
        </w:rPr>
        <w:t>Law v. Canada (</w:t>
      </w:r>
      <w:r w:rsidRPr="000A3539">
        <w:rPr>
          <w:rFonts w:cs="Arial"/>
          <w:bCs/>
          <w:i/>
          <w:lang w:val="en-CA"/>
        </w:rPr>
        <w:t>Minister</w:t>
      </w:r>
      <w:r w:rsidRPr="000A3539">
        <w:rPr>
          <w:rFonts w:cs="Arial"/>
          <w:bCs/>
          <w:i/>
          <w:color w:val="000000"/>
          <w:lang w:val="en-CA"/>
        </w:rPr>
        <w:t xml:space="preserve"> of Employment and Immigration)</w:t>
      </w:r>
      <w:r w:rsidRPr="000A3539">
        <w:rPr>
          <w:lang w:val="en-CA"/>
        </w:rPr>
        <w:t>, [1999] 1 S.C.R. 497</w:t>
      </w:r>
      <w:r w:rsidR="00D602AF">
        <w:rPr>
          <w:lang w:val="en-CA"/>
        </w:rPr>
        <w:t>, para</w:t>
      </w:r>
      <w:r w:rsidRPr="000A3539">
        <w:rPr>
          <w:lang w:val="en-CA"/>
        </w:rPr>
        <w:t>s. 65 and 67.</w:t>
      </w:r>
    </w:p>
  </w:footnote>
  <w:footnote w:id="51">
    <w:p w14:paraId="390C1AFC" w14:textId="7C4A952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R. v. </w:t>
      </w:r>
      <w:proofErr w:type="spellStart"/>
      <w:r w:rsidRPr="000A3539">
        <w:rPr>
          <w:i/>
          <w:lang w:val="en-CA"/>
        </w:rPr>
        <w:t>Kapp</w:t>
      </w:r>
      <w:proofErr w:type="spellEnd"/>
      <w:r w:rsidRPr="000A3539">
        <w:rPr>
          <w:lang w:val="en-CA"/>
        </w:rPr>
        <w:t>, 2008 SCC 41</w:t>
      </w:r>
      <w:r w:rsidR="00D602AF">
        <w:rPr>
          <w:lang w:val="en-CA"/>
        </w:rPr>
        <w:t>, para</w:t>
      </w:r>
      <w:r w:rsidRPr="000A3539">
        <w:rPr>
          <w:lang w:val="en-CA"/>
        </w:rPr>
        <w:t>. 25.</w:t>
      </w:r>
    </w:p>
  </w:footnote>
  <w:footnote w:id="52">
    <w:p w14:paraId="2073F58A" w14:textId="74826CF8"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Quebec (Attorney General) v. A.</w:t>
      </w:r>
      <w:r w:rsidRPr="000A3539">
        <w:rPr>
          <w:lang w:val="en-CA"/>
        </w:rPr>
        <w:t>, 2013 SCC 5.</w:t>
      </w:r>
    </w:p>
  </w:footnote>
  <w:footnote w:id="53">
    <w:p w14:paraId="1B9F6742" w14:textId="7D475827"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Université de Sherbrooke c. Commission des droits de la personne et des droits de la jeunesse</w:t>
      </w:r>
      <w:r w:rsidRPr="00877FA5">
        <w:t>, 2015 QCCA 1397.</w:t>
      </w:r>
    </w:p>
  </w:footnote>
  <w:footnote w:id="54">
    <w:p w14:paraId="4D490453" w14:textId="26D27CCB"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(Procureur général) c. Commission des droits de la personne et des droits de la jeunesse</w:t>
      </w:r>
      <w:r w:rsidRPr="00877FA5">
        <w:t>, 2013 QCCA 141.</w:t>
      </w:r>
    </w:p>
  </w:footnote>
  <w:footnote w:id="55">
    <w:p w14:paraId="0537CA95" w14:textId="39647057"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Canadian Charter of Rights and Freedoms</w:t>
      </w:r>
      <w:r w:rsidRPr="000A3539">
        <w:rPr>
          <w:lang w:val="en-CA"/>
        </w:rPr>
        <w:t xml:space="preserve">, Part I of the </w:t>
      </w:r>
      <w:r w:rsidRPr="000A3539">
        <w:rPr>
          <w:i/>
          <w:lang w:val="en-CA"/>
        </w:rPr>
        <w:t>Constitution Act, 1982</w:t>
      </w:r>
      <w:r w:rsidRPr="000A3539">
        <w:rPr>
          <w:lang w:val="en-CA"/>
        </w:rPr>
        <w:t xml:space="preserve">, being Schedule B to the </w:t>
      </w:r>
      <w:r w:rsidRPr="000A3539">
        <w:rPr>
          <w:i/>
          <w:lang w:val="en-CA"/>
        </w:rPr>
        <w:t>Canada Act 1982</w:t>
      </w:r>
      <w:r w:rsidRPr="000A3539">
        <w:rPr>
          <w:lang w:val="en-CA"/>
        </w:rPr>
        <w:t xml:space="preserve"> (U.K.), 1982, c. 11.</w:t>
      </w:r>
    </w:p>
  </w:footnote>
  <w:footnote w:id="56">
    <w:p w14:paraId="48637538" w14:textId="28776D3F" w:rsidR="002F298B" w:rsidRPr="00877FA5" w:rsidRDefault="002F298B" w:rsidP="00352837">
      <w:pPr>
        <w:pStyle w:val="Notedebasdepage"/>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R. v. </w:t>
      </w:r>
      <w:proofErr w:type="spellStart"/>
      <w:r w:rsidRPr="000A3539">
        <w:rPr>
          <w:i/>
          <w:lang w:val="en-CA"/>
        </w:rPr>
        <w:t>Kapp</w:t>
      </w:r>
      <w:proofErr w:type="spellEnd"/>
      <w:r w:rsidRPr="000A3539">
        <w:rPr>
          <w:lang w:val="en-CA"/>
        </w:rPr>
        <w:t xml:space="preserve">, </w:t>
      </w:r>
      <w:r w:rsidR="00D602AF">
        <w:rPr>
          <w:i/>
          <w:lang w:val="en-CA"/>
        </w:rPr>
        <w:t xml:space="preserve">supra, </w:t>
      </w:r>
      <w:r w:rsidRPr="000A3539">
        <w:rPr>
          <w:lang w:val="en-CA"/>
        </w:rPr>
        <w:t xml:space="preserve">note </w:t>
      </w:r>
      <w:r w:rsidR="003E6BC4">
        <w:rPr>
          <w:lang w:val="en-CA"/>
        </w:rPr>
        <w:t>51</w:t>
      </w:r>
      <w:r w:rsidR="00D602AF">
        <w:rPr>
          <w:lang w:val="en-CA"/>
        </w:rPr>
        <w:t>, para</w:t>
      </w:r>
      <w:r w:rsidRPr="000A3539">
        <w:rPr>
          <w:lang w:val="en-CA"/>
        </w:rPr>
        <w:t xml:space="preserve">. </w:t>
      </w:r>
      <w:r w:rsidRPr="00877FA5">
        <w:t>25.</w:t>
      </w:r>
    </w:p>
  </w:footnote>
  <w:footnote w:id="57">
    <w:p w14:paraId="2A94BCF0" w14:textId="5A78D491"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Fraser v. Canada (Attorney General),</w:t>
      </w:r>
      <w:r w:rsidRPr="00877FA5">
        <w:t xml:space="preserve"> 2020 SCC 28</w:t>
      </w:r>
      <w:r w:rsidR="00D602AF">
        <w:t>, para</w:t>
      </w:r>
      <w:r w:rsidRPr="00877FA5">
        <w:t xml:space="preserve">. 81. </w:t>
      </w:r>
    </w:p>
  </w:footnote>
  <w:footnote w:id="58">
    <w:p w14:paraId="272103A1" w14:textId="799796DF" w:rsidR="002F298B" w:rsidRPr="00877FA5" w:rsidRDefault="002F298B" w:rsidP="00352837">
      <w:pPr>
        <w:pStyle w:val="Notedebasdepage"/>
      </w:pPr>
      <w:r w:rsidRPr="000A3539">
        <w:rPr>
          <w:rStyle w:val="Appelnotedebasdep"/>
          <w:lang w:val="en-CA"/>
        </w:rPr>
        <w:footnoteRef/>
      </w:r>
      <w:r w:rsidRPr="00877FA5">
        <w:t xml:space="preserve"> </w:t>
      </w:r>
      <w:r w:rsidRPr="00877FA5">
        <w:tab/>
      </w:r>
      <w:proofErr w:type="spellStart"/>
      <w:r w:rsidRPr="00877FA5">
        <w:rPr>
          <w:i/>
          <w:color w:val="000000"/>
        </w:rPr>
        <w:t>Quebec</w:t>
      </w:r>
      <w:proofErr w:type="spellEnd"/>
      <w:r w:rsidRPr="00877FA5">
        <w:rPr>
          <w:i/>
          <w:color w:val="000000"/>
        </w:rPr>
        <w:t xml:space="preserve"> (Commission des droits de la personne et des droits de la jeunesse) </w:t>
      </w:r>
      <w:r w:rsidRPr="00877FA5">
        <w:rPr>
          <w:i/>
          <w:iCs/>
          <w:color w:val="000000"/>
        </w:rPr>
        <w:t>v.</w:t>
      </w:r>
      <w:r w:rsidRPr="00877FA5">
        <w:rPr>
          <w:i/>
          <w:color w:val="000000"/>
        </w:rPr>
        <w:t> Bombardier Inc. (Bombardier Aerospace Training Center)</w:t>
      </w:r>
      <w:r w:rsidRPr="00877FA5">
        <w:t>,</w:t>
      </w:r>
      <w:r w:rsidRPr="00877FA5">
        <w:rPr>
          <w:i/>
        </w:rPr>
        <w:t xml:space="preserve"> </w:t>
      </w:r>
      <w:r w:rsidR="00D602AF">
        <w:rPr>
          <w:i/>
        </w:rPr>
        <w:t xml:space="preserve">supra, </w:t>
      </w:r>
      <w:r w:rsidRPr="00877FA5">
        <w:t xml:space="preserve">note </w:t>
      </w:r>
      <w:r w:rsidR="003E6BC4">
        <w:t>39</w:t>
      </w:r>
      <w:r w:rsidRPr="00877FA5">
        <w:t>.</w:t>
      </w:r>
    </w:p>
  </w:footnote>
  <w:footnote w:id="59">
    <w:p w14:paraId="3894F30F" w14:textId="1503C1DA"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0078011C">
        <w:rPr>
          <w:i/>
        </w:rPr>
        <w:t>Id</w:t>
      </w:r>
      <w:r w:rsidRPr="00877FA5">
        <w:t>.</w:t>
      </w:r>
      <w:r w:rsidR="00D602AF">
        <w:t>, para</w:t>
      </w:r>
      <w:r w:rsidRPr="00877FA5">
        <w:t xml:space="preserve">s. 35–37 [Citations </w:t>
      </w:r>
      <w:proofErr w:type="spellStart"/>
      <w:r w:rsidRPr="00877FA5">
        <w:t>omitted</w:t>
      </w:r>
      <w:proofErr w:type="spellEnd"/>
      <w:r w:rsidRPr="00877FA5">
        <w:t>].</w:t>
      </w:r>
    </w:p>
  </w:footnote>
  <w:footnote w:id="60">
    <w:p w14:paraId="453D496F" w14:textId="44B5061C"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0078011C">
        <w:rPr>
          <w:i/>
        </w:rPr>
        <w:t>Id</w:t>
      </w:r>
      <w:r w:rsidRPr="00877FA5">
        <w:t>.</w:t>
      </w:r>
      <w:r w:rsidR="00D602AF">
        <w:t>, para</w:t>
      </w:r>
      <w:r w:rsidRPr="00877FA5">
        <w:t>s. 53–54.</w:t>
      </w:r>
    </w:p>
  </w:footnote>
  <w:footnote w:id="61">
    <w:p w14:paraId="5B370FFF" w14:textId="6FB83297"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r w:rsidRPr="00877FA5">
        <w:rPr>
          <w:i/>
        </w:rPr>
        <w:t>Mouvement laïque québécois v. Saguenay (City)</w:t>
      </w:r>
      <w:r w:rsidRPr="00877FA5">
        <w:t>, 2015 SCC 16</w:t>
      </w:r>
      <w:r w:rsidR="00D602AF">
        <w:t>, para</w:t>
      </w:r>
      <w:r w:rsidRPr="00877FA5">
        <w:t xml:space="preserve">s. </w:t>
      </w:r>
      <w:r w:rsidRPr="000A3539">
        <w:rPr>
          <w:lang w:val="en-CA"/>
        </w:rPr>
        <w:t>64, 83, 86, 120</w:t>
      </w:r>
      <w:r w:rsidRPr="000A3539">
        <w:rPr>
          <w:rFonts w:cs="Arial"/>
          <w:lang w:val="en-CA"/>
        </w:rPr>
        <w:t>–</w:t>
      </w:r>
      <w:r w:rsidRPr="000A3539">
        <w:rPr>
          <w:lang w:val="en-CA"/>
        </w:rPr>
        <w:t>121.</w:t>
      </w:r>
    </w:p>
  </w:footnote>
  <w:footnote w:id="62">
    <w:p w14:paraId="6A6DA052" w14:textId="7B2EF04B"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proofErr w:type="spellStart"/>
      <w:r w:rsidRPr="000A3539">
        <w:rPr>
          <w:lang w:val="en-CA"/>
        </w:rPr>
        <w:t>Brun</w:t>
      </w:r>
      <w:proofErr w:type="spellEnd"/>
      <w:r w:rsidRPr="000A3539">
        <w:rPr>
          <w:lang w:val="en-CA"/>
        </w:rPr>
        <w:t xml:space="preserve">, Tremblay </w:t>
      </w:r>
      <w:r w:rsidR="004639CC">
        <w:rPr>
          <w:lang w:val="en-CA"/>
        </w:rPr>
        <w:t xml:space="preserve">and </w:t>
      </w:r>
      <w:proofErr w:type="spellStart"/>
      <w:r w:rsidRPr="000A3539">
        <w:rPr>
          <w:lang w:val="en-CA"/>
        </w:rPr>
        <w:t>Brouillet</w:t>
      </w:r>
      <w:proofErr w:type="spellEnd"/>
      <w:r w:rsidRPr="000A3539">
        <w:rPr>
          <w:lang w:val="en-CA"/>
        </w:rPr>
        <w:t xml:space="preserve">, </w:t>
      </w:r>
      <w:r w:rsidR="00D602AF">
        <w:rPr>
          <w:i/>
          <w:lang w:val="en-CA"/>
        </w:rPr>
        <w:t xml:space="preserve">supra, </w:t>
      </w:r>
      <w:r w:rsidRPr="000A3539">
        <w:rPr>
          <w:lang w:val="en-CA"/>
        </w:rPr>
        <w:t xml:space="preserve">note </w:t>
      </w:r>
      <w:r w:rsidR="003E6BC4">
        <w:rPr>
          <w:lang w:val="en-CA"/>
        </w:rPr>
        <w:t>44</w:t>
      </w:r>
      <w:r w:rsidRPr="000A3539">
        <w:rPr>
          <w:lang w:val="en-CA"/>
        </w:rPr>
        <w:t>, no. XII-7.48.</w:t>
      </w:r>
    </w:p>
  </w:footnote>
  <w:footnote w:id="63">
    <w:p w14:paraId="0AAC5F35" w14:textId="5D060081" w:rsidR="002F298B" w:rsidRPr="00842154" w:rsidRDefault="002F298B" w:rsidP="00352837">
      <w:pPr>
        <w:pStyle w:val="Notedebasdepage"/>
      </w:pPr>
      <w:r w:rsidRPr="000A3539">
        <w:rPr>
          <w:rStyle w:val="Appelnotedebasdep"/>
          <w:lang w:val="en-CA"/>
        </w:rPr>
        <w:footnoteRef/>
      </w:r>
      <w:r w:rsidRPr="000A3539">
        <w:rPr>
          <w:lang w:val="en-CA"/>
        </w:rPr>
        <w:t xml:space="preserve"> </w:t>
      </w:r>
      <w:r w:rsidRPr="000A3539">
        <w:rPr>
          <w:lang w:val="en-CA"/>
        </w:rPr>
        <w:tab/>
      </w:r>
      <w:r w:rsidR="0078011C">
        <w:rPr>
          <w:i/>
          <w:lang w:val="en-CA"/>
        </w:rPr>
        <w:t>Id</w:t>
      </w:r>
      <w:r w:rsidRPr="000A3539">
        <w:rPr>
          <w:i/>
          <w:lang w:val="en-CA"/>
        </w:rPr>
        <w:t>.</w:t>
      </w:r>
      <w:r w:rsidRPr="000A3539">
        <w:rPr>
          <w:lang w:val="en-CA"/>
        </w:rPr>
        <w:t xml:space="preserve">, no. </w:t>
      </w:r>
      <w:r w:rsidRPr="00842154">
        <w:t>XII-7.57–7.61.</w:t>
      </w:r>
    </w:p>
  </w:footnote>
  <w:footnote w:id="64">
    <w:p w14:paraId="11CD1992" w14:textId="35F50A00" w:rsidR="002F298B" w:rsidRPr="00877FA5" w:rsidRDefault="002F298B" w:rsidP="00352837">
      <w:pPr>
        <w:pStyle w:val="Notedebasdepage"/>
      </w:pPr>
      <w:r w:rsidRPr="000A3539">
        <w:rPr>
          <w:rStyle w:val="Appelnotedebasdep"/>
          <w:lang w:val="en-CA"/>
        </w:rPr>
        <w:footnoteRef/>
      </w:r>
      <w:r w:rsidRPr="00877FA5">
        <w:t xml:space="preserve"> </w:t>
      </w:r>
      <w:r w:rsidRPr="00877FA5">
        <w:tab/>
        <w:t>Daniel Proulx, “Droit à l’égalité”</w:t>
      </w:r>
      <w:r>
        <w:t xml:space="preserve"> </w:t>
      </w:r>
      <w:r w:rsidRPr="00877FA5">
        <w:t>in</w:t>
      </w:r>
      <w:r>
        <w:t xml:space="preserve"> </w:t>
      </w:r>
      <w:proofErr w:type="spellStart"/>
      <w:r w:rsidRPr="00877FA5">
        <w:rPr>
          <w:i/>
        </w:rPr>
        <w:t>JurisClasseur</w:t>
      </w:r>
      <w:proofErr w:type="spellEnd"/>
      <w:r w:rsidRPr="00877FA5">
        <w:rPr>
          <w:i/>
        </w:rPr>
        <w:t xml:space="preserve"> Québec</w:t>
      </w:r>
      <w:r w:rsidRPr="00877FA5">
        <w:t xml:space="preserve">, </w:t>
      </w:r>
      <w:r w:rsidRPr="00877FA5">
        <w:rPr>
          <w:i/>
        </w:rPr>
        <w:t>Droit constitutionnel</w:t>
      </w:r>
      <w:r w:rsidRPr="00877FA5">
        <w:t xml:space="preserve">, </w:t>
      </w:r>
      <w:r w:rsidR="0005128B">
        <w:t xml:space="preserve">fasc. 9, </w:t>
      </w:r>
      <w:proofErr w:type="spellStart"/>
      <w:r>
        <w:t>Montreal</w:t>
      </w:r>
      <w:proofErr w:type="spellEnd"/>
      <w:r w:rsidR="0005128B">
        <w:t>,</w:t>
      </w:r>
      <w:r w:rsidRPr="00877FA5">
        <w:t xml:space="preserve"> Lexis </w:t>
      </w:r>
      <w:proofErr w:type="spellStart"/>
      <w:r w:rsidRPr="00877FA5">
        <w:t>Nexis</w:t>
      </w:r>
      <w:proofErr w:type="spellEnd"/>
      <w:r w:rsidRPr="00877FA5">
        <w:t>, 2018</w:t>
      </w:r>
      <w:r w:rsidR="00D602AF">
        <w:t>, para</w:t>
      </w:r>
      <w:r w:rsidRPr="00877FA5">
        <w:t>. 118.</w:t>
      </w:r>
    </w:p>
  </w:footnote>
  <w:footnote w:id="65">
    <w:p w14:paraId="045ABB0D" w14:textId="333C06FB"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Université de Sherbrooke c. Commission des droits de la personne et des droits de la jeunesse</w:t>
      </w:r>
      <w:r w:rsidRPr="00877FA5">
        <w:t xml:space="preserve">, </w:t>
      </w:r>
      <w:r w:rsidR="00D602AF">
        <w:rPr>
          <w:i/>
        </w:rPr>
        <w:t xml:space="preserve">supra, </w:t>
      </w:r>
      <w:r w:rsidRPr="00877FA5">
        <w:t xml:space="preserve">note </w:t>
      </w:r>
      <w:r w:rsidR="003E6BC4">
        <w:t>53</w:t>
      </w:r>
      <w:r w:rsidRPr="00877FA5">
        <w:t>.</w:t>
      </w:r>
    </w:p>
  </w:footnote>
  <w:footnote w:id="66">
    <w:p w14:paraId="27C6A05D" w14:textId="23E2B77C"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(Procureur général) c. Commission des droits de la personne et de la jeunesse</w:t>
      </w:r>
      <w:r w:rsidRPr="00877FA5">
        <w:t xml:space="preserve">, </w:t>
      </w:r>
      <w:r w:rsidR="00D602AF">
        <w:rPr>
          <w:i/>
        </w:rPr>
        <w:t xml:space="preserve">supra, </w:t>
      </w:r>
      <w:r w:rsidRPr="00877FA5">
        <w:t>note </w:t>
      </w:r>
      <w:r w:rsidR="003E6BC4">
        <w:t>54</w:t>
      </w:r>
      <w:r w:rsidRPr="00877FA5">
        <w:t>.</w:t>
      </w:r>
    </w:p>
  </w:footnote>
  <w:footnote w:id="67">
    <w:p w14:paraId="0A02E3EF" w14:textId="044446C1"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Quebec (Attorney General) v. A</w:t>
      </w:r>
      <w:r w:rsidRPr="000A3539">
        <w:rPr>
          <w:lang w:val="en-CA"/>
        </w:rPr>
        <w:t xml:space="preserve">, </w:t>
      </w:r>
      <w:r w:rsidR="00D602AF">
        <w:rPr>
          <w:i/>
          <w:lang w:val="en-CA"/>
        </w:rPr>
        <w:t xml:space="preserve">supra, </w:t>
      </w:r>
      <w:r w:rsidRPr="000A3539">
        <w:rPr>
          <w:lang w:val="en-CA"/>
        </w:rPr>
        <w:t xml:space="preserve">note </w:t>
      </w:r>
      <w:r w:rsidR="003E6BC4">
        <w:rPr>
          <w:lang w:val="en-CA"/>
        </w:rPr>
        <w:t>52</w:t>
      </w:r>
      <w:r w:rsidRPr="000A3539">
        <w:rPr>
          <w:lang w:val="en-CA"/>
        </w:rPr>
        <w:t>.</w:t>
      </w:r>
    </w:p>
  </w:footnote>
  <w:footnote w:id="68">
    <w:p w14:paraId="2BEEFAA1" w14:textId="7B76A80C"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Canada (Minister of Citizenship and Immigration) v. </w:t>
      </w:r>
      <w:proofErr w:type="spellStart"/>
      <w:r w:rsidRPr="000A3539">
        <w:rPr>
          <w:i/>
          <w:lang w:val="en-CA"/>
        </w:rPr>
        <w:t>Vavilov</w:t>
      </w:r>
      <w:proofErr w:type="spellEnd"/>
      <w:r w:rsidRPr="000A3539">
        <w:rPr>
          <w:lang w:val="en-CA"/>
        </w:rPr>
        <w:t xml:space="preserve">, </w:t>
      </w:r>
      <w:r w:rsidR="00D602AF">
        <w:rPr>
          <w:i/>
          <w:lang w:val="en-CA"/>
        </w:rPr>
        <w:t xml:space="preserve">supra, </w:t>
      </w:r>
      <w:r w:rsidRPr="000A3539">
        <w:rPr>
          <w:lang w:val="en-CA"/>
        </w:rPr>
        <w:t xml:space="preserve">note </w:t>
      </w:r>
      <w:r w:rsidR="003E6BC4">
        <w:rPr>
          <w:lang w:val="en-CA"/>
        </w:rPr>
        <w:t>48</w:t>
      </w:r>
      <w:r w:rsidRPr="000A3539">
        <w:rPr>
          <w:lang w:val="en-CA"/>
        </w:rPr>
        <w:t>.</w:t>
      </w:r>
    </w:p>
  </w:footnote>
  <w:footnote w:id="69">
    <w:p w14:paraId="0A11ABD0" w14:textId="7B13DA78"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Université de Sherbrooke c. Commission des droits de la personne et des droits de la jeunesse</w:t>
      </w:r>
      <w:r w:rsidRPr="00877FA5">
        <w:t xml:space="preserve">, </w:t>
      </w:r>
      <w:r w:rsidR="00D602AF">
        <w:rPr>
          <w:i/>
        </w:rPr>
        <w:t xml:space="preserve">supra, </w:t>
      </w:r>
      <w:r w:rsidRPr="00877FA5">
        <w:t xml:space="preserve">note </w:t>
      </w:r>
      <w:r w:rsidR="003E6BC4">
        <w:t>53</w:t>
      </w:r>
      <w:r w:rsidR="00D602AF">
        <w:t>, para</w:t>
      </w:r>
      <w:r w:rsidRPr="00877FA5">
        <w:t>. 54.</w:t>
      </w:r>
    </w:p>
  </w:footnote>
  <w:footnote w:id="70">
    <w:p w14:paraId="62F8FC50" w14:textId="7DD5513E"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(Procureur général) c. Commission des droits de la personne et des droits de la jeunesse</w:t>
      </w:r>
      <w:r w:rsidRPr="00877FA5">
        <w:t xml:space="preserve">, </w:t>
      </w:r>
      <w:r w:rsidR="00D602AF">
        <w:rPr>
          <w:i/>
        </w:rPr>
        <w:t xml:space="preserve">supra, </w:t>
      </w:r>
      <w:r w:rsidRPr="00877FA5">
        <w:t xml:space="preserve">note </w:t>
      </w:r>
      <w:r w:rsidR="003E6BC4">
        <w:t>54</w:t>
      </w:r>
      <w:r w:rsidRPr="00877FA5">
        <w:t>.</w:t>
      </w:r>
    </w:p>
  </w:footnote>
  <w:footnote w:id="71">
    <w:p w14:paraId="04F47A48" w14:textId="152DD329"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0078011C">
        <w:rPr>
          <w:i/>
          <w:lang w:val="en-CA"/>
        </w:rPr>
        <w:t>Id</w:t>
      </w:r>
      <w:r w:rsidRPr="000A3539">
        <w:rPr>
          <w:lang w:val="en-CA"/>
        </w:rPr>
        <w:t>.</w:t>
      </w:r>
      <w:r w:rsidR="00D602AF">
        <w:rPr>
          <w:lang w:val="en-CA"/>
        </w:rPr>
        <w:t>, para</w:t>
      </w:r>
      <w:r>
        <w:rPr>
          <w:lang w:val="en-CA"/>
        </w:rPr>
        <w:t>s</w:t>
      </w:r>
      <w:r w:rsidRPr="000A3539">
        <w:rPr>
          <w:lang w:val="en-CA"/>
        </w:rPr>
        <w:t>. 30–43.</w:t>
      </w:r>
    </w:p>
  </w:footnote>
  <w:footnote w:id="72">
    <w:p w14:paraId="3203E13E" w14:textId="23C48325" w:rsidR="002F298B" w:rsidRPr="00877FA5" w:rsidRDefault="002F298B" w:rsidP="00352837">
      <w:pPr>
        <w:pStyle w:val="Notedebasdepage"/>
      </w:pPr>
      <w:r w:rsidRPr="000A3539">
        <w:rPr>
          <w:rStyle w:val="Appelnotedebasdep"/>
          <w:lang w:val="en-CA"/>
        </w:rPr>
        <w:footnoteRef/>
      </w:r>
      <w:r w:rsidRPr="000A3539">
        <w:rPr>
          <w:lang w:val="en-CA"/>
        </w:rPr>
        <w:t xml:space="preserve"> </w:t>
      </w:r>
      <w:r w:rsidRPr="000A3539">
        <w:rPr>
          <w:lang w:val="en-CA"/>
        </w:rPr>
        <w:tab/>
      </w:r>
      <w:r w:rsidR="0078011C">
        <w:rPr>
          <w:i/>
          <w:lang w:val="en-CA"/>
        </w:rPr>
        <w:t>Id</w:t>
      </w:r>
      <w:r w:rsidRPr="000A3539">
        <w:rPr>
          <w:lang w:val="en-CA"/>
        </w:rPr>
        <w:t>.</w:t>
      </w:r>
      <w:r w:rsidR="00D602AF">
        <w:rPr>
          <w:lang w:val="en-CA"/>
        </w:rPr>
        <w:t>, para</w:t>
      </w:r>
      <w:r>
        <w:rPr>
          <w:lang w:val="en-CA"/>
        </w:rPr>
        <w:t>s</w:t>
      </w:r>
      <w:r w:rsidRPr="000A3539">
        <w:rPr>
          <w:lang w:val="en-CA"/>
        </w:rPr>
        <w:t xml:space="preserve">. </w:t>
      </w:r>
      <w:r w:rsidRPr="00877FA5">
        <w:t>61–75.</w:t>
      </w:r>
    </w:p>
  </w:footnote>
  <w:footnote w:id="73">
    <w:p w14:paraId="59E4CD21" w14:textId="115078A5"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0078011C">
        <w:rPr>
          <w:i/>
        </w:rPr>
        <w:t>Id</w:t>
      </w:r>
      <w:r w:rsidRPr="00877FA5">
        <w:t>.</w:t>
      </w:r>
      <w:r w:rsidR="00D602AF">
        <w:t>, para</w:t>
      </w:r>
      <w:r>
        <w:t>s</w:t>
      </w:r>
      <w:r w:rsidRPr="00877FA5">
        <w:t>. 77–86.</w:t>
      </w:r>
    </w:p>
  </w:footnote>
  <w:footnote w:id="74">
    <w:p w14:paraId="399E6160" w14:textId="51FB4D3A"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proofErr w:type="spellStart"/>
      <w:r w:rsidRPr="00877FA5">
        <w:rPr>
          <w:i/>
        </w:rPr>
        <w:t>Quebec</w:t>
      </w:r>
      <w:proofErr w:type="spellEnd"/>
      <w:r w:rsidRPr="00877FA5">
        <w:rPr>
          <w:i/>
        </w:rPr>
        <w:t xml:space="preserve"> (Commission des droits de la personne et des droits de la jeunesse) v. Bombardier Inc. (Bombardier Aerospace Training Center)</w:t>
      </w:r>
      <w:r w:rsidRPr="00877FA5">
        <w:t xml:space="preserve">, </w:t>
      </w:r>
      <w:r w:rsidR="00D602AF">
        <w:rPr>
          <w:i/>
        </w:rPr>
        <w:t xml:space="preserve">supra, </w:t>
      </w:r>
      <w:r w:rsidRPr="00877FA5">
        <w:t xml:space="preserve">note </w:t>
      </w:r>
      <w:r w:rsidR="003E6BC4">
        <w:t>39</w:t>
      </w:r>
      <w:r w:rsidR="00D602AF">
        <w:t>, para</w:t>
      </w:r>
      <w:r w:rsidRPr="00877FA5">
        <w:t>s. 42–43 and 52–53;</w:t>
      </w:r>
      <w:r w:rsidRPr="00877FA5">
        <w:rPr>
          <w:i/>
        </w:rPr>
        <w:t xml:space="preserve"> </w:t>
      </w:r>
      <w:proofErr w:type="spellStart"/>
      <w:r w:rsidRPr="00877FA5">
        <w:rPr>
          <w:i/>
        </w:rPr>
        <w:t>Quebec</w:t>
      </w:r>
      <w:proofErr w:type="spellEnd"/>
      <w:r w:rsidRPr="00877FA5">
        <w:rPr>
          <w:i/>
        </w:rPr>
        <w:t xml:space="preserve"> (Commission des droits de la personne et des droits de la jeunesse) v. Montréal (City); </w:t>
      </w:r>
      <w:proofErr w:type="spellStart"/>
      <w:r w:rsidRPr="00877FA5">
        <w:rPr>
          <w:i/>
        </w:rPr>
        <w:t>Quebec</w:t>
      </w:r>
      <w:proofErr w:type="spellEnd"/>
      <w:r w:rsidRPr="00877FA5">
        <w:rPr>
          <w:i/>
        </w:rPr>
        <w:t xml:space="preserve"> (Commission des droits de la personne et des droits de la jeunesse) v. Boisbriand (City)</w:t>
      </w:r>
      <w:r w:rsidRPr="00877FA5">
        <w:t>, 2000 SCC 27</w:t>
      </w:r>
      <w:r w:rsidR="00D602AF">
        <w:t>, para</w:t>
      </w:r>
      <w:r w:rsidRPr="00877FA5">
        <w:t xml:space="preserve">. </w:t>
      </w:r>
      <w:r w:rsidRPr="000A3539">
        <w:rPr>
          <w:lang w:val="en-CA"/>
        </w:rPr>
        <w:t xml:space="preserve">84; </w:t>
      </w:r>
      <w:r w:rsidRPr="000A3539">
        <w:rPr>
          <w:i/>
          <w:lang w:val="en-CA"/>
        </w:rPr>
        <w:t xml:space="preserve">Commission </w:t>
      </w:r>
      <w:proofErr w:type="spellStart"/>
      <w:r w:rsidRPr="000A3539">
        <w:rPr>
          <w:i/>
          <w:lang w:val="en-CA"/>
        </w:rPr>
        <w:t>scolaire</w:t>
      </w:r>
      <w:proofErr w:type="spellEnd"/>
      <w:r w:rsidRPr="000A3539">
        <w:rPr>
          <w:i/>
          <w:lang w:val="en-CA"/>
        </w:rPr>
        <w:t xml:space="preserve"> </w:t>
      </w:r>
      <w:proofErr w:type="spellStart"/>
      <w:r w:rsidRPr="000A3539">
        <w:rPr>
          <w:i/>
          <w:lang w:val="en-CA"/>
        </w:rPr>
        <w:t>régionale</w:t>
      </w:r>
      <w:proofErr w:type="spellEnd"/>
      <w:r w:rsidRPr="000A3539">
        <w:rPr>
          <w:i/>
          <w:lang w:val="en-CA"/>
        </w:rPr>
        <w:t xml:space="preserve"> de Chambly v. </w:t>
      </w:r>
      <w:proofErr w:type="spellStart"/>
      <w:r w:rsidRPr="000A3539">
        <w:rPr>
          <w:i/>
          <w:lang w:val="en-CA"/>
        </w:rPr>
        <w:t>Bergevin</w:t>
      </w:r>
      <w:proofErr w:type="spellEnd"/>
      <w:r w:rsidRPr="000A3539">
        <w:rPr>
          <w:lang w:val="en-CA"/>
        </w:rPr>
        <w:t xml:space="preserve">, [1994] 2 S.C.R. 525 at 538; </w:t>
      </w:r>
      <w:r w:rsidRPr="000A3539">
        <w:rPr>
          <w:i/>
          <w:lang w:val="en-CA"/>
        </w:rPr>
        <w:t>Forget v. Quebec (Attorney General)</w:t>
      </w:r>
      <w:r w:rsidRPr="000A3539">
        <w:rPr>
          <w:lang w:val="en-CA"/>
        </w:rPr>
        <w:t>, [1988] 2 S.C.R. 90</w:t>
      </w:r>
      <w:r w:rsidR="00D602AF">
        <w:rPr>
          <w:lang w:val="en-CA"/>
        </w:rPr>
        <w:t>, para</w:t>
      </w:r>
      <w:r w:rsidRPr="000A3539">
        <w:rPr>
          <w:lang w:val="en-CA"/>
        </w:rPr>
        <w:t>. 10.</w:t>
      </w:r>
    </w:p>
  </w:footnote>
  <w:footnote w:id="75">
    <w:p w14:paraId="0C0A796B" w14:textId="741BE653"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xml:space="preserve">. 331; </w:t>
      </w:r>
      <w:r w:rsidRPr="000A3539">
        <w:rPr>
          <w:i/>
          <w:lang w:val="en-CA"/>
        </w:rPr>
        <w:t xml:space="preserve">George c. </w:t>
      </w:r>
      <w:proofErr w:type="spellStart"/>
      <w:r w:rsidRPr="000A3539">
        <w:rPr>
          <w:i/>
          <w:lang w:val="en-CA"/>
        </w:rPr>
        <w:t>Fonds</w:t>
      </w:r>
      <w:proofErr w:type="spellEnd"/>
      <w:r w:rsidRPr="000A3539">
        <w:rPr>
          <w:i/>
          <w:lang w:val="en-CA"/>
        </w:rPr>
        <w:t xml:space="preserve"> </w:t>
      </w:r>
      <w:proofErr w:type="spellStart"/>
      <w:r w:rsidRPr="000A3539">
        <w:rPr>
          <w:i/>
          <w:lang w:val="en-CA"/>
        </w:rPr>
        <w:t>d’aide</w:t>
      </w:r>
      <w:proofErr w:type="spellEnd"/>
      <w:r w:rsidRPr="000A3539">
        <w:rPr>
          <w:i/>
          <w:lang w:val="en-CA"/>
        </w:rPr>
        <w:t xml:space="preserve"> aux </w:t>
      </w:r>
      <w:proofErr w:type="spellStart"/>
      <w:r w:rsidRPr="000A3539">
        <w:rPr>
          <w:i/>
          <w:lang w:val="en-CA"/>
        </w:rPr>
        <w:t>recours</w:t>
      </w:r>
      <w:proofErr w:type="spellEnd"/>
      <w:r w:rsidRPr="000A3539">
        <w:rPr>
          <w:i/>
          <w:lang w:val="en-CA"/>
        </w:rPr>
        <w:t xml:space="preserve"> </w:t>
      </w:r>
      <w:proofErr w:type="spellStart"/>
      <w:r w:rsidRPr="000A3539">
        <w:rPr>
          <w:i/>
          <w:lang w:val="en-CA"/>
        </w:rPr>
        <w:t>collectifs</w:t>
      </w:r>
      <w:proofErr w:type="spellEnd"/>
      <w:r w:rsidRPr="000A3539">
        <w:rPr>
          <w:lang w:val="en-CA"/>
        </w:rPr>
        <w:t xml:space="preserve">, [2002] T.A.Q. 637, 2002 </w:t>
      </w:r>
      <w:proofErr w:type="spellStart"/>
      <w:r w:rsidRPr="000A3539">
        <w:rPr>
          <w:lang w:val="en-CA"/>
        </w:rPr>
        <w:t>CanLII</w:t>
      </w:r>
      <w:proofErr w:type="spellEnd"/>
      <w:r w:rsidRPr="000A3539">
        <w:rPr>
          <w:lang w:val="en-CA"/>
        </w:rPr>
        <w:t> 55213 (T</w:t>
      </w:r>
      <w:r w:rsidR="00435CA4">
        <w:rPr>
          <w:lang w:val="en-CA"/>
        </w:rPr>
        <w:t>.</w:t>
      </w:r>
      <w:r w:rsidRPr="000A3539">
        <w:rPr>
          <w:lang w:val="en-CA"/>
        </w:rPr>
        <w:t>A</w:t>
      </w:r>
      <w:r w:rsidR="00435CA4">
        <w:rPr>
          <w:lang w:val="en-CA"/>
        </w:rPr>
        <w:t>.</w:t>
      </w:r>
      <w:r w:rsidRPr="000A3539">
        <w:rPr>
          <w:lang w:val="en-CA"/>
        </w:rPr>
        <w:t>Q</w:t>
      </w:r>
      <w:r w:rsidR="00435CA4">
        <w:rPr>
          <w:lang w:val="en-CA"/>
        </w:rPr>
        <w:t>.</w:t>
      </w:r>
      <w:r w:rsidRPr="000A3539">
        <w:rPr>
          <w:lang w:val="en-CA"/>
        </w:rPr>
        <w:t>)</w:t>
      </w:r>
      <w:r w:rsidR="00D602AF">
        <w:rPr>
          <w:lang w:val="en-CA"/>
        </w:rPr>
        <w:t>, para</w:t>
      </w:r>
      <w:r w:rsidRPr="000A3539">
        <w:rPr>
          <w:lang w:val="en-CA"/>
        </w:rPr>
        <w:t>. 92.</w:t>
      </w:r>
    </w:p>
  </w:footnote>
  <w:footnote w:id="76">
    <w:p w14:paraId="08E0B3AC" w14:textId="1697335E" w:rsidR="002F298B" w:rsidRPr="00877FA5" w:rsidRDefault="002F298B" w:rsidP="00352837">
      <w:pPr>
        <w:pStyle w:val="Notedebasdepage"/>
      </w:pPr>
      <w:r w:rsidRPr="000A3539">
        <w:rPr>
          <w:rStyle w:val="Appelnotedebasdep"/>
          <w:lang w:val="en-CA"/>
        </w:rPr>
        <w:footnoteRef/>
      </w:r>
      <w:r w:rsidRPr="000A3539">
        <w:rPr>
          <w:lang w:val="en-CA"/>
        </w:rPr>
        <w:tab/>
      </w:r>
      <w:r w:rsidRPr="000A3539">
        <w:rPr>
          <w:i/>
          <w:lang w:val="en-CA"/>
        </w:rPr>
        <w:t>R. v. Barton</w:t>
      </w:r>
      <w:r w:rsidRPr="000A3539">
        <w:rPr>
          <w:lang w:val="en-CA"/>
        </w:rPr>
        <w:t>, 2019 SCC 33</w:t>
      </w:r>
      <w:r w:rsidR="00D602AF">
        <w:rPr>
          <w:lang w:val="en-CA"/>
        </w:rPr>
        <w:t>, para</w:t>
      </w:r>
      <w:r w:rsidRPr="000A3539">
        <w:rPr>
          <w:lang w:val="en-CA"/>
        </w:rPr>
        <w:t>s. 107 and 196</w:t>
      </w:r>
      <w:r w:rsidRPr="000A3539">
        <w:rPr>
          <w:rFonts w:cs="Arial"/>
          <w:lang w:val="en-CA"/>
        </w:rPr>
        <w:t>–</w:t>
      </w:r>
      <w:r w:rsidRPr="000A3539">
        <w:rPr>
          <w:lang w:val="en-CA"/>
        </w:rPr>
        <w:t xml:space="preserve">200; </w:t>
      </w:r>
      <w:r w:rsidRPr="000A3539">
        <w:rPr>
          <w:i/>
          <w:lang w:val="en-CA"/>
        </w:rPr>
        <w:t xml:space="preserve">R. v. </w:t>
      </w:r>
      <w:proofErr w:type="spellStart"/>
      <w:r w:rsidRPr="000A3539">
        <w:rPr>
          <w:i/>
          <w:lang w:val="en-CA"/>
        </w:rPr>
        <w:t>Ewanchuk</w:t>
      </w:r>
      <w:proofErr w:type="spellEnd"/>
      <w:r w:rsidRPr="000A3539">
        <w:rPr>
          <w:lang w:val="en-CA"/>
        </w:rPr>
        <w:t>, [1999] 1 S.C.R. 330</w:t>
      </w:r>
      <w:r w:rsidR="00D602AF">
        <w:rPr>
          <w:lang w:val="en-CA"/>
        </w:rPr>
        <w:t>, para</w:t>
      </w:r>
      <w:r>
        <w:rPr>
          <w:lang w:val="en-CA"/>
        </w:rPr>
        <w:t>s</w:t>
      </w:r>
      <w:r w:rsidRPr="000A3539">
        <w:rPr>
          <w:lang w:val="en-CA"/>
        </w:rPr>
        <w:t xml:space="preserve">. 82–96 (reasons of </w:t>
      </w:r>
      <w:proofErr w:type="spellStart"/>
      <w:r w:rsidRPr="000A3539">
        <w:rPr>
          <w:lang w:val="en-CA"/>
        </w:rPr>
        <w:t>L’Heureux</w:t>
      </w:r>
      <w:proofErr w:type="spellEnd"/>
      <w:r w:rsidRPr="000A3539">
        <w:rPr>
          <w:lang w:val="en-CA"/>
        </w:rPr>
        <w:t xml:space="preserve">-Dubé, J.) and para. 103 (reasons of </w:t>
      </w:r>
      <w:proofErr w:type="spellStart"/>
      <w:r w:rsidRPr="000A3539">
        <w:rPr>
          <w:lang w:val="en-CA"/>
        </w:rPr>
        <w:t>McLachlin</w:t>
      </w:r>
      <w:proofErr w:type="spellEnd"/>
      <w:r w:rsidRPr="000A3539">
        <w:rPr>
          <w:lang w:val="en-CA"/>
        </w:rPr>
        <w:t xml:space="preserve">, J.); </w:t>
      </w:r>
      <w:r w:rsidRPr="000A3539">
        <w:rPr>
          <w:i/>
          <w:lang w:val="en-CA"/>
        </w:rPr>
        <w:t xml:space="preserve">R. v. </w:t>
      </w:r>
      <w:proofErr w:type="spellStart"/>
      <w:r w:rsidRPr="000A3539">
        <w:rPr>
          <w:i/>
          <w:lang w:val="en-CA"/>
        </w:rPr>
        <w:t>Gladue</w:t>
      </w:r>
      <w:proofErr w:type="spellEnd"/>
      <w:r w:rsidRPr="000A3539">
        <w:rPr>
          <w:lang w:val="en-CA"/>
        </w:rPr>
        <w:t>, [1999] 1 S.C.R. 688</w:t>
      </w:r>
      <w:r w:rsidR="00D602AF">
        <w:rPr>
          <w:lang w:val="en-CA"/>
        </w:rPr>
        <w:t>, para</w:t>
      </w:r>
      <w:r w:rsidRPr="000A3539">
        <w:rPr>
          <w:lang w:val="en-CA"/>
        </w:rPr>
        <w:t xml:space="preserve">. 65; </w:t>
      </w:r>
      <w:r w:rsidRPr="000A3539">
        <w:rPr>
          <w:i/>
          <w:lang w:val="en-CA"/>
        </w:rPr>
        <w:t>R. v. Williams</w:t>
      </w:r>
      <w:r w:rsidRPr="000A3539">
        <w:rPr>
          <w:lang w:val="en-CA"/>
        </w:rPr>
        <w:t>, [1998] 1 S.C.R 1128</w:t>
      </w:r>
      <w:r w:rsidR="00D602AF">
        <w:rPr>
          <w:lang w:val="en-CA"/>
        </w:rPr>
        <w:t>, para</w:t>
      </w:r>
      <w:r w:rsidRPr="000A3539">
        <w:rPr>
          <w:lang w:val="en-CA"/>
        </w:rPr>
        <w:t xml:space="preserve">. 54; </w:t>
      </w:r>
      <w:r w:rsidRPr="000A3539">
        <w:rPr>
          <w:i/>
          <w:lang w:val="en-CA"/>
        </w:rPr>
        <w:t xml:space="preserve">R. v. </w:t>
      </w:r>
      <w:proofErr w:type="spellStart"/>
      <w:r w:rsidRPr="000A3539">
        <w:rPr>
          <w:i/>
          <w:lang w:val="en-CA"/>
        </w:rPr>
        <w:t>Ipeelee</w:t>
      </w:r>
      <w:proofErr w:type="spellEnd"/>
      <w:r w:rsidRPr="000A3539">
        <w:rPr>
          <w:lang w:val="en-CA"/>
        </w:rPr>
        <w:t>, 2012 SCC 13</w:t>
      </w:r>
      <w:r w:rsidR="00D602AF">
        <w:rPr>
          <w:lang w:val="en-CA"/>
        </w:rPr>
        <w:t>, para</w:t>
      </w:r>
      <w:r>
        <w:rPr>
          <w:lang w:val="en-CA"/>
        </w:rPr>
        <w:t>s</w:t>
      </w:r>
      <w:r w:rsidRPr="000A3539">
        <w:rPr>
          <w:lang w:val="en-CA"/>
        </w:rPr>
        <w:t xml:space="preserve">. </w:t>
      </w:r>
      <w:r w:rsidRPr="00877FA5">
        <w:t>59–60 and 67.</w:t>
      </w:r>
    </w:p>
  </w:footnote>
  <w:footnote w:id="77">
    <w:p w14:paraId="2F5990FF" w14:textId="419A5199"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Lévesque c. Québec (Procureur g</w:t>
      </w:r>
      <w:r>
        <w:rPr>
          <w:i/>
        </w:rPr>
        <w:t>é</w:t>
      </w:r>
      <w:r w:rsidRPr="00877FA5">
        <w:rPr>
          <w:i/>
        </w:rPr>
        <w:t>n</w:t>
      </w:r>
      <w:r>
        <w:rPr>
          <w:i/>
        </w:rPr>
        <w:t>é</w:t>
      </w:r>
      <w:r w:rsidRPr="00877FA5">
        <w:rPr>
          <w:i/>
        </w:rPr>
        <w:t>ral)</w:t>
      </w:r>
      <w:r w:rsidRPr="00877FA5">
        <w:t xml:space="preserve">, [1988] R.J.Q. 223, 1987 </w:t>
      </w:r>
      <w:proofErr w:type="spellStart"/>
      <w:r w:rsidRPr="00877FA5">
        <w:t>CanLII</w:t>
      </w:r>
      <w:proofErr w:type="spellEnd"/>
      <w:r w:rsidRPr="00877FA5">
        <w:t xml:space="preserve"> 964 (C.A.); </w:t>
      </w:r>
      <w:r w:rsidRPr="00877FA5">
        <w:rPr>
          <w:i/>
        </w:rPr>
        <w:t>Johnson c. Commission des affaires sociales</w:t>
      </w:r>
      <w:r w:rsidRPr="00877FA5">
        <w:t>, [1984] C.A. 61, AZ-84011055</w:t>
      </w:r>
      <w:r w:rsidR="0005128B">
        <w:t>,</w:t>
      </w:r>
      <w:r w:rsidRPr="00877FA5">
        <w:t xml:space="preserve"> </w:t>
      </w:r>
      <w:r w:rsidR="0005128B">
        <w:t>p.</w:t>
      </w:r>
      <w:r w:rsidRPr="00877FA5">
        <w:t> 21.</w:t>
      </w:r>
    </w:p>
  </w:footnote>
  <w:footnote w:id="78">
    <w:p w14:paraId="1A1C535E" w14:textId="4BEDE15C"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r w:rsidRPr="00877FA5">
        <w:rPr>
          <w:i/>
        </w:rPr>
        <w:t>Commission des droits de la personne et des droits de la jeunesse (Mercier et une autre) c. Dion</w:t>
      </w:r>
      <w:r w:rsidRPr="00877FA5">
        <w:t xml:space="preserve">, 2008 QCTDP 9; </w:t>
      </w:r>
      <w:r w:rsidRPr="00877FA5">
        <w:rPr>
          <w:i/>
        </w:rPr>
        <w:t xml:space="preserve">Commission des droits de la personne et des droits de la jeunesse c. Fondation Abbé Charles-Émile </w:t>
      </w:r>
      <w:proofErr w:type="spellStart"/>
      <w:r w:rsidRPr="00877FA5">
        <w:rPr>
          <w:i/>
        </w:rPr>
        <w:t>Gadbois</w:t>
      </w:r>
      <w:proofErr w:type="spellEnd"/>
      <w:r w:rsidRPr="00877FA5">
        <w:t xml:space="preserve">, J.E. 2001-1792 (H.R.T.); </w:t>
      </w:r>
      <w:r w:rsidRPr="00877FA5">
        <w:rPr>
          <w:i/>
        </w:rPr>
        <w:t>D’</w:t>
      </w:r>
      <w:proofErr w:type="spellStart"/>
      <w:r w:rsidRPr="00877FA5">
        <w:rPr>
          <w:i/>
        </w:rPr>
        <w:t>Aoust</w:t>
      </w:r>
      <w:proofErr w:type="spellEnd"/>
      <w:r w:rsidRPr="00877FA5">
        <w:rPr>
          <w:i/>
        </w:rPr>
        <w:t xml:space="preserve"> c. Vallières</w:t>
      </w:r>
      <w:r w:rsidRPr="00877FA5">
        <w:t xml:space="preserve">, J.E. 94-85, AZ-94171005 (H.R.T.); </w:t>
      </w:r>
      <w:r w:rsidRPr="00877FA5">
        <w:rPr>
          <w:i/>
        </w:rPr>
        <w:t>Commission des droits de la personne c. J.M. Brouillette Inc.</w:t>
      </w:r>
      <w:r w:rsidRPr="00877FA5">
        <w:t>, J.E. 94-801, 1994 </w:t>
      </w:r>
      <w:proofErr w:type="spellStart"/>
      <w:r w:rsidRPr="00877FA5">
        <w:t>CanLII</w:t>
      </w:r>
      <w:proofErr w:type="spellEnd"/>
      <w:r w:rsidRPr="00877FA5">
        <w:t> 191 (</w:t>
      </w:r>
      <w:r w:rsidR="00435CA4">
        <w:t>H.R.T.</w:t>
      </w:r>
      <w:r w:rsidRPr="00877FA5">
        <w:t xml:space="preserve">); </w:t>
      </w:r>
      <w:r w:rsidRPr="00877FA5">
        <w:rPr>
          <w:i/>
        </w:rPr>
        <w:t>Commission des droits de la personne c. Gauthier</w:t>
      </w:r>
      <w:r w:rsidRPr="00877FA5">
        <w:t>, [1994] R.J.Q. 253, 1993 </w:t>
      </w:r>
      <w:proofErr w:type="spellStart"/>
      <w:r w:rsidRPr="00877FA5">
        <w:t>CanLII</w:t>
      </w:r>
      <w:proofErr w:type="spellEnd"/>
      <w:r w:rsidRPr="00877FA5">
        <w:t> 8751 (</w:t>
      </w:r>
      <w:r w:rsidR="00435CA4">
        <w:t>H.R.T.</w:t>
      </w:r>
      <w:r w:rsidRPr="00877FA5">
        <w:t xml:space="preserve">). </w:t>
      </w:r>
      <w:r w:rsidRPr="000A3539">
        <w:rPr>
          <w:lang w:val="en-CA"/>
        </w:rPr>
        <w:t xml:space="preserve">See also the following administrative decisions: </w:t>
      </w:r>
      <w:r w:rsidRPr="000A3539">
        <w:rPr>
          <w:i/>
          <w:lang w:val="en-CA"/>
        </w:rPr>
        <w:t>M.B. c. Québec (</w:t>
      </w:r>
      <w:proofErr w:type="spellStart"/>
      <w:r w:rsidRPr="000A3539">
        <w:rPr>
          <w:i/>
          <w:lang w:val="en-CA"/>
        </w:rPr>
        <w:t>Procureur</w:t>
      </w:r>
      <w:proofErr w:type="spellEnd"/>
      <w:r w:rsidRPr="000A3539">
        <w:rPr>
          <w:i/>
          <w:lang w:val="en-CA"/>
        </w:rPr>
        <w:t xml:space="preserve"> </w:t>
      </w:r>
      <w:proofErr w:type="spellStart"/>
      <w:r w:rsidRPr="000A3539">
        <w:rPr>
          <w:i/>
          <w:lang w:val="en-CA"/>
        </w:rPr>
        <w:t>général</w:t>
      </w:r>
      <w:proofErr w:type="spellEnd"/>
      <w:r w:rsidRPr="000A3539">
        <w:rPr>
          <w:i/>
          <w:lang w:val="en-CA"/>
        </w:rPr>
        <w:t>)</w:t>
      </w:r>
      <w:r w:rsidRPr="000A3539">
        <w:rPr>
          <w:lang w:val="en-CA"/>
        </w:rPr>
        <w:t xml:space="preserve">, 2010 QCTAQ 06614; </w:t>
      </w:r>
      <w:r w:rsidRPr="000A3539">
        <w:rPr>
          <w:i/>
          <w:lang w:val="en-CA"/>
        </w:rPr>
        <w:t xml:space="preserve">Aide </w:t>
      </w:r>
      <w:proofErr w:type="spellStart"/>
      <w:r w:rsidRPr="000A3539">
        <w:rPr>
          <w:i/>
          <w:lang w:val="en-CA"/>
        </w:rPr>
        <w:t>sociale</w:t>
      </w:r>
      <w:proofErr w:type="spellEnd"/>
      <w:r w:rsidRPr="000A3539">
        <w:rPr>
          <w:i/>
          <w:lang w:val="en-CA"/>
        </w:rPr>
        <w:t xml:space="preserve"> 134</w:t>
      </w:r>
      <w:r w:rsidRPr="000A3539">
        <w:rPr>
          <w:lang w:val="en-CA"/>
        </w:rPr>
        <w:t>, [1997] C.A.S. 432, AZ-97051085.</w:t>
      </w:r>
    </w:p>
  </w:footnote>
  <w:footnote w:id="79">
    <w:p w14:paraId="4BB6F0A0" w14:textId="065F7EEB"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 xml:space="preserve">Commission des droits de la personne c. Centre hospitalier St-Vincent de Paul de Sherbrooke </w:t>
      </w:r>
      <w:r w:rsidRPr="00877FA5">
        <w:t>(</w:t>
      </w:r>
      <w:proofErr w:type="spellStart"/>
      <w:r w:rsidRPr="00877FA5">
        <w:t>September</w:t>
      </w:r>
      <w:proofErr w:type="spellEnd"/>
      <w:r w:rsidRPr="00877FA5">
        <w:t xml:space="preserve"> </w:t>
      </w:r>
      <w:r w:rsidR="00A73BF7">
        <w:t xml:space="preserve">7, </w:t>
      </w:r>
      <w:r w:rsidRPr="00877FA5">
        <w:t>1978), St</w:t>
      </w:r>
      <w:r w:rsidRPr="00877FA5">
        <w:noBreakHyphen/>
        <w:t>François</w:t>
      </w:r>
      <w:r w:rsidR="00A73BF7">
        <w:t xml:space="preserve"> Sup. Ct.,</w:t>
      </w:r>
      <w:r w:rsidRPr="00877FA5">
        <w:t xml:space="preserve"> 450-05-000856-78, </w:t>
      </w:r>
      <w:proofErr w:type="spellStart"/>
      <w:r w:rsidRPr="00877FA5">
        <w:t>cited</w:t>
      </w:r>
      <w:proofErr w:type="spellEnd"/>
      <w:r w:rsidRPr="00877FA5">
        <w:t xml:space="preserve"> in </w:t>
      </w:r>
      <w:r w:rsidRPr="00877FA5">
        <w:rPr>
          <w:i/>
        </w:rPr>
        <w:t>Lévesque c. Québec (Procureur général)</w:t>
      </w:r>
      <w:r w:rsidRPr="00877FA5">
        <w:t xml:space="preserve">, [1988] R.J.Q. 223, 1987 </w:t>
      </w:r>
      <w:proofErr w:type="spellStart"/>
      <w:r w:rsidRPr="00877FA5">
        <w:t>CanLII</w:t>
      </w:r>
      <w:proofErr w:type="spellEnd"/>
      <w:r w:rsidRPr="00877FA5">
        <w:t> 964 (C.A.).</w:t>
      </w:r>
    </w:p>
  </w:footnote>
  <w:footnote w:id="80">
    <w:p w14:paraId="4439FBCC" w14:textId="31476085"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Commission des droits de la personne c. Gauthier</w:t>
      </w:r>
      <w:r w:rsidRPr="00877FA5">
        <w:t xml:space="preserve">, </w:t>
      </w:r>
      <w:r w:rsidR="00D602AF">
        <w:rPr>
          <w:i/>
        </w:rPr>
        <w:t xml:space="preserve">supra, </w:t>
      </w:r>
      <w:r w:rsidRPr="00877FA5">
        <w:t xml:space="preserve">note </w:t>
      </w:r>
      <w:r w:rsidR="003E6BC4">
        <w:t>78</w:t>
      </w:r>
      <w:r w:rsidRPr="00877FA5">
        <w:t>.</w:t>
      </w:r>
    </w:p>
  </w:footnote>
  <w:footnote w:id="81">
    <w:p w14:paraId="7F7D9A7F" w14:textId="0AFA3C37" w:rsidR="002F298B" w:rsidRPr="00877FA5" w:rsidRDefault="002F298B" w:rsidP="00352837">
      <w:pPr>
        <w:pStyle w:val="Notedebasdepage"/>
      </w:pPr>
      <w:r w:rsidRPr="000A3539">
        <w:rPr>
          <w:rStyle w:val="Appelnotedebasdep"/>
          <w:lang w:val="en-CA"/>
        </w:rPr>
        <w:footnoteRef/>
      </w:r>
      <w:r w:rsidRPr="00877FA5">
        <w:t xml:space="preserve"> </w:t>
      </w:r>
      <w:r w:rsidRPr="00877FA5">
        <w:tab/>
        <w:t xml:space="preserve">In </w:t>
      </w:r>
      <w:r w:rsidRPr="00877FA5">
        <w:rPr>
          <w:i/>
        </w:rPr>
        <w:t>Johnson c. Commission des affaires sociales</w:t>
      </w:r>
      <w:r w:rsidRPr="00877FA5">
        <w:t xml:space="preserve">, </w:t>
      </w:r>
      <w:r w:rsidR="00D602AF">
        <w:rPr>
          <w:i/>
        </w:rPr>
        <w:t xml:space="preserve">supra, </w:t>
      </w:r>
      <w:r w:rsidRPr="00877FA5">
        <w:t xml:space="preserve">note </w:t>
      </w:r>
      <w:r w:rsidR="003E6BC4">
        <w:t>77</w:t>
      </w:r>
      <w:r w:rsidR="00A73BF7">
        <w:rPr>
          <w:lang w:val="en-CA"/>
        </w:rPr>
        <w:t>,</w:t>
      </w:r>
      <w:r w:rsidRPr="00877FA5">
        <w:t xml:space="preserve"> </w:t>
      </w:r>
      <w:r w:rsidR="00A73BF7">
        <w:t>pp.</w:t>
      </w:r>
      <w:r w:rsidRPr="00877FA5">
        <w:t> 21–22.</w:t>
      </w:r>
    </w:p>
  </w:footnote>
  <w:footnote w:id="82">
    <w:p w14:paraId="109CEEBA" w14:textId="02B298EA"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Ordre des comptables agréés du Québec c. Québec (Procureur général)</w:t>
      </w:r>
      <w:r w:rsidRPr="00877FA5">
        <w:t xml:space="preserve">, [2004] R.J.Q.1164, 2004 </w:t>
      </w:r>
      <w:proofErr w:type="spellStart"/>
      <w:r w:rsidRPr="00877FA5">
        <w:t>CanLII</w:t>
      </w:r>
      <w:proofErr w:type="spellEnd"/>
      <w:r w:rsidRPr="00877FA5">
        <w:t> 20542</w:t>
      </w:r>
      <w:r w:rsidR="00D602AF">
        <w:t>, para</w:t>
      </w:r>
      <w:r w:rsidRPr="00877FA5">
        <w:t>. 69 (C.A.).</w:t>
      </w:r>
    </w:p>
  </w:footnote>
  <w:footnote w:id="83">
    <w:p w14:paraId="6F7F2152" w14:textId="51ADE604"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Lévesque c. Québec (Procureur général)</w:t>
      </w:r>
      <w:r w:rsidRPr="00877FA5">
        <w:t>,</w:t>
      </w:r>
      <w:r w:rsidRPr="00877FA5">
        <w:rPr>
          <w:i/>
        </w:rPr>
        <w:t xml:space="preserve"> </w:t>
      </w:r>
      <w:r w:rsidR="00D602AF">
        <w:rPr>
          <w:i/>
        </w:rPr>
        <w:t xml:space="preserve">supra, </w:t>
      </w:r>
      <w:r w:rsidRPr="00877FA5">
        <w:t xml:space="preserve">note </w:t>
      </w:r>
      <w:r w:rsidR="003E6BC4">
        <w:t>77</w:t>
      </w:r>
      <w:r w:rsidRPr="00877FA5">
        <w:t>.</w:t>
      </w:r>
    </w:p>
  </w:footnote>
  <w:footnote w:id="84">
    <w:p w14:paraId="7B2E3920" w14:textId="1C76E1B9"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(Procureur général) c. Champagne</w:t>
      </w:r>
      <w:r w:rsidRPr="00877FA5">
        <w:t xml:space="preserve">, [2003] J.Q. no. 13948, 2003 </w:t>
      </w:r>
      <w:proofErr w:type="spellStart"/>
      <w:r w:rsidRPr="00877FA5">
        <w:t>CanLII</w:t>
      </w:r>
      <w:proofErr w:type="spellEnd"/>
      <w:r w:rsidRPr="00877FA5">
        <w:t> 72172 (C.A.).</w:t>
      </w:r>
    </w:p>
  </w:footnote>
  <w:footnote w:id="85">
    <w:p w14:paraId="37528805" w14:textId="053B2DAD"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Social Aid Act</w:t>
      </w:r>
      <w:r w:rsidRPr="000A3539">
        <w:rPr>
          <w:lang w:val="en-CA"/>
        </w:rPr>
        <w:t>, R.S.Q., c. A-16.</w:t>
      </w:r>
    </w:p>
  </w:footnote>
  <w:footnote w:id="86">
    <w:p w14:paraId="74390A58" w14:textId="34D75869"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Lévesque c. Québec (Procureur général)</w:t>
      </w:r>
      <w:r w:rsidRPr="00877FA5">
        <w:t xml:space="preserve">, </w:t>
      </w:r>
      <w:r w:rsidR="00D602AF">
        <w:rPr>
          <w:i/>
        </w:rPr>
        <w:t xml:space="preserve">supra, </w:t>
      </w:r>
      <w:r w:rsidRPr="00877FA5">
        <w:t xml:space="preserve">note </w:t>
      </w:r>
      <w:r w:rsidR="003E6BC4">
        <w:t>77</w:t>
      </w:r>
      <w:r w:rsidRPr="00877FA5">
        <w:t>.</w:t>
      </w:r>
    </w:p>
  </w:footnote>
  <w:footnote w:id="87">
    <w:p w14:paraId="4B4ECCB3" w14:textId="77777777"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Affaires sociales — 413</w:t>
      </w:r>
      <w:r w:rsidRPr="00877FA5">
        <w:t>, [2000] T.A.Q. 77.</w:t>
      </w:r>
    </w:p>
  </w:footnote>
  <w:footnote w:id="88">
    <w:p w14:paraId="290FDD40" w14:textId="389118CF"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A</w:t>
      </w:r>
      <w:r w:rsidRPr="00877FA5">
        <w:rPr>
          <w:i/>
          <w:kern w:val="28"/>
        </w:rPr>
        <w:t xml:space="preserve">utomobile </w:t>
      </w:r>
      <w:proofErr w:type="spellStart"/>
      <w:r w:rsidRPr="00877FA5">
        <w:rPr>
          <w:i/>
          <w:kern w:val="28"/>
        </w:rPr>
        <w:t>Insurance</w:t>
      </w:r>
      <w:proofErr w:type="spellEnd"/>
      <w:r w:rsidRPr="00877FA5">
        <w:rPr>
          <w:i/>
          <w:kern w:val="28"/>
        </w:rPr>
        <w:t xml:space="preserve"> </w:t>
      </w:r>
      <w:proofErr w:type="spellStart"/>
      <w:r w:rsidRPr="00877FA5">
        <w:rPr>
          <w:i/>
          <w:kern w:val="28"/>
        </w:rPr>
        <w:t>Act</w:t>
      </w:r>
      <w:proofErr w:type="spellEnd"/>
      <w:r w:rsidRPr="00877FA5">
        <w:rPr>
          <w:kern w:val="28"/>
        </w:rPr>
        <w:t>,</w:t>
      </w:r>
      <w:r w:rsidRPr="00877FA5">
        <w:t xml:space="preserve"> R.S.Q., c. A-25.</w:t>
      </w:r>
    </w:p>
  </w:footnote>
  <w:footnote w:id="89">
    <w:p w14:paraId="60A79B24" w14:textId="6042E746"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Affaires sociales — 413</w:t>
      </w:r>
      <w:r w:rsidRPr="00877FA5">
        <w:t>, [2000] T.A.Q. 77</w:t>
      </w:r>
      <w:r w:rsidR="00D602AF">
        <w:t>, para</w:t>
      </w:r>
      <w:r w:rsidRPr="00877FA5">
        <w:t>s. 32–38.</w:t>
      </w:r>
    </w:p>
  </w:footnote>
  <w:footnote w:id="90">
    <w:p w14:paraId="18F7AB71" w14:textId="2E4F9FEB"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Champagne c. Tribunal administratif du Québec</w:t>
      </w:r>
      <w:r w:rsidRPr="00877FA5">
        <w:t>, [2001] R.J.Q. 1788, J.E. 2001-1435 (Sup. Ct.).</w:t>
      </w:r>
    </w:p>
  </w:footnote>
  <w:footnote w:id="91">
    <w:p w14:paraId="7078CF16" w14:textId="6397795B"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Québec (Procureur général) c. Champagne</w:t>
      </w:r>
      <w:r w:rsidRPr="00877FA5">
        <w:t xml:space="preserve">, </w:t>
      </w:r>
      <w:r w:rsidR="00D602AF">
        <w:rPr>
          <w:i/>
        </w:rPr>
        <w:t xml:space="preserve">supra, </w:t>
      </w:r>
      <w:r w:rsidRPr="00877FA5">
        <w:t xml:space="preserve">note </w:t>
      </w:r>
      <w:r w:rsidR="003E6BC4">
        <w:t>84</w:t>
      </w:r>
      <w:r w:rsidRPr="00877FA5">
        <w:t>.</w:t>
      </w:r>
    </w:p>
  </w:footnote>
  <w:footnote w:id="92">
    <w:p w14:paraId="65AD724E" w14:textId="22C9F37F"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r w:rsidRPr="00877FA5">
        <w:rPr>
          <w:i/>
        </w:rPr>
        <w:t xml:space="preserve">Béliveau St-Jacques v. Fédération des employées et employés de services publics </w:t>
      </w:r>
      <w:proofErr w:type="spellStart"/>
      <w:r w:rsidRPr="00877FA5">
        <w:rPr>
          <w:i/>
        </w:rPr>
        <w:t>inc.</w:t>
      </w:r>
      <w:proofErr w:type="spellEnd"/>
      <w:r w:rsidRPr="00877FA5">
        <w:t>, [1996] 2 S.C.R. 345</w:t>
      </w:r>
      <w:r w:rsidR="00D602AF">
        <w:t>, para</w:t>
      </w:r>
      <w:r w:rsidRPr="00877FA5">
        <w:t xml:space="preserve">. 116; </w:t>
      </w:r>
      <w:proofErr w:type="spellStart"/>
      <w:r w:rsidRPr="00877FA5">
        <w:rPr>
          <w:i/>
        </w:rPr>
        <w:t>Quebec</w:t>
      </w:r>
      <w:proofErr w:type="spellEnd"/>
      <w:r w:rsidRPr="00877FA5">
        <w:rPr>
          <w:i/>
        </w:rPr>
        <w:t xml:space="preserve"> (Commission des droits de la personne et des droits de la jeunesse) v. Montréal (City); </w:t>
      </w:r>
      <w:proofErr w:type="spellStart"/>
      <w:r w:rsidRPr="00877FA5">
        <w:rPr>
          <w:i/>
        </w:rPr>
        <w:t>Quebec</w:t>
      </w:r>
      <w:proofErr w:type="spellEnd"/>
      <w:r w:rsidRPr="00877FA5">
        <w:rPr>
          <w:i/>
        </w:rPr>
        <w:t xml:space="preserve"> (Commission des droits de la personne et des droits de la jeunesse) v. Boisbriand (City)</w:t>
      </w:r>
      <w:r w:rsidRPr="00877FA5">
        <w:t xml:space="preserve">, </w:t>
      </w:r>
      <w:r w:rsidR="00D602AF">
        <w:rPr>
          <w:i/>
        </w:rPr>
        <w:t xml:space="preserve">supra, </w:t>
      </w:r>
      <w:r w:rsidRPr="00877FA5">
        <w:t xml:space="preserve">note </w:t>
      </w:r>
      <w:r w:rsidR="003E6BC4">
        <w:t>74</w:t>
      </w:r>
      <w:r w:rsidR="00D602AF">
        <w:t>, para</w:t>
      </w:r>
      <w:r w:rsidRPr="00877FA5">
        <w:t xml:space="preserve">s. </w:t>
      </w:r>
      <w:r w:rsidRPr="000A3539">
        <w:rPr>
          <w:lang w:val="en-CA"/>
        </w:rPr>
        <w:t>28–29. Note that this case concerned the scope of one of the prohibited grounds set out in section 10. The Supreme Court thus expanded the definition of “handicap”, finding that this ground includes a subjective aspect, that is, “the perception of a handicap”.</w:t>
      </w:r>
    </w:p>
  </w:footnote>
  <w:footnote w:id="93">
    <w:p w14:paraId="4A070928" w14:textId="49221DCB"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Social Aid Act</w:t>
      </w:r>
      <w:r w:rsidRPr="000A3539">
        <w:rPr>
          <w:lang w:val="en-CA"/>
        </w:rPr>
        <w:t xml:space="preserve">, </w:t>
      </w:r>
      <w:r w:rsidR="00D602AF">
        <w:rPr>
          <w:i/>
          <w:lang w:val="en-CA"/>
        </w:rPr>
        <w:t xml:space="preserve">supra, </w:t>
      </w:r>
      <w:r w:rsidRPr="000A3539">
        <w:rPr>
          <w:lang w:val="en-CA"/>
        </w:rPr>
        <w:t xml:space="preserve">note </w:t>
      </w:r>
      <w:r w:rsidR="003E6BC4">
        <w:rPr>
          <w:lang w:val="en-CA"/>
        </w:rPr>
        <w:t>85</w:t>
      </w:r>
      <w:r w:rsidRPr="000A3539">
        <w:rPr>
          <w:lang w:val="en-CA"/>
        </w:rPr>
        <w:t>.</w:t>
      </w:r>
    </w:p>
  </w:footnote>
  <w:footnote w:id="94">
    <w:p w14:paraId="0AF70FD0" w14:textId="664ABDC5" w:rsidR="002F298B" w:rsidRPr="00877FA5" w:rsidRDefault="002F298B" w:rsidP="00352837">
      <w:pPr>
        <w:pStyle w:val="Notedebasdepage"/>
      </w:pPr>
      <w:r w:rsidRPr="000A3539">
        <w:rPr>
          <w:rStyle w:val="Appelnotedebasdep"/>
          <w:lang w:val="en-CA"/>
        </w:rPr>
        <w:footnoteRef/>
      </w:r>
      <w:r w:rsidRPr="00877FA5">
        <w:t xml:space="preserve"> </w:t>
      </w:r>
      <w:r w:rsidRPr="00877FA5">
        <w:tab/>
        <w:t xml:space="preserve">Proulx, </w:t>
      </w:r>
      <w:r w:rsidR="00D602AF">
        <w:rPr>
          <w:i/>
        </w:rPr>
        <w:t xml:space="preserve">supra, </w:t>
      </w:r>
      <w:r w:rsidRPr="00877FA5">
        <w:t xml:space="preserve">note </w:t>
      </w:r>
      <w:r w:rsidR="003E6BC4">
        <w:t>64</w:t>
      </w:r>
      <w:r w:rsidR="00D602AF">
        <w:t>, para</w:t>
      </w:r>
      <w:r w:rsidRPr="00877FA5">
        <w:t>. 100.</w:t>
      </w:r>
    </w:p>
  </w:footnote>
  <w:footnote w:id="95">
    <w:p w14:paraId="43264E97" w14:textId="7BB2E10C"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Ordre des comptables généraux licenciés du Québec c. Québec (Procureur général)</w:t>
      </w:r>
      <w:r w:rsidRPr="00877FA5">
        <w:t xml:space="preserve">, [2004] R.J.Q. 1164, 2004 </w:t>
      </w:r>
      <w:proofErr w:type="spellStart"/>
      <w:r w:rsidRPr="00877FA5">
        <w:t>CanLII</w:t>
      </w:r>
      <w:proofErr w:type="spellEnd"/>
      <w:r w:rsidRPr="00877FA5">
        <w:t> 20542</w:t>
      </w:r>
      <w:r w:rsidR="00D602AF">
        <w:t>, para</w:t>
      </w:r>
      <w:r w:rsidRPr="00877FA5">
        <w:t>s 69–70 (C.A.).</w:t>
      </w:r>
    </w:p>
  </w:footnote>
  <w:footnote w:id="96">
    <w:p w14:paraId="2FA1E141" w14:textId="5581E8E8"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Chartered Accountants Act</w:t>
      </w:r>
      <w:r w:rsidRPr="000A3539">
        <w:rPr>
          <w:lang w:val="en-CA"/>
        </w:rPr>
        <w:t>, R.S.Q., c. C-48.</w:t>
      </w:r>
    </w:p>
  </w:footnote>
  <w:footnote w:id="97">
    <w:p w14:paraId="704B51C1" w14:textId="10CD102F"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r w:rsidRPr="00877FA5">
        <w:rPr>
          <w:i/>
        </w:rPr>
        <w:t>Ordre des comptables généraux licenciés du Québec c. Québec (Procureur général)</w:t>
      </w:r>
      <w:r w:rsidRPr="00877FA5">
        <w:t xml:space="preserve">, </w:t>
      </w:r>
      <w:r w:rsidR="00D602AF">
        <w:rPr>
          <w:i/>
        </w:rPr>
        <w:t xml:space="preserve">supra, </w:t>
      </w:r>
      <w:r w:rsidRPr="00877FA5">
        <w:t xml:space="preserve">note </w:t>
      </w:r>
      <w:r w:rsidR="003E6BC4">
        <w:t>82</w:t>
      </w:r>
      <w:r w:rsidR="00D602AF">
        <w:t>, para</w:t>
      </w:r>
      <w:r w:rsidRPr="00877FA5">
        <w:t xml:space="preserve">s. </w:t>
      </w:r>
      <w:r w:rsidRPr="000A3539">
        <w:rPr>
          <w:lang w:val="en-CA"/>
        </w:rPr>
        <w:t>69–70 (C.A.).</w:t>
      </w:r>
    </w:p>
  </w:footnote>
  <w:footnote w:id="98">
    <w:p w14:paraId="148C3C79" w14:textId="6626242C" w:rsidR="002F298B" w:rsidRPr="00877FA5" w:rsidRDefault="002F298B" w:rsidP="00352837">
      <w:pPr>
        <w:pStyle w:val="Notedebasdepage"/>
      </w:pPr>
      <w:r w:rsidRPr="000A3539">
        <w:rPr>
          <w:rStyle w:val="Appelnotedebasdep"/>
          <w:lang w:val="en-CA"/>
        </w:rPr>
        <w:footnoteRef/>
      </w:r>
      <w:r w:rsidRPr="000A3539">
        <w:rPr>
          <w:lang w:val="en-CA"/>
        </w:rPr>
        <w:t xml:space="preserve"> </w:t>
      </w:r>
      <w:r w:rsidRPr="000A3539">
        <w:rPr>
          <w:lang w:val="en-CA"/>
        </w:rPr>
        <w:tab/>
        <w:t xml:space="preserve">See </w:t>
      </w:r>
      <w:r w:rsidRPr="000A3539">
        <w:rPr>
          <w:i/>
          <w:lang w:val="en-CA"/>
        </w:rPr>
        <w:t>Quebec (Attorney General) v. A</w:t>
      </w:r>
      <w:r w:rsidRPr="000A3539">
        <w:rPr>
          <w:lang w:val="en-CA"/>
        </w:rPr>
        <w:t xml:space="preserve">, </w:t>
      </w:r>
      <w:r w:rsidR="00D602AF">
        <w:rPr>
          <w:i/>
          <w:lang w:val="en-CA"/>
        </w:rPr>
        <w:t xml:space="preserve">supra, </w:t>
      </w:r>
      <w:r w:rsidRPr="000A3539">
        <w:rPr>
          <w:lang w:val="en-CA"/>
        </w:rPr>
        <w:t xml:space="preserve">note </w:t>
      </w:r>
      <w:r w:rsidR="003E6BC4">
        <w:rPr>
          <w:lang w:val="en-CA"/>
        </w:rPr>
        <w:t>67</w:t>
      </w:r>
      <w:r w:rsidR="00D602AF">
        <w:rPr>
          <w:lang w:val="en-CA"/>
        </w:rPr>
        <w:t>, para</w:t>
      </w:r>
      <w:r w:rsidRPr="000A3539">
        <w:rPr>
          <w:lang w:val="en-CA"/>
        </w:rPr>
        <w:t xml:space="preserve">. </w:t>
      </w:r>
      <w:r w:rsidRPr="00877FA5">
        <w:t>336.</w:t>
      </w:r>
    </w:p>
  </w:footnote>
  <w:footnote w:id="99">
    <w:p w14:paraId="62F89C09" w14:textId="27081A18"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Fraser v. Canada (Attorney General</w:t>
      </w:r>
      <w:r w:rsidRPr="00877FA5">
        <w:t xml:space="preserve">), </w:t>
      </w:r>
      <w:r w:rsidR="00D602AF">
        <w:rPr>
          <w:i/>
        </w:rPr>
        <w:t xml:space="preserve">supra, </w:t>
      </w:r>
      <w:r w:rsidRPr="00877FA5">
        <w:t xml:space="preserve">note </w:t>
      </w:r>
      <w:r w:rsidR="003E6BC4">
        <w:t>57</w:t>
      </w:r>
      <w:r w:rsidR="00D602AF">
        <w:t>, para</w:t>
      </w:r>
      <w:r w:rsidRPr="00877FA5">
        <w:t>s. 86–87.</w:t>
      </w:r>
    </w:p>
  </w:footnote>
  <w:footnote w:id="100">
    <w:p w14:paraId="7686FA4E" w14:textId="59BD4AF0"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proofErr w:type="spellStart"/>
      <w:r w:rsidRPr="00877FA5">
        <w:rPr>
          <w:i/>
        </w:rPr>
        <w:t>Quebec</w:t>
      </w:r>
      <w:proofErr w:type="spellEnd"/>
      <w:r w:rsidRPr="00877FA5">
        <w:rPr>
          <w:i/>
        </w:rPr>
        <w:t xml:space="preserve"> (Commission des droits de la personne et des droits de la jeunesse) v. Montréal (City); </w:t>
      </w:r>
      <w:proofErr w:type="spellStart"/>
      <w:r w:rsidRPr="00877FA5">
        <w:rPr>
          <w:i/>
        </w:rPr>
        <w:t>Quebec</w:t>
      </w:r>
      <w:proofErr w:type="spellEnd"/>
      <w:r w:rsidRPr="00877FA5">
        <w:rPr>
          <w:i/>
        </w:rPr>
        <w:t xml:space="preserve"> (Commission des droits de la personne et des droits de la jeunesse) v. Boisbriand (City)</w:t>
      </w:r>
      <w:r w:rsidRPr="00877FA5">
        <w:t xml:space="preserve">, </w:t>
      </w:r>
      <w:r w:rsidR="00D602AF">
        <w:rPr>
          <w:i/>
        </w:rPr>
        <w:t xml:space="preserve">supra, </w:t>
      </w:r>
      <w:r w:rsidRPr="00877FA5">
        <w:t>note </w:t>
      </w:r>
      <w:r w:rsidR="003E6BC4">
        <w:t>74</w:t>
      </w:r>
      <w:r w:rsidR="00D602AF">
        <w:t>, para</w:t>
      </w:r>
      <w:r w:rsidRPr="00877FA5">
        <w:t xml:space="preserve">s. </w:t>
      </w:r>
      <w:r w:rsidRPr="000A3539">
        <w:rPr>
          <w:lang w:val="en-CA"/>
        </w:rPr>
        <w:t>43–52.</w:t>
      </w:r>
    </w:p>
  </w:footnote>
  <w:footnote w:id="101">
    <w:p w14:paraId="333D77E6" w14:textId="0454FDF6"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Human Rights Act</w:t>
      </w:r>
      <w:r w:rsidRPr="000A3539">
        <w:rPr>
          <w:lang w:val="en-CA"/>
        </w:rPr>
        <w:t>, S.N.W.T. 2002, c. 18, s. 1.</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5245"/>
      </w:tblGrid>
      <w:tr w:rsidR="002F298B" w:rsidRPr="000A3539" w14:paraId="737A94B1" w14:textId="77777777" w:rsidTr="00352837">
        <w:tc>
          <w:tcPr>
            <w:tcW w:w="4252" w:type="dxa"/>
            <w:tcBorders>
              <w:top w:val="nil"/>
              <w:left w:val="nil"/>
              <w:bottom w:val="nil"/>
              <w:right w:val="nil"/>
            </w:tcBorders>
          </w:tcPr>
          <w:p w14:paraId="582D8C3E" w14:textId="6AED8C95" w:rsidR="002F298B" w:rsidRPr="000A3539" w:rsidRDefault="002F298B" w:rsidP="00352837">
            <w:pPr>
              <w:pStyle w:val="Tableaugauchefranais"/>
              <w:spacing w:line="240" w:lineRule="auto"/>
              <w:ind w:left="0" w:right="142"/>
              <w:jc w:val="both"/>
              <w:rPr>
                <w:b/>
                <w:sz w:val="18"/>
                <w:szCs w:val="18"/>
                <w:lang w:val="en-CA"/>
              </w:rPr>
            </w:pPr>
            <w:r w:rsidRPr="000A3539">
              <w:rPr>
                <w:b/>
                <w:sz w:val="18"/>
                <w:szCs w:val="18"/>
                <w:lang w:val="en-CA"/>
              </w:rPr>
              <w:t>1. </w:t>
            </w:r>
            <w:r w:rsidRPr="000A3539">
              <w:rPr>
                <w:sz w:val="18"/>
                <w:szCs w:val="18"/>
                <w:lang w:val="en-CA"/>
              </w:rPr>
              <w:t>(1)  In this Act,</w:t>
            </w:r>
          </w:p>
          <w:p w14:paraId="666A109F" w14:textId="77777777" w:rsidR="002F298B" w:rsidRPr="000A3539" w:rsidRDefault="002F298B" w:rsidP="00352837">
            <w:pPr>
              <w:pStyle w:val="Tableaugauchefranais"/>
              <w:spacing w:line="240" w:lineRule="auto"/>
              <w:ind w:right="142"/>
              <w:jc w:val="both"/>
              <w:rPr>
                <w:b/>
                <w:sz w:val="18"/>
                <w:szCs w:val="18"/>
                <w:lang w:val="en-CA"/>
              </w:rPr>
            </w:pPr>
          </w:p>
          <w:p w14:paraId="0E0C8566" w14:textId="7795E252" w:rsidR="002F298B" w:rsidRPr="000A3539" w:rsidRDefault="002F298B" w:rsidP="00352837">
            <w:pPr>
              <w:pStyle w:val="Tableaugauchefranais"/>
              <w:spacing w:line="240" w:lineRule="auto"/>
              <w:ind w:left="0" w:right="142"/>
              <w:jc w:val="both"/>
              <w:rPr>
                <w:sz w:val="18"/>
                <w:szCs w:val="18"/>
                <w:lang w:val="en-CA"/>
              </w:rPr>
            </w:pPr>
            <w:r w:rsidRPr="000A3539">
              <w:rPr>
                <w:sz w:val="18"/>
                <w:szCs w:val="18"/>
                <w:lang w:val="en-CA"/>
              </w:rPr>
              <w:t xml:space="preserve">"social condition", in respect of an individual, means the condition of inclusion of the individual, other than on a temporary basis, in a socially identifiable group that suffers from social or economic disadvantage resulting from poverty, source of income, illiteracy, level of education or any other similar circumstance; (condition </w:t>
            </w:r>
            <w:proofErr w:type="spellStart"/>
            <w:r w:rsidRPr="000A3539">
              <w:rPr>
                <w:sz w:val="18"/>
                <w:szCs w:val="18"/>
                <w:lang w:val="en-CA"/>
              </w:rPr>
              <w:t>sociale</w:t>
            </w:r>
            <w:proofErr w:type="spellEnd"/>
            <w:r w:rsidRPr="000A3539">
              <w:rPr>
                <w:sz w:val="18"/>
                <w:szCs w:val="18"/>
                <w:lang w:val="en-CA"/>
              </w:rPr>
              <w:t>)</w:t>
            </w:r>
          </w:p>
        </w:tc>
        <w:tc>
          <w:tcPr>
            <w:tcW w:w="5245" w:type="dxa"/>
            <w:tcBorders>
              <w:top w:val="nil"/>
              <w:left w:val="nil"/>
              <w:bottom w:val="nil"/>
              <w:right w:val="nil"/>
            </w:tcBorders>
          </w:tcPr>
          <w:p w14:paraId="1166412C" w14:textId="31219482" w:rsidR="002F298B" w:rsidRPr="00953051" w:rsidRDefault="002F298B" w:rsidP="00352837">
            <w:pPr>
              <w:pStyle w:val="Tableaudroiteanglais"/>
              <w:spacing w:line="240" w:lineRule="auto"/>
              <w:rPr>
                <w:bCs/>
                <w:sz w:val="18"/>
                <w:szCs w:val="18"/>
                <w:lang w:val="fr-CA"/>
              </w:rPr>
            </w:pPr>
            <w:r w:rsidRPr="00877FA5">
              <w:rPr>
                <w:b/>
                <w:bCs/>
                <w:sz w:val="18"/>
                <w:szCs w:val="18"/>
                <w:lang w:val="fr-CA"/>
              </w:rPr>
              <w:t>1. </w:t>
            </w:r>
            <w:r w:rsidRPr="00953051">
              <w:rPr>
                <w:bCs/>
                <w:sz w:val="18"/>
                <w:szCs w:val="18"/>
                <w:lang w:val="fr-CA"/>
              </w:rPr>
              <w:t xml:space="preserve">(1)  Les définitions qui suivent s’appliquent à la présente loi. </w:t>
            </w:r>
          </w:p>
          <w:p w14:paraId="1ADEE16B" w14:textId="77DFA384" w:rsidR="002F298B" w:rsidRPr="000A3539" w:rsidRDefault="002F298B" w:rsidP="00641C9D">
            <w:pPr>
              <w:pStyle w:val="Tableaudroiteanglais"/>
              <w:spacing w:line="240" w:lineRule="auto"/>
              <w:rPr>
                <w:sz w:val="18"/>
                <w:szCs w:val="18"/>
              </w:rPr>
            </w:pPr>
            <w:r w:rsidRPr="00953051">
              <w:rPr>
                <w:bCs/>
                <w:sz w:val="18"/>
                <w:szCs w:val="18"/>
                <w:lang w:val="fr-CA"/>
              </w:rPr>
              <w:t>« condition sociale » Condition d’un individu résultant de son inclusion, autrement que de façon temporaire, au sein d’un groupe social identifiable et socialement ou économiquement défavorisé pour des causes liées à la pauvreté, à la source de revenu, à l’analphabétisme, au niveau d’instruction ou à d’autres circonstances similaires</w:t>
            </w:r>
            <w:r w:rsidRPr="00877FA5">
              <w:rPr>
                <w:bCs/>
                <w:sz w:val="18"/>
                <w:szCs w:val="18"/>
                <w:lang w:val="fr-CA"/>
              </w:rPr>
              <w:t xml:space="preserve">. </w:t>
            </w:r>
            <w:r w:rsidRPr="000A3539">
              <w:rPr>
                <w:bCs/>
                <w:sz w:val="18"/>
                <w:szCs w:val="18"/>
              </w:rPr>
              <w:t>(social condition)</w:t>
            </w:r>
          </w:p>
        </w:tc>
      </w:tr>
    </w:tbl>
    <w:p w14:paraId="40A74DCD" w14:textId="77777777" w:rsidR="002F298B" w:rsidRPr="000A3539" w:rsidRDefault="002F298B" w:rsidP="00352837">
      <w:pPr>
        <w:pStyle w:val="Notedebasdepage"/>
        <w:ind w:left="0" w:firstLine="0"/>
        <w:rPr>
          <w:lang w:val="en-CA"/>
        </w:rPr>
      </w:pPr>
    </w:p>
  </w:footnote>
  <w:footnote w:id="102">
    <w:p w14:paraId="6D6082EB" w14:textId="1FEAC11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Human Rights Act</w:t>
      </w:r>
      <w:r w:rsidRPr="000A3539">
        <w:rPr>
          <w:lang w:val="en-CA"/>
        </w:rPr>
        <w:t>, R.S.N.B. 2011, c. 171, s. 2.</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5245"/>
      </w:tblGrid>
      <w:tr w:rsidR="002F298B" w:rsidRPr="000A3539" w14:paraId="4FCA2965" w14:textId="77777777" w:rsidTr="00352837">
        <w:tc>
          <w:tcPr>
            <w:tcW w:w="4252" w:type="dxa"/>
            <w:tcBorders>
              <w:top w:val="nil"/>
              <w:left w:val="nil"/>
              <w:bottom w:val="nil"/>
              <w:right w:val="nil"/>
            </w:tcBorders>
          </w:tcPr>
          <w:p w14:paraId="2A8B5C38" w14:textId="09E58BAF" w:rsidR="002F298B" w:rsidRPr="000A3539" w:rsidRDefault="002F298B" w:rsidP="00352837">
            <w:pPr>
              <w:pStyle w:val="Tableaugauchefranais"/>
              <w:spacing w:line="240" w:lineRule="auto"/>
              <w:ind w:left="0" w:right="142"/>
              <w:jc w:val="both"/>
              <w:rPr>
                <w:b/>
                <w:sz w:val="18"/>
                <w:szCs w:val="18"/>
                <w:lang w:val="en-CA"/>
              </w:rPr>
            </w:pPr>
            <w:r w:rsidRPr="000A3539">
              <w:rPr>
                <w:b/>
                <w:sz w:val="18"/>
                <w:szCs w:val="18"/>
                <w:lang w:val="en-CA"/>
              </w:rPr>
              <w:t>2  </w:t>
            </w:r>
            <w:r w:rsidRPr="000A3539">
              <w:rPr>
                <w:sz w:val="18"/>
                <w:szCs w:val="18"/>
                <w:lang w:val="en-CA"/>
              </w:rPr>
              <w:t>The following definitions apply in this Act.</w:t>
            </w:r>
          </w:p>
          <w:p w14:paraId="3F5DAB15" w14:textId="77777777" w:rsidR="002F298B" w:rsidRPr="000A3539" w:rsidRDefault="002F298B" w:rsidP="00352837">
            <w:pPr>
              <w:pStyle w:val="Tableaugauchefranais"/>
              <w:spacing w:line="240" w:lineRule="auto"/>
              <w:ind w:left="0" w:right="142"/>
              <w:jc w:val="both"/>
              <w:rPr>
                <w:b/>
                <w:sz w:val="18"/>
                <w:szCs w:val="18"/>
                <w:lang w:val="en-CA"/>
              </w:rPr>
            </w:pPr>
          </w:p>
          <w:p w14:paraId="07791D33" w14:textId="74726848" w:rsidR="002F298B" w:rsidRPr="000A3539" w:rsidRDefault="002F298B" w:rsidP="00352837">
            <w:pPr>
              <w:pStyle w:val="Tableaugauchefranais"/>
              <w:spacing w:line="240" w:lineRule="auto"/>
              <w:ind w:left="0" w:right="142"/>
              <w:jc w:val="both"/>
              <w:rPr>
                <w:sz w:val="18"/>
                <w:szCs w:val="18"/>
                <w:lang w:val="en-CA"/>
              </w:rPr>
            </w:pPr>
            <w:r w:rsidRPr="000A3539">
              <w:rPr>
                <w:sz w:val="18"/>
                <w:szCs w:val="18"/>
                <w:lang w:val="en-CA"/>
              </w:rPr>
              <w:t xml:space="preserve">“social condition”, in respect of an individual, means the condition of inclusion of the individual in a socially identifiable group that suffers from social or economic disadvantage on the basis of his or her source of income, occupation or level of education. (condition </w:t>
            </w:r>
            <w:proofErr w:type="spellStart"/>
            <w:r w:rsidRPr="000A3539">
              <w:rPr>
                <w:sz w:val="18"/>
                <w:szCs w:val="18"/>
                <w:lang w:val="en-CA"/>
              </w:rPr>
              <w:t>sociale</w:t>
            </w:r>
            <w:proofErr w:type="spellEnd"/>
            <w:r w:rsidRPr="000A3539">
              <w:rPr>
                <w:sz w:val="18"/>
                <w:szCs w:val="18"/>
                <w:lang w:val="en-CA"/>
              </w:rPr>
              <w:t>)</w:t>
            </w:r>
          </w:p>
        </w:tc>
        <w:tc>
          <w:tcPr>
            <w:tcW w:w="5245" w:type="dxa"/>
            <w:tcBorders>
              <w:top w:val="nil"/>
              <w:left w:val="nil"/>
              <w:bottom w:val="nil"/>
              <w:right w:val="nil"/>
            </w:tcBorders>
          </w:tcPr>
          <w:p w14:paraId="604708F3" w14:textId="0DBF181D" w:rsidR="002F298B" w:rsidRPr="00953051" w:rsidRDefault="002F298B" w:rsidP="00352837">
            <w:pPr>
              <w:pStyle w:val="Tableaudroiteanglais"/>
              <w:spacing w:line="240" w:lineRule="auto"/>
              <w:rPr>
                <w:bCs/>
                <w:sz w:val="18"/>
                <w:szCs w:val="18"/>
                <w:lang w:val="fr-CA"/>
              </w:rPr>
            </w:pPr>
            <w:r w:rsidRPr="00877FA5">
              <w:rPr>
                <w:b/>
                <w:bCs/>
                <w:sz w:val="18"/>
                <w:szCs w:val="18"/>
                <w:lang w:val="fr-CA"/>
              </w:rPr>
              <w:t>2</w:t>
            </w:r>
            <w:r w:rsidRPr="00877FA5">
              <w:rPr>
                <w:bCs/>
                <w:sz w:val="18"/>
                <w:szCs w:val="18"/>
                <w:lang w:val="fr-CA"/>
              </w:rPr>
              <w:t>  </w:t>
            </w:r>
            <w:r w:rsidRPr="00953051">
              <w:rPr>
                <w:bCs/>
                <w:sz w:val="18"/>
                <w:szCs w:val="18"/>
                <w:lang w:val="fr-CA"/>
              </w:rPr>
              <w:t>Les définitions qui suivent s’appliquent à la présente loi.</w:t>
            </w:r>
          </w:p>
          <w:p w14:paraId="202F4080" w14:textId="6CC25B7A" w:rsidR="002F298B" w:rsidRPr="000A3539" w:rsidRDefault="002F298B" w:rsidP="00641C9D">
            <w:pPr>
              <w:pStyle w:val="Tableaudroiteanglais"/>
              <w:spacing w:line="240" w:lineRule="auto"/>
              <w:rPr>
                <w:sz w:val="18"/>
                <w:szCs w:val="18"/>
              </w:rPr>
            </w:pPr>
            <w:r w:rsidRPr="00953051">
              <w:rPr>
                <w:sz w:val="18"/>
                <w:szCs w:val="18"/>
                <w:lang w:val="fr-CA"/>
              </w:rPr>
              <w:t>« condition sociale » La condition d’un individu résultant de son inclusion au sein d’un groupe social identifiable et socialement ou économiquement défavorisé fondée sur sa source de revenu, sa profession ou son niveau d’instruction.</w:t>
            </w:r>
            <w:r w:rsidRPr="00877FA5">
              <w:rPr>
                <w:sz w:val="18"/>
                <w:szCs w:val="18"/>
                <w:lang w:val="fr-CA"/>
              </w:rPr>
              <w:t xml:space="preserve"> </w:t>
            </w:r>
            <w:r w:rsidRPr="000A3539">
              <w:rPr>
                <w:sz w:val="18"/>
                <w:szCs w:val="18"/>
              </w:rPr>
              <w:t>(social condition)</w:t>
            </w:r>
          </w:p>
        </w:tc>
      </w:tr>
    </w:tbl>
    <w:p w14:paraId="19A2D8B1" w14:textId="72DC7076" w:rsidR="002F298B" w:rsidRPr="000A3539" w:rsidRDefault="002F298B" w:rsidP="00730D67">
      <w:pPr>
        <w:pStyle w:val="Notedebasdepage"/>
        <w:ind w:firstLine="0"/>
        <w:jc w:val="left"/>
        <w:rPr>
          <w:lang w:val="en-CA"/>
        </w:rPr>
      </w:pPr>
      <w:r w:rsidRPr="000A3539">
        <w:rPr>
          <w:lang w:val="en-CA"/>
        </w:rPr>
        <w:t xml:space="preserve">See also New Brunswick Human Rights Commission, </w:t>
      </w:r>
      <w:r w:rsidRPr="000A3539">
        <w:rPr>
          <w:i/>
          <w:lang w:val="en-CA"/>
        </w:rPr>
        <w:t>Guideline on Social Condition</w:t>
      </w:r>
      <w:r w:rsidRPr="000A3539">
        <w:rPr>
          <w:lang w:val="en-CA"/>
        </w:rPr>
        <w:t>, 2019</w:t>
      </w:r>
      <w:r w:rsidR="00510709">
        <w:rPr>
          <w:lang w:val="en-CA"/>
        </w:rPr>
        <w:t>,</w:t>
      </w:r>
      <w:r w:rsidRPr="000A3539">
        <w:rPr>
          <w:lang w:val="en-CA"/>
        </w:rPr>
        <w:t xml:space="preserve"> </w:t>
      </w:r>
      <w:r w:rsidR="00510709">
        <w:rPr>
          <w:lang w:val="en-CA"/>
        </w:rPr>
        <w:t>pp.</w:t>
      </w:r>
      <w:r w:rsidRPr="000A3539">
        <w:rPr>
          <w:lang w:val="en-CA"/>
        </w:rPr>
        <w:t> 4–5, online: https://www2.gnb.ca/content/dam/gnb/Departments/hrc-cdp/PDF/GuidelineonSocialCondition.pdf (page consulted on January 4, 2021).</w:t>
      </w:r>
    </w:p>
  </w:footnote>
  <w:footnote w:id="103">
    <w:p w14:paraId="175FBF57" w14:textId="421C4376" w:rsidR="002F298B" w:rsidRPr="000A3539" w:rsidRDefault="002F298B" w:rsidP="00352837">
      <w:pPr>
        <w:pStyle w:val="Notedebasdepage"/>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 xml:space="preserve">The Human Rights </w:t>
      </w:r>
      <w:r w:rsidRPr="000A3539">
        <w:rPr>
          <w:i/>
          <w:iCs/>
          <w:lang w:val="en-CA"/>
        </w:rPr>
        <w:t>Code</w:t>
      </w:r>
      <w:r w:rsidRPr="000A3539">
        <w:rPr>
          <w:iCs/>
          <w:lang w:val="en-CA"/>
        </w:rPr>
        <w:t>, C.C.S.M., c. H175, s. 9(2.1).</w:t>
      </w:r>
    </w:p>
  </w:footnote>
  <w:footnote w:id="104">
    <w:p w14:paraId="4F3C398E" w14:textId="004D8025"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Canadian Human Rights Act</w:t>
      </w:r>
      <w:r w:rsidRPr="000A3539">
        <w:rPr>
          <w:lang w:val="en-CA"/>
        </w:rPr>
        <w:t>, R.S.C. 1985, c. H-6.</w:t>
      </w:r>
    </w:p>
  </w:footnote>
  <w:footnote w:id="105">
    <w:p w14:paraId="5478EB54" w14:textId="1B90C1DF"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proofErr w:type="spellStart"/>
      <w:r w:rsidRPr="00877FA5">
        <w:rPr>
          <w:i/>
        </w:rPr>
        <w:t>Quebec</w:t>
      </w:r>
      <w:proofErr w:type="spellEnd"/>
      <w:r w:rsidRPr="00877FA5">
        <w:rPr>
          <w:i/>
        </w:rPr>
        <w:t xml:space="preserve"> (Commission des droits de la personne et des droits de la jeunesse) v. Montréal (City); </w:t>
      </w:r>
      <w:proofErr w:type="spellStart"/>
      <w:r w:rsidRPr="00877FA5">
        <w:rPr>
          <w:i/>
        </w:rPr>
        <w:t>Quebec</w:t>
      </w:r>
      <w:proofErr w:type="spellEnd"/>
      <w:r w:rsidRPr="00877FA5">
        <w:rPr>
          <w:i/>
        </w:rPr>
        <w:t xml:space="preserve"> (Commission des droits de la personne et des droits de la jeunesse) v. Boisbriand (City)</w:t>
      </w:r>
      <w:r w:rsidRPr="00877FA5">
        <w:t xml:space="preserve">, </w:t>
      </w:r>
      <w:r w:rsidR="00D602AF">
        <w:rPr>
          <w:i/>
        </w:rPr>
        <w:t xml:space="preserve">supra, </w:t>
      </w:r>
      <w:r w:rsidRPr="00877FA5">
        <w:t xml:space="preserve">note </w:t>
      </w:r>
      <w:r w:rsidR="003E6BC4">
        <w:t>74</w:t>
      </w:r>
      <w:r w:rsidR="00D602AF">
        <w:t>, para</w:t>
      </w:r>
      <w:r w:rsidRPr="00877FA5">
        <w:t xml:space="preserve">s. </w:t>
      </w:r>
      <w:r w:rsidRPr="000A3539">
        <w:rPr>
          <w:lang w:val="en-CA"/>
        </w:rPr>
        <w:t>43–52.</w:t>
      </w:r>
    </w:p>
  </w:footnote>
  <w:footnote w:id="106">
    <w:p w14:paraId="5410FC4D" w14:textId="3F3A0084" w:rsidR="002F298B" w:rsidRPr="000A3539" w:rsidRDefault="002F298B" w:rsidP="00352837">
      <w:pPr>
        <w:pStyle w:val="Notedebasdepage"/>
        <w:rPr>
          <w:lang w:val="en-CA"/>
        </w:rPr>
      </w:pPr>
      <w:r w:rsidRPr="000A3539">
        <w:rPr>
          <w:rStyle w:val="Appelnotedebasdep"/>
          <w:lang w:val="en-CA"/>
        </w:rPr>
        <w:footnoteRef/>
      </w:r>
      <w:r w:rsidRPr="000A3539">
        <w:rPr>
          <w:lang w:val="en-CA"/>
        </w:rPr>
        <w:tab/>
      </w:r>
      <w:r w:rsidRPr="000A3539">
        <w:rPr>
          <w:rFonts w:cs="Arial"/>
          <w:color w:val="000000"/>
          <w:lang w:val="en-CA"/>
        </w:rPr>
        <w:t>That is the case for Technicians in the Hygiene and Production Sub-sector of the Laboratory Sector and for Catchment Technicians and Warehouse Clerks in the Procurement Sector.</w:t>
      </w:r>
    </w:p>
  </w:footnote>
  <w:footnote w:id="107">
    <w:p w14:paraId="2AABF0A3" w14:textId="7AAEA05A" w:rsidR="002F298B" w:rsidRPr="00877FA5" w:rsidRDefault="002F298B" w:rsidP="00352837">
      <w:pPr>
        <w:pStyle w:val="Notedebasdepage"/>
        <w:ind w:left="357" w:hanging="357"/>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xml:space="preserve">s. </w:t>
      </w:r>
      <w:r w:rsidRPr="00877FA5">
        <w:t>360–371, 383, 393, and 404.</w:t>
      </w:r>
    </w:p>
  </w:footnote>
  <w:footnote w:id="108">
    <w:p w14:paraId="213B6ED0" w14:textId="30E89277" w:rsidR="002F298B" w:rsidRPr="00877FA5" w:rsidRDefault="002F298B" w:rsidP="00352837">
      <w:pPr>
        <w:pStyle w:val="Notedebasdepage"/>
        <w:ind w:left="357" w:hanging="357"/>
      </w:pPr>
      <w:r w:rsidRPr="000A3539">
        <w:rPr>
          <w:rStyle w:val="Appelnotedebasdep"/>
          <w:lang w:val="en-CA"/>
        </w:rPr>
        <w:footnoteRef/>
      </w:r>
      <w:r w:rsidRPr="00877FA5">
        <w:t xml:space="preserve"> </w:t>
      </w:r>
      <w:r w:rsidRPr="00877FA5">
        <w:tab/>
      </w:r>
      <w:r w:rsidRPr="00877FA5">
        <w:rPr>
          <w:rFonts w:cs="Arial"/>
          <w:i/>
        </w:rPr>
        <w:t>George c. Québec (Procureur général)</w:t>
      </w:r>
      <w:r w:rsidRPr="00877FA5">
        <w:rPr>
          <w:rFonts w:cs="Arial"/>
        </w:rPr>
        <w:t>, 2006 QCCA 1204.</w:t>
      </w:r>
    </w:p>
  </w:footnote>
  <w:footnote w:id="109">
    <w:p w14:paraId="0016F3FD" w14:textId="184AA0A6"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George c. Québec (Procureur général)</w:t>
      </w:r>
      <w:r w:rsidRPr="00877FA5">
        <w:t xml:space="preserve">, J.E. 2004-1425, 2004 </w:t>
      </w:r>
      <w:proofErr w:type="spellStart"/>
      <w:r w:rsidRPr="00877FA5">
        <w:t>CanLII</w:t>
      </w:r>
      <w:proofErr w:type="spellEnd"/>
      <w:r w:rsidRPr="00877FA5">
        <w:t> 8979</w:t>
      </w:r>
      <w:r w:rsidR="00D602AF">
        <w:t>, para</w:t>
      </w:r>
      <w:r w:rsidRPr="00877FA5">
        <w:t>. 1 (Sup. Ct.). </w:t>
      </w:r>
    </w:p>
  </w:footnote>
  <w:footnote w:id="110">
    <w:p w14:paraId="0B9ADCE6" w14:textId="42A7D626" w:rsidR="002F298B" w:rsidRPr="00877FA5" w:rsidRDefault="002F298B" w:rsidP="00352837">
      <w:pPr>
        <w:pStyle w:val="Notedebasdepage"/>
      </w:pPr>
      <w:r w:rsidRPr="000A3539">
        <w:rPr>
          <w:rStyle w:val="Appelnotedebasdep"/>
          <w:lang w:val="en-CA"/>
        </w:rPr>
        <w:footnoteRef/>
      </w:r>
      <w:r w:rsidRPr="00877FA5">
        <w:t xml:space="preserve"> </w:t>
      </w:r>
      <w:r w:rsidRPr="00877FA5">
        <w:tab/>
      </w:r>
      <w:r w:rsidRPr="00877FA5">
        <w:rPr>
          <w:i/>
        </w:rPr>
        <w:t>George c. Québec (Procureur général)</w:t>
      </w:r>
      <w:r w:rsidRPr="00877FA5">
        <w:t xml:space="preserve">, </w:t>
      </w:r>
      <w:r w:rsidR="00D602AF">
        <w:rPr>
          <w:i/>
        </w:rPr>
        <w:t xml:space="preserve">supra, </w:t>
      </w:r>
      <w:r w:rsidRPr="00877FA5">
        <w:t xml:space="preserve">note </w:t>
      </w:r>
      <w:r w:rsidR="003E6BC4">
        <w:t>109</w:t>
      </w:r>
      <w:r w:rsidR="00D602AF">
        <w:t>, para</w:t>
      </w:r>
      <w:r w:rsidRPr="00877FA5">
        <w:t>s. 28–30 (Sup. Ct.).</w:t>
      </w:r>
    </w:p>
  </w:footnote>
  <w:footnote w:id="111">
    <w:p w14:paraId="4F190892" w14:textId="3321CF54" w:rsidR="002F298B" w:rsidRPr="000A3539" w:rsidRDefault="002F298B" w:rsidP="00352837">
      <w:pPr>
        <w:pStyle w:val="Notedebasdepage"/>
        <w:rPr>
          <w:lang w:val="en-CA"/>
        </w:rPr>
      </w:pPr>
      <w:r w:rsidRPr="000A3539">
        <w:rPr>
          <w:rStyle w:val="Appelnotedebasdep"/>
          <w:lang w:val="en-CA"/>
        </w:rPr>
        <w:footnoteRef/>
      </w:r>
      <w:r w:rsidRPr="00877FA5">
        <w:t xml:space="preserve"> </w:t>
      </w:r>
      <w:r w:rsidRPr="00877FA5">
        <w:tab/>
      </w:r>
      <w:r w:rsidRPr="00877FA5">
        <w:rPr>
          <w:i/>
        </w:rPr>
        <w:t>George c. Québec (Procureur général)</w:t>
      </w:r>
      <w:r w:rsidRPr="00877FA5">
        <w:t xml:space="preserve">, </w:t>
      </w:r>
      <w:r w:rsidR="00D602AF">
        <w:rPr>
          <w:i/>
        </w:rPr>
        <w:t xml:space="preserve">supra, </w:t>
      </w:r>
      <w:r w:rsidRPr="00877FA5">
        <w:t xml:space="preserve">note </w:t>
      </w:r>
      <w:r w:rsidR="003E6BC4">
        <w:t>108</w:t>
      </w:r>
      <w:r w:rsidR="00D602AF">
        <w:t>, para</w:t>
      </w:r>
      <w:r w:rsidRPr="00877FA5">
        <w:t xml:space="preserve">s. </w:t>
      </w:r>
      <w:r w:rsidRPr="000A3539">
        <w:rPr>
          <w:lang w:val="en-CA"/>
        </w:rPr>
        <w:t>41–42.</w:t>
      </w:r>
    </w:p>
  </w:footnote>
  <w:footnote w:id="112">
    <w:p w14:paraId="0E6AA632" w14:textId="4348BFED"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proofErr w:type="spellStart"/>
      <w:r w:rsidRPr="000A3539">
        <w:rPr>
          <w:lang w:val="en-CA"/>
        </w:rPr>
        <w:t>Brun</w:t>
      </w:r>
      <w:proofErr w:type="spellEnd"/>
      <w:r w:rsidRPr="000A3539">
        <w:rPr>
          <w:lang w:val="en-CA"/>
        </w:rPr>
        <w:t xml:space="preserve">, Tremblay </w:t>
      </w:r>
      <w:r w:rsidR="007E0D0D">
        <w:rPr>
          <w:lang w:val="en-CA"/>
        </w:rPr>
        <w:t>and</w:t>
      </w:r>
      <w:r w:rsidRPr="000A3539">
        <w:rPr>
          <w:lang w:val="en-CA"/>
        </w:rPr>
        <w:t xml:space="preserve"> </w:t>
      </w:r>
      <w:proofErr w:type="spellStart"/>
      <w:r w:rsidRPr="000A3539">
        <w:rPr>
          <w:lang w:val="en-CA"/>
        </w:rPr>
        <w:t>Brouillet</w:t>
      </w:r>
      <w:proofErr w:type="spellEnd"/>
      <w:r w:rsidRPr="000A3539">
        <w:rPr>
          <w:lang w:val="en-CA"/>
        </w:rPr>
        <w:t xml:space="preserve">, </w:t>
      </w:r>
      <w:r w:rsidR="00D602AF">
        <w:rPr>
          <w:i/>
          <w:lang w:val="en-CA"/>
        </w:rPr>
        <w:t xml:space="preserve">supra, </w:t>
      </w:r>
      <w:r w:rsidRPr="000A3539">
        <w:rPr>
          <w:lang w:val="en-CA"/>
        </w:rPr>
        <w:t xml:space="preserve">note </w:t>
      </w:r>
      <w:r w:rsidR="003E6BC4">
        <w:rPr>
          <w:lang w:val="en-CA"/>
        </w:rPr>
        <w:t>44</w:t>
      </w:r>
      <w:r w:rsidRPr="000A3539">
        <w:rPr>
          <w:lang w:val="en-CA"/>
        </w:rPr>
        <w:t xml:space="preserve">, no. </w:t>
      </w:r>
      <w:r w:rsidRPr="000A3539">
        <w:rPr>
          <w:bCs/>
          <w:lang w:val="en-CA"/>
        </w:rPr>
        <w:t>XII-7.103.</w:t>
      </w:r>
    </w:p>
  </w:footnote>
  <w:footnote w:id="113">
    <w:p w14:paraId="2C7695AC" w14:textId="1E819560"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367.</w:t>
      </w:r>
    </w:p>
  </w:footnote>
  <w:footnote w:id="114">
    <w:p w14:paraId="5C58A23A" w14:textId="5ECE1B4F"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xml:space="preserve">s. 361–392. See also, </w:t>
      </w:r>
      <w:r w:rsidRPr="000A3539">
        <w:rPr>
          <w:i/>
          <w:lang w:val="en-CA"/>
        </w:rPr>
        <w:t>inter alia</w:t>
      </w:r>
      <w:r w:rsidRPr="000A3539">
        <w:rPr>
          <w:lang w:val="en-CA"/>
        </w:rPr>
        <w:t xml:space="preserve">, Testimony of Daniel </w:t>
      </w:r>
      <w:proofErr w:type="spellStart"/>
      <w:r w:rsidRPr="000A3539">
        <w:rPr>
          <w:lang w:val="en-CA"/>
        </w:rPr>
        <w:t>Sicard</w:t>
      </w:r>
      <w:proofErr w:type="spellEnd"/>
      <w:r w:rsidRPr="000A3539">
        <w:rPr>
          <w:lang w:val="en-CA"/>
        </w:rPr>
        <w:t>, November </w:t>
      </w:r>
      <w:r w:rsidR="007E0D0D">
        <w:rPr>
          <w:lang w:val="en-CA"/>
        </w:rPr>
        <w:t xml:space="preserve">14, </w:t>
      </w:r>
      <w:r w:rsidRPr="000A3539">
        <w:rPr>
          <w:lang w:val="en-CA"/>
        </w:rPr>
        <w:t>2016</w:t>
      </w:r>
      <w:r w:rsidR="007E0D0D">
        <w:rPr>
          <w:lang w:val="en-CA"/>
        </w:rPr>
        <w:t>,</w:t>
      </w:r>
      <w:r w:rsidRPr="000A3539">
        <w:rPr>
          <w:lang w:val="en-CA"/>
        </w:rPr>
        <w:t xml:space="preserve"> </w:t>
      </w:r>
      <w:r w:rsidR="007E0D0D">
        <w:rPr>
          <w:lang w:val="en-CA"/>
        </w:rPr>
        <w:t>p.</w:t>
      </w:r>
      <w:r w:rsidRPr="000A3539">
        <w:rPr>
          <w:lang w:val="en-CA"/>
        </w:rPr>
        <w:t xml:space="preserve"> 210; Testimony of Denis </w:t>
      </w:r>
      <w:proofErr w:type="spellStart"/>
      <w:r w:rsidRPr="000A3539">
        <w:rPr>
          <w:lang w:val="en-CA"/>
        </w:rPr>
        <w:t>Dallaire</w:t>
      </w:r>
      <w:proofErr w:type="spellEnd"/>
      <w:r w:rsidRPr="000A3539">
        <w:rPr>
          <w:lang w:val="en-CA"/>
        </w:rPr>
        <w:t xml:space="preserve">, November </w:t>
      </w:r>
      <w:r w:rsidR="00291980">
        <w:rPr>
          <w:lang w:val="en-CA"/>
        </w:rPr>
        <w:t xml:space="preserve">15, </w:t>
      </w:r>
      <w:r w:rsidRPr="000A3539">
        <w:rPr>
          <w:lang w:val="en-CA"/>
        </w:rPr>
        <w:t>2016</w:t>
      </w:r>
      <w:r w:rsidR="00291980">
        <w:rPr>
          <w:lang w:val="en-CA"/>
        </w:rPr>
        <w:t>,</w:t>
      </w:r>
      <w:r w:rsidRPr="000A3539">
        <w:rPr>
          <w:lang w:val="en-CA"/>
        </w:rPr>
        <w:t xml:space="preserve"> </w:t>
      </w:r>
      <w:r w:rsidR="00291980">
        <w:rPr>
          <w:lang w:val="en-CA"/>
        </w:rPr>
        <w:t>p.</w:t>
      </w:r>
      <w:r w:rsidRPr="000A3539">
        <w:rPr>
          <w:lang w:val="en-CA"/>
        </w:rPr>
        <w:t xml:space="preserve"> 121; Testimony of Laurie Pelletier, November </w:t>
      </w:r>
      <w:r w:rsidR="00D365C8" w:rsidRPr="00D365C8">
        <w:rPr>
          <w:lang w:val="en-CA"/>
        </w:rPr>
        <w:t>16</w:t>
      </w:r>
      <w:r w:rsidR="00D365C8">
        <w:rPr>
          <w:lang w:val="en-CA"/>
        </w:rPr>
        <w:t>,</w:t>
      </w:r>
      <w:r w:rsidR="00D365C8" w:rsidRPr="00D365C8">
        <w:rPr>
          <w:lang w:val="en-CA"/>
        </w:rPr>
        <w:t xml:space="preserve"> </w:t>
      </w:r>
      <w:r w:rsidRPr="000A3539">
        <w:rPr>
          <w:lang w:val="en-CA"/>
        </w:rPr>
        <w:t>2016</w:t>
      </w:r>
      <w:r w:rsidR="00D365C8">
        <w:rPr>
          <w:lang w:val="en-CA"/>
        </w:rPr>
        <w:t>,</w:t>
      </w:r>
      <w:r w:rsidRPr="000A3539">
        <w:rPr>
          <w:lang w:val="en-CA"/>
        </w:rPr>
        <w:t xml:space="preserve"> </w:t>
      </w:r>
      <w:r w:rsidR="00D365C8">
        <w:rPr>
          <w:lang w:val="en-CA"/>
        </w:rPr>
        <w:t>pp.</w:t>
      </w:r>
      <w:r w:rsidRPr="000A3539">
        <w:rPr>
          <w:lang w:val="en-CA"/>
        </w:rPr>
        <w:t xml:space="preserve"> 41–42; Testimony of Maxime </w:t>
      </w:r>
      <w:proofErr w:type="spellStart"/>
      <w:r w:rsidRPr="000A3539">
        <w:rPr>
          <w:lang w:val="en-CA"/>
        </w:rPr>
        <w:t>Thibeault</w:t>
      </w:r>
      <w:proofErr w:type="spellEnd"/>
      <w:r w:rsidRPr="000A3539">
        <w:rPr>
          <w:lang w:val="en-CA"/>
        </w:rPr>
        <w:t xml:space="preserve">, November </w:t>
      </w:r>
      <w:r w:rsidR="00D365C8">
        <w:rPr>
          <w:lang w:val="en-CA"/>
        </w:rPr>
        <w:t xml:space="preserve">16, </w:t>
      </w:r>
      <w:r w:rsidRPr="000A3539">
        <w:rPr>
          <w:lang w:val="en-CA"/>
        </w:rPr>
        <w:t>2016</w:t>
      </w:r>
      <w:r w:rsidR="00D365C8">
        <w:rPr>
          <w:lang w:val="en-CA"/>
        </w:rPr>
        <w:t>,</w:t>
      </w:r>
      <w:r w:rsidRPr="000A3539">
        <w:rPr>
          <w:lang w:val="en-CA"/>
        </w:rPr>
        <w:t xml:space="preserve"> </w:t>
      </w:r>
      <w:r w:rsidR="00D365C8">
        <w:rPr>
          <w:lang w:val="en-CA"/>
        </w:rPr>
        <w:t>p.</w:t>
      </w:r>
      <w:r w:rsidRPr="000A3539">
        <w:rPr>
          <w:lang w:val="en-CA"/>
        </w:rPr>
        <w:t xml:space="preserve"> 56; Testimony of David-Vincent Auger, November </w:t>
      </w:r>
      <w:r w:rsidR="00D365C8">
        <w:rPr>
          <w:lang w:val="en-CA"/>
        </w:rPr>
        <w:t xml:space="preserve">16, </w:t>
      </w:r>
      <w:r w:rsidRPr="000A3539">
        <w:rPr>
          <w:lang w:val="en-CA"/>
        </w:rPr>
        <w:t>2016</w:t>
      </w:r>
      <w:r w:rsidR="00D365C8">
        <w:rPr>
          <w:lang w:val="en-CA"/>
        </w:rPr>
        <w:t>,</w:t>
      </w:r>
      <w:r w:rsidRPr="000A3539">
        <w:rPr>
          <w:lang w:val="en-CA"/>
        </w:rPr>
        <w:t xml:space="preserve"> </w:t>
      </w:r>
      <w:r w:rsidR="00D365C8">
        <w:rPr>
          <w:lang w:val="en-CA"/>
        </w:rPr>
        <w:t>pp.</w:t>
      </w:r>
      <w:r w:rsidRPr="000A3539">
        <w:rPr>
          <w:lang w:val="en-CA"/>
        </w:rPr>
        <w:t> 155–156.</w:t>
      </w:r>
    </w:p>
  </w:footnote>
  <w:footnote w:id="115">
    <w:p w14:paraId="4F54747E" w14:textId="1A815DF7"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Pay Equity Act</w:t>
      </w:r>
      <w:r w:rsidRPr="000A3539">
        <w:rPr>
          <w:lang w:val="en-CA"/>
        </w:rPr>
        <w:t>, CQLR, c. E-12.001, s. 8.</w:t>
      </w:r>
    </w:p>
  </w:footnote>
  <w:footnote w:id="116">
    <w:p w14:paraId="7605F56A" w14:textId="23FA97E4" w:rsidR="002F298B" w:rsidRPr="000A3539" w:rsidRDefault="002F298B" w:rsidP="00352837">
      <w:pPr>
        <w:tabs>
          <w:tab w:val="left" w:pos="357"/>
        </w:tabs>
        <w:spacing w:line="240" w:lineRule="auto"/>
        <w:ind w:left="357" w:hanging="357"/>
        <w:rPr>
          <w:rFonts w:cs="Arial"/>
          <w:sz w:val="20"/>
          <w:lang w:val="en-CA"/>
        </w:rPr>
      </w:pPr>
      <w:r w:rsidRPr="000A3539">
        <w:rPr>
          <w:rStyle w:val="Appelnotedebasdep"/>
          <w:sz w:val="20"/>
          <w:lang w:val="en-CA"/>
        </w:rPr>
        <w:footnoteRef/>
      </w:r>
      <w:r w:rsidRPr="000A3539">
        <w:rPr>
          <w:lang w:val="en-CA"/>
        </w:rPr>
        <w:tab/>
      </w:r>
      <w:r w:rsidRPr="000A3539">
        <w:rPr>
          <w:rFonts w:cs="Arial"/>
          <w:i/>
          <w:iCs/>
          <w:color w:val="000000"/>
          <w:sz w:val="20"/>
          <w:lang w:val="en-CA"/>
        </w:rPr>
        <w:t>Y.Z. v. Canada (Citizenship and Immigration)</w:t>
      </w:r>
      <w:r w:rsidRPr="000A3539">
        <w:rPr>
          <w:rFonts w:cs="Arial"/>
          <w:color w:val="000000"/>
          <w:sz w:val="20"/>
          <w:lang w:val="en-CA"/>
        </w:rPr>
        <w:t>, </w:t>
      </w:r>
      <w:r w:rsidRPr="000A3539">
        <w:rPr>
          <w:rFonts w:cs="Arial"/>
          <w:sz w:val="20"/>
          <w:lang w:val="en-CA"/>
        </w:rPr>
        <w:t>2015 FC 892 (</w:t>
      </w:r>
      <w:proofErr w:type="spellStart"/>
      <w:r w:rsidRPr="000A3539">
        <w:rPr>
          <w:rFonts w:cs="Arial"/>
          <w:sz w:val="20"/>
          <w:lang w:val="en-CA"/>
        </w:rPr>
        <w:t>CanLII</w:t>
      </w:r>
      <w:proofErr w:type="spellEnd"/>
      <w:r w:rsidRPr="000A3539">
        <w:rPr>
          <w:rFonts w:cs="Arial"/>
          <w:sz w:val="20"/>
          <w:lang w:val="en-CA"/>
        </w:rPr>
        <w:t>)</w:t>
      </w:r>
      <w:r w:rsidRPr="000A3539">
        <w:rPr>
          <w:rFonts w:cs="Arial"/>
          <w:color w:val="000000"/>
          <w:sz w:val="20"/>
          <w:lang w:val="en-CA"/>
        </w:rPr>
        <w:t>; </w:t>
      </w:r>
      <w:r w:rsidRPr="000A3539">
        <w:rPr>
          <w:rFonts w:cs="Arial"/>
          <w:i/>
          <w:iCs/>
          <w:color w:val="000000"/>
          <w:sz w:val="20"/>
          <w:lang w:val="en-CA"/>
        </w:rPr>
        <w:t>Hendricks v. Québec (</w:t>
      </w:r>
      <w:proofErr w:type="spellStart"/>
      <w:r w:rsidRPr="000A3539">
        <w:rPr>
          <w:rFonts w:cs="Arial"/>
          <w:i/>
          <w:iCs/>
          <w:color w:val="000000"/>
          <w:sz w:val="20"/>
          <w:lang w:val="en-CA"/>
        </w:rPr>
        <w:t>Procureur</w:t>
      </w:r>
      <w:proofErr w:type="spellEnd"/>
      <w:r w:rsidRPr="000A3539">
        <w:rPr>
          <w:rFonts w:cs="Arial"/>
          <w:i/>
          <w:iCs/>
          <w:color w:val="000000"/>
          <w:sz w:val="20"/>
          <w:lang w:val="en-CA"/>
        </w:rPr>
        <w:t xml:space="preserve"> </w:t>
      </w:r>
      <w:proofErr w:type="spellStart"/>
      <w:r w:rsidRPr="000A3539">
        <w:rPr>
          <w:rFonts w:cs="Arial"/>
          <w:i/>
          <w:iCs/>
          <w:color w:val="000000"/>
          <w:sz w:val="20"/>
          <w:lang w:val="en-CA"/>
        </w:rPr>
        <w:t>général</w:t>
      </w:r>
      <w:proofErr w:type="spellEnd"/>
      <w:r w:rsidRPr="000A3539">
        <w:rPr>
          <w:rFonts w:cs="Arial"/>
          <w:i/>
          <w:iCs/>
          <w:color w:val="000000"/>
          <w:sz w:val="20"/>
          <w:lang w:val="en-CA"/>
        </w:rPr>
        <w:t>)</w:t>
      </w:r>
      <w:r w:rsidRPr="000A3539">
        <w:rPr>
          <w:rFonts w:cs="Arial"/>
          <w:color w:val="000000"/>
          <w:sz w:val="20"/>
          <w:lang w:val="en-CA"/>
        </w:rPr>
        <w:t>, </w:t>
      </w:r>
      <w:r w:rsidRPr="000A3539">
        <w:rPr>
          <w:rFonts w:cs="Arial"/>
          <w:sz w:val="20"/>
          <w:lang w:val="en-CA"/>
        </w:rPr>
        <w:t xml:space="preserve">2002 </w:t>
      </w:r>
      <w:proofErr w:type="spellStart"/>
      <w:r w:rsidRPr="000A3539">
        <w:rPr>
          <w:rFonts w:cs="Arial"/>
          <w:sz w:val="20"/>
          <w:lang w:val="en-CA"/>
        </w:rPr>
        <w:t>CanLII</w:t>
      </w:r>
      <w:proofErr w:type="spellEnd"/>
      <w:r w:rsidRPr="000A3539">
        <w:rPr>
          <w:rFonts w:cs="Arial"/>
          <w:sz w:val="20"/>
          <w:lang w:val="en-CA"/>
        </w:rPr>
        <w:t xml:space="preserve"> 23808</w:t>
      </w:r>
      <w:r w:rsidRPr="000A3539">
        <w:rPr>
          <w:rFonts w:cs="Arial"/>
          <w:color w:val="000000"/>
          <w:sz w:val="20"/>
          <w:lang w:val="en-CA"/>
        </w:rPr>
        <w:t> (S</w:t>
      </w:r>
      <w:r w:rsidR="005117B6">
        <w:rPr>
          <w:rFonts w:cs="Arial"/>
          <w:color w:val="000000"/>
          <w:sz w:val="20"/>
          <w:lang w:val="en-CA"/>
        </w:rPr>
        <w:t>up. Ct.</w:t>
      </w:r>
      <w:r w:rsidRPr="000A3539">
        <w:rPr>
          <w:rFonts w:cs="Arial"/>
          <w:color w:val="000000"/>
          <w:sz w:val="20"/>
          <w:lang w:val="en-CA"/>
        </w:rPr>
        <w:t>)</w:t>
      </w:r>
      <w:r w:rsidRPr="000A3539">
        <w:rPr>
          <w:rFonts w:cs="Arial"/>
          <w:sz w:val="20"/>
          <w:shd w:val="clear" w:color="auto" w:fill="FFFFFF"/>
          <w:lang w:val="en-CA"/>
        </w:rPr>
        <w:t>.</w:t>
      </w:r>
    </w:p>
  </w:footnote>
  <w:footnote w:id="117">
    <w:p w14:paraId="5DA4D612" w14:textId="5FA1D8C6" w:rsidR="002F298B" w:rsidRPr="00877FA5" w:rsidRDefault="002F298B" w:rsidP="00352837">
      <w:pPr>
        <w:pStyle w:val="Notedebasdepage"/>
        <w:ind w:left="357" w:hanging="357"/>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xml:space="preserve">s. </w:t>
      </w:r>
      <w:r w:rsidRPr="00877FA5">
        <w:t>396–404 and 412–414.</w:t>
      </w:r>
    </w:p>
  </w:footnote>
  <w:footnote w:id="118">
    <w:p w14:paraId="17B56667" w14:textId="240E6D55" w:rsidR="002F298B" w:rsidRPr="00877FA5" w:rsidRDefault="002F298B" w:rsidP="00352837">
      <w:pPr>
        <w:pStyle w:val="Notedebasdepage"/>
        <w:ind w:left="357" w:hanging="357"/>
      </w:pPr>
      <w:r w:rsidRPr="000A3539">
        <w:rPr>
          <w:rStyle w:val="Appelnotedebasdep"/>
          <w:lang w:val="en-CA"/>
        </w:rPr>
        <w:footnoteRef/>
      </w:r>
      <w:r w:rsidRPr="00877FA5">
        <w:t xml:space="preserve"> </w:t>
      </w:r>
      <w:r w:rsidRPr="00877FA5">
        <w:tab/>
      </w:r>
      <w:r w:rsidRPr="00877FA5">
        <w:rPr>
          <w:i/>
        </w:rPr>
        <w:t>Commission des droits de la personne du Québec c. Ferme de la poulette grise Inc.</w:t>
      </w:r>
      <w:r w:rsidRPr="00877FA5">
        <w:t>, [1982] C.P. 79, J.E. 82-112.</w:t>
      </w:r>
    </w:p>
  </w:footnote>
  <w:footnote w:id="119">
    <w:p w14:paraId="25264C8B" w14:textId="5F0600B0" w:rsidR="002F298B" w:rsidRPr="00877FA5" w:rsidRDefault="002F298B" w:rsidP="00352837">
      <w:pPr>
        <w:pStyle w:val="Notedebasdepage"/>
        <w:ind w:left="357" w:hanging="357"/>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xml:space="preserve">s. </w:t>
      </w:r>
      <w:r w:rsidRPr="00877FA5">
        <w:t>416–417.</w:t>
      </w:r>
    </w:p>
  </w:footnote>
  <w:footnote w:id="120">
    <w:p w14:paraId="49534324" w14:textId="262322A4" w:rsidR="002F298B" w:rsidRPr="00877FA5" w:rsidRDefault="002F298B" w:rsidP="00352837">
      <w:pPr>
        <w:pStyle w:val="Notedebasdepage"/>
        <w:ind w:left="357" w:hanging="357"/>
      </w:pPr>
      <w:r w:rsidRPr="000A3539">
        <w:rPr>
          <w:rStyle w:val="Appelnotedebasdep"/>
          <w:lang w:val="en-CA"/>
        </w:rPr>
        <w:footnoteRef/>
      </w:r>
      <w:r w:rsidRPr="00877FA5">
        <w:tab/>
      </w:r>
      <w:r w:rsidRPr="00877FA5">
        <w:rPr>
          <w:i/>
        </w:rPr>
        <w:t>Commission des droits de la personne du Québec c. Ferme de la poulette grise Inc</w:t>
      </w:r>
      <w:r w:rsidRPr="00877FA5">
        <w:t xml:space="preserve">, </w:t>
      </w:r>
      <w:r w:rsidRPr="00877FA5">
        <w:rPr>
          <w:i/>
        </w:rPr>
        <w:t>supra</w:t>
      </w:r>
      <w:r w:rsidRPr="00877FA5">
        <w:t xml:space="preserve">, note </w:t>
      </w:r>
      <w:r w:rsidR="003E6BC4">
        <w:t>118</w:t>
      </w:r>
      <w:r w:rsidRPr="00877FA5">
        <w:t xml:space="preserve"> at 10.</w:t>
      </w:r>
    </w:p>
  </w:footnote>
  <w:footnote w:id="121">
    <w:p w14:paraId="1A43A355" w14:textId="59985F49" w:rsidR="002F298B" w:rsidRPr="000A3539" w:rsidRDefault="002F298B">
      <w:pPr>
        <w:pStyle w:val="Notedebasdepage"/>
        <w:rPr>
          <w:lang w:val="en-CA"/>
        </w:rPr>
      </w:pPr>
      <w:r w:rsidRPr="000A3539">
        <w:rPr>
          <w:rStyle w:val="Appelnotedebasdep"/>
          <w:lang w:val="en-CA"/>
        </w:rPr>
        <w:footnoteRef/>
      </w:r>
      <w:r w:rsidRPr="000A3539">
        <w:rPr>
          <w:lang w:val="en-CA"/>
        </w:rPr>
        <w:tab/>
        <w:t xml:space="preserve">Testimony of Annie Dubois, March </w:t>
      </w:r>
      <w:r w:rsidR="00834B53">
        <w:rPr>
          <w:lang w:val="en-CA"/>
        </w:rPr>
        <w:t xml:space="preserve">21, </w:t>
      </w:r>
      <w:r w:rsidRPr="000A3539">
        <w:rPr>
          <w:lang w:val="en-CA"/>
        </w:rPr>
        <w:t>2017</w:t>
      </w:r>
      <w:r w:rsidR="00834B53">
        <w:rPr>
          <w:lang w:val="en-CA"/>
        </w:rPr>
        <w:t>,</w:t>
      </w:r>
      <w:r w:rsidRPr="000A3539">
        <w:rPr>
          <w:lang w:val="en-CA"/>
        </w:rPr>
        <w:t xml:space="preserve"> </w:t>
      </w:r>
      <w:r w:rsidR="00834B53">
        <w:rPr>
          <w:lang w:val="en-CA"/>
        </w:rPr>
        <w:t>p.</w:t>
      </w:r>
      <w:r w:rsidRPr="000A3539">
        <w:rPr>
          <w:lang w:val="en-CA"/>
        </w:rPr>
        <w:t xml:space="preserve"> 15–16.</w:t>
      </w:r>
    </w:p>
  </w:footnote>
  <w:footnote w:id="122">
    <w:p w14:paraId="2FDDB2E5" w14:textId="32F38EEC"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 xml:space="preserve">Testimony of Annie Dubois, March </w:t>
      </w:r>
      <w:r w:rsidR="00834B53">
        <w:rPr>
          <w:lang w:val="en-CA"/>
        </w:rPr>
        <w:t xml:space="preserve">21, </w:t>
      </w:r>
      <w:r w:rsidRPr="000A3539">
        <w:rPr>
          <w:lang w:val="en-CA"/>
        </w:rPr>
        <w:t>2017, Observations</w:t>
      </w:r>
      <w:r w:rsidR="00834B53">
        <w:rPr>
          <w:lang w:val="en-CA"/>
        </w:rPr>
        <w:t>,</w:t>
      </w:r>
      <w:r w:rsidRPr="000A3539">
        <w:rPr>
          <w:lang w:val="en-CA"/>
        </w:rPr>
        <w:t xml:space="preserve"> </w:t>
      </w:r>
      <w:r w:rsidR="00834B53">
        <w:rPr>
          <w:lang w:val="en-CA"/>
        </w:rPr>
        <w:t>pp.</w:t>
      </w:r>
      <w:r w:rsidRPr="000A3539">
        <w:rPr>
          <w:lang w:val="en-CA"/>
        </w:rPr>
        <w:t xml:space="preserve"> 119–120.</w:t>
      </w:r>
    </w:p>
  </w:footnote>
  <w:footnote w:id="123">
    <w:p w14:paraId="6724CBD0" w14:textId="44BEC1BC"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t>Judgment under appeal</w:t>
      </w:r>
      <w:r w:rsidR="00D602AF">
        <w:rPr>
          <w:lang w:val="en-CA"/>
        </w:rPr>
        <w:t>, para</w:t>
      </w:r>
      <w:r w:rsidRPr="000A3539">
        <w:rPr>
          <w:lang w:val="en-CA"/>
        </w:rPr>
        <w:t>. 405.</w:t>
      </w:r>
    </w:p>
  </w:footnote>
  <w:footnote w:id="124">
    <w:p w14:paraId="09ABD57D" w14:textId="7E049107"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Act respecting labour standards</w:t>
      </w:r>
      <w:r w:rsidRPr="000A3539">
        <w:rPr>
          <w:lang w:val="en-CA"/>
        </w:rPr>
        <w:t>, CQLR, c. N -1.1.</w:t>
      </w:r>
    </w:p>
  </w:footnote>
  <w:footnote w:id="125">
    <w:p w14:paraId="2029D79B" w14:textId="316B5C69" w:rsidR="002F298B" w:rsidRPr="000A3539" w:rsidRDefault="002F298B" w:rsidP="00352837">
      <w:pPr>
        <w:pStyle w:val="Notedebasdepage"/>
        <w:ind w:left="357" w:hanging="357"/>
        <w:rPr>
          <w:lang w:val="en-CA"/>
        </w:rPr>
      </w:pPr>
      <w:r w:rsidRPr="000A3539">
        <w:rPr>
          <w:rStyle w:val="Appelnotedebasdep"/>
          <w:lang w:val="en-CA"/>
        </w:rPr>
        <w:footnoteRef/>
      </w:r>
      <w:r w:rsidRPr="00877FA5">
        <w:t xml:space="preserve"> </w:t>
      </w:r>
      <w:r w:rsidRPr="00877FA5">
        <w:tab/>
        <w:t>Robert P. Gagnon </w:t>
      </w:r>
      <w:r w:rsidR="00414228">
        <w:t xml:space="preserve">and </w:t>
      </w:r>
      <w:r w:rsidRPr="00877FA5">
        <w:t xml:space="preserve">Langlois </w:t>
      </w:r>
      <w:proofErr w:type="spellStart"/>
      <w:r w:rsidRPr="00877FA5">
        <w:t>Kronström</w:t>
      </w:r>
      <w:proofErr w:type="spellEnd"/>
      <w:r w:rsidRPr="00877FA5">
        <w:t xml:space="preserve"> Desjardins, </w:t>
      </w:r>
      <w:proofErr w:type="spellStart"/>
      <w:r w:rsidRPr="00877FA5">
        <w:t>s.e.n.c.r.l</w:t>
      </w:r>
      <w:proofErr w:type="spellEnd"/>
      <w:r w:rsidRPr="00877FA5">
        <w:t xml:space="preserve">., </w:t>
      </w:r>
      <w:r w:rsidRPr="00877FA5">
        <w:rPr>
          <w:i/>
          <w:iCs/>
        </w:rPr>
        <w:t>Le droit du travail du Québec</w:t>
      </w:r>
      <w:r w:rsidRPr="00877FA5">
        <w:t xml:space="preserve">, 7th </w:t>
      </w:r>
      <w:proofErr w:type="spellStart"/>
      <w:r w:rsidRPr="00877FA5">
        <w:t>ed</w:t>
      </w:r>
      <w:proofErr w:type="spellEnd"/>
      <w:r w:rsidRPr="00877FA5">
        <w:t>.</w:t>
      </w:r>
      <w:r w:rsidR="00414228">
        <w:t>,</w:t>
      </w:r>
      <w:r w:rsidRPr="00877FA5">
        <w:t xml:space="preserve"> </w:t>
      </w:r>
      <w:proofErr w:type="spellStart"/>
      <w:r w:rsidRPr="000A3539">
        <w:rPr>
          <w:lang w:val="en-CA"/>
        </w:rPr>
        <w:t>Cowansville</w:t>
      </w:r>
      <w:proofErr w:type="spellEnd"/>
      <w:r w:rsidRPr="000A3539">
        <w:rPr>
          <w:lang w:val="en-CA"/>
        </w:rPr>
        <w:t>, Yvon Blais, 2013, no.</w:t>
      </w:r>
      <w:r w:rsidRPr="000A3539">
        <w:rPr>
          <w:vertAlign w:val="superscript"/>
          <w:lang w:val="en-CA"/>
        </w:rPr>
        <w:t> </w:t>
      </w:r>
      <w:r w:rsidRPr="000A3539">
        <w:rPr>
          <w:lang w:val="en-CA"/>
        </w:rPr>
        <w:t>699.</w:t>
      </w:r>
    </w:p>
  </w:footnote>
  <w:footnote w:id="126">
    <w:p w14:paraId="00411BD2" w14:textId="1D484B16" w:rsidR="002F298B" w:rsidRPr="000A3539" w:rsidRDefault="002F298B" w:rsidP="00352837">
      <w:pPr>
        <w:pStyle w:val="Notedebasdepage"/>
        <w:ind w:left="357" w:hanging="357"/>
        <w:rPr>
          <w:lang w:val="en-CA"/>
        </w:rPr>
      </w:pPr>
      <w:r w:rsidRPr="000A3539">
        <w:rPr>
          <w:rStyle w:val="Appelnotedebasdep"/>
          <w:lang w:val="en-CA"/>
        </w:rPr>
        <w:footnoteRef/>
      </w:r>
      <w:r w:rsidRPr="000A3539">
        <w:rPr>
          <w:lang w:val="en-CA"/>
        </w:rPr>
        <w:t xml:space="preserve"> </w:t>
      </w:r>
      <w:r w:rsidRPr="000A3539">
        <w:rPr>
          <w:lang w:val="en-CA"/>
        </w:rPr>
        <w:tab/>
      </w:r>
      <w:r w:rsidRPr="000A3539">
        <w:rPr>
          <w:i/>
          <w:lang w:val="en-CA"/>
        </w:rPr>
        <w:t>Pay Equity Act</w:t>
      </w:r>
      <w:r w:rsidRPr="000A3539">
        <w:rPr>
          <w:lang w:val="en-CA"/>
        </w:rPr>
        <w:t xml:space="preserve">, </w:t>
      </w:r>
      <w:r w:rsidR="00D602AF">
        <w:rPr>
          <w:i/>
          <w:lang w:val="en-CA"/>
        </w:rPr>
        <w:t xml:space="preserve">supra, </w:t>
      </w:r>
      <w:r w:rsidRPr="000A3539">
        <w:rPr>
          <w:lang w:val="en-CA"/>
        </w:rPr>
        <w:t xml:space="preserve">note </w:t>
      </w:r>
      <w:r w:rsidR="003E6BC4">
        <w:rPr>
          <w:lang w:val="en-CA"/>
        </w:rPr>
        <w:t>115</w:t>
      </w:r>
      <w:r w:rsidRPr="000A3539">
        <w:rPr>
          <w:lang w:val="en-CA"/>
        </w:rPr>
        <w:t>, s. 8.</w:t>
      </w:r>
    </w:p>
  </w:footnote>
  <w:footnote w:id="127">
    <w:p w14:paraId="5CD4F7D7" w14:textId="5FDAADB0" w:rsidR="002F298B" w:rsidRPr="00877FA5" w:rsidRDefault="002F298B" w:rsidP="00352837">
      <w:pPr>
        <w:pStyle w:val="Notedebasdepage"/>
        <w:ind w:left="357" w:hanging="357"/>
      </w:pPr>
      <w:r w:rsidRPr="000A3539">
        <w:rPr>
          <w:rStyle w:val="Appelnotedebasdep"/>
          <w:lang w:val="en-CA"/>
        </w:rPr>
        <w:footnoteRef/>
      </w:r>
      <w:r w:rsidRPr="00877FA5">
        <w:t xml:space="preserve"> </w:t>
      </w:r>
      <w:r w:rsidRPr="00877FA5">
        <w:tab/>
      </w:r>
      <w:r w:rsidR="0078011C">
        <w:rPr>
          <w:i/>
        </w:rPr>
        <w:t>Id</w:t>
      </w:r>
      <w:r w:rsidRPr="00877FA5">
        <w:t>., s. 1.</w:t>
      </w:r>
    </w:p>
  </w:footnote>
  <w:footnote w:id="128">
    <w:p w14:paraId="7134E7EB" w14:textId="13EE2F4D" w:rsidR="002F298B" w:rsidRPr="000A3539" w:rsidRDefault="002F298B" w:rsidP="00352837">
      <w:pPr>
        <w:pStyle w:val="Notedebasdepage"/>
        <w:ind w:left="357" w:hanging="357"/>
        <w:rPr>
          <w:lang w:val="en-CA"/>
        </w:rPr>
      </w:pPr>
      <w:r w:rsidRPr="000A3539">
        <w:rPr>
          <w:rStyle w:val="Appelnotedebasdep"/>
          <w:lang w:val="en-CA"/>
        </w:rPr>
        <w:footnoteRef/>
      </w:r>
      <w:r w:rsidRPr="00877FA5">
        <w:t xml:space="preserve"> </w:t>
      </w:r>
      <w:r w:rsidRPr="00877FA5">
        <w:tab/>
      </w:r>
      <w:r w:rsidRPr="00877FA5">
        <w:rPr>
          <w:i/>
        </w:rPr>
        <w:t>Université de Sherbrooke c. Commission des droits de la personne et des droits de la jeunesse</w:t>
      </w:r>
      <w:r w:rsidRPr="00877FA5">
        <w:t xml:space="preserve">, </w:t>
      </w:r>
      <w:r w:rsidR="00D602AF">
        <w:rPr>
          <w:i/>
        </w:rPr>
        <w:t xml:space="preserve">supra, </w:t>
      </w:r>
      <w:r w:rsidRPr="00877FA5">
        <w:t xml:space="preserve">note </w:t>
      </w:r>
      <w:r w:rsidR="003E6BC4">
        <w:t>53</w:t>
      </w:r>
      <w:r w:rsidR="00D602AF">
        <w:t>, para</w:t>
      </w:r>
      <w:r w:rsidRPr="00877FA5">
        <w:t xml:space="preserve">s. </w:t>
      </w:r>
      <w:r w:rsidRPr="000A3539">
        <w:rPr>
          <w:lang w:val="en-CA"/>
        </w:rPr>
        <w:t>62 and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0BF7" w14:textId="1F38391A" w:rsidR="002F298B" w:rsidRDefault="002F298B" w:rsidP="00352837">
    <w:pPr>
      <w:tabs>
        <w:tab w:val="center" w:pos="4709"/>
        <w:tab w:val="right" w:pos="9360"/>
      </w:tabs>
      <w:spacing w:line="360" w:lineRule="auto"/>
      <w:ind w:right="524"/>
    </w:pPr>
    <w:bookmarkStart w:id="42" w:name="EntDossier"/>
    <w:r>
      <w:t>200-09-009796-183</w:t>
    </w:r>
    <w:bookmarkEnd w:id="42"/>
    <w:r>
      <w:t xml:space="preserve"> </w:t>
    </w:r>
    <w:r>
      <w:tab/>
    </w:r>
    <w:r>
      <w:tab/>
    </w:r>
    <w:r w:rsidRPr="00405F2E">
      <w:t>PAGE:</w:t>
    </w:r>
    <w:r>
      <w:t xml:space="preserve"> </w:t>
    </w:r>
    <w:r>
      <w:fldChar w:fldCharType="begin"/>
    </w:r>
    <w:r>
      <w:instrText xml:space="preserve"> PAGE </w:instrText>
    </w:r>
    <w:r>
      <w:fldChar w:fldCharType="separate"/>
    </w:r>
    <w:r w:rsidR="007D4F81">
      <w:rPr>
        <w:noProof/>
      </w:rPr>
      <w:t>21</w:t>
    </w:r>
    <w:r>
      <w:fldChar w:fldCharType="end"/>
    </w:r>
  </w:p>
  <w:p w14:paraId="45EFC98A" w14:textId="77777777" w:rsidR="002F298B" w:rsidRDefault="002F298B" w:rsidP="00352837">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5373D"/>
    <w:multiLevelType w:val="hybridMultilevel"/>
    <w:tmpl w:val="F314109E"/>
    <w:lvl w:ilvl="0" w:tplc="C7DE2ECA">
      <w:start w:val="1"/>
      <w:numFmt w:val="decimal"/>
      <w:lvlText w:val="%1."/>
      <w:lvlJc w:val="left"/>
      <w:pPr>
        <w:ind w:left="720" w:hanging="360"/>
      </w:pPr>
      <w:rPr>
        <w:rFonts w:hint="default"/>
      </w:rPr>
    </w:lvl>
    <w:lvl w:ilvl="1" w:tplc="741001BE" w:tentative="1">
      <w:start w:val="1"/>
      <w:numFmt w:val="lowerLetter"/>
      <w:lvlText w:val="%2."/>
      <w:lvlJc w:val="left"/>
      <w:pPr>
        <w:ind w:left="1440" w:hanging="360"/>
      </w:pPr>
    </w:lvl>
    <w:lvl w:ilvl="2" w:tplc="383A8300" w:tentative="1">
      <w:start w:val="1"/>
      <w:numFmt w:val="lowerRoman"/>
      <w:lvlText w:val="%3."/>
      <w:lvlJc w:val="right"/>
      <w:pPr>
        <w:ind w:left="2160" w:hanging="180"/>
      </w:pPr>
    </w:lvl>
    <w:lvl w:ilvl="3" w:tplc="1766E548" w:tentative="1">
      <w:start w:val="1"/>
      <w:numFmt w:val="decimal"/>
      <w:lvlText w:val="%4."/>
      <w:lvlJc w:val="left"/>
      <w:pPr>
        <w:ind w:left="2880" w:hanging="360"/>
      </w:pPr>
    </w:lvl>
    <w:lvl w:ilvl="4" w:tplc="97A060F8" w:tentative="1">
      <w:start w:val="1"/>
      <w:numFmt w:val="lowerLetter"/>
      <w:lvlText w:val="%5."/>
      <w:lvlJc w:val="left"/>
      <w:pPr>
        <w:ind w:left="3600" w:hanging="360"/>
      </w:pPr>
    </w:lvl>
    <w:lvl w:ilvl="5" w:tplc="774047B2" w:tentative="1">
      <w:start w:val="1"/>
      <w:numFmt w:val="lowerRoman"/>
      <w:lvlText w:val="%6."/>
      <w:lvlJc w:val="right"/>
      <w:pPr>
        <w:ind w:left="4320" w:hanging="180"/>
      </w:pPr>
    </w:lvl>
    <w:lvl w:ilvl="6" w:tplc="F878C18A" w:tentative="1">
      <w:start w:val="1"/>
      <w:numFmt w:val="decimal"/>
      <w:lvlText w:val="%7."/>
      <w:lvlJc w:val="left"/>
      <w:pPr>
        <w:ind w:left="5040" w:hanging="360"/>
      </w:pPr>
    </w:lvl>
    <w:lvl w:ilvl="7" w:tplc="7A08FE54" w:tentative="1">
      <w:start w:val="1"/>
      <w:numFmt w:val="lowerLetter"/>
      <w:lvlText w:val="%8."/>
      <w:lvlJc w:val="left"/>
      <w:pPr>
        <w:ind w:left="5760" w:hanging="360"/>
      </w:pPr>
    </w:lvl>
    <w:lvl w:ilvl="8" w:tplc="6002A3AA" w:tentative="1">
      <w:start w:val="1"/>
      <w:numFmt w:val="lowerRoman"/>
      <w:lvlText w:val="%9."/>
      <w:lvlJc w:val="right"/>
      <w:pPr>
        <w:ind w:left="6480" w:hanging="180"/>
      </w:pPr>
    </w:lvl>
  </w:abstractNum>
  <w:abstractNum w:abstractNumId="11" w15:restartNumberingAfterBreak="0">
    <w:nsid w:val="0DFD6354"/>
    <w:multiLevelType w:val="hybridMultilevel"/>
    <w:tmpl w:val="6FF43C4C"/>
    <w:lvl w:ilvl="0" w:tplc="6AF4AA88">
      <w:start w:val="1"/>
      <w:numFmt w:val="decimal"/>
      <w:pStyle w:val="Style1premiertitre"/>
      <w:lvlText w:val="%1-"/>
      <w:lvlJc w:val="left"/>
      <w:pPr>
        <w:ind w:left="360" w:hanging="360"/>
      </w:pPr>
      <w:rPr>
        <w:rFonts w:hint="default"/>
      </w:rPr>
    </w:lvl>
    <w:lvl w:ilvl="1" w:tplc="A9CEEEC6" w:tentative="1">
      <w:start w:val="1"/>
      <w:numFmt w:val="lowerLetter"/>
      <w:lvlText w:val="%2."/>
      <w:lvlJc w:val="left"/>
      <w:pPr>
        <w:ind w:left="1080" w:hanging="360"/>
      </w:pPr>
    </w:lvl>
    <w:lvl w:ilvl="2" w:tplc="E4644EF4" w:tentative="1">
      <w:start w:val="1"/>
      <w:numFmt w:val="lowerRoman"/>
      <w:lvlText w:val="%3."/>
      <w:lvlJc w:val="right"/>
      <w:pPr>
        <w:ind w:left="1800" w:hanging="180"/>
      </w:pPr>
    </w:lvl>
    <w:lvl w:ilvl="3" w:tplc="730283FA" w:tentative="1">
      <w:start w:val="1"/>
      <w:numFmt w:val="decimal"/>
      <w:lvlText w:val="%4."/>
      <w:lvlJc w:val="left"/>
      <w:pPr>
        <w:ind w:left="2520" w:hanging="360"/>
      </w:pPr>
    </w:lvl>
    <w:lvl w:ilvl="4" w:tplc="863C3B1C" w:tentative="1">
      <w:start w:val="1"/>
      <w:numFmt w:val="lowerLetter"/>
      <w:lvlText w:val="%5."/>
      <w:lvlJc w:val="left"/>
      <w:pPr>
        <w:ind w:left="3240" w:hanging="360"/>
      </w:pPr>
    </w:lvl>
    <w:lvl w:ilvl="5" w:tplc="2C401122" w:tentative="1">
      <w:start w:val="1"/>
      <w:numFmt w:val="lowerRoman"/>
      <w:lvlText w:val="%6."/>
      <w:lvlJc w:val="right"/>
      <w:pPr>
        <w:ind w:left="3960" w:hanging="180"/>
      </w:pPr>
    </w:lvl>
    <w:lvl w:ilvl="6" w:tplc="BC6E3DD4" w:tentative="1">
      <w:start w:val="1"/>
      <w:numFmt w:val="decimal"/>
      <w:lvlText w:val="%7."/>
      <w:lvlJc w:val="left"/>
      <w:pPr>
        <w:ind w:left="4680" w:hanging="360"/>
      </w:pPr>
    </w:lvl>
    <w:lvl w:ilvl="7" w:tplc="3D147968" w:tentative="1">
      <w:start w:val="1"/>
      <w:numFmt w:val="lowerLetter"/>
      <w:lvlText w:val="%8."/>
      <w:lvlJc w:val="left"/>
      <w:pPr>
        <w:ind w:left="5400" w:hanging="360"/>
      </w:pPr>
    </w:lvl>
    <w:lvl w:ilvl="8" w:tplc="3014F730" w:tentative="1">
      <w:start w:val="1"/>
      <w:numFmt w:val="lowerRoman"/>
      <w:lvlText w:val="%9."/>
      <w:lvlJc w:val="right"/>
      <w:pPr>
        <w:ind w:left="6120" w:hanging="180"/>
      </w:pPr>
    </w:lvl>
  </w:abstractNum>
  <w:abstractNum w:abstractNumId="12" w15:restartNumberingAfterBreak="0">
    <w:nsid w:val="0F51542D"/>
    <w:multiLevelType w:val="hybridMultilevel"/>
    <w:tmpl w:val="EE6C5886"/>
    <w:lvl w:ilvl="0" w:tplc="135E8576">
      <w:start w:val="1"/>
      <w:numFmt w:val="decimal"/>
      <w:lvlText w:val="%1-"/>
      <w:lvlJc w:val="left"/>
      <w:pPr>
        <w:ind w:left="720" w:hanging="360"/>
      </w:pPr>
      <w:rPr>
        <w:rFonts w:hint="default"/>
      </w:rPr>
    </w:lvl>
    <w:lvl w:ilvl="1" w:tplc="A582FEC2" w:tentative="1">
      <w:start w:val="1"/>
      <w:numFmt w:val="lowerLetter"/>
      <w:lvlText w:val="%2."/>
      <w:lvlJc w:val="left"/>
      <w:pPr>
        <w:ind w:left="1440" w:hanging="360"/>
      </w:pPr>
    </w:lvl>
    <w:lvl w:ilvl="2" w:tplc="1E4CAFFA" w:tentative="1">
      <w:start w:val="1"/>
      <w:numFmt w:val="lowerRoman"/>
      <w:lvlText w:val="%3."/>
      <w:lvlJc w:val="right"/>
      <w:pPr>
        <w:ind w:left="2160" w:hanging="180"/>
      </w:pPr>
    </w:lvl>
    <w:lvl w:ilvl="3" w:tplc="9F423E70" w:tentative="1">
      <w:start w:val="1"/>
      <w:numFmt w:val="decimal"/>
      <w:lvlText w:val="%4."/>
      <w:lvlJc w:val="left"/>
      <w:pPr>
        <w:ind w:left="2880" w:hanging="360"/>
      </w:pPr>
    </w:lvl>
    <w:lvl w:ilvl="4" w:tplc="BC8CB6DE" w:tentative="1">
      <w:start w:val="1"/>
      <w:numFmt w:val="lowerLetter"/>
      <w:lvlText w:val="%5."/>
      <w:lvlJc w:val="left"/>
      <w:pPr>
        <w:ind w:left="3600" w:hanging="360"/>
      </w:pPr>
    </w:lvl>
    <w:lvl w:ilvl="5" w:tplc="F9249F6A" w:tentative="1">
      <w:start w:val="1"/>
      <w:numFmt w:val="lowerRoman"/>
      <w:lvlText w:val="%6."/>
      <w:lvlJc w:val="right"/>
      <w:pPr>
        <w:ind w:left="4320" w:hanging="180"/>
      </w:pPr>
    </w:lvl>
    <w:lvl w:ilvl="6" w:tplc="368E3BD8" w:tentative="1">
      <w:start w:val="1"/>
      <w:numFmt w:val="decimal"/>
      <w:lvlText w:val="%7."/>
      <w:lvlJc w:val="left"/>
      <w:pPr>
        <w:ind w:left="5040" w:hanging="360"/>
      </w:pPr>
    </w:lvl>
    <w:lvl w:ilvl="7" w:tplc="1CBC9FA8" w:tentative="1">
      <w:start w:val="1"/>
      <w:numFmt w:val="lowerLetter"/>
      <w:lvlText w:val="%8."/>
      <w:lvlJc w:val="left"/>
      <w:pPr>
        <w:ind w:left="5760" w:hanging="360"/>
      </w:pPr>
    </w:lvl>
    <w:lvl w:ilvl="8" w:tplc="896099F0" w:tentative="1">
      <w:start w:val="1"/>
      <w:numFmt w:val="lowerRoman"/>
      <w:lvlText w:val="%9."/>
      <w:lvlJc w:val="right"/>
      <w:pPr>
        <w:ind w:left="6480" w:hanging="180"/>
      </w:pPr>
    </w:lvl>
  </w:abstractNum>
  <w:abstractNum w:abstractNumId="13" w15:restartNumberingAfterBreak="0">
    <w:nsid w:val="13EF5F63"/>
    <w:multiLevelType w:val="hybridMultilevel"/>
    <w:tmpl w:val="32043010"/>
    <w:lvl w:ilvl="0" w:tplc="27EA9AD2">
      <w:start w:val="1"/>
      <w:numFmt w:val="bullet"/>
      <w:lvlText w:val=""/>
      <w:lvlJc w:val="left"/>
      <w:pPr>
        <w:ind w:left="1440" w:hanging="360"/>
      </w:pPr>
      <w:rPr>
        <w:rFonts w:ascii="Symbol" w:hAnsi="Symbol" w:hint="default"/>
      </w:rPr>
    </w:lvl>
    <w:lvl w:ilvl="1" w:tplc="E166A4C8" w:tentative="1">
      <w:start w:val="1"/>
      <w:numFmt w:val="bullet"/>
      <w:lvlText w:val="o"/>
      <w:lvlJc w:val="left"/>
      <w:pPr>
        <w:ind w:left="2160" w:hanging="360"/>
      </w:pPr>
      <w:rPr>
        <w:rFonts w:ascii="Courier New" w:hAnsi="Courier New" w:cs="Courier New" w:hint="default"/>
      </w:rPr>
    </w:lvl>
    <w:lvl w:ilvl="2" w:tplc="FC74B6DC" w:tentative="1">
      <w:start w:val="1"/>
      <w:numFmt w:val="bullet"/>
      <w:lvlText w:val=""/>
      <w:lvlJc w:val="left"/>
      <w:pPr>
        <w:ind w:left="2880" w:hanging="360"/>
      </w:pPr>
      <w:rPr>
        <w:rFonts w:ascii="Wingdings" w:hAnsi="Wingdings" w:hint="default"/>
      </w:rPr>
    </w:lvl>
    <w:lvl w:ilvl="3" w:tplc="8C66AAA4" w:tentative="1">
      <w:start w:val="1"/>
      <w:numFmt w:val="bullet"/>
      <w:lvlText w:val=""/>
      <w:lvlJc w:val="left"/>
      <w:pPr>
        <w:ind w:left="3600" w:hanging="360"/>
      </w:pPr>
      <w:rPr>
        <w:rFonts w:ascii="Symbol" w:hAnsi="Symbol" w:hint="default"/>
      </w:rPr>
    </w:lvl>
    <w:lvl w:ilvl="4" w:tplc="E1DA1322" w:tentative="1">
      <w:start w:val="1"/>
      <w:numFmt w:val="bullet"/>
      <w:lvlText w:val="o"/>
      <w:lvlJc w:val="left"/>
      <w:pPr>
        <w:ind w:left="4320" w:hanging="360"/>
      </w:pPr>
      <w:rPr>
        <w:rFonts w:ascii="Courier New" w:hAnsi="Courier New" w:cs="Courier New" w:hint="default"/>
      </w:rPr>
    </w:lvl>
    <w:lvl w:ilvl="5" w:tplc="5C48D428" w:tentative="1">
      <w:start w:val="1"/>
      <w:numFmt w:val="bullet"/>
      <w:lvlText w:val=""/>
      <w:lvlJc w:val="left"/>
      <w:pPr>
        <w:ind w:left="5040" w:hanging="360"/>
      </w:pPr>
      <w:rPr>
        <w:rFonts w:ascii="Wingdings" w:hAnsi="Wingdings" w:hint="default"/>
      </w:rPr>
    </w:lvl>
    <w:lvl w:ilvl="6" w:tplc="8B641A1A" w:tentative="1">
      <w:start w:val="1"/>
      <w:numFmt w:val="bullet"/>
      <w:lvlText w:val=""/>
      <w:lvlJc w:val="left"/>
      <w:pPr>
        <w:ind w:left="5760" w:hanging="360"/>
      </w:pPr>
      <w:rPr>
        <w:rFonts w:ascii="Symbol" w:hAnsi="Symbol" w:hint="default"/>
      </w:rPr>
    </w:lvl>
    <w:lvl w:ilvl="7" w:tplc="B6F43E96" w:tentative="1">
      <w:start w:val="1"/>
      <w:numFmt w:val="bullet"/>
      <w:lvlText w:val="o"/>
      <w:lvlJc w:val="left"/>
      <w:pPr>
        <w:ind w:left="6480" w:hanging="360"/>
      </w:pPr>
      <w:rPr>
        <w:rFonts w:ascii="Courier New" w:hAnsi="Courier New" w:cs="Courier New" w:hint="default"/>
      </w:rPr>
    </w:lvl>
    <w:lvl w:ilvl="8" w:tplc="4EE07D04" w:tentative="1">
      <w:start w:val="1"/>
      <w:numFmt w:val="bullet"/>
      <w:lvlText w:val=""/>
      <w:lvlJc w:val="left"/>
      <w:pPr>
        <w:ind w:left="7200" w:hanging="360"/>
      </w:pPr>
      <w:rPr>
        <w:rFonts w:ascii="Wingdings" w:hAnsi="Wingdings" w:hint="default"/>
      </w:rPr>
    </w:lvl>
  </w:abstractNum>
  <w:abstractNum w:abstractNumId="14" w15:restartNumberingAfterBreak="0">
    <w:nsid w:val="1AB25818"/>
    <w:multiLevelType w:val="hybridMultilevel"/>
    <w:tmpl w:val="369084D6"/>
    <w:lvl w:ilvl="0" w:tplc="57CE0694">
      <w:start w:val="1"/>
      <w:numFmt w:val="decimal"/>
      <w:lvlText w:val="%1."/>
      <w:lvlJc w:val="left"/>
      <w:pPr>
        <w:ind w:left="720" w:hanging="360"/>
      </w:pPr>
      <w:rPr>
        <w:rFonts w:hint="default"/>
      </w:rPr>
    </w:lvl>
    <w:lvl w:ilvl="1" w:tplc="A844CA8A" w:tentative="1">
      <w:start w:val="1"/>
      <w:numFmt w:val="lowerLetter"/>
      <w:lvlText w:val="%2."/>
      <w:lvlJc w:val="left"/>
      <w:pPr>
        <w:ind w:left="1440" w:hanging="360"/>
      </w:pPr>
    </w:lvl>
    <w:lvl w:ilvl="2" w:tplc="C28E62A0" w:tentative="1">
      <w:start w:val="1"/>
      <w:numFmt w:val="lowerRoman"/>
      <w:lvlText w:val="%3."/>
      <w:lvlJc w:val="right"/>
      <w:pPr>
        <w:ind w:left="2160" w:hanging="180"/>
      </w:pPr>
    </w:lvl>
    <w:lvl w:ilvl="3" w:tplc="2F648B7C" w:tentative="1">
      <w:start w:val="1"/>
      <w:numFmt w:val="decimal"/>
      <w:lvlText w:val="%4."/>
      <w:lvlJc w:val="left"/>
      <w:pPr>
        <w:ind w:left="2880" w:hanging="360"/>
      </w:pPr>
    </w:lvl>
    <w:lvl w:ilvl="4" w:tplc="83920050" w:tentative="1">
      <w:start w:val="1"/>
      <w:numFmt w:val="lowerLetter"/>
      <w:lvlText w:val="%5."/>
      <w:lvlJc w:val="left"/>
      <w:pPr>
        <w:ind w:left="3600" w:hanging="360"/>
      </w:pPr>
    </w:lvl>
    <w:lvl w:ilvl="5" w:tplc="38D25090" w:tentative="1">
      <w:start w:val="1"/>
      <w:numFmt w:val="lowerRoman"/>
      <w:lvlText w:val="%6."/>
      <w:lvlJc w:val="right"/>
      <w:pPr>
        <w:ind w:left="4320" w:hanging="180"/>
      </w:pPr>
    </w:lvl>
    <w:lvl w:ilvl="6" w:tplc="FCD4FDA8" w:tentative="1">
      <w:start w:val="1"/>
      <w:numFmt w:val="decimal"/>
      <w:lvlText w:val="%7."/>
      <w:lvlJc w:val="left"/>
      <w:pPr>
        <w:ind w:left="5040" w:hanging="360"/>
      </w:pPr>
    </w:lvl>
    <w:lvl w:ilvl="7" w:tplc="D7206654" w:tentative="1">
      <w:start w:val="1"/>
      <w:numFmt w:val="lowerLetter"/>
      <w:lvlText w:val="%8."/>
      <w:lvlJc w:val="left"/>
      <w:pPr>
        <w:ind w:left="5760" w:hanging="360"/>
      </w:pPr>
    </w:lvl>
    <w:lvl w:ilvl="8" w:tplc="3C68D620" w:tentative="1">
      <w:start w:val="1"/>
      <w:numFmt w:val="lowerRoman"/>
      <w:lvlText w:val="%9."/>
      <w:lvlJc w:val="right"/>
      <w:pPr>
        <w:ind w:left="6480" w:hanging="180"/>
      </w:pPr>
    </w:lvl>
  </w:abstractNum>
  <w:abstractNum w:abstractNumId="15" w15:restartNumberingAfterBreak="0">
    <w:nsid w:val="1C6A4635"/>
    <w:multiLevelType w:val="hybridMultilevel"/>
    <w:tmpl w:val="5712C656"/>
    <w:lvl w:ilvl="0" w:tplc="E490199A">
      <w:start w:val="1"/>
      <w:numFmt w:val="decimal"/>
      <w:lvlText w:val="%1-"/>
      <w:lvlJc w:val="left"/>
      <w:pPr>
        <w:ind w:left="720" w:hanging="360"/>
      </w:pPr>
      <w:rPr>
        <w:rFonts w:hint="default"/>
      </w:rPr>
    </w:lvl>
    <w:lvl w:ilvl="1" w:tplc="AF165AC0" w:tentative="1">
      <w:start w:val="1"/>
      <w:numFmt w:val="lowerLetter"/>
      <w:lvlText w:val="%2."/>
      <w:lvlJc w:val="left"/>
      <w:pPr>
        <w:ind w:left="1440" w:hanging="360"/>
      </w:pPr>
    </w:lvl>
    <w:lvl w:ilvl="2" w:tplc="F88EFBF2" w:tentative="1">
      <w:start w:val="1"/>
      <w:numFmt w:val="lowerRoman"/>
      <w:lvlText w:val="%3."/>
      <w:lvlJc w:val="right"/>
      <w:pPr>
        <w:ind w:left="2160" w:hanging="180"/>
      </w:pPr>
    </w:lvl>
    <w:lvl w:ilvl="3" w:tplc="369201F6" w:tentative="1">
      <w:start w:val="1"/>
      <w:numFmt w:val="decimal"/>
      <w:lvlText w:val="%4."/>
      <w:lvlJc w:val="left"/>
      <w:pPr>
        <w:ind w:left="2880" w:hanging="360"/>
      </w:pPr>
    </w:lvl>
    <w:lvl w:ilvl="4" w:tplc="9CA4E1A0" w:tentative="1">
      <w:start w:val="1"/>
      <w:numFmt w:val="lowerLetter"/>
      <w:lvlText w:val="%5."/>
      <w:lvlJc w:val="left"/>
      <w:pPr>
        <w:ind w:left="3600" w:hanging="360"/>
      </w:pPr>
    </w:lvl>
    <w:lvl w:ilvl="5" w:tplc="62C0F0E0" w:tentative="1">
      <w:start w:val="1"/>
      <w:numFmt w:val="lowerRoman"/>
      <w:lvlText w:val="%6."/>
      <w:lvlJc w:val="right"/>
      <w:pPr>
        <w:ind w:left="4320" w:hanging="180"/>
      </w:pPr>
    </w:lvl>
    <w:lvl w:ilvl="6" w:tplc="5112B784" w:tentative="1">
      <w:start w:val="1"/>
      <w:numFmt w:val="decimal"/>
      <w:lvlText w:val="%7."/>
      <w:lvlJc w:val="left"/>
      <w:pPr>
        <w:ind w:left="5040" w:hanging="360"/>
      </w:pPr>
    </w:lvl>
    <w:lvl w:ilvl="7" w:tplc="F1A03A5C" w:tentative="1">
      <w:start w:val="1"/>
      <w:numFmt w:val="lowerLetter"/>
      <w:lvlText w:val="%8."/>
      <w:lvlJc w:val="left"/>
      <w:pPr>
        <w:ind w:left="5760" w:hanging="360"/>
      </w:pPr>
    </w:lvl>
    <w:lvl w:ilvl="8" w:tplc="68C2678E" w:tentative="1">
      <w:start w:val="1"/>
      <w:numFmt w:val="lowerRoman"/>
      <w:lvlText w:val="%9."/>
      <w:lvlJc w:val="right"/>
      <w:pPr>
        <w:ind w:left="6480" w:hanging="180"/>
      </w:pPr>
    </w:lvl>
  </w:abstractNum>
  <w:abstractNum w:abstractNumId="16" w15:restartNumberingAfterBreak="0">
    <w:nsid w:val="28BB52DE"/>
    <w:multiLevelType w:val="multilevel"/>
    <w:tmpl w:val="B07AC92A"/>
    <w:lvl w:ilvl="0">
      <w:start w:val="1"/>
      <w:numFmt w:val="decimal"/>
      <w:pStyle w:val="Paragraphe"/>
      <w:lvlText w:val="[%1]"/>
      <w:lvlJc w:val="left"/>
      <w:pPr>
        <w:tabs>
          <w:tab w:val="num" w:pos="720"/>
        </w:tabs>
        <w:ind w:left="0" w:firstLine="0"/>
      </w:pPr>
      <w:rPr>
        <w:rFonts w:ascii="Arial" w:hAnsi="Arial" w:cs="Arial" w:hint="default"/>
        <w:i w:val="0"/>
        <w:sz w:val="24"/>
        <w:szCs w:val="24"/>
        <w:lang w:val="en-CA"/>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66C06CC"/>
    <w:multiLevelType w:val="hybridMultilevel"/>
    <w:tmpl w:val="E780A672"/>
    <w:lvl w:ilvl="0" w:tplc="F10AC69E">
      <w:start w:val="1"/>
      <w:numFmt w:val="decimal"/>
      <w:lvlText w:val="%1."/>
      <w:lvlJc w:val="left"/>
      <w:pPr>
        <w:ind w:left="8015" w:hanging="360"/>
      </w:pPr>
    </w:lvl>
    <w:lvl w:ilvl="1" w:tplc="45FC37FE" w:tentative="1">
      <w:start w:val="1"/>
      <w:numFmt w:val="lowerLetter"/>
      <w:lvlText w:val="%2."/>
      <w:lvlJc w:val="left"/>
      <w:pPr>
        <w:ind w:left="8735" w:hanging="360"/>
      </w:pPr>
    </w:lvl>
    <w:lvl w:ilvl="2" w:tplc="8E4A22B8" w:tentative="1">
      <w:start w:val="1"/>
      <w:numFmt w:val="lowerRoman"/>
      <w:lvlText w:val="%3."/>
      <w:lvlJc w:val="right"/>
      <w:pPr>
        <w:ind w:left="9455" w:hanging="180"/>
      </w:pPr>
    </w:lvl>
    <w:lvl w:ilvl="3" w:tplc="49B4D6B6" w:tentative="1">
      <w:start w:val="1"/>
      <w:numFmt w:val="decimal"/>
      <w:lvlText w:val="%4."/>
      <w:lvlJc w:val="left"/>
      <w:pPr>
        <w:ind w:left="10175" w:hanging="360"/>
      </w:pPr>
    </w:lvl>
    <w:lvl w:ilvl="4" w:tplc="BB1EEF14" w:tentative="1">
      <w:start w:val="1"/>
      <w:numFmt w:val="lowerLetter"/>
      <w:lvlText w:val="%5."/>
      <w:lvlJc w:val="left"/>
      <w:pPr>
        <w:ind w:left="10895" w:hanging="360"/>
      </w:pPr>
    </w:lvl>
    <w:lvl w:ilvl="5" w:tplc="535A1BDA" w:tentative="1">
      <w:start w:val="1"/>
      <w:numFmt w:val="lowerRoman"/>
      <w:lvlText w:val="%6."/>
      <w:lvlJc w:val="right"/>
      <w:pPr>
        <w:ind w:left="11615" w:hanging="180"/>
      </w:pPr>
    </w:lvl>
    <w:lvl w:ilvl="6" w:tplc="CEE48DF0" w:tentative="1">
      <w:start w:val="1"/>
      <w:numFmt w:val="decimal"/>
      <w:lvlText w:val="%7."/>
      <w:lvlJc w:val="left"/>
      <w:pPr>
        <w:ind w:left="12335" w:hanging="360"/>
      </w:pPr>
    </w:lvl>
    <w:lvl w:ilvl="7" w:tplc="A258949C" w:tentative="1">
      <w:start w:val="1"/>
      <w:numFmt w:val="lowerLetter"/>
      <w:lvlText w:val="%8."/>
      <w:lvlJc w:val="left"/>
      <w:pPr>
        <w:ind w:left="13055" w:hanging="360"/>
      </w:pPr>
    </w:lvl>
    <w:lvl w:ilvl="8" w:tplc="9CC0FECA" w:tentative="1">
      <w:start w:val="1"/>
      <w:numFmt w:val="lowerRoman"/>
      <w:lvlText w:val="%9."/>
      <w:lvlJc w:val="right"/>
      <w:pPr>
        <w:ind w:left="13775" w:hanging="180"/>
      </w:pPr>
    </w:lvl>
  </w:abstractNum>
  <w:abstractNum w:abstractNumId="18" w15:restartNumberingAfterBreak="0">
    <w:nsid w:val="389E5276"/>
    <w:multiLevelType w:val="hybridMultilevel"/>
    <w:tmpl w:val="64685622"/>
    <w:lvl w:ilvl="0" w:tplc="2766C0E2">
      <w:start w:val="1"/>
      <w:numFmt w:val="decimal"/>
      <w:lvlText w:val="%1-"/>
      <w:lvlJc w:val="left"/>
      <w:pPr>
        <w:ind w:left="360" w:hanging="360"/>
      </w:pPr>
      <w:rPr>
        <w:rFonts w:hint="default"/>
      </w:rPr>
    </w:lvl>
    <w:lvl w:ilvl="1" w:tplc="452AB124" w:tentative="1">
      <w:start w:val="1"/>
      <w:numFmt w:val="lowerLetter"/>
      <w:lvlText w:val="%2."/>
      <w:lvlJc w:val="left"/>
      <w:pPr>
        <w:ind w:left="1080" w:hanging="360"/>
      </w:pPr>
    </w:lvl>
    <w:lvl w:ilvl="2" w:tplc="652602C6" w:tentative="1">
      <w:start w:val="1"/>
      <w:numFmt w:val="lowerRoman"/>
      <w:lvlText w:val="%3."/>
      <w:lvlJc w:val="right"/>
      <w:pPr>
        <w:ind w:left="1800" w:hanging="180"/>
      </w:pPr>
    </w:lvl>
    <w:lvl w:ilvl="3" w:tplc="DC1A511E" w:tentative="1">
      <w:start w:val="1"/>
      <w:numFmt w:val="decimal"/>
      <w:lvlText w:val="%4."/>
      <w:lvlJc w:val="left"/>
      <w:pPr>
        <w:ind w:left="2520" w:hanging="360"/>
      </w:pPr>
    </w:lvl>
    <w:lvl w:ilvl="4" w:tplc="44281DB8" w:tentative="1">
      <w:start w:val="1"/>
      <w:numFmt w:val="lowerLetter"/>
      <w:lvlText w:val="%5."/>
      <w:lvlJc w:val="left"/>
      <w:pPr>
        <w:ind w:left="3240" w:hanging="360"/>
      </w:pPr>
    </w:lvl>
    <w:lvl w:ilvl="5" w:tplc="5AEEC43C" w:tentative="1">
      <w:start w:val="1"/>
      <w:numFmt w:val="lowerRoman"/>
      <w:lvlText w:val="%6."/>
      <w:lvlJc w:val="right"/>
      <w:pPr>
        <w:ind w:left="3960" w:hanging="180"/>
      </w:pPr>
    </w:lvl>
    <w:lvl w:ilvl="6" w:tplc="BC58FBB4" w:tentative="1">
      <w:start w:val="1"/>
      <w:numFmt w:val="decimal"/>
      <w:lvlText w:val="%7."/>
      <w:lvlJc w:val="left"/>
      <w:pPr>
        <w:ind w:left="4680" w:hanging="360"/>
      </w:pPr>
    </w:lvl>
    <w:lvl w:ilvl="7" w:tplc="F202EC70" w:tentative="1">
      <w:start w:val="1"/>
      <w:numFmt w:val="lowerLetter"/>
      <w:lvlText w:val="%8."/>
      <w:lvlJc w:val="left"/>
      <w:pPr>
        <w:ind w:left="5400" w:hanging="360"/>
      </w:pPr>
    </w:lvl>
    <w:lvl w:ilvl="8" w:tplc="2DC690DE" w:tentative="1">
      <w:start w:val="1"/>
      <w:numFmt w:val="lowerRoman"/>
      <w:lvlText w:val="%9."/>
      <w:lvlJc w:val="right"/>
      <w:pPr>
        <w:ind w:left="6120" w:hanging="180"/>
      </w:pPr>
    </w:lvl>
  </w:abstractNum>
  <w:abstractNum w:abstractNumId="19" w15:restartNumberingAfterBreak="0">
    <w:nsid w:val="3C055A8E"/>
    <w:multiLevelType w:val="hybridMultilevel"/>
    <w:tmpl w:val="DCDED262"/>
    <w:lvl w:ilvl="0" w:tplc="9E0E26E2">
      <w:start w:val="1"/>
      <w:numFmt w:val="decimal"/>
      <w:lvlText w:val="%1-"/>
      <w:lvlJc w:val="left"/>
      <w:pPr>
        <w:ind w:left="720" w:hanging="360"/>
      </w:pPr>
      <w:rPr>
        <w:rFonts w:hint="default"/>
      </w:rPr>
    </w:lvl>
    <w:lvl w:ilvl="1" w:tplc="FFB2FBDC" w:tentative="1">
      <w:start w:val="1"/>
      <w:numFmt w:val="lowerLetter"/>
      <w:lvlText w:val="%2."/>
      <w:lvlJc w:val="left"/>
      <w:pPr>
        <w:ind w:left="1440" w:hanging="360"/>
      </w:pPr>
    </w:lvl>
    <w:lvl w:ilvl="2" w:tplc="F286C312" w:tentative="1">
      <w:start w:val="1"/>
      <w:numFmt w:val="lowerRoman"/>
      <w:lvlText w:val="%3."/>
      <w:lvlJc w:val="right"/>
      <w:pPr>
        <w:ind w:left="2160" w:hanging="180"/>
      </w:pPr>
    </w:lvl>
    <w:lvl w:ilvl="3" w:tplc="0D942142" w:tentative="1">
      <w:start w:val="1"/>
      <w:numFmt w:val="decimal"/>
      <w:lvlText w:val="%4."/>
      <w:lvlJc w:val="left"/>
      <w:pPr>
        <w:ind w:left="2880" w:hanging="360"/>
      </w:pPr>
    </w:lvl>
    <w:lvl w:ilvl="4" w:tplc="2916B96E" w:tentative="1">
      <w:start w:val="1"/>
      <w:numFmt w:val="lowerLetter"/>
      <w:lvlText w:val="%5."/>
      <w:lvlJc w:val="left"/>
      <w:pPr>
        <w:ind w:left="3600" w:hanging="360"/>
      </w:pPr>
    </w:lvl>
    <w:lvl w:ilvl="5" w:tplc="4DF88BB0" w:tentative="1">
      <w:start w:val="1"/>
      <w:numFmt w:val="lowerRoman"/>
      <w:lvlText w:val="%6."/>
      <w:lvlJc w:val="right"/>
      <w:pPr>
        <w:ind w:left="4320" w:hanging="180"/>
      </w:pPr>
    </w:lvl>
    <w:lvl w:ilvl="6" w:tplc="81B6C756" w:tentative="1">
      <w:start w:val="1"/>
      <w:numFmt w:val="decimal"/>
      <w:lvlText w:val="%7."/>
      <w:lvlJc w:val="left"/>
      <w:pPr>
        <w:ind w:left="5040" w:hanging="360"/>
      </w:pPr>
    </w:lvl>
    <w:lvl w:ilvl="7" w:tplc="B4301B26" w:tentative="1">
      <w:start w:val="1"/>
      <w:numFmt w:val="lowerLetter"/>
      <w:lvlText w:val="%8."/>
      <w:lvlJc w:val="left"/>
      <w:pPr>
        <w:ind w:left="5760" w:hanging="360"/>
      </w:pPr>
    </w:lvl>
    <w:lvl w:ilvl="8" w:tplc="D5940A56" w:tentative="1">
      <w:start w:val="1"/>
      <w:numFmt w:val="lowerRoman"/>
      <w:lvlText w:val="%9."/>
      <w:lvlJc w:val="right"/>
      <w:pPr>
        <w:ind w:left="6480" w:hanging="180"/>
      </w:pPr>
    </w:lvl>
  </w:abstractNum>
  <w:abstractNum w:abstractNumId="20" w15:restartNumberingAfterBreak="0">
    <w:nsid w:val="489E1E41"/>
    <w:multiLevelType w:val="hybridMultilevel"/>
    <w:tmpl w:val="2A429A6E"/>
    <w:lvl w:ilvl="0" w:tplc="49E2FA48">
      <w:start w:val="1"/>
      <w:numFmt w:val="decimal"/>
      <w:lvlText w:val="%1."/>
      <w:lvlJc w:val="left"/>
      <w:pPr>
        <w:ind w:left="10022" w:hanging="360"/>
      </w:pPr>
      <w:rPr>
        <w:rFonts w:hint="default"/>
      </w:rPr>
    </w:lvl>
    <w:lvl w:ilvl="1" w:tplc="6488237A" w:tentative="1">
      <w:start w:val="1"/>
      <w:numFmt w:val="lowerLetter"/>
      <w:lvlText w:val="%2."/>
      <w:lvlJc w:val="left"/>
      <w:pPr>
        <w:ind w:left="10742" w:hanging="360"/>
      </w:pPr>
    </w:lvl>
    <w:lvl w:ilvl="2" w:tplc="4BF66B6E" w:tentative="1">
      <w:start w:val="1"/>
      <w:numFmt w:val="lowerRoman"/>
      <w:lvlText w:val="%3."/>
      <w:lvlJc w:val="right"/>
      <w:pPr>
        <w:ind w:left="11462" w:hanging="180"/>
      </w:pPr>
    </w:lvl>
    <w:lvl w:ilvl="3" w:tplc="B20877F8" w:tentative="1">
      <w:start w:val="1"/>
      <w:numFmt w:val="decimal"/>
      <w:lvlText w:val="%4."/>
      <w:lvlJc w:val="left"/>
      <w:pPr>
        <w:ind w:left="12182" w:hanging="360"/>
      </w:pPr>
    </w:lvl>
    <w:lvl w:ilvl="4" w:tplc="FC584984" w:tentative="1">
      <w:start w:val="1"/>
      <w:numFmt w:val="lowerLetter"/>
      <w:lvlText w:val="%5."/>
      <w:lvlJc w:val="left"/>
      <w:pPr>
        <w:ind w:left="12902" w:hanging="360"/>
      </w:pPr>
    </w:lvl>
    <w:lvl w:ilvl="5" w:tplc="E46494F4" w:tentative="1">
      <w:start w:val="1"/>
      <w:numFmt w:val="lowerRoman"/>
      <w:lvlText w:val="%6."/>
      <w:lvlJc w:val="right"/>
      <w:pPr>
        <w:ind w:left="13622" w:hanging="180"/>
      </w:pPr>
    </w:lvl>
    <w:lvl w:ilvl="6" w:tplc="E92CFBC0" w:tentative="1">
      <w:start w:val="1"/>
      <w:numFmt w:val="decimal"/>
      <w:lvlText w:val="%7."/>
      <w:lvlJc w:val="left"/>
      <w:pPr>
        <w:ind w:left="14342" w:hanging="360"/>
      </w:pPr>
    </w:lvl>
    <w:lvl w:ilvl="7" w:tplc="BF24765A" w:tentative="1">
      <w:start w:val="1"/>
      <w:numFmt w:val="lowerLetter"/>
      <w:lvlText w:val="%8."/>
      <w:lvlJc w:val="left"/>
      <w:pPr>
        <w:ind w:left="15062" w:hanging="360"/>
      </w:pPr>
    </w:lvl>
    <w:lvl w:ilvl="8" w:tplc="CD9A34F8" w:tentative="1">
      <w:start w:val="1"/>
      <w:numFmt w:val="lowerRoman"/>
      <w:lvlText w:val="%9."/>
      <w:lvlJc w:val="right"/>
      <w:pPr>
        <w:ind w:left="15782" w:hanging="180"/>
      </w:pPr>
    </w:lvl>
  </w:abstractNum>
  <w:abstractNum w:abstractNumId="21" w15:restartNumberingAfterBreak="0">
    <w:nsid w:val="4A2F2B39"/>
    <w:multiLevelType w:val="hybridMultilevel"/>
    <w:tmpl w:val="BF6C0F8A"/>
    <w:lvl w:ilvl="0" w:tplc="8B7CA6A8">
      <w:numFmt w:val="bullet"/>
      <w:lvlText w:val="-"/>
      <w:lvlJc w:val="left"/>
      <w:pPr>
        <w:ind w:left="720" w:hanging="360"/>
      </w:pPr>
      <w:rPr>
        <w:rFonts w:ascii="Arial" w:eastAsia="Times New Roman" w:hAnsi="Arial" w:cs="Arial" w:hint="default"/>
      </w:rPr>
    </w:lvl>
    <w:lvl w:ilvl="1" w:tplc="1A96476C" w:tentative="1">
      <w:start w:val="1"/>
      <w:numFmt w:val="bullet"/>
      <w:lvlText w:val="o"/>
      <w:lvlJc w:val="left"/>
      <w:pPr>
        <w:ind w:left="1440" w:hanging="360"/>
      </w:pPr>
      <w:rPr>
        <w:rFonts w:ascii="Courier New" w:hAnsi="Courier New" w:cs="Courier New" w:hint="default"/>
      </w:rPr>
    </w:lvl>
    <w:lvl w:ilvl="2" w:tplc="641604A4" w:tentative="1">
      <w:start w:val="1"/>
      <w:numFmt w:val="bullet"/>
      <w:lvlText w:val=""/>
      <w:lvlJc w:val="left"/>
      <w:pPr>
        <w:ind w:left="2160" w:hanging="360"/>
      </w:pPr>
      <w:rPr>
        <w:rFonts w:ascii="Wingdings" w:hAnsi="Wingdings" w:hint="default"/>
      </w:rPr>
    </w:lvl>
    <w:lvl w:ilvl="3" w:tplc="7334226A" w:tentative="1">
      <w:start w:val="1"/>
      <w:numFmt w:val="bullet"/>
      <w:lvlText w:val=""/>
      <w:lvlJc w:val="left"/>
      <w:pPr>
        <w:ind w:left="2880" w:hanging="360"/>
      </w:pPr>
      <w:rPr>
        <w:rFonts w:ascii="Symbol" w:hAnsi="Symbol" w:hint="default"/>
      </w:rPr>
    </w:lvl>
    <w:lvl w:ilvl="4" w:tplc="A53A1CC6" w:tentative="1">
      <w:start w:val="1"/>
      <w:numFmt w:val="bullet"/>
      <w:lvlText w:val="o"/>
      <w:lvlJc w:val="left"/>
      <w:pPr>
        <w:ind w:left="3600" w:hanging="360"/>
      </w:pPr>
      <w:rPr>
        <w:rFonts w:ascii="Courier New" w:hAnsi="Courier New" w:cs="Courier New" w:hint="default"/>
      </w:rPr>
    </w:lvl>
    <w:lvl w:ilvl="5" w:tplc="3BC090C8" w:tentative="1">
      <w:start w:val="1"/>
      <w:numFmt w:val="bullet"/>
      <w:lvlText w:val=""/>
      <w:lvlJc w:val="left"/>
      <w:pPr>
        <w:ind w:left="4320" w:hanging="360"/>
      </w:pPr>
      <w:rPr>
        <w:rFonts w:ascii="Wingdings" w:hAnsi="Wingdings" w:hint="default"/>
      </w:rPr>
    </w:lvl>
    <w:lvl w:ilvl="6" w:tplc="DD7ECC3A" w:tentative="1">
      <w:start w:val="1"/>
      <w:numFmt w:val="bullet"/>
      <w:lvlText w:val=""/>
      <w:lvlJc w:val="left"/>
      <w:pPr>
        <w:ind w:left="5040" w:hanging="360"/>
      </w:pPr>
      <w:rPr>
        <w:rFonts w:ascii="Symbol" w:hAnsi="Symbol" w:hint="default"/>
      </w:rPr>
    </w:lvl>
    <w:lvl w:ilvl="7" w:tplc="787005E4" w:tentative="1">
      <w:start w:val="1"/>
      <w:numFmt w:val="bullet"/>
      <w:lvlText w:val="o"/>
      <w:lvlJc w:val="left"/>
      <w:pPr>
        <w:ind w:left="5760" w:hanging="360"/>
      </w:pPr>
      <w:rPr>
        <w:rFonts w:ascii="Courier New" w:hAnsi="Courier New" w:cs="Courier New" w:hint="default"/>
      </w:rPr>
    </w:lvl>
    <w:lvl w:ilvl="8" w:tplc="5272459C" w:tentative="1">
      <w:start w:val="1"/>
      <w:numFmt w:val="bullet"/>
      <w:lvlText w:val=""/>
      <w:lvlJc w:val="left"/>
      <w:pPr>
        <w:ind w:left="6480" w:hanging="360"/>
      </w:pPr>
      <w:rPr>
        <w:rFonts w:ascii="Wingdings" w:hAnsi="Wingdings" w:hint="default"/>
      </w:rPr>
    </w:lvl>
  </w:abstractNum>
  <w:abstractNum w:abstractNumId="22"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3C3E80"/>
    <w:multiLevelType w:val="hybridMultilevel"/>
    <w:tmpl w:val="0666C2D0"/>
    <w:lvl w:ilvl="0" w:tplc="C2E432CC">
      <w:start w:val="2"/>
      <w:numFmt w:val="bullet"/>
      <w:lvlText w:val="-"/>
      <w:lvlJc w:val="left"/>
      <w:pPr>
        <w:ind w:left="1080" w:hanging="360"/>
      </w:pPr>
      <w:rPr>
        <w:rFonts w:ascii="Arial" w:eastAsia="Times New Roman" w:hAnsi="Arial" w:cs="Arial" w:hint="default"/>
      </w:rPr>
    </w:lvl>
    <w:lvl w:ilvl="1" w:tplc="23388A4A" w:tentative="1">
      <w:start w:val="1"/>
      <w:numFmt w:val="bullet"/>
      <w:lvlText w:val="o"/>
      <w:lvlJc w:val="left"/>
      <w:pPr>
        <w:ind w:left="1800" w:hanging="360"/>
      </w:pPr>
      <w:rPr>
        <w:rFonts w:ascii="Courier New" w:hAnsi="Courier New" w:cs="Courier New" w:hint="default"/>
      </w:rPr>
    </w:lvl>
    <w:lvl w:ilvl="2" w:tplc="D1FAFD30" w:tentative="1">
      <w:start w:val="1"/>
      <w:numFmt w:val="bullet"/>
      <w:lvlText w:val=""/>
      <w:lvlJc w:val="left"/>
      <w:pPr>
        <w:ind w:left="2520" w:hanging="360"/>
      </w:pPr>
      <w:rPr>
        <w:rFonts w:ascii="Wingdings" w:hAnsi="Wingdings" w:hint="default"/>
      </w:rPr>
    </w:lvl>
    <w:lvl w:ilvl="3" w:tplc="AA26FE54" w:tentative="1">
      <w:start w:val="1"/>
      <w:numFmt w:val="bullet"/>
      <w:lvlText w:val=""/>
      <w:lvlJc w:val="left"/>
      <w:pPr>
        <w:ind w:left="3240" w:hanging="360"/>
      </w:pPr>
      <w:rPr>
        <w:rFonts w:ascii="Symbol" w:hAnsi="Symbol" w:hint="default"/>
      </w:rPr>
    </w:lvl>
    <w:lvl w:ilvl="4" w:tplc="6C9AD178" w:tentative="1">
      <w:start w:val="1"/>
      <w:numFmt w:val="bullet"/>
      <w:lvlText w:val="o"/>
      <w:lvlJc w:val="left"/>
      <w:pPr>
        <w:ind w:left="3960" w:hanging="360"/>
      </w:pPr>
      <w:rPr>
        <w:rFonts w:ascii="Courier New" w:hAnsi="Courier New" w:cs="Courier New" w:hint="default"/>
      </w:rPr>
    </w:lvl>
    <w:lvl w:ilvl="5" w:tplc="6D888366" w:tentative="1">
      <w:start w:val="1"/>
      <w:numFmt w:val="bullet"/>
      <w:lvlText w:val=""/>
      <w:lvlJc w:val="left"/>
      <w:pPr>
        <w:ind w:left="4680" w:hanging="360"/>
      </w:pPr>
      <w:rPr>
        <w:rFonts w:ascii="Wingdings" w:hAnsi="Wingdings" w:hint="default"/>
      </w:rPr>
    </w:lvl>
    <w:lvl w:ilvl="6" w:tplc="7E0E726A" w:tentative="1">
      <w:start w:val="1"/>
      <w:numFmt w:val="bullet"/>
      <w:lvlText w:val=""/>
      <w:lvlJc w:val="left"/>
      <w:pPr>
        <w:ind w:left="5400" w:hanging="360"/>
      </w:pPr>
      <w:rPr>
        <w:rFonts w:ascii="Symbol" w:hAnsi="Symbol" w:hint="default"/>
      </w:rPr>
    </w:lvl>
    <w:lvl w:ilvl="7" w:tplc="C608BA46" w:tentative="1">
      <w:start w:val="1"/>
      <w:numFmt w:val="bullet"/>
      <w:lvlText w:val="o"/>
      <w:lvlJc w:val="left"/>
      <w:pPr>
        <w:ind w:left="6120" w:hanging="360"/>
      </w:pPr>
      <w:rPr>
        <w:rFonts w:ascii="Courier New" w:hAnsi="Courier New" w:cs="Courier New" w:hint="default"/>
      </w:rPr>
    </w:lvl>
    <w:lvl w:ilvl="8" w:tplc="9EEA151A" w:tentative="1">
      <w:start w:val="1"/>
      <w:numFmt w:val="bullet"/>
      <w:lvlText w:val=""/>
      <w:lvlJc w:val="left"/>
      <w:pPr>
        <w:ind w:left="6840" w:hanging="360"/>
      </w:pPr>
      <w:rPr>
        <w:rFonts w:ascii="Wingdings" w:hAnsi="Wingdings" w:hint="default"/>
      </w:rPr>
    </w:lvl>
  </w:abstractNum>
  <w:abstractNum w:abstractNumId="24" w15:restartNumberingAfterBreak="0">
    <w:nsid w:val="5C992B75"/>
    <w:multiLevelType w:val="multilevel"/>
    <w:tmpl w:val="743467EC"/>
    <w:lvl w:ilvl="0">
      <w:start w:val="1"/>
      <w:numFmt w:val="bullet"/>
      <w:pStyle w:val="Tiret"/>
      <w:lvlText w:val="-"/>
      <w:lvlJc w:val="left"/>
      <w:pPr>
        <w:tabs>
          <w:tab w:val="num" w:pos="1080"/>
        </w:tabs>
        <w:ind w:left="720" w:firstLine="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5"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5E00CCE"/>
    <w:multiLevelType w:val="hybridMultilevel"/>
    <w:tmpl w:val="E4CC2A82"/>
    <w:lvl w:ilvl="0" w:tplc="EB4ED31A">
      <w:start w:val="1"/>
      <w:numFmt w:val="lowerLetter"/>
      <w:lvlText w:val="%1)"/>
      <w:lvlJc w:val="left"/>
      <w:pPr>
        <w:ind w:left="927" w:hanging="360"/>
      </w:pPr>
      <w:rPr>
        <w:rFonts w:ascii="Arial" w:eastAsia="Times New Roman" w:hAnsi="Arial" w:cs="Times New Roman"/>
      </w:rPr>
    </w:lvl>
    <w:lvl w:ilvl="1" w:tplc="456465B2" w:tentative="1">
      <w:start w:val="1"/>
      <w:numFmt w:val="lowerLetter"/>
      <w:lvlText w:val="%2."/>
      <w:lvlJc w:val="left"/>
      <w:pPr>
        <w:ind w:left="1647" w:hanging="360"/>
      </w:pPr>
    </w:lvl>
    <w:lvl w:ilvl="2" w:tplc="C3820A9E" w:tentative="1">
      <w:start w:val="1"/>
      <w:numFmt w:val="lowerRoman"/>
      <w:lvlText w:val="%3."/>
      <w:lvlJc w:val="right"/>
      <w:pPr>
        <w:ind w:left="2367" w:hanging="180"/>
      </w:pPr>
    </w:lvl>
    <w:lvl w:ilvl="3" w:tplc="B568EBB8" w:tentative="1">
      <w:start w:val="1"/>
      <w:numFmt w:val="decimal"/>
      <w:lvlText w:val="%4."/>
      <w:lvlJc w:val="left"/>
      <w:pPr>
        <w:ind w:left="3087" w:hanging="360"/>
      </w:pPr>
    </w:lvl>
    <w:lvl w:ilvl="4" w:tplc="6EFE8B94" w:tentative="1">
      <w:start w:val="1"/>
      <w:numFmt w:val="lowerLetter"/>
      <w:lvlText w:val="%5."/>
      <w:lvlJc w:val="left"/>
      <w:pPr>
        <w:ind w:left="3807" w:hanging="360"/>
      </w:pPr>
    </w:lvl>
    <w:lvl w:ilvl="5" w:tplc="1332DF2A" w:tentative="1">
      <w:start w:val="1"/>
      <w:numFmt w:val="lowerRoman"/>
      <w:lvlText w:val="%6."/>
      <w:lvlJc w:val="right"/>
      <w:pPr>
        <w:ind w:left="4527" w:hanging="180"/>
      </w:pPr>
    </w:lvl>
    <w:lvl w:ilvl="6" w:tplc="E0ACB5A4" w:tentative="1">
      <w:start w:val="1"/>
      <w:numFmt w:val="decimal"/>
      <w:lvlText w:val="%7."/>
      <w:lvlJc w:val="left"/>
      <w:pPr>
        <w:ind w:left="5247" w:hanging="360"/>
      </w:pPr>
    </w:lvl>
    <w:lvl w:ilvl="7" w:tplc="E0E411B8" w:tentative="1">
      <w:start w:val="1"/>
      <w:numFmt w:val="lowerLetter"/>
      <w:lvlText w:val="%8."/>
      <w:lvlJc w:val="left"/>
      <w:pPr>
        <w:ind w:left="5967" w:hanging="360"/>
      </w:pPr>
    </w:lvl>
    <w:lvl w:ilvl="8" w:tplc="3DD69F26" w:tentative="1">
      <w:start w:val="1"/>
      <w:numFmt w:val="lowerRoman"/>
      <w:lvlText w:val="%9."/>
      <w:lvlJc w:val="right"/>
      <w:pPr>
        <w:ind w:left="6687" w:hanging="180"/>
      </w:pPr>
    </w:lvl>
  </w:abstractNum>
  <w:num w:numId="1">
    <w:abstractNumId w:val="25"/>
  </w:num>
  <w:num w:numId="2">
    <w:abstractNumId w:val="25"/>
  </w:num>
  <w:num w:numId="3">
    <w:abstractNumId w:val="2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5"/>
  </w:num>
  <w:num w:numId="16">
    <w:abstractNumId w:val="25"/>
  </w:num>
  <w:num w:numId="17">
    <w:abstractNumId w:val="22"/>
  </w:num>
  <w:num w:numId="18">
    <w:abstractNumId w:val="16"/>
  </w:num>
  <w:num w:numId="19">
    <w:abstractNumId w:val="23"/>
  </w:num>
  <w:num w:numId="20">
    <w:abstractNumId w:val="26"/>
  </w:num>
  <w:num w:numId="21">
    <w:abstractNumId w:val="14"/>
  </w:num>
  <w:num w:numId="22">
    <w:abstractNumId w:val="20"/>
  </w:num>
  <w:num w:numId="23">
    <w:abstractNumId w:val="17"/>
  </w:num>
  <w:num w:numId="24">
    <w:abstractNumId w:val="13"/>
  </w:num>
  <w:num w:numId="25">
    <w:abstractNumId w:val="24"/>
  </w:num>
  <w:num w:numId="26">
    <w:abstractNumId w:val="21"/>
  </w:num>
  <w:num w:numId="27">
    <w:abstractNumId w:val="24"/>
  </w:num>
  <w:num w:numId="28">
    <w:abstractNumId w:val="24"/>
  </w:num>
  <w:num w:numId="29">
    <w:abstractNumId w:val="18"/>
  </w:num>
  <w:num w:numId="30">
    <w:abstractNumId w:val="19"/>
  </w:num>
  <w:num w:numId="31">
    <w:abstractNumId w:val="11"/>
  </w:num>
  <w:num w:numId="32">
    <w:abstractNumId w:val="16"/>
  </w:num>
  <w:num w:numId="33">
    <w:abstractNumId w:val="15"/>
  </w:num>
  <w:num w:numId="34">
    <w:abstractNumId w:val="12"/>
  </w:num>
  <w:num w:numId="35">
    <w:abstractNumId w:val="10"/>
  </w:num>
  <w:num w:numId="36">
    <w:abstractNumId w:val="16"/>
  </w:num>
  <w:num w:numId="37">
    <w:abstractNumId w:val="16"/>
  </w:num>
  <w:num w:numId="38">
    <w:abstractNumId w:val="16"/>
  </w:num>
  <w:num w:numId="39">
    <w:abstractNumId w:val="16"/>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E LA JUGE"/>
    <w:docVar w:name="MotifJuge2" w:val="MOTIFS DU JUGE"/>
    <w:docVar w:name="MotifJuge3" w:val="MOTIFS DE LA JUGE"/>
    <w:docVar w:name="NomFamJuge1" w:val="THIBAULT"/>
    <w:docVar w:name="NomFamJuge2" w:val="LEVESQUE"/>
    <w:docVar w:name="NomFamJuge3" w:val="HOGUE"/>
    <w:docVar w:name="NomFamJuge4" w:val="MAILHOT"/>
    <w:docVar w:name="NomFamJuge5" w:val="BAUDOUIN"/>
    <w:docVar w:name="QteJuge1" w:val=", J.C.A."/>
    <w:docVar w:name="QteJuge2" w:val=", J.C.A."/>
    <w:docVar w:name="QteJuge3" w:val=", J.C.A."/>
    <w:docVar w:name="stPremiereFois" w:val="Non"/>
  </w:docVars>
  <w:rsids>
    <w:rsidRoot w:val="005C73F6"/>
    <w:rsid w:val="0000186A"/>
    <w:rsid w:val="000019D2"/>
    <w:rsid w:val="00006753"/>
    <w:rsid w:val="000072E9"/>
    <w:rsid w:val="00010139"/>
    <w:rsid w:val="00010281"/>
    <w:rsid w:val="00014B51"/>
    <w:rsid w:val="00014EE3"/>
    <w:rsid w:val="00023AA5"/>
    <w:rsid w:val="000361C3"/>
    <w:rsid w:val="00036C07"/>
    <w:rsid w:val="000401FE"/>
    <w:rsid w:val="00043418"/>
    <w:rsid w:val="0004393B"/>
    <w:rsid w:val="0005128B"/>
    <w:rsid w:val="000512E8"/>
    <w:rsid w:val="00051FEB"/>
    <w:rsid w:val="00053B23"/>
    <w:rsid w:val="0005544F"/>
    <w:rsid w:val="000562ED"/>
    <w:rsid w:val="0005767A"/>
    <w:rsid w:val="000602E7"/>
    <w:rsid w:val="000651CF"/>
    <w:rsid w:val="00065675"/>
    <w:rsid w:val="00065A27"/>
    <w:rsid w:val="00071322"/>
    <w:rsid w:val="00074775"/>
    <w:rsid w:val="00076422"/>
    <w:rsid w:val="0007668E"/>
    <w:rsid w:val="0007756E"/>
    <w:rsid w:val="0008059F"/>
    <w:rsid w:val="00086385"/>
    <w:rsid w:val="00090D5B"/>
    <w:rsid w:val="00091574"/>
    <w:rsid w:val="00092397"/>
    <w:rsid w:val="00094F3C"/>
    <w:rsid w:val="00097B17"/>
    <w:rsid w:val="000A026B"/>
    <w:rsid w:val="000A14B9"/>
    <w:rsid w:val="000A174C"/>
    <w:rsid w:val="000A2634"/>
    <w:rsid w:val="000A2D53"/>
    <w:rsid w:val="000A3539"/>
    <w:rsid w:val="000A4ECF"/>
    <w:rsid w:val="000A573A"/>
    <w:rsid w:val="000B0D92"/>
    <w:rsid w:val="000B1105"/>
    <w:rsid w:val="000B1FEF"/>
    <w:rsid w:val="000B26D3"/>
    <w:rsid w:val="000B2CAA"/>
    <w:rsid w:val="000B75D4"/>
    <w:rsid w:val="000B7E61"/>
    <w:rsid w:val="000C3676"/>
    <w:rsid w:val="000C3872"/>
    <w:rsid w:val="000C4A30"/>
    <w:rsid w:val="000C6AFE"/>
    <w:rsid w:val="000D02CF"/>
    <w:rsid w:val="000D234D"/>
    <w:rsid w:val="000D2D8F"/>
    <w:rsid w:val="000D3F3C"/>
    <w:rsid w:val="000D4379"/>
    <w:rsid w:val="000E138C"/>
    <w:rsid w:val="000E73FF"/>
    <w:rsid w:val="000F0A85"/>
    <w:rsid w:val="000F0B86"/>
    <w:rsid w:val="000F1A2E"/>
    <w:rsid w:val="000F2429"/>
    <w:rsid w:val="000F2DA5"/>
    <w:rsid w:val="000F333B"/>
    <w:rsid w:val="000F6B30"/>
    <w:rsid w:val="000F6C84"/>
    <w:rsid w:val="000F7404"/>
    <w:rsid w:val="001017BA"/>
    <w:rsid w:val="001075CC"/>
    <w:rsid w:val="00114931"/>
    <w:rsid w:val="00126F2E"/>
    <w:rsid w:val="00130D84"/>
    <w:rsid w:val="0013251F"/>
    <w:rsid w:val="0013597C"/>
    <w:rsid w:val="0014204E"/>
    <w:rsid w:val="00142EBA"/>
    <w:rsid w:val="001458AC"/>
    <w:rsid w:val="00145DE4"/>
    <w:rsid w:val="0015468C"/>
    <w:rsid w:val="00156A96"/>
    <w:rsid w:val="00157F2E"/>
    <w:rsid w:val="00162C6E"/>
    <w:rsid w:val="00163114"/>
    <w:rsid w:val="00163731"/>
    <w:rsid w:val="001638A2"/>
    <w:rsid w:val="001659CA"/>
    <w:rsid w:val="001673E1"/>
    <w:rsid w:val="00167830"/>
    <w:rsid w:val="001705A6"/>
    <w:rsid w:val="00173273"/>
    <w:rsid w:val="001732A5"/>
    <w:rsid w:val="00175C43"/>
    <w:rsid w:val="00185DB6"/>
    <w:rsid w:val="00187480"/>
    <w:rsid w:val="00187D53"/>
    <w:rsid w:val="00190B05"/>
    <w:rsid w:val="00191F30"/>
    <w:rsid w:val="00195C2C"/>
    <w:rsid w:val="00197A59"/>
    <w:rsid w:val="001A1FD9"/>
    <w:rsid w:val="001A73F6"/>
    <w:rsid w:val="001B08DF"/>
    <w:rsid w:val="001B0BB3"/>
    <w:rsid w:val="001B0E52"/>
    <w:rsid w:val="001B3103"/>
    <w:rsid w:val="001B634D"/>
    <w:rsid w:val="001B7F87"/>
    <w:rsid w:val="001C2DE8"/>
    <w:rsid w:val="001D16A4"/>
    <w:rsid w:val="001D1759"/>
    <w:rsid w:val="001D3C78"/>
    <w:rsid w:val="001D5377"/>
    <w:rsid w:val="001D58BC"/>
    <w:rsid w:val="001E1835"/>
    <w:rsid w:val="001F1237"/>
    <w:rsid w:val="001F29CC"/>
    <w:rsid w:val="001F390B"/>
    <w:rsid w:val="001F3E63"/>
    <w:rsid w:val="00200457"/>
    <w:rsid w:val="00200E0A"/>
    <w:rsid w:val="0020181E"/>
    <w:rsid w:val="00201DE4"/>
    <w:rsid w:val="00202B65"/>
    <w:rsid w:val="00204E48"/>
    <w:rsid w:val="002057B6"/>
    <w:rsid w:val="00205944"/>
    <w:rsid w:val="00206CDB"/>
    <w:rsid w:val="00211EBC"/>
    <w:rsid w:val="00225630"/>
    <w:rsid w:val="002302D3"/>
    <w:rsid w:val="00230C22"/>
    <w:rsid w:val="00235185"/>
    <w:rsid w:val="00237845"/>
    <w:rsid w:val="00237F60"/>
    <w:rsid w:val="00243502"/>
    <w:rsid w:val="00246EC9"/>
    <w:rsid w:val="00256509"/>
    <w:rsid w:val="002567EB"/>
    <w:rsid w:val="00256CFC"/>
    <w:rsid w:val="00257814"/>
    <w:rsid w:val="00265A84"/>
    <w:rsid w:val="002713C7"/>
    <w:rsid w:val="0028026F"/>
    <w:rsid w:val="00290705"/>
    <w:rsid w:val="00291980"/>
    <w:rsid w:val="00291EFC"/>
    <w:rsid w:val="00292E43"/>
    <w:rsid w:val="00294B2D"/>
    <w:rsid w:val="002A2BC4"/>
    <w:rsid w:val="002A37BB"/>
    <w:rsid w:val="002A5626"/>
    <w:rsid w:val="002B10A4"/>
    <w:rsid w:val="002C044B"/>
    <w:rsid w:val="002C12F5"/>
    <w:rsid w:val="002D27D7"/>
    <w:rsid w:val="002D2C47"/>
    <w:rsid w:val="002D4BAB"/>
    <w:rsid w:val="002D659E"/>
    <w:rsid w:val="002D7BAD"/>
    <w:rsid w:val="002E0433"/>
    <w:rsid w:val="002E58E0"/>
    <w:rsid w:val="002F298B"/>
    <w:rsid w:val="002F3C28"/>
    <w:rsid w:val="002F5371"/>
    <w:rsid w:val="002F6092"/>
    <w:rsid w:val="002F6A7F"/>
    <w:rsid w:val="003021D5"/>
    <w:rsid w:val="003030DF"/>
    <w:rsid w:val="00306C99"/>
    <w:rsid w:val="003175A0"/>
    <w:rsid w:val="00317F73"/>
    <w:rsid w:val="00320133"/>
    <w:rsid w:val="00322783"/>
    <w:rsid w:val="00323068"/>
    <w:rsid w:val="003257BA"/>
    <w:rsid w:val="003267FA"/>
    <w:rsid w:val="0033362C"/>
    <w:rsid w:val="00334D49"/>
    <w:rsid w:val="0034114B"/>
    <w:rsid w:val="00341FAC"/>
    <w:rsid w:val="003427D7"/>
    <w:rsid w:val="00344710"/>
    <w:rsid w:val="00344EA4"/>
    <w:rsid w:val="0034612E"/>
    <w:rsid w:val="00346A47"/>
    <w:rsid w:val="00352837"/>
    <w:rsid w:val="00352F06"/>
    <w:rsid w:val="00353E87"/>
    <w:rsid w:val="003561C8"/>
    <w:rsid w:val="003563F8"/>
    <w:rsid w:val="00357473"/>
    <w:rsid w:val="003623FF"/>
    <w:rsid w:val="0036378D"/>
    <w:rsid w:val="00363F6B"/>
    <w:rsid w:val="003647DC"/>
    <w:rsid w:val="00370B5D"/>
    <w:rsid w:val="00374E00"/>
    <w:rsid w:val="00381FBB"/>
    <w:rsid w:val="003824A3"/>
    <w:rsid w:val="00385ABF"/>
    <w:rsid w:val="003866E9"/>
    <w:rsid w:val="00390B7B"/>
    <w:rsid w:val="00391F4B"/>
    <w:rsid w:val="00393A9C"/>
    <w:rsid w:val="0039688F"/>
    <w:rsid w:val="003A16F2"/>
    <w:rsid w:val="003A272D"/>
    <w:rsid w:val="003A5D05"/>
    <w:rsid w:val="003B3D8B"/>
    <w:rsid w:val="003B62C9"/>
    <w:rsid w:val="003B7D21"/>
    <w:rsid w:val="003C0909"/>
    <w:rsid w:val="003C3B94"/>
    <w:rsid w:val="003C3BCB"/>
    <w:rsid w:val="003C623C"/>
    <w:rsid w:val="003D0741"/>
    <w:rsid w:val="003D1DEB"/>
    <w:rsid w:val="003D35D4"/>
    <w:rsid w:val="003D5CD7"/>
    <w:rsid w:val="003D63F6"/>
    <w:rsid w:val="003D7409"/>
    <w:rsid w:val="003D77D5"/>
    <w:rsid w:val="003D7DC4"/>
    <w:rsid w:val="003E0C08"/>
    <w:rsid w:val="003E0D94"/>
    <w:rsid w:val="003E182C"/>
    <w:rsid w:val="003E1F82"/>
    <w:rsid w:val="003E223F"/>
    <w:rsid w:val="003E26CD"/>
    <w:rsid w:val="003E6BC4"/>
    <w:rsid w:val="003E70F2"/>
    <w:rsid w:val="003E7DA6"/>
    <w:rsid w:val="0040026C"/>
    <w:rsid w:val="00400F06"/>
    <w:rsid w:val="00400FA0"/>
    <w:rsid w:val="004032A7"/>
    <w:rsid w:val="00405F2E"/>
    <w:rsid w:val="00407105"/>
    <w:rsid w:val="00414228"/>
    <w:rsid w:val="0042046A"/>
    <w:rsid w:val="00420E73"/>
    <w:rsid w:val="004214A7"/>
    <w:rsid w:val="00423EE9"/>
    <w:rsid w:val="0042595C"/>
    <w:rsid w:val="00426405"/>
    <w:rsid w:val="004310B9"/>
    <w:rsid w:val="00435CA4"/>
    <w:rsid w:val="0044261D"/>
    <w:rsid w:val="00442EE6"/>
    <w:rsid w:val="00444D0C"/>
    <w:rsid w:val="00444DD9"/>
    <w:rsid w:val="004525E7"/>
    <w:rsid w:val="00456473"/>
    <w:rsid w:val="004616EE"/>
    <w:rsid w:val="00463535"/>
    <w:rsid w:val="004639CC"/>
    <w:rsid w:val="00463C58"/>
    <w:rsid w:val="00465C61"/>
    <w:rsid w:val="00467E35"/>
    <w:rsid w:val="00470FB8"/>
    <w:rsid w:val="00473E6F"/>
    <w:rsid w:val="0047597C"/>
    <w:rsid w:val="00475ACE"/>
    <w:rsid w:val="00482BAB"/>
    <w:rsid w:val="00484EE9"/>
    <w:rsid w:val="00485222"/>
    <w:rsid w:val="00485F94"/>
    <w:rsid w:val="0048686D"/>
    <w:rsid w:val="00486B6D"/>
    <w:rsid w:val="00486E3D"/>
    <w:rsid w:val="004877BD"/>
    <w:rsid w:val="00491188"/>
    <w:rsid w:val="00493E33"/>
    <w:rsid w:val="00495EE0"/>
    <w:rsid w:val="004A0CE8"/>
    <w:rsid w:val="004A290C"/>
    <w:rsid w:val="004A2EA3"/>
    <w:rsid w:val="004A52E3"/>
    <w:rsid w:val="004A7588"/>
    <w:rsid w:val="004B0B37"/>
    <w:rsid w:val="004B320C"/>
    <w:rsid w:val="004B558A"/>
    <w:rsid w:val="004C25FA"/>
    <w:rsid w:val="004C3ED1"/>
    <w:rsid w:val="004C4680"/>
    <w:rsid w:val="004C75C5"/>
    <w:rsid w:val="004D2C57"/>
    <w:rsid w:val="004D63FE"/>
    <w:rsid w:val="004E01D0"/>
    <w:rsid w:val="004E4A6C"/>
    <w:rsid w:val="004E687D"/>
    <w:rsid w:val="004F3408"/>
    <w:rsid w:val="0050047F"/>
    <w:rsid w:val="0050252E"/>
    <w:rsid w:val="00503250"/>
    <w:rsid w:val="00510709"/>
    <w:rsid w:val="005117B6"/>
    <w:rsid w:val="00514B66"/>
    <w:rsid w:val="00522747"/>
    <w:rsid w:val="005274D0"/>
    <w:rsid w:val="00532D23"/>
    <w:rsid w:val="00534048"/>
    <w:rsid w:val="00535572"/>
    <w:rsid w:val="00535A26"/>
    <w:rsid w:val="005400E8"/>
    <w:rsid w:val="00542F59"/>
    <w:rsid w:val="00552712"/>
    <w:rsid w:val="00555FEC"/>
    <w:rsid w:val="005613CC"/>
    <w:rsid w:val="0056183A"/>
    <w:rsid w:val="00561E8F"/>
    <w:rsid w:val="00564F31"/>
    <w:rsid w:val="00565684"/>
    <w:rsid w:val="00567385"/>
    <w:rsid w:val="00572CF3"/>
    <w:rsid w:val="00580F95"/>
    <w:rsid w:val="005A08DA"/>
    <w:rsid w:val="005A0EA1"/>
    <w:rsid w:val="005A1A58"/>
    <w:rsid w:val="005A2381"/>
    <w:rsid w:val="005A37DD"/>
    <w:rsid w:val="005A54A5"/>
    <w:rsid w:val="005B08EA"/>
    <w:rsid w:val="005B3EEC"/>
    <w:rsid w:val="005B6F67"/>
    <w:rsid w:val="005B7FA0"/>
    <w:rsid w:val="005C00CC"/>
    <w:rsid w:val="005C2101"/>
    <w:rsid w:val="005C330C"/>
    <w:rsid w:val="005C6AF5"/>
    <w:rsid w:val="005C73F6"/>
    <w:rsid w:val="005D01EF"/>
    <w:rsid w:val="005D086A"/>
    <w:rsid w:val="005D1BBF"/>
    <w:rsid w:val="005D1DB2"/>
    <w:rsid w:val="005D2F09"/>
    <w:rsid w:val="005D44DA"/>
    <w:rsid w:val="005D565F"/>
    <w:rsid w:val="005D568A"/>
    <w:rsid w:val="005E1091"/>
    <w:rsid w:val="005E428E"/>
    <w:rsid w:val="005E5AA0"/>
    <w:rsid w:val="005F0D86"/>
    <w:rsid w:val="005F19A7"/>
    <w:rsid w:val="005F4F1A"/>
    <w:rsid w:val="0060022A"/>
    <w:rsid w:val="006006B1"/>
    <w:rsid w:val="00600786"/>
    <w:rsid w:val="006012AD"/>
    <w:rsid w:val="00602D16"/>
    <w:rsid w:val="00611D03"/>
    <w:rsid w:val="00614015"/>
    <w:rsid w:val="00616759"/>
    <w:rsid w:val="00617F1A"/>
    <w:rsid w:val="006265B1"/>
    <w:rsid w:val="00626DAB"/>
    <w:rsid w:val="00627697"/>
    <w:rsid w:val="00627699"/>
    <w:rsid w:val="006300F4"/>
    <w:rsid w:val="0063058E"/>
    <w:rsid w:val="00631985"/>
    <w:rsid w:val="00633ADB"/>
    <w:rsid w:val="006348A8"/>
    <w:rsid w:val="00636F75"/>
    <w:rsid w:val="00641C9D"/>
    <w:rsid w:val="00642BA7"/>
    <w:rsid w:val="006439B2"/>
    <w:rsid w:val="0064460E"/>
    <w:rsid w:val="00646699"/>
    <w:rsid w:val="006524A5"/>
    <w:rsid w:val="0065619C"/>
    <w:rsid w:val="00656780"/>
    <w:rsid w:val="00660AD3"/>
    <w:rsid w:val="00663262"/>
    <w:rsid w:val="00664A7E"/>
    <w:rsid w:val="006720A1"/>
    <w:rsid w:val="00672DDA"/>
    <w:rsid w:val="00673828"/>
    <w:rsid w:val="006772CB"/>
    <w:rsid w:val="0068114C"/>
    <w:rsid w:val="006851D6"/>
    <w:rsid w:val="00685307"/>
    <w:rsid w:val="00691CE0"/>
    <w:rsid w:val="00692617"/>
    <w:rsid w:val="00695DA6"/>
    <w:rsid w:val="006A6AF2"/>
    <w:rsid w:val="006B00DE"/>
    <w:rsid w:val="006B10E5"/>
    <w:rsid w:val="006B623E"/>
    <w:rsid w:val="006B6512"/>
    <w:rsid w:val="006B785A"/>
    <w:rsid w:val="006B7DEA"/>
    <w:rsid w:val="006C0A3E"/>
    <w:rsid w:val="006C2C24"/>
    <w:rsid w:val="006C2F43"/>
    <w:rsid w:val="006C638D"/>
    <w:rsid w:val="006D18D6"/>
    <w:rsid w:val="006D1A01"/>
    <w:rsid w:val="006D251D"/>
    <w:rsid w:val="006D407C"/>
    <w:rsid w:val="006E0269"/>
    <w:rsid w:val="006E08CC"/>
    <w:rsid w:val="006E12B0"/>
    <w:rsid w:val="006E5AAA"/>
    <w:rsid w:val="006F43BC"/>
    <w:rsid w:val="006F527D"/>
    <w:rsid w:val="006F7A1A"/>
    <w:rsid w:val="006F7EA6"/>
    <w:rsid w:val="007027D0"/>
    <w:rsid w:val="00704D45"/>
    <w:rsid w:val="00705CBE"/>
    <w:rsid w:val="00705FF7"/>
    <w:rsid w:val="00706266"/>
    <w:rsid w:val="00710E83"/>
    <w:rsid w:val="007112D1"/>
    <w:rsid w:val="00711970"/>
    <w:rsid w:val="0071231E"/>
    <w:rsid w:val="0071572C"/>
    <w:rsid w:val="007224CA"/>
    <w:rsid w:val="00725083"/>
    <w:rsid w:val="0072637C"/>
    <w:rsid w:val="00726450"/>
    <w:rsid w:val="00730139"/>
    <w:rsid w:val="00730D67"/>
    <w:rsid w:val="00732501"/>
    <w:rsid w:val="00732864"/>
    <w:rsid w:val="007353D4"/>
    <w:rsid w:val="007407F7"/>
    <w:rsid w:val="00741759"/>
    <w:rsid w:val="007425C1"/>
    <w:rsid w:val="007452F0"/>
    <w:rsid w:val="00745A6B"/>
    <w:rsid w:val="007516A6"/>
    <w:rsid w:val="0075329E"/>
    <w:rsid w:val="00756AED"/>
    <w:rsid w:val="00760222"/>
    <w:rsid w:val="007619EB"/>
    <w:rsid w:val="007663C6"/>
    <w:rsid w:val="0076756E"/>
    <w:rsid w:val="00770088"/>
    <w:rsid w:val="00770D34"/>
    <w:rsid w:val="0077151F"/>
    <w:rsid w:val="00773824"/>
    <w:rsid w:val="007742D2"/>
    <w:rsid w:val="00777BB1"/>
    <w:rsid w:val="0078011C"/>
    <w:rsid w:val="00781D5A"/>
    <w:rsid w:val="00783EAC"/>
    <w:rsid w:val="007857BA"/>
    <w:rsid w:val="007926FF"/>
    <w:rsid w:val="00793520"/>
    <w:rsid w:val="007935BA"/>
    <w:rsid w:val="0079385B"/>
    <w:rsid w:val="00793FB0"/>
    <w:rsid w:val="00795DF6"/>
    <w:rsid w:val="007A1E49"/>
    <w:rsid w:val="007A7009"/>
    <w:rsid w:val="007A7D67"/>
    <w:rsid w:val="007B0776"/>
    <w:rsid w:val="007B144E"/>
    <w:rsid w:val="007B57EB"/>
    <w:rsid w:val="007B6110"/>
    <w:rsid w:val="007B6AFB"/>
    <w:rsid w:val="007B7C52"/>
    <w:rsid w:val="007C1B34"/>
    <w:rsid w:val="007C4865"/>
    <w:rsid w:val="007C49A9"/>
    <w:rsid w:val="007D2CB5"/>
    <w:rsid w:val="007D2E2D"/>
    <w:rsid w:val="007D4F81"/>
    <w:rsid w:val="007D6EB0"/>
    <w:rsid w:val="007D724F"/>
    <w:rsid w:val="007E0D0D"/>
    <w:rsid w:val="007E4ECD"/>
    <w:rsid w:val="007E711A"/>
    <w:rsid w:val="007F20E5"/>
    <w:rsid w:val="007F23DF"/>
    <w:rsid w:val="007F4A30"/>
    <w:rsid w:val="007F7D9F"/>
    <w:rsid w:val="008010F4"/>
    <w:rsid w:val="00802526"/>
    <w:rsid w:val="00805191"/>
    <w:rsid w:val="0081016E"/>
    <w:rsid w:val="00814BF9"/>
    <w:rsid w:val="00815D71"/>
    <w:rsid w:val="008170C0"/>
    <w:rsid w:val="008219BD"/>
    <w:rsid w:val="00824F38"/>
    <w:rsid w:val="00826E8C"/>
    <w:rsid w:val="00834B53"/>
    <w:rsid w:val="00835289"/>
    <w:rsid w:val="00836680"/>
    <w:rsid w:val="008367F7"/>
    <w:rsid w:val="00836A01"/>
    <w:rsid w:val="00837285"/>
    <w:rsid w:val="00837932"/>
    <w:rsid w:val="00840ACC"/>
    <w:rsid w:val="008420E0"/>
    <w:rsid w:val="00842154"/>
    <w:rsid w:val="00843B24"/>
    <w:rsid w:val="008469D5"/>
    <w:rsid w:val="008532B0"/>
    <w:rsid w:val="00854876"/>
    <w:rsid w:val="00856EBE"/>
    <w:rsid w:val="00860EDD"/>
    <w:rsid w:val="008655E0"/>
    <w:rsid w:val="00870ED4"/>
    <w:rsid w:val="00871145"/>
    <w:rsid w:val="00872790"/>
    <w:rsid w:val="00872B4C"/>
    <w:rsid w:val="00876BD1"/>
    <w:rsid w:val="00876FBA"/>
    <w:rsid w:val="00877FA5"/>
    <w:rsid w:val="00885414"/>
    <w:rsid w:val="00886244"/>
    <w:rsid w:val="008866C4"/>
    <w:rsid w:val="00887841"/>
    <w:rsid w:val="00890E92"/>
    <w:rsid w:val="00895B66"/>
    <w:rsid w:val="00896DB9"/>
    <w:rsid w:val="008A1BCE"/>
    <w:rsid w:val="008A212D"/>
    <w:rsid w:val="008A2C76"/>
    <w:rsid w:val="008C009A"/>
    <w:rsid w:val="008C1871"/>
    <w:rsid w:val="008C42FD"/>
    <w:rsid w:val="008C63EB"/>
    <w:rsid w:val="008D12E2"/>
    <w:rsid w:val="008D2EA3"/>
    <w:rsid w:val="008D453B"/>
    <w:rsid w:val="008D55A9"/>
    <w:rsid w:val="008D7544"/>
    <w:rsid w:val="008E01C3"/>
    <w:rsid w:val="008E0886"/>
    <w:rsid w:val="008E4055"/>
    <w:rsid w:val="008E67B1"/>
    <w:rsid w:val="008F02CA"/>
    <w:rsid w:val="008F0CC0"/>
    <w:rsid w:val="008F697C"/>
    <w:rsid w:val="008F6CC9"/>
    <w:rsid w:val="00902BCD"/>
    <w:rsid w:val="00902E88"/>
    <w:rsid w:val="00903B17"/>
    <w:rsid w:val="00904B6F"/>
    <w:rsid w:val="00904CA4"/>
    <w:rsid w:val="009056F4"/>
    <w:rsid w:val="00906094"/>
    <w:rsid w:val="009116F7"/>
    <w:rsid w:val="00913B40"/>
    <w:rsid w:val="00917507"/>
    <w:rsid w:val="00917969"/>
    <w:rsid w:val="00917D61"/>
    <w:rsid w:val="00921E13"/>
    <w:rsid w:val="00924BDB"/>
    <w:rsid w:val="0093253F"/>
    <w:rsid w:val="00933B8C"/>
    <w:rsid w:val="00934266"/>
    <w:rsid w:val="0093549A"/>
    <w:rsid w:val="00935D07"/>
    <w:rsid w:val="00940405"/>
    <w:rsid w:val="00940914"/>
    <w:rsid w:val="00942151"/>
    <w:rsid w:val="00946174"/>
    <w:rsid w:val="009519CA"/>
    <w:rsid w:val="00953051"/>
    <w:rsid w:val="009530BA"/>
    <w:rsid w:val="00953B9A"/>
    <w:rsid w:val="0096576A"/>
    <w:rsid w:val="009675B9"/>
    <w:rsid w:val="009678F8"/>
    <w:rsid w:val="0097020F"/>
    <w:rsid w:val="009753A7"/>
    <w:rsid w:val="00982CFA"/>
    <w:rsid w:val="009836FB"/>
    <w:rsid w:val="009876B1"/>
    <w:rsid w:val="00987C08"/>
    <w:rsid w:val="00990DDC"/>
    <w:rsid w:val="0099520A"/>
    <w:rsid w:val="009960F0"/>
    <w:rsid w:val="009A0D86"/>
    <w:rsid w:val="009A1142"/>
    <w:rsid w:val="009A28A3"/>
    <w:rsid w:val="009A433E"/>
    <w:rsid w:val="009A453C"/>
    <w:rsid w:val="009A4B7C"/>
    <w:rsid w:val="009A521E"/>
    <w:rsid w:val="009B0B02"/>
    <w:rsid w:val="009B4370"/>
    <w:rsid w:val="009B56A5"/>
    <w:rsid w:val="009B57EF"/>
    <w:rsid w:val="009B668C"/>
    <w:rsid w:val="009B6F39"/>
    <w:rsid w:val="009C4147"/>
    <w:rsid w:val="009C46F0"/>
    <w:rsid w:val="009C6C94"/>
    <w:rsid w:val="009D051F"/>
    <w:rsid w:val="009D06A7"/>
    <w:rsid w:val="009D0E19"/>
    <w:rsid w:val="009D4B59"/>
    <w:rsid w:val="009D523D"/>
    <w:rsid w:val="009D5599"/>
    <w:rsid w:val="009D58F7"/>
    <w:rsid w:val="009D7346"/>
    <w:rsid w:val="009E3188"/>
    <w:rsid w:val="009E5AD2"/>
    <w:rsid w:val="009F07BC"/>
    <w:rsid w:val="009F0CAE"/>
    <w:rsid w:val="009F3C18"/>
    <w:rsid w:val="009F5F1B"/>
    <w:rsid w:val="009F6B5E"/>
    <w:rsid w:val="00A03CB9"/>
    <w:rsid w:val="00A042BF"/>
    <w:rsid w:val="00A076DB"/>
    <w:rsid w:val="00A11116"/>
    <w:rsid w:val="00A11574"/>
    <w:rsid w:val="00A120F9"/>
    <w:rsid w:val="00A13C07"/>
    <w:rsid w:val="00A2129E"/>
    <w:rsid w:val="00A24C1D"/>
    <w:rsid w:val="00A32F95"/>
    <w:rsid w:val="00A33985"/>
    <w:rsid w:val="00A35551"/>
    <w:rsid w:val="00A36209"/>
    <w:rsid w:val="00A400C7"/>
    <w:rsid w:val="00A41DBF"/>
    <w:rsid w:val="00A43ABA"/>
    <w:rsid w:val="00A454DF"/>
    <w:rsid w:val="00A52BBB"/>
    <w:rsid w:val="00A535A4"/>
    <w:rsid w:val="00A613A7"/>
    <w:rsid w:val="00A6201A"/>
    <w:rsid w:val="00A65C63"/>
    <w:rsid w:val="00A677D5"/>
    <w:rsid w:val="00A739B9"/>
    <w:rsid w:val="00A73BF7"/>
    <w:rsid w:val="00A747B8"/>
    <w:rsid w:val="00A751E1"/>
    <w:rsid w:val="00A82F88"/>
    <w:rsid w:val="00A83C8E"/>
    <w:rsid w:val="00A8451E"/>
    <w:rsid w:val="00A84736"/>
    <w:rsid w:val="00A85540"/>
    <w:rsid w:val="00A85C4C"/>
    <w:rsid w:val="00A877A7"/>
    <w:rsid w:val="00A91AFD"/>
    <w:rsid w:val="00AA1092"/>
    <w:rsid w:val="00AA2177"/>
    <w:rsid w:val="00AA34BF"/>
    <w:rsid w:val="00AA4B62"/>
    <w:rsid w:val="00AA63A5"/>
    <w:rsid w:val="00AB2924"/>
    <w:rsid w:val="00AB2B3F"/>
    <w:rsid w:val="00AB5C66"/>
    <w:rsid w:val="00AB650E"/>
    <w:rsid w:val="00AC1998"/>
    <w:rsid w:val="00AC2806"/>
    <w:rsid w:val="00AC4626"/>
    <w:rsid w:val="00AC6FC9"/>
    <w:rsid w:val="00AD034B"/>
    <w:rsid w:val="00AD06D3"/>
    <w:rsid w:val="00AD1B99"/>
    <w:rsid w:val="00AD1C0C"/>
    <w:rsid w:val="00AD1EAE"/>
    <w:rsid w:val="00AD2204"/>
    <w:rsid w:val="00AD6D2F"/>
    <w:rsid w:val="00AE0306"/>
    <w:rsid w:val="00AE3492"/>
    <w:rsid w:val="00AE651D"/>
    <w:rsid w:val="00AE660C"/>
    <w:rsid w:val="00AE6AD9"/>
    <w:rsid w:val="00AF06AF"/>
    <w:rsid w:val="00AF5E8A"/>
    <w:rsid w:val="00B01B24"/>
    <w:rsid w:val="00B026D4"/>
    <w:rsid w:val="00B02B02"/>
    <w:rsid w:val="00B0339D"/>
    <w:rsid w:val="00B0558E"/>
    <w:rsid w:val="00B05DA0"/>
    <w:rsid w:val="00B120B4"/>
    <w:rsid w:val="00B1212E"/>
    <w:rsid w:val="00B16A9E"/>
    <w:rsid w:val="00B21983"/>
    <w:rsid w:val="00B2235E"/>
    <w:rsid w:val="00B24170"/>
    <w:rsid w:val="00B26F68"/>
    <w:rsid w:val="00B2720A"/>
    <w:rsid w:val="00B276BA"/>
    <w:rsid w:val="00B34594"/>
    <w:rsid w:val="00B34B1E"/>
    <w:rsid w:val="00B35B1B"/>
    <w:rsid w:val="00B3709A"/>
    <w:rsid w:val="00B401C0"/>
    <w:rsid w:val="00B42E91"/>
    <w:rsid w:val="00B43717"/>
    <w:rsid w:val="00B47ED9"/>
    <w:rsid w:val="00B507F1"/>
    <w:rsid w:val="00B51D84"/>
    <w:rsid w:val="00B53163"/>
    <w:rsid w:val="00B56955"/>
    <w:rsid w:val="00B5740B"/>
    <w:rsid w:val="00B61B4D"/>
    <w:rsid w:val="00B7233D"/>
    <w:rsid w:val="00B73524"/>
    <w:rsid w:val="00B83A9E"/>
    <w:rsid w:val="00B84EF9"/>
    <w:rsid w:val="00B8619C"/>
    <w:rsid w:val="00B925E6"/>
    <w:rsid w:val="00B93B34"/>
    <w:rsid w:val="00B94B2A"/>
    <w:rsid w:val="00BA0DAE"/>
    <w:rsid w:val="00BA12AF"/>
    <w:rsid w:val="00BA20FB"/>
    <w:rsid w:val="00BA4225"/>
    <w:rsid w:val="00BA7CCD"/>
    <w:rsid w:val="00BB08F1"/>
    <w:rsid w:val="00BB49B5"/>
    <w:rsid w:val="00BB52CF"/>
    <w:rsid w:val="00BB7BC6"/>
    <w:rsid w:val="00BC0398"/>
    <w:rsid w:val="00BC069D"/>
    <w:rsid w:val="00BC653D"/>
    <w:rsid w:val="00BC692B"/>
    <w:rsid w:val="00BC6E2C"/>
    <w:rsid w:val="00BD09A8"/>
    <w:rsid w:val="00BD454F"/>
    <w:rsid w:val="00BD5A9E"/>
    <w:rsid w:val="00BD679D"/>
    <w:rsid w:val="00BE2BED"/>
    <w:rsid w:val="00BE675D"/>
    <w:rsid w:val="00BE6D7C"/>
    <w:rsid w:val="00BE7B2C"/>
    <w:rsid w:val="00BE7B3F"/>
    <w:rsid w:val="00BF3E53"/>
    <w:rsid w:val="00BF5F8D"/>
    <w:rsid w:val="00BF6DAD"/>
    <w:rsid w:val="00BF7DD1"/>
    <w:rsid w:val="00C05F31"/>
    <w:rsid w:val="00C106E3"/>
    <w:rsid w:val="00C10A07"/>
    <w:rsid w:val="00C115B8"/>
    <w:rsid w:val="00C11B17"/>
    <w:rsid w:val="00C15786"/>
    <w:rsid w:val="00C20DD1"/>
    <w:rsid w:val="00C26A69"/>
    <w:rsid w:val="00C27810"/>
    <w:rsid w:val="00C31940"/>
    <w:rsid w:val="00C34AA2"/>
    <w:rsid w:val="00C36EC9"/>
    <w:rsid w:val="00C4118C"/>
    <w:rsid w:val="00C43992"/>
    <w:rsid w:val="00C4511B"/>
    <w:rsid w:val="00C53497"/>
    <w:rsid w:val="00C54B3E"/>
    <w:rsid w:val="00C55351"/>
    <w:rsid w:val="00C60021"/>
    <w:rsid w:val="00C60640"/>
    <w:rsid w:val="00C613D6"/>
    <w:rsid w:val="00C61435"/>
    <w:rsid w:val="00C61604"/>
    <w:rsid w:val="00C61B23"/>
    <w:rsid w:val="00C64AD5"/>
    <w:rsid w:val="00C66466"/>
    <w:rsid w:val="00C67736"/>
    <w:rsid w:val="00C71450"/>
    <w:rsid w:val="00C73A41"/>
    <w:rsid w:val="00C817C5"/>
    <w:rsid w:val="00C819CB"/>
    <w:rsid w:val="00C832A8"/>
    <w:rsid w:val="00C8341A"/>
    <w:rsid w:val="00C8439C"/>
    <w:rsid w:val="00C85C6D"/>
    <w:rsid w:val="00C8683D"/>
    <w:rsid w:val="00C86E9A"/>
    <w:rsid w:val="00C879FC"/>
    <w:rsid w:val="00C907AF"/>
    <w:rsid w:val="00C9102E"/>
    <w:rsid w:val="00CA05D8"/>
    <w:rsid w:val="00CA33A7"/>
    <w:rsid w:val="00CA374C"/>
    <w:rsid w:val="00CA5A92"/>
    <w:rsid w:val="00CA65F6"/>
    <w:rsid w:val="00CA73D3"/>
    <w:rsid w:val="00CB107E"/>
    <w:rsid w:val="00CB23CC"/>
    <w:rsid w:val="00CB3D29"/>
    <w:rsid w:val="00CB418F"/>
    <w:rsid w:val="00CC16D5"/>
    <w:rsid w:val="00CC1E10"/>
    <w:rsid w:val="00CC7ECE"/>
    <w:rsid w:val="00CD0DBB"/>
    <w:rsid w:val="00CD15A8"/>
    <w:rsid w:val="00CE4C3E"/>
    <w:rsid w:val="00CE4FB8"/>
    <w:rsid w:val="00CE6FA8"/>
    <w:rsid w:val="00CF0162"/>
    <w:rsid w:val="00CF0CAB"/>
    <w:rsid w:val="00CF10B6"/>
    <w:rsid w:val="00CF2522"/>
    <w:rsid w:val="00CF4948"/>
    <w:rsid w:val="00CF4D60"/>
    <w:rsid w:val="00CF53A0"/>
    <w:rsid w:val="00CF58D0"/>
    <w:rsid w:val="00CF5A4C"/>
    <w:rsid w:val="00D035D4"/>
    <w:rsid w:val="00D13C14"/>
    <w:rsid w:val="00D229DA"/>
    <w:rsid w:val="00D22B0F"/>
    <w:rsid w:val="00D22D49"/>
    <w:rsid w:val="00D26D3B"/>
    <w:rsid w:val="00D27F55"/>
    <w:rsid w:val="00D30B7D"/>
    <w:rsid w:val="00D30F0F"/>
    <w:rsid w:val="00D33BEC"/>
    <w:rsid w:val="00D35622"/>
    <w:rsid w:val="00D365C8"/>
    <w:rsid w:val="00D37AFB"/>
    <w:rsid w:val="00D41746"/>
    <w:rsid w:val="00D51E6C"/>
    <w:rsid w:val="00D52E2A"/>
    <w:rsid w:val="00D602AF"/>
    <w:rsid w:val="00D60E6A"/>
    <w:rsid w:val="00D6454F"/>
    <w:rsid w:val="00D65D9C"/>
    <w:rsid w:val="00D667CC"/>
    <w:rsid w:val="00D667E1"/>
    <w:rsid w:val="00D7139D"/>
    <w:rsid w:val="00D71828"/>
    <w:rsid w:val="00D72606"/>
    <w:rsid w:val="00D74ADB"/>
    <w:rsid w:val="00D75D07"/>
    <w:rsid w:val="00D76132"/>
    <w:rsid w:val="00D77F9B"/>
    <w:rsid w:val="00D8173C"/>
    <w:rsid w:val="00D81BAA"/>
    <w:rsid w:val="00D84744"/>
    <w:rsid w:val="00D858E4"/>
    <w:rsid w:val="00D8618B"/>
    <w:rsid w:val="00D94F85"/>
    <w:rsid w:val="00DA021E"/>
    <w:rsid w:val="00DA1066"/>
    <w:rsid w:val="00DA1286"/>
    <w:rsid w:val="00DA2527"/>
    <w:rsid w:val="00DA2BCC"/>
    <w:rsid w:val="00DA3A61"/>
    <w:rsid w:val="00DA50D9"/>
    <w:rsid w:val="00DA55C4"/>
    <w:rsid w:val="00DA694F"/>
    <w:rsid w:val="00DA7D5C"/>
    <w:rsid w:val="00DB1C30"/>
    <w:rsid w:val="00DB24B1"/>
    <w:rsid w:val="00DB62AD"/>
    <w:rsid w:val="00DB70FA"/>
    <w:rsid w:val="00DC3FAF"/>
    <w:rsid w:val="00DC430C"/>
    <w:rsid w:val="00DD082D"/>
    <w:rsid w:val="00DD15AF"/>
    <w:rsid w:val="00DD4C65"/>
    <w:rsid w:val="00DD51F1"/>
    <w:rsid w:val="00DD5B96"/>
    <w:rsid w:val="00DE1C4F"/>
    <w:rsid w:val="00DE3502"/>
    <w:rsid w:val="00DE6313"/>
    <w:rsid w:val="00DE677A"/>
    <w:rsid w:val="00DE6958"/>
    <w:rsid w:val="00DF2900"/>
    <w:rsid w:val="00DF4C3E"/>
    <w:rsid w:val="00DF5EA5"/>
    <w:rsid w:val="00E00065"/>
    <w:rsid w:val="00E03603"/>
    <w:rsid w:val="00E05B8D"/>
    <w:rsid w:val="00E064B2"/>
    <w:rsid w:val="00E10B87"/>
    <w:rsid w:val="00E113D5"/>
    <w:rsid w:val="00E12458"/>
    <w:rsid w:val="00E130AA"/>
    <w:rsid w:val="00E16B29"/>
    <w:rsid w:val="00E21025"/>
    <w:rsid w:val="00E31073"/>
    <w:rsid w:val="00E34AB1"/>
    <w:rsid w:val="00E42E74"/>
    <w:rsid w:val="00E4322C"/>
    <w:rsid w:val="00E477A0"/>
    <w:rsid w:val="00E50DBC"/>
    <w:rsid w:val="00E50DE0"/>
    <w:rsid w:val="00E51E56"/>
    <w:rsid w:val="00E5558A"/>
    <w:rsid w:val="00E61CCE"/>
    <w:rsid w:val="00E642D0"/>
    <w:rsid w:val="00E668C2"/>
    <w:rsid w:val="00E66BBE"/>
    <w:rsid w:val="00E672EC"/>
    <w:rsid w:val="00E72371"/>
    <w:rsid w:val="00E725E1"/>
    <w:rsid w:val="00E735A5"/>
    <w:rsid w:val="00E76CA1"/>
    <w:rsid w:val="00E8380C"/>
    <w:rsid w:val="00E84A3D"/>
    <w:rsid w:val="00E8683A"/>
    <w:rsid w:val="00E90058"/>
    <w:rsid w:val="00E910B3"/>
    <w:rsid w:val="00E918BD"/>
    <w:rsid w:val="00E936A0"/>
    <w:rsid w:val="00E94936"/>
    <w:rsid w:val="00E955B5"/>
    <w:rsid w:val="00E95843"/>
    <w:rsid w:val="00EA001E"/>
    <w:rsid w:val="00EA0CDF"/>
    <w:rsid w:val="00EA1D58"/>
    <w:rsid w:val="00EA3F3D"/>
    <w:rsid w:val="00EA41B6"/>
    <w:rsid w:val="00EA592A"/>
    <w:rsid w:val="00EB0364"/>
    <w:rsid w:val="00EB1099"/>
    <w:rsid w:val="00EB47CF"/>
    <w:rsid w:val="00EB5E8A"/>
    <w:rsid w:val="00EB7648"/>
    <w:rsid w:val="00EB76BC"/>
    <w:rsid w:val="00EC1DAE"/>
    <w:rsid w:val="00EC796C"/>
    <w:rsid w:val="00EE30EB"/>
    <w:rsid w:val="00EE4180"/>
    <w:rsid w:val="00EE5084"/>
    <w:rsid w:val="00EE74A8"/>
    <w:rsid w:val="00EE75CE"/>
    <w:rsid w:val="00EF1E2B"/>
    <w:rsid w:val="00EF434F"/>
    <w:rsid w:val="00EF663D"/>
    <w:rsid w:val="00EF7377"/>
    <w:rsid w:val="00EF7569"/>
    <w:rsid w:val="00F0234C"/>
    <w:rsid w:val="00F02B80"/>
    <w:rsid w:val="00F038D3"/>
    <w:rsid w:val="00F057EE"/>
    <w:rsid w:val="00F106A4"/>
    <w:rsid w:val="00F20CDD"/>
    <w:rsid w:val="00F213BB"/>
    <w:rsid w:val="00F21A6E"/>
    <w:rsid w:val="00F22757"/>
    <w:rsid w:val="00F23428"/>
    <w:rsid w:val="00F23E7D"/>
    <w:rsid w:val="00F24BDE"/>
    <w:rsid w:val="00F2605F"/>
    <w:rsid w:val="00F31293"/>
    <w:rsid w:val="00F319BF"/>
    <w:rsid w:val="00F35BAE"/>
    <w:rsid w:val="00F36549"/>
    <w:rsid w:val="00F40A47"/>
    <w:rsid w:val="00F45F86"/>
    <w:rsid w:val="00F46424"/>
    <w:rsid w:val="00F46920"/>
    <w:rsid w:val="00F5245A"/>
    <w:rsid w:val="00F53CB4"/>
    <w:rsid w:val="00F54B48"/>
    <w:rsid w:val="00F55EA5"/>
    <w:rsid w:val="00F6482A"/>
    <w:rsid w:val="00F65008"/>
    <w:rsid w:val="00F72043"/>
    <w:rsid w:val="00F75C98"/>
    <w:rsid w:val="00F765BE"/>
    <w:rsid w:val="00F815A5"/>
    <w:rsid w:val="00F83D91"/>
    <w:rsid w:val="00F84BD9"/>
    <w:rsid w:val="00F865D9"/>
    <w:rsid w:val="00F86C7D"/>
    <w:rsid w:val="00F8772A"/>
    <w:rsid w:val="00F95BCE"/>
    <w:rsid w:val="00FA0D8A"/>
    <w:rsid w:val="00FA17DD"/>
    <w:rsid w:val="00FA1803"/>
    <w:rsid w:val="00FA32C3"/>
    <w:rsid w:val="00FA6352"/>
    <w:rsid w:val="00FA6F11"/>
    <w:rsid w:val="00FB45BA"/>
    <w:rsid w:val="00FB7566"/>
    <w:rsid w:val="00FC3354"/>
    <w:rsid w:val="00FC7F2A"/>
    <w:rsid w:val="00FD1FB8"/>
    <w:rsid w:val="00FD2315"/>
    <w:rsid w:val="00FD26B0"/>
    <w:rsid w:val="00FD6D21"/>
    <w:rsid w:val="00FE2679"/>
    <w:rsid w:val="00FE319D"/>
    <w:rsid w:val="00FE3F17"/>
    <w:rsid w:val="00FE6CD2"/>
    <w:rsid w:val="00FF2D96"/>
    <w:rsid w:val="00FF48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DA5C3"/>
  <w15:chartTrackingRefBased/>
  <w15:docId w15:val="{1128F045-8296-42C8-802B-C15EF2C6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rsid w:val="00283CF5"/>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C5304A"/>
    <w:pPr>
      <w:numPr>
        <w:numId w:val="18"/>
      </w:numPr>
      <w:spacing w:before="120" w:after="120"/>
      <w:jc w:val="both"/>
    </w:pPr>
    <w:rPr>
      <w:kern w:val="28"/>
    </w:rPr>
  </w:style>
  <w:style w:type="paragraph" w:customStyle="1" w:styleId="Citationenretrait">
    <w:name w:val="Citation en retrait"/>
    <w:basedOn w:val="Normal"/>
    <w:link w:val="CitationenretraitCar"/>
    <w:qFormat/>
    <w:rsid w:val="003B28F2"/>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link w:val="Notedebasdepage"/>
    <w:rsid w:val="00E80098"/>
    <w:rPr>
      <w:rFonts w:ascii="Arial" w:hAnsi="Arial"/>
      <w:lang w:eastAsia="fr-FR"/>
    </w:rPr>
  </w:style>
  <w:style w:type="character" w:customStyle="1" w:styleId="ParagrapheCar">
    <w:name w:val="Paragraphe Car"/>
    <w:link w:val="Paragraphe"/>
    <w:qFormat/>
    <w:rsid w:val="00C5304A"/>
    <w:rPr>
      <w:rFonts w:ascii="Arial" w:hAnsi="Arial"/>
      <w:kern w:val="28"/>
      <w:sz w:val="24"/>
      <w:lang w:eastAsia="fr-FR"/>
    </w:rPr>
  </w:style>
  <w:style w:type="character" w:customStyle="1" w:styleId="CitationenretraitCar">
    <w:name w:val="Citation en retrait Car"/>
    <w:link w:val="Citationenretrait"/>
    <w:rsid w:val="003B28F2"/>
    <w:rPr>
      <w:rFonts w:ascii="Arial" w:hAnsi="Arial"/>
      <w:kern w:val="24"/>
      <w:sz w:val="22"/>
      <w:lang w:eastAsia="fr-FR"/>
    </w:rPr>
  </w:style>
  <w:style w:type="paragraph" w:customStyle="1" w:styleId="Citationdansunecitation">
    <w:name w:val="Citation dans une citation"/>
    <w:basedOn w:val="Citationenretrait"/>
    <w:link w:val="CitationdansunecitationCar"/>
    <w:qFormat/>
    <w:rsid w:val="00B07AA6"/>
    <w:pPr>
      <w:spacing w:before="0" w:line="276" w:lineRule="auto"/>
      <w:ind w:left="1134" w:right="1282"/>
    </w:pPr>
    <w:rPr>
      <w:sz w:val="20"/>
    </w:rPr>
  </w:style>
  <w:style w:type="character" w:customStyle="1" w:styleId="CitationdansunecitationCar">
    <w:name w:val="Citation dans une citation Car"/>
    <w:link w:val="Citationdansunecitation"/>
    <w:rsid w:val="00B07AA6"/>
    <w:rPr>
      <w:rFonts w:ascii="Arial" w:hAnsi="Arial"/>
      <w:kern w:val="24"/>
      <w:lang w:eastAsia="fr-FR"/>
    </w:rPr>
  </w:style>
  <w:style w:type="character" w:styleId="Lienhypertexte">
    <w:name w:val="Hyperlink"/>
    <w:uiPriority w:val="99"/>
    <w:rsid w:val="00B07AA6"/>
    <w:rPr>
      <w:noProof w:val="0"/>
      <w:color w:val="0000FF"/>
      <w:u w:val="single"/>
      <w:lang w:val="fr-CA"/>
    </w:rPr>
  </w:style>
  <w:style w:type="paragraph" w:customStyle="1" w:styleId="CitationdecitationFR">
    <w:name w:val="Citation de citation FR"/>
    <w:basedOn w:val="Normal"/>
    <w:rsid w:val="00B07AA6"/>
    <w:pPr>
      <w:spacing w:before="120" w:after="120"/>
      <w:ind w:left="1440" w:right="720"/>
      <w:jc w:val="both"/>
    </w:pPr>
    <w:rPr>
      <w:kern w:val="24"/>
      <w:sz w:val="19"/>
      <w:szCs w:val="19"/>
    </w:rPr>
  </w:style>
  <w:style w:type="paragraph" w:customStyle="1" w:styleId="Tiret">
    <w:name w:val="Tiret"/>
    <w:basedOn w:val="Paragraphe"/>
    <w:rsid w:val="00B07AA6"/>
    <w:pPr>
      <w:numPr>
        <w:numId w:val="25"/>
      </w:numPr>
      <w:spacing w:before="60" w:after="60" w:line="360" w:lineRule="auto"/>
    </w:pPr>
  </w:style>
  <w:style w:type="character" w:customStyle="1" w:styleId="reflex3-block">
    <w:name w:val="reflex3-block"/>
    <w:rsid w:val="00B07AA6"/>
  </w:style>
  <w:style w:type="character" w:customStyle="1" w:styleId="reflex3-alt">
    <w:name w:val="reflex3-alt"/>
    <w:rsid w:val="00B07AA6"/>
  </w:style>
  <w:style w:type="character" w:styleId="Marquedecommentaire">
    <w:name w:val="annotation reference"/>
    <w:basedOn w:val="Policepardfaut"/>
    <w:uiPriority w:val="99"/>
    <w:unhideWhenUsed/>
    <w:rsid w:val="00B07AA6"/>
    <w:rPr>
      <w:sz w:val="16"/>
      <w:szCs w:val="16"/>
    </w:rPr>
  </w:style>
  <w:style w:type="paragraph" w:styleId="Commentaire">
    <w:name w:val="annotation text"/>
    <w:basedOn w:val="Normal"/>
    <w:link w:val="CommentaireCar"/>
    <w:uiPriority w:val="99"/>
    <w:unhideWhenUsed/>
    <w:rsid w:val="00B07AA6"/>
    <w:pPr>
      <w:spacing w:line="240" w:lineRule="auto"/>
    </w:pPr>
    <w:rPr>
      <w:sz w:val="20"/>
    </w:rPr>
  </w:style>
  <w:style w:type="character" w:customStyle="1" w:styleId="CommentaireCar">
    <w:name w:val="Commentaire Car"/>
    <w:basedOn w:val="Policepardfaut"/>
    <w:link w:val="Commentaire"/>
    <w:uiPriority w:val="99"/>
    <w:rsid w:val="00B07AA6"/>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07AA6"/>
    <w:rPr>
      <w:b/>
      <w:bCs/>
    </w:rPr>
  </w:style>
  <w:style w:type="character" w:customStyle="1" w:styleId="ObjetducommentaireCar">
    <w:name w:val="Objet du commentaire Car"/>
    <w:basedOn w:val="CommentaireCar"/>
    <w:link w:val="Objetducommentaire"/>
    <w:uiPriority w:val="99"/>
    <w:semiHidden/>
    <w:rsid w:val="00B07AA6"/>
    <w:rPr>
      <w:rFonts w:ascii="Arial" w:hAnsi="Arial"/>
      <w:b/>
      <w:bCs/>
      <w:lang w:eastAsia="fr-FR"/>
    </w:rPr>
  </w:style>
  <w:style w:type="paragraph" w:customStyle="1" w:styleId="Titre1gras">
    <w:name w:val="_Titre 1 gras"/>
    <w:aliases w:val="numéroté chiffre et tiret,police 12"/>
    <w:basedOn w:val="Normal"/>
    <w:next w:val="Paragraphe"/>
    <w:link w:val="Titre1grasCar"/>
    <w:qFormat/>
    <w:rsid w:val="00D41320"/>
    <w:rPr>
      <w:lang w:eastAsia="fr-CA"/>
    </w:rPr>
  </w:style>
  <w:style w:type="paragraph" w:customStyle="1" w:styleId="Style1premiertitre">
    <w:name w:val="_Style1 premier titre"/>
    <w:basedOn w:val="Titre1gras"/>
    <w:link w:val="Style1premiertitreCar"/>
    <w:qFormat/>
    <w:rsid w:val="00F63936"/>
    <w:pPr>
      <w:numPr>
        <w:numId w:val="31"/>
      </w:numPr>
      <w:spacing w:before="120" w:after="120" w:line="500" w:lineRule="exact"/>
      <w:ind w:left="357" w:hanging="357"/>
    </w:pPr>
    <w:rPr>
      <w:b/>
    </w:rPr>
  </w:style>
  <w:style w:type="paragraph" w:customStyle="1" w:styleId="Style1sous-titrenumrot">
    <w:name w:val="_Style1 sous-titre numéroté"/>
    <w:basedOn w:val="Normal"/>
    <w:next w:val="Paragraphe"/>
    <w:link w:val="Style1sous-titrenumrotCar"/>
    <w:qFormat/>
    <w:rsid w:val="00D73791"/>
    <w:pPr>
      <w:keepNext/>
      <w:spacing w:before="120" w:after="120" w:line="500" w:lineRule="exact"/>
      <w:ind w:left="720"/>
    </w:pPr>
  </w:style>
  <w:style w:type="character" w:customStyle="1" w:styleId="Titre1grasCar">
    <w:name w:val="_Titre 1 gras Car"/>
    <w:aliases w:val="numéroté chiffre et tiret Car,police 12 Car"/>
    <w:basedOn w:val="Policepardfaut"/>
    <w:link w:val="Titre1gras"/>
    <w:rsid w:val="00F63936"/>
    <w:rPr>
      <w:rFonts w:ascii="Arial" w:hAnsi="Arial"/>
      <w:sz w:val="24"/>
    </w:rPr>
  </w:style>
  <w:style w:type="character" w:customStyle="1" w:styleId="Style1premiertitreCar">
    <w:name w:val="_Style1 premier titre Car"/>
    <w:basedOn w:val="Titre1grasCar"/>
    <w:link w:val="Style1premiertitre"/>
    <w:rsid w:val="00F63936"/>
    <w:rPr>
      <w:rFonts w:ascii="Arial" w:hAnsi="Arial"/>
      <w:b/>
      <w:sz w:val="24"/>
    </w:rPr>
  </w:style>
  <w:style w:type="paragraph" w:customStyle="1" w:styleId="Style1soussous-titrenumrot">
    <w:name w:val="_Style1 sous sous-titre numéroté"/>
    <w:basedOn w:val="Style1sous-titrenumrot"/>
    <w:link w:val="Style1soussous-titrenumrotCar"/>
    <w:qFormat/>
    <w:rsid w:val="000C206F"/>
    <w:pPr>
      <w:tabs>
        <w:tab w:val="left" w:pos="2268"/>
      </w:tabs>
      <w:ind w:left="2268" w:hanging="828"/>
    </w:pPr>
  </w:style>
  <w:style w:type="character" w:customStyle="1" w:styleId="Style1sous-titrenumrotCar">
    <w:name w:val="_Style1 sous-titre numéroté Car"/>
    <w:basedOn w:val="Policepardfaut"/>
    <w:link w:val="Style1sous-titrenumrot"/>
    <w:rsid w:val="00D73791"/>
    <w:rPr>
      <w:rFonts w:ascii="Arial" w:hAnsi="Arial"/>
      <w:sz w:val="24"/>
      <w:lang w:eastAsia="fr-FR"/>
    </w:rPr>
  </w:style>
  <w:style w:type="paragraph" w:styleId="Paragraphedeliste">
    <w:name w:val="List Paragraph"/>
    <w:basedOn w:val="Normal"/>
    <w:uiPriority w:val="34"/>
    <w:qFormat/>
    <w:rsid w:val="003F4C8E"/>
    <w:pPr>
      <w:ind w:left="720"/>
      <w:contextualSpacing/>
    </w:pPr>
  </w:style>
  <w:style w:type="character" w:customStyle="1" w:styleId="Style1soussous-titrenumrotCar">
    <w:name w:val="_Style1 sous sous-titre numéroté Car"/>
    <w:basedOn w:val="Style1sous-titrenumrotCar"/>
    <w:link w:val="Style1soussous-titrenumrot"/>
    <w:rsid w:val="000C206F"/>
    <w:rPr>
      <w:rFonts w:ascii="Arial" w:hAnsi="Arial"/>
      <w:sz w:val="24"/>
      <w:lang w:eastAsia="fr-FR"/>
    </w:rPr>
  </w:style>
  <w:style w:type="paragraph" w:customStyle="1" w:styleId="paragraphe0">
    <w:name w:val="paragraphe"/>
    <w:basedOn w:val="Normal"/>
    <w:rsid w:val="003F4C8E"/>
    <w:pPr>
      <w:spacing w:before="100" w:beforeAutospacing="1" w:after="100" w:afterAutospacing="1" w:line="240" w:lineRule="auto"/>
    </w:pPr>
    <w:rPr>
      <w:rFonts w:ascii="Times New Roman" w:hAnsi="Times New Roman"/>
      <w:szCs w:val="24"/>
      <w:lang w:eastAsia="fr-CA"/>
    </w:rPr>
  </w:style>
  <w:style w:type="paragraph" w:customStyle="1" w:styleId="citationenretrait0">
    <w:name w:val="citationenretrait"/>
    <w:basedOn w:val="Normal"/>
    <w:rsid w:val="003F4C8E"/>
    <w:pPr>
      <w:spacing w:before="100" w:beforeAutospacing="1" w:after="100" w:afterAutospacing="1" w:line="240" w:lineRule="auto"/>
    </w:pPr>
    <w:rPr>
      <w:rFonts w:ascii="Times New Roman" w:hAnsi="Times New Roman"/>
      <w:szCs w:val="24"/>
      <w:lang w:eastAsia="fr-CA"/>
    </w:rPr>
  </w:style>
  <w:style w:type="character" w:customStyle="1" w:styleId="Corpsdutexte3">
    <w:name w:val="Corps du texte (3)_"/>
    <w:basedOn w:val="Policepardfaut"/>
    <w:link w:val="Corpsdutexte30"/>
    <w:uiPriority w:val="99"/>
    <w:rsid w:val="003F4C8E"/>
    <w:rPr>
      <w:rFonts w:ascii="Arial" w:hAnsi="Arial" w:cs="Arial"/>
      <w:i/>
      <w:iCs/>
      <w:sz w:val="17"/>
      <w:szCs w:val="17"/>
      <w:shd w:val="clear" w:color="auto" w:fill="FFFFFF"/>
    </w:rPr>
  </w:style>
  <w:style w:type="character" w:customStyle="1" w:styleId="Corpsdutexte39pt">
    <w:name w:val="Corps du texte (3) + 9 pt"/>
    <w:aliases w:val="Non Italique"/>
    <w:basedOn w:val="Corpsdutexte3"/>
    <w:uiPriority w:val="99"/>
    <w:rsid w:val="003F4C8E"/>
    <w:rPr>
      <w:rFonts w:ascii="Arial" w:hAnsi="Arial" w:cs="Arial"/>
      <w:i w:val="0"/>
      <w:iCs w:val="0"/>
      <w:sz w:val="18"/>
      <w:szCs w:val="18"/>
      <w:shd w:val="clear" w:color="auto" w:fill="FFFFFF"/>
    </w:rPr>
  </w:style>
  <w:style w:type="paragraph" w:customStyle="1" w:styleId="Corpsdutexte30">
    <w:name w:val="Corps du texte (3)"/>
    <w:basedOn w:val="Normal"/>
    <w:link w:val="Corpsdutexte3"/>
    <w:uiPriority w:val="99"/>
    <w:rsid w:val="003F4C8E"/>
    <w:pPr>
      <w:shd w:val="clear" w:color="auto" w:fill="FFFFFF"/>
      <w:spacing w:line="200" w:lineRule="exact"/>
    </w:pPr>
    <w:rPr>
      <w:rFonts w:cs="Arial"/>
      <w:i/>
      <w:iCs/>
      <w:sz w:val="17"/>
      <w:szCs w:val="17"/>
      <w:lang w:eastAsia="fr-CA"/>
    </w:rPr>
  </w:style>
  <w:style w:type="paragraph" w:styleId="Rvision">
    <w:name w:val="Revision"/>
    <w:hidden/>
    <w:uiPriority w:val="99"/>
    <w:semiHidden/>
    <w:rsid w:val="003F4C8E"/>
    <w:rPr>
      <w:rFonts w:ascii="Arial" w:hAnsi="Arial"/>
      <w:sz w:val="24"/>
      <w:lang w:eastAsia="fr-FR"/>
    </w:rPr>
  </w:style>
  <w:style w:type="character" w:customStyle="1" w:styleId="Corpsdutexte6">
    <w:name w:val="Corps du texte (6)_"/>
    <w:basedOn w:val="Policepardfaut"/>
    <w:link w:val="Corpsdutexte60"/>
    <w:rsid w:val="005229C5"/>
    <w:rPr>
      <w:rFonts w:ascii="Arial" w:eastAsia="Arial" w:hAnsi="Arial" w:cs="Arial"/>
      <w:i/>
      <w:iCs/>
      <w:sz w:val="21"/>
      <w:szCs w:val="21"/>
      <w:shd w:val="clear" w:color="auto" w:fill="FFFFFF"/>
    </w:rPr>
  </w:style>
  <w:style w:type="paragraph" w:customStyle="1" w:styleId="Corpsdutexte60">
    <w:name w:val="Corps du texte (6)"/>
    <w:basedOn w:val="Normal"/>
    <w:link w:val="Corpsdutexte6"/>
    <w:rsid w:val="005229C5"/>
    <w:pPr>
      <w:widowControl w:val="0"/>
      <w:shd w:val="clear" w:color="auto" w:fill="FFFFFF"/>
      <w:spacing w:before="200" w:after="100" w:line="252" w:lineRule="exact"/>
      <w:jc w:val="both"/>
    </w:pPr>
    <w:rPr>
      <w:rFonts w:eastAsia="Arial" w:cs="Arial"/>
      <w:i/>
      <w:iCs/>
      <w:sz w:val="21"/>
      <w:szCs w:val="21"/>
      <w:lang w:eastAsia="fr-CA"/>
    </w:rPr>
  </w:style>
  <w:style w:type="character" w:customStyle="1" w:styleId="bold">
    <w:name w:val="bold"/>
    <w:basedOn w:val="Policepardfaut"/>
    <w:rsid w:val="00535A26"/>
  </w:style>
  <w:style w:type="character" w:customStyle="1" w:styleId="reflex2-link">
    <w:name w:val="reflex2-link"/>
    <w:basedOn w:val="Policepardfaut"/>
    <w:rsid w:val="00783EAC"/>
  </w:style>
  <w:style w:type="character" w:styleId="Lienhypertextesuivivisit">
    <w:name w:val="FollowedHyperlink"/>
    <w:basedOn w:val="Policepardfaut"/>
    <w:uiPriority w:val="99"/>
    <w:semiHidden/>
    <w:unhideWhenUsed/>
    <w:rsid w:val="00783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3444">
      <w:bodyDiv w:val="1"/>
      <w:marLeft w:val="0"/>
      <w:marRight w:val="0"/>
      <w:marTop w:val="0"/>
      <w:marBottom w:val="0"/>
      <w:divBdr>
        <w:top w:val="none" w:sz="0" w:space="0" w:color="auto"/>
        <w:left w:val="none" w:sz="0" w:space="0" w:color="auto"/>
        <w:bottom w:val="none" w:sz="0" w:space="0" w:color="auto"/>
        <w:right w:val="none" w:sz="0" w:space="0" w:color="auto"/>
      </w:divBdr>
    </w:div>
    <w:div w:id="571892316">
      <w:bodyDiv w:val="1"/>
      <w:marLeft w:val="0"/>
      <w:marRight w:val="0"/>
      <w:marTop w:val="0"/>
      <w:marBottom w:val="0"/>
      <w:divBdr>
        <w:top w:val="none" w:sz="0" w:space="0" w:color="auto"/>
        <w:left w:val="none" w:sz="0" w:space="0" w:color="auto"/>
        <w:bottom w:val="none" w:sz="0" w:space="0" w:color="auto"/>
        <w:right w:val="none" w:sz="0" w:space="0" w:color="auto"/>
      </w:divBdr>
    </w:div>
    <w:div w:id="831798135">
      <w:bodyDiv w:val="1"/>
      <w:marLeft w:val="0"/>
      <w:marRight w:val="0"/>
      <w:marTop w:val="0"/>
      <w:marBottom w:val="0"/>
      <w:divBdr>
        <w:top w:val="none" w:sz="0" w:space="0" w:color="auto"/>
        <w:left w:val="none" w:sz="0" w:space="0" w:color="auto"/>
        <w:bottom w:val="none" w:sz="0" w:space="0" w:color="auto"/>
        <w:right w:val="none" w:sz="0" w:space="0" w:color="auto"/>
      </w:divBdr>
    </w:div>
    <w:div w:id="1413506865">
      <w:bodyDiv w:val="1"/>
      <w:marLeft w:val="0"/>
      <w:marRight w:val="0"/>
      <w:marTop w:val="0"/>
      <w:marBottom w:val="0"/>
      <w:divBdr>
        <w:top w:val="none" w:sz="0" w:space="0" w:color="auto"/>
        <w:left w:val="none" w:sz="0" w:space="0" w:color="auto"/>
        <w:bottom w:val="none" w:sz="0" w:space="0" w:color="auto"/>
        <w:right w:val="none" w:sz="0" w:space="0" w:color="auto"/>
      </w:divBdr>
    </w:div>
    <w:div w:id="1466774114">
      <w:bodyDiv w:val="1"/>
      <w:marLeft w:val="0"/>
      <w:marRight w:val="0"/>
      <w:marTop w:val="0"/>
      <w:marBottom w:val="0"/>
      <w:divBdr>
        <w:top w:val="none" w:sz="0" w:space="0" w:color="auto"/>
        <w:left w:val="none" w:sz="0" w:space="0" w:color="auto"/>
        <w:bottom w:val="none" w:sz="0" w:space="0" w:color="auto"/>
        <w:right w:val="none" w:sz="0" w:space="0" w:color="auto"/>
      </w:divBdr>
    </w:div>
    <w:div w:id="1893882101">
      <w:bodyDiv w:val="1"/>
      <w:marLeft w:val="0"/>
      <w:marRight w:val="0"/>
      <w:marTop w:val="0"/>
      <w:marBottom w:val="0"/>
      <w:divBdr>
        <w:top w:val="none" w:sz="0" w:space="0" w:color="auto"/>
        <w:left w:val="none" w:sz="0" w:space="0" w:color="auto"/>
        <w:bottom w:val="none" w:sz="0" w:space="0" w:color="auto"/>
        <w:right w:val="none" w:sz="0" w:space="0" w:color="auto"/>
      </w:divBdr>
    </w:div>
    <w:div w:id="2070958140">
      <w:bodyDiv w:val="1"/>
      <w:marLeft w:val="0"/>
      <w:marRight w:val="0"/>
      <w:marTop w:val="0"/>
      <w:marBottom w:val="0"/>
      <w:divBdr>
        <w:top w:val="none" w:sz="0" w:space="0" w:color="auto"/>
        <w:left w:val="none" w:sz="0" w:space="0" w:color="auto"/>
        <w:bottom w:val="none" w:sz="0" w:space="0" w:color="auto"/>
        <w:right w:val="none" w:sz="0" w:space="0" w:color="auto"/>
      </w:divBdr>
    </w:div>
    <w:div w:id="21058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BD11-CA32-4C54-AC42-994D27A5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14699</Words>
  <Characters>80848</Characters>
  <Application>Microsoft Office Word</Application>
  <DocSecurity>0</DocSecurity>
  <Lines>673</Lines>
  <Paragraphs>190</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95357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Johanne Vallières</dc:creator>
  <cp:lastModifiedBy>Gauthier, François</cp:lastModifiedBy>
  <cp:revision>3</cp:revision>
  <cp:lastPrinted>2022-04-12T12:39:00Z</cp:lastPrinted>
  <dcterms:created xsi:type="dcterms:W3CDTF">2022-04-12T12:42:00Z</dcterms:created>
  <dcterms:modified xsi:type="dcterms:W3CDTF">2022-05-09T17:38:00Z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