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Layout w:type="fixed"/>
        <w:tblCellMar>
          <w:left w:w="70" w:type="dxa"/>
          <w:right w:w="70" w:type="dxa"/>
        </w:tblCellMar>
        <w:tblLook w:val="0000" w:firstRow="0" w:lastRow="0" w:firstColumn="0" w:lastColumn="0" w:noHBand="0" w:noVBand="0"/>
      </w:tblPr>
      <w:tblGrid>
        <w:gridCol w:w="5103"/>
        <w:gridCol w:w="4465"/>
      </w:tblGrid>
      <w:tr w:rsidR="00BE7934" w:rsidRPr="00A501FF" w14:paraId="38BB2C0B" w14:textId="77777777" w:rsidTr="001E16C1">
        <w:trPr>
          <w:trHeight w:val="360"/>
        </w:trPr>
        <w:tc>
          <w:tcPr>
            <w:tcW w:w="5103" w:type="dxa"/>
          </w:tcPr>
          <w:p w14:paraId="527E7A79" w14:textId="77777777" w:rsidR="00BE7934" w:rsidRPr="00604103" w:rsidRDefault="00BE7934" w:rsidP="00F408E6">
            <w:pPr>
              <w:pStyle w:val="zSoquijdatRepertorie"/>
              <w:rPr>
                <w:rFonts w:cs="Arial"/>
              </w:rPr>
            </w:pPr>
            <w:bookmarkStart w:id="0" w:name="_GoBack"/>
            <w:bookmarkEnd w:id="0"/>
            <w:r>
              <w:rPr>
                <w:rFonts w:cs="Arial"/>
              </w:rPr>
              <w:t>Autorité des marchés financiers c. Kamaneh</w:t>
            </w:r>
          </w:p>
        </w:tc>
        <w:tc>
          <w:tcPr>
            <w:tcW w:w="4465" w:type="dxa"/>
          </w:tcPr>
          <w:p w14:paraId="592D44F4" w14:textId="77777777" w:rsidR="00BE7934" w:rsidRPr="00A501FF" w:rsidRDefault="00BE7934" w:rsidP="00F408E6">
            <w:pPr>
              <w:pStyle w:val="zSoquijdatRefNeutre"/>
              <w:jc w:val="right"/>
              <w:rPr>
                <w:rFonts w:cs="Arial"/>
              </w:rPr>
            </w:pPr>
            <w:r w:rsidRPr="00A501FF">
              <w:rPr>
                <w:rFonts w:cs="Arial"/>
              </w:rPr>
              <w:t>2022 QCTMF 18</w:t>
            </w:r>
          </w:p>
        </w:tc>
      </w:tr>
    </w:tbl>
    <w:p w14:paraId="62C22981" w14:textId="77777777" w:rsidR="00BE7934" w:rsidRDefault="00BE7934"/>
    <w:tbl>
      <w:tblPr>
        <w:tblW w:w="9568" w:type="dxa"/>
        <w:tblLayout w:type="fixed"/>
        <w:tblCellMar>
          <w:left w:w="70" w:type="dxa"/>
          <w:right w:w="70" w:type="dxa"/>
        </w:tblCellMar>
        <w:tblLook w:val="0000" w:firstRow="0" w:lastRow="0" w:firstColumn="0" w:lastColumn="0" w:noHBand="0" w:noVBand="0"/>
      </w:tblPr>
      <w:tblGrid>
        <w:gridCol w:w="1913"/>
        <w:gridCol w:w="691"/>
        <w:gridCol w:w="2048"/>
        <w:gridCol w:w="4846"/>
        <w:gridCol w:w="70"/>
      </w:tblGrid>
      <w:tr w:rsidR="00B4030F" w:rsidRPr="00181BA7" w14:paraId="4AB3B204" w14:textId="77777777" w:rsidTr="00070D64">
        <w:trPr>
          <w:gridAfter w:val="1"/>
          <w:wAfter w:w="70" w:type="dxa"/>
          <w:trHeight w:val="360"/>
        </w:trPr>
        <w:tc>
          <w:tcPr>
            <w:tcW w:w="4652" w:type="dxa"/>
            <w:gridSpan w:val="3"/>
          </w:tcPr>
          <w:p w14:paraId="606BD1A5" w14:textId="3A703BAC" w:rsidR="00B4030F" w:rsidRPr="008318D8" w:rsidRDefault="00E940C0">
            <w:pPr>
              <w:pStyle w:val="zSoquijdatRepertorie"/>
              <w:rPr>
                <w:b w:val="0"/>
                <w:i/>
              </w:rPr>
            </w:pPr>
            <w:r w:rsidRPr="008318D8">
              <w:rPr>
                <w:b w:val="0"/>
                <w:i/>
              </w:rPr>
              <w:t>Unofficial English Translation</w:t>
            </w:r>
          </w:p>
        </w:tc>
        <w:tc>
          <w:tcPr>
            <w:tcW w:w="4846" w:type="dxa"/>
          </w:tcPr>
          <w:p w14:paraId="23568EDE" w14:textId="77777777" w:rsidR="00B4030F" w:rsidRPr="00181BA7" w:rsidRDefault="00B4030F">
            <w:pPr>
              <w:pStyle w:val="zSoquijdatRefNeutre"/>
            </w:pPr>
          </w:p>
        </w:tc>
      </w:tr>
      <w:tr w:rsidR="00B4030F" w:rsidRPr="00181BA7" w14:paraId="0C5CE5A1" w14:textId="77777777" w:rsidTr="00070D64">
        <w:trPr>
          <w:gridAfter w:val="1"/>
          <w:wAfter w:w="70" w:type="dxa"/>
          <w:trHeight w:val="900"/>
        </w:trPr>
        <w:tc>
          <w:tcPr>
            <w:tcW w:w="9498" w:type="dxa"/>
            <w:gridSpan w:val="4"/>
            <w:vAlign w:val="bottom"/>
          </w:tcPr>
          <w:p w14:paraId="6AC11559" w14:textId="77777777" w:rsidR="00B4030F" w:rsidRPr="00181BA7" w:rsidRDefault="00D15968" w:rsidP="00D15968">
            <w:pPr>
              <w:pStyle w:val="zSoquijlblCour"/>
            </w:pPr>
            <w:r w:rsidRPr="00181BA7">
              <w:rPr>
                <w:bCs/>
                <w:lang w:val="en-CA"/>
              </w:rPr>
              <w:t>FINANCIAL MARKETS</w:t>
            </w:r>
            <w:r w:rsidRPr="00181BA7">
              <w:rPr>
                <w:b w:val="0"/>
                <w:lang w:val="en-CA"/>
              </w:rPr>
              <w:br/>
            </w:r>
            <w:r w:rsidRPr="00181BA7">
              <w:rPr>
                <w:bCs/>
                <w:lang w:val="en-CA"/>
              </w:rPr>
              <w:t>ADMINISTRATIVE TRIBUNAL</w:t>
            </w:r>
          </w:p>
        </w:tc>
      </w:tr>
      <w:tr w:rsidR="00B4030F" w:rsidRPr="00181BA7" w14:paraId="160D3093" w14:textId="77777777" w:rsidTr="00070D64">
        <w:trPr>
          <w:gridAfter w:val="1"/>
          <w:wAfter w:w="70" w:type="dxa"/>
          <w:trHeight w:val="540"/>
        </w:trPr>
        <w:tc>
          <w:tcPr>
            <w:tcW w:w="9498" w:type="dxa"/>
            <w:gridSpan w:val="4"/>
          </w:tcPr>
          <w:p w14:paraId="62E21359" w14:textId="77777777" w:rsidR="00B4030F" w:rsidRPr="00181BA7" w:rsidRDefault="00B4030F">
            <w:pPr>
              <w:pStyle w:val="zSoquijdatDivision"/>
            </w:pPr>
          </w:p>
        </w:tc>
      </w:tr>
      <w:tr w:rsidR="00B4030F" w:rsidRPr="00181BA7" w14:paraId="7D49735A" w14:textId="77777777" w:rsidTr="00070D64">
        <w:trPr>
          <w:gridAfter w:val="1"/>
          <w:wAfter w:w="70" w:type="dxa"/>
        </w:trPr>
        <w:tc>
          <w:tcPr>
            <w:tcW w:w="9498" w:type="dxa"/>
            <w:gridSpan w:val="4"/>
          </w:tcPr>
          <w:p w14:paraId="130D38D1" w14:textId="77777777" w:rsidR="00B4030F" w:rsidRPr="00181BA7" w:rsidRDefault="00B4030F">
            <w:pPr>
              <w:pStyle w:val="zSoquijlblPays"/>
            </w:pPr>
            <w:r w:rsidRPr="00181BA7">
              <w:rPr>
                <w:lang w:val="en-CA"/>
              </w:rPr>
              <w:t>CANADA</w:t>
            </w:r>
          </w:p>
        </w:tc>
      </w:tr>
      <w:tr w:rsidR="00B4030F" w:rsidRPr="00181BA7" w14:paraId="47D41FC9" w14:textId="77777777" w:rsidTr="00070D64">
        <w:trPr>
          <w:gridAfter w:val="1"/>
          <w:wAfter w:w="70" w:type="dxa"/>
        </w:trPr>
        <w:tc>
          <w:tcPr>
            <w:tcW w:w="9498" w:type="dxa"/>
            <w:gridSpan w:val="4"/>
          </w:tcPr>
          <w:p w14:paraId="05DB4434" w14:textId="77777777" w:rsidR="00B4030F" w:rsidRPr="00181BA7" w:rsidRDefault="00B4030F">
            <w:pPr>
              <w:pStyle w:val="zSoquijlblProvince"/>
            </w:pPr>
            <w:r w:rsidRPr="00181BA7">
              <w:rPr>
                <w:lang w:val="en-CA"/>
              </w:rPr>
              <w:t>PROVINCE OF QUÉBEC</w:t>
            </w:r>
          </w:p>
        </w:tc>
      </w:tr>
      <w:tr w:rsidR="00EB39E3" w:rsidRPr="00181BA7" w14:paraId="7A8AE9CA" w14:textId="77777777" w:rsidTr="00070D64">
        <w:trPr>
          <w:gridAfter w:val="1"/>
          <w:wAfter w:w="70" w:type="dxa"/>
        </w:trPr>
        <w:tc>
          <w:tcPr>
            <w:tcW w:w="9498" w:type="dxa"/>
            <w:gridSpan w:val="4"/>
          </w:tcPr>
          <w:p w14:paraId="2FD431E5" w14:textId="77777777" w:rsidR="00EB39E3" w:rsidRPr="00181BA7" w:rsidRDefault="00EB39E3" w:rsidP="00EB39E3">
            <w:pPr>
              <w:pStyle w:val="zSoquijdatGreffe"/>
            </w:pPr>
            <w:r w:rsidRPr="00181BA7">
              <w:rPr>
                <w:lang w:val="en-CA"/>
              </w:rPr>
              <w:t>MONTRÉAL</w:t>
            </w:r>
          </w:p>
        </w:tc>
      </w:tr>
      <w:tr w:rsidR="00B4030F" w:rsidRPr="00181BA7" w14:paraId="03C49BEF" w14:textId="77777777" w:rsidTr="00070D64">
        <w:trPr>
          <w:gridAfter w:val="1"/>
          <w:wAfter w:w="70" w:type="dxa"/>
          <w:trHeight w:val="540"/>
        </w:trPr>
        <w:tc>
          <w:tcPr>
            <w:tcW w:w="9498" w:type="dxa"/>
            <w:gridSpan w:val="4"/>
          </w:tcPr>
          <w:p w14:paraId="3E37F527" w14:textId="77777777" w:rsidR="00B4030F" w:rsidRPr="00181BA7" w:rsidRDefault="00B4030F">
            <w:pPr>
              <w:pStyle w:val="zSoquijlblNomChambre"/>
            </w:pPr>
          </w:p>
        </w:tc>
      </w:tr>
      <w:tr w:rsidR="00B4030F" w:rsidRPr="00181BA7" w14:paraId="3FB3CC30" w14:textId="77777777" w:rsidTr="00070D64">
        <w:trPr>
          <w:gridAfter w:val="1"/>
          <w:wAfter w:w="70" w:type="dxa"/>
        </w:trPr>
        <w:tc>
          <w:tcPr>
            <w:tcW w:w="1913" w:type="dxa"/>
          </w:tcPr>
          <w:p w14:paraId="289ECD3C" w14:textId="77777777" w:rsidR="00B4030F" w:rsidRPr="00181BA7" w:rsidRDefault="00EB39E3">
            <w:pPr>
              <w:pStyle w:val="zSoquijlblNoDossier"/>
            </w:pPr>
            <w:r w:rsidRPr="00181BA7">
              <w:rPr>
                <w:lang w:val="en-CA"/>
              </w:rPr>
              <w:t>FILE NO.:</w:t>
            </w:r>
          </w:p>
        </w:tc>
        <w:sdt>
          <w:sdtPr>
            <w:alias w:val="Dossier No"/>
            <w:tag w:val="bdrqc.dossier_no--v1"/>
            <w:id w:val="1925535250"/>
            <w:placeholder>
              <w:docPart w:val="5E4FB6135DC64C3BBAF380B5BC754CD0"/>
            </w:placeholder>
            <w:text/>
          </w:sdtPr>
          <w:sdtEndPr/>
          <w:sdtContent>
            <w:tc>
              <w:tcPr>
                <w:tcW w:w="7585" w:type="dxa"/>
                <w:gridSpan w:val="3"/>
              </w:tcPr>
              <w:p w14:paraId="6F342D1E" w14:textId="77777777" w:rsidR="00B4030F" w:rsidRPr="00181BA7" w:rsidRDefault="00417C84" w:rsidP="00417C84">
                <w:pPr>
                  <w:pStyle w:val="zSoquijdatNoDossier"/>
                </w:pPr>
                <w:r w:rsidRPr="00181BA7">
                  <w:rPr>
                    <w:lang w:val="en-CA"/>
                  </w:rPr>
                  <w:t>2022-010</w:t>
                </w:r>
              </w:p>
            </w:tc>
          </w:sdtContent>
        </w:sdt>
      </w:tr>
      <w:tr w:rsidR="00EB39E3" w:rsidRPr="00181BA7" w14:paraId="603EA6AC" w14:textId="77777777" w:rsidTr="00070D64">
        <w:trPr>
          <w:gridAfter w:val="1"/>
          <w:wAfter w:w="70" w:type="dxa"/>
        </w:trPr>
        <w:tc>
          <w:tcPr>
            <w:tcW w:w="9498" w:type="dxa"/>
            <w:gridSpan w:val="4"/>
          </w:tcPr>
          <w:p w14:paraId="6FAD23AD" w14:textId="77777777" w:rsidR="00EB39E3" w:rsidRPr="00181BA7" w:rsidRDefault="00EB39E3" w:rsidP="00EB39E3"/>
        </w:tc>
      </w:tr>
      <w:tr w:rsidR="00EB39E3" w:rsidRPr="00181BA7" w14:paraId="4A4362BB" w14:textId="77777777" w:rsidTr="00070D64">
        <w:trPr>
          <w:gridAfter w:val="1"/>
          <w:wAfter w:w="70" w:type="dxa"/>
        </w:trPr>
        <w:tc>
          <w:tcPr>
            <w:tcW w:w="1913" w:type="dxa"/>
          </w:tcPr>
          <w:p w14:paraId="5E8CF404" w14:textId="77777777" w:rsidR="00EB39E3" w:rsidRPr="00181BA7" w:rsidRDefault="00EB39E3">
            <w:pPr>
              <w:pStyle w:val="zSoquijlblNoDossier"/>
            </w:pPr>
            <w:r w:rsidRPr="00181BA7">
              <w:rPr>
                <w:lang w:val="en-CA"/>
              </w:rPr>
              <w:t>DECISION NO.:</w:t>
            </w:r>
          </w:p>
        </w:tc>
        <w:sdt>
          <w:sdtPr>
            <w:alias w:val="Décision No"/>
            <w:tag w:val="bdrqc.decision_no--v2"/>
            <w:id w:val="-2102867213"/>
            <w:placeholder>
              <w:docPart w:val="DE3EB9A635B14CABBE0DCB4B8C99047B"/>
            </w:placeholder>
            <w:text/>
          </w:sdtPr>
          <w:sdtEndPr/>
          <w:sdtContent>
            <w:tc>
              <w:tcPr>
                <w:tcW w:w="7585" w:type="dxa"/>
                <w:gridSpan w:val="3"/>
              </w:tcPr>
              <w:p w14:paraId="607A2DFE" w14:textId="77777777" w:rsidR="00EB39E3" w:rsidRPr="00181BA7" w:rsidRDefault="00417C84" w:rsidP="00417C84">
                <w:pPr>
                  <w:pStyle w:val="zSoquijdatNoDossier"/>
                </w:pPr>
                <w:r w:rsidRPr="00181BA7">
                  <w:rPr>
                    <w:lang w:val="en-CA"/>
                  </w:rPr>
                  <w:t>2022-010-001</w:t>
                </w:r>
              </w:p>
            </w:tc>
          </w:sdtContent>
        </w:sdt>
      </w:tr>
      <w:tr w:rsidR="00B4030F" w:rsidRPr="00181BA7" w14:paraId="38E63581" w14:textId="77777777" w:rsidTr="00070D64">
        <w:trPr>
          <w:gridAfter w:val="1"/>
          <w:wAfter w:w="70" w:type="dxa"/>
          <w:cantSplit/>
          <w:trHeight w:val="235"/>
        </w:trPr>
        <w:tc>
          <w:tcPr>
            <w:tcW w:w="9498" w:type="dxa"/>
            <w:gridSpan w:val="4"/>
          </w:tcPr>
          <w:p w14:paraId="162F8AA2" w14:textId="77777777" w:rsidR="00B4030F" w:rsidRPr="00181BA7" w:rsidRDefault="00B4030F"/>
        </w:tc>
      </w:tr>
      <w:tr w:rsidR="00B4030F" w:rsidRPr="00181BA7" w14:paraId="5632AD72" w14:textId="77777777" w:rsidTr="0002722E">
        <w:trPr>
          <w:gridAfter w:val="1"/>
          <w:wAfter w:w="70" w:type="dxa"/>
        </w:trPr>
        <w:tc>
          <w:tcPr>
            <w:tcW w:w="1913" w:type="dxa"/>
          </w:tcPr>
          <w:p w14:paraId="729F68BB" w14:textId="77777777" w:rsidR="00B4030F" w:rsidRPr="00181BA7" w:rsidRDefault="00B4030F">
            <w:pPr>
              <w:pStyle w:val="zSoquijlblDateJugement"/>
            </w:pPr>
            <w:r w:rsidRPr="00181BA7">
              <w:rPr>
                <w:lang w:val="en-CA"/>
              </w:rPr>
              <w:t>DATE:</w:t>
            </w:r>
          </w:p>
        </w:tc>
        <w:sdt>
          <w:sdtPr>
            <w:alias w:val="Date"/>
            <w:tag w:val="docu.date--v3"/>
            <w:id w:val="-1182745914"/>
            <w:placeholder>
              <w:docPart w:val="72D5FBCCE01A41058AE6F438362235DB"/>
            </w:placeholder>
            <w:date w:fullDate="2022-04-18T00:00:00Z">
              <w:dateFormat w:val="dd MMMM yyyy"/>
              <w:lid w:val="fr-CA"/>
              <w:storeMappedDataAs w:val="date"/>
              <w:calendar w:val="gregorian"/>
            </w:date>
          </w:sdtPr>
          <w:sdtEndPr/>
          <w:sdtContent>
            <w:tc>
              <w:tcPr>
                <w:tcW w:w="7585" w:type="dxa"/>
                <w:gridSpan w:val="3"/>
              </w:tcPr>
              <w:p w14:paraId="6881CA16" w14:textId="77777777" w:rsidR="00B4030F" w:rsidRPr="00181BA7" w:rsidRDefault="007875B0" w:rsidP="0010326D">
                <w:pPr>
                  <w:pStyle w:val="zSoquijdatDateJugement"/>
                </w:pPr>
                <w:r w:rsidRPr="00181BA7">
                  <w:rPr>
                    <w:lang w:val="en-CA"/>
                  </w:rPr>
                  <w:t>April 18, 2022</w:t>
                </w:r>
              </w:p>
            </w:tc>
          </w:sdtContent>
        </w:sdt>
      </w:tr>
      <w:tr w:rsidR="00B4030F" w:rsidRPr="00181BA7" w14:paraId="10C8193A" w14:textId="77777777" w:rsidTr="0002722E">
        <w:trPr>
          <w:gridAfter w:val="1"/>
          <w:wAfter w:w="70" w:type="dxa"/>
        </w:trPr>
        <w:tc>
          <w:tcPr>
            <w:tcW w:w="9498" w:type="dxa"/>
            <w:gridSpan w:val="4"/>
            <w:tcBorders>
              <w:bottom w:val="single" w:sz="4" w:space="0" w:color="auto"/>
            </w:tcBorders>
          </w:tcPr>
          <w:p w14:paraId="7134C720" w14:textId="77777777" w:rsidR="00B4030F" w:rsidRPr="00181BA7" w:rsidRDefault="00B4030F" w:rsidP="0002722E">
            <w:pPr>
              <w:ind w:left="14" w:right="-67"/>
            </w:pPr>
          </w:p>
        </w:tc>
      </w:tr>
      <w:tr w:rsidR="00B4030F" w:rsidRPr="00181BA7" w14:paraId="30C519B3" w14:textId="77777777" w:rsidTr="0002722E">
        <w:trPr>
          <w:gridAfter w:val="1"/>
          <w:wAfter w:w="70" w:type="dxa"/>
        </w:trPr>
        <w:tc>
          <w:tcPr>
            <w:tcW w:w="9498" w:type="dxa"/>
            <w:gridSpan w:val="4"/>
            <w:tcBorders>
              <w:top w:val="single" w:sz="4" w:space="0" w:color="auto"/>
            </w:tcBorders>
          </w:tcPr>
          <w:p w14:paraId="677C909F" w14:textId="77777777" w:rsidR="00B4030F" w:rsidRPr="00181BA7" w:rsidRDefault="00B4030F"/>
        </w:tc>
      </w:tr>
      <w:tr w:rsidR="00D201EF" w:rsidRPr="00181BA7" w14:paraId="42DDFBA5" w14:textId="77777777" w:rsidTr="00070D64">
        <w:tblPrEx>
          <w:tblCellMar>
            <w:left w:w="0" w:type="dxa"/>
            <w:right w:w="0" w:type="dxa"/>
          </w:tblCellMar>
        </w:tblPrEx>
        <w:tc>
          <w:tcPr>
            <w:tcW w:w="2604" w:type="dxa"/>
            <w:gridSpan w:val="2"/>
          </w:tcPr>
          <w:p w14:paraId="1477BE1F" w14:textId="77777777" w:rsidR="00D201EF" w:rsidRPr="00181BA7" w:rsidRDefault="00585FBC">
            <w:pPr>
              <w:pStyle w:val="zSoquijdatQteJuge"/>
            </w:pPr>
            <w:r w:rsidRPr="00181BA7">
              <w:rPr>
                <w:bCs/>
                <w:lang w:val="en-CA"/>
              </w:rPr>
              <w:t>BEFORE:</w:t>
            </w:r>
          </w:p>
        </w:tc>
        <w:tc>
          <w:tcPr>
            <w:tcW w:w="6964" w:type="dxa"/>
            <w:gridSpan w:val="3"/>
          </w:tcPr>
          <w:p w14:paraId="50C579C9" w14:textId="77777777" w:rsidR="00D201EF" w:rsidRPr="00181BA7" w:rsidRDefault="00070D64">
            <w:pPr>
              <w:pStyle w:val="zSoquijdatJuge"/>
            </w:pPr>
            <w:r w:rsidRPr="00181BA7">
              <w:rPr>
                <w:bCs/>
                <w:lang w:val="en-CA"/>
              </w:rPr>
              <w:t>Mtre. JEAN-PIERRE CRISTEL</w:t>
            </w:r>
          </w:p>
        </w:tc>
      </w:tr>
      <w:tr w:rsidR="00B4030F" w:rsidRPr="00181BA7" w14:paraId="346FD67E" w14:textId="77777777" w:rsidTr="0002722E">
        <w:trPr>
          <w:gridAfter w:val="1"/>
          <w:wAfter w:w="70" w:type="dxa"/>
        </w:trPr>
        <w:tc>
          <w:tcPr>
            <w:tcW w:w="9498" w:type="dxa"/>
            <w:gridSpan w:val="4"/>
            <w:tcBorders>
              <w:bottom w:val="single" w:sz="4" w:space="0" w:color="auto"/>
            </w:tcBorders>
          </w:tcPr>
          <w:p w14:paraId="590BCACC" w14:textId="77777777" w:rsidR="00B4030F" w:rsidRPr="00181BA7" w:rsidRDefault="00B4030F" w:rsidP="0002722E">
            <w:pPr>
              <w:ind w:left="14" w:right="-67"/>
            </w:pPr>
          </w:p>
        </w:tc>
      </w:tr>
      <w:tr w:rsidR="00B4030F" w:rsidRPr="00181BA7" w14:paraId="0F51CF35" w14:textId="77777777" w:rsidTr="0002722E">
        <w:trPr>
          <w:gridAfter w:val="1"/>
          <w:wAfter w:w="70" w:type="dxa"/>
        </w:trPr>
        <w:tc>
          <w:tcPr>
            <w:tcW w:w="9498" w:type="dxa"/>
            <w:gridSpan w:val="4"/>
            <w:tcBorders>
              <w:top w:val="single" w:sz="4" w:space="0" w:color="auto"/>
            </w:tcBorders>
          </w:tcPr>
          <w:p w14:paraId="41846635" w14:textId="77777777" w:rsidR="00B4030F" w:rsidRPr="00181BA7" w:rsidRDefault="00B4030F">
            <w:pPr>
              <w:pStyle w:val="zSoquijlblTitrePartie"/>
            </w:pPr>
          </w:p>
        </w:tc>
      </w:tr>
      <w:tr w:rsidR="00B4030F" w:rsidRPr="00181BA7" w14:paraId="5EF81F26" w14:textId="77777777" w:rsidTr="00070D64">
        <w:trPr>
          <w:gridAfter w:val="1"/>
          <w:wAfter w:w="70" w:type="dxa"/>
        </w:trPr>
        <w:tc>
          <w:tcPr>
            <w:tcW w:w="9498" w:type="dxa"/>
            <w:gridSpan w:val="4"/>
          </w:tcPr>
          <w:p w14:paraId="5086D076" w14:textId="77777777" w:rsidR="00B4030F" w:rsidRPr="00181BA7" w:rsidRDefault="00B4030F"/>
        </w:tc>
      </w:tr>
      <w:tr w:rsidR="00B4030F" w:rsidRPr="00BD4329" w14:paraId="14902696" w14:textId="77777777" w:rsidTr="00070D64">
        <w:trPr>
          <w:gridAfter w:val="1"/>
          <w:wAfter w:w="70" w:type="dxa"/>
        </w:trPr>
        <w:tc>
          <w:tcPr>
            <w:tcW w:w="9498" w:type="dxa"/>
            <w:gridSpan w:val="4"/>
          </w:tcPr>
          <w:p w14:paraId="6FCFDE4D" w14:textId="090321BB" w:rsidR="00B4030F" w:rsidRPr="001A6C7C" w:rsidRDefault="00417C84" w:rsidP="00BD73A1">
            <w:pPr>
              <w:pStyle w:val="zSoquijdatNomPartieDem"/>
              <w:jc w:val="both"/>
              <w:rPr>
                <w:lang w:val="en-CA"/>
              </w:rPr>
            </w:pPr>
            <w:r w:rsidRPr="00181BA7">
              <w:rPr>
                <w:lang w:val="en-CA"/>
              </w:rPr>
              <w:t>AUTORITÉ DES MARCHÉS FINANCIERS,</w:t>
            </w:r>
            <w:r w:rsidRPr="00181BA7">
              <w:rPr>
                <w:b w:val="0"/>
                <w:bCs w:val="0"/>
                <w:lang w:val="en-CA"/>
              </w:rPr>
              <w:t xml:space="preserve"> a legally constituted entity having a place of business at 800, rue du Square Victoria, 22nd floor, in the City of Montréal, Province of Québec, H4Z 1G3</w:t>
            </w:r>
          </w:p>
        </w:tc>
      </w:tr>
      <w:tr w:rsidR="00B4030F" w:rsidRPr="00181BA7" w14:paraId="7BD6A490" w14:textId="77777777" w:rsidTr="00070D64">
        <w:trPr>
          <w:gridAfter w:val="1"/>
          <w:wAfter w:w="70" w:type="dxa"/>
        </w:trPr>
        <w:tc>
          <w:tcPr>
            <w:tcW w:w="9498" w:type="dxa"/>
            <w:gridSpan w:val="4"/>
          </w:tcPr>
          <w:p w14:paraId="792510A5" w14:textId="77777777" w:rsidR="00B4030F" w:rsidRPr="00181BA7" w:rsidRDefault="00E54E09" w:rsidP="00BD73A1">
            <w:pPr>
              <w:pStyle w:val="zSoquijdatQtePartieDem"/>
              <w:ind w:left="709"/>
              <w:jc w:val="both"/>
            </w:pPr>
            <w:r w:rsidRPr="00181BA7">
              <w:rPr>
                <w:lang w:val="en-CA"/>
              </w:rPr>
              <w:t>Applicant</w:t>
            </w:r>
          </w:p>
          <w:p w14:paraId="1DFC8713" w14:textId="77777777" w:rsidR="00417C84" w:rsidRPr="00181BA7" w:rsidRDefault="00417C84" w:rsidP="00BD73A1">
            <w:pPr>
              <w:pStyle w:val="zSoquijdatQtePartieDem"/>
              <w:ind w:left="0"/>
              <w:jc w:val="both"/>
            </w:pPr>
            <w:r w:rsidRPr="00181BA7">
              <w:rPr>
                <w:lang w:val="en-CA"/>
              </w:rPr>
              <w:t>v.</w:t>
            </w:r>
          </w:p>
        </w:tc>
      </w:tr>
      <w:tr w:rsidR="00B4030F" w:rsidRPr="00181BA7" w14:paraId="772BC554" w14:textId="77777777" w:rsidTr="00070D64">
        <w:trPr>
          <w:gridAfter w:val="1"/>
          <w:wAfter w:w="70" w:type="dxa"/>
        </w:trPr>
        <w:tc>
          <w:tcPr>
            <w:tcW w:w="9498" w:type="dxa"/>
            <w:gridSpan w:val="4"/>
          </w:tcPr>
          <w:p w14:paraId="74741F25" w14:textId="26D76E9D" w:rsidR="00417C84" w:rsidRPr="001A6C7C" w:rsidRDefault="00417C84" w:rsidP="00BD73A1">
            <w:pPr>
              <w:pStyle w:val="zSoquijlblLienParties"/>
              <w:jc w:val="both"/>
              <w:rPr>
                <w:lang w:val="en-CA"/>
              </w:rPr>
            </w:pPr>
            <w:r w:rsidRPr="00181BA7">
              <w:rPr>
                <w:b/>
                <w:bCs/>
                <w:lang w:val="en-CA"/>
              </w:rPr>
              <w:t>RAMY KAMANEH</w:t>
            </w:r>
            <w:r w:rsidRPr="00181BA7">
              <w:rPr>
                <w:lang w:val="en-CA"/>
              </w:rPr>
              <w:t xml:space="preserve">, residing at </w:t>
            </w:r>
            <w:r w:rsidR="00F408E6">
              <w:rPr>
                <w:lang w:val="en-CA"/>
              </w:rPr>
              <w:t>[...]</w:t>
            </w:r>
            <w:r w:rsidRPr="00181BA7">
              <w:rPr>
                <w:lang w:val="en-CA"/>
              </w:rPr>
              <w:t xml:space="preserve">, in the City of Montréal (Île-Bizard), Province of Québec, </w:t>
            </w:r>
            <w:r w:rsidR="00F408E6">
              <w:rPr>
                <w:lang w:val="en-CA"/>
              </w:rPr>
              <w:t>[...]</w:t>
            </w:r>
          </w:p>
          <w:p w14:paraId="25DBD1F1" w14:textId="77777777" w:rsidR="00417C84" w:rsidRPr="001A6C7C" w:rsidRDefault="00417C84" w:rsidP="00BD73A1">
            <w:pPr>
              <w:pStyle w:val="zSoquijlblLienParties"/>
              <w:jc w:val="both"/>
              <w:rPr>
                <w:lang w:val="en-CA"/>
              </w:rPr>
            </w:pPr>
            <w:r w:rsidRPr="00181BA7">
              <w:rPr>
                <w:lang w:val="en-CA"/>
              </w:rPr>
              <w:t>and</w:t>
            </w:r>
          </w:p>
          <w:p w14:paraId="7D11DBFF" w14:textId="7AC723A1" w:rsidR="00417C84" w:rsidRPr="001A6C7C" w:rsidRDefault="00417C84" w:rsidP="00BD73A1">
            <w:pPr>
              <w:pStyle w:val="zSoquijlblLienParties"/>
              <w:jc w:val="both"/>
              <w:rPr>
                <w:lang w:val="en-CA"/>
              </w:rPr>
            </w:pPr>
            <w:r w:rsidRPr="00181BA7">
              <w:rPr>
                <w:b/>
                <w:bCs/>
                <w:lang w:val="en-CA"/>
              </w:rPr>
              <w:t>MOHAMED KADA MESLI</w:t>
            </w:r>
            <w:r w:rsidRPr="00181BA7">
              <w:rPr>
                <w:lang w:val="en-CA"/>
              </w:rPr>
              <w:t xml:space="preserve">, residing at </w:t>
            </w:r>
            <w:r w:rsidR="00F408E6">
              <w:rPr>
                <w:lang w:val="en-CA"/>
              </w:rPr>
              <w:t>[...]</w:t>
            </w:r>
            <w:r w:rsidRPr="00181BA7">
              <w:rPr>
                <w:lang w:val="en-CA"/>
              </w:rPr>
              <w:t xml:space="preserve">, in the City of Montréal (Saint-Laurent), Province of Québec, </w:t>
            </w:r>
            <w:r w:rsidR="00F408E6">
              <w:rPr>
                <w:lang w:val="en-CA"/>
              </w:rPr>
              <w:t>[...]</w:t>
            </w:r>
          </w:p>
          <w:p w14:paraId="3131B07C" w14:textId="77777777" w:rsidR="00417C84" w:rsidRPr="001A6C7C" w:rsidRDefault="00417C84" w:rsidP="00BD73A1">
            <w:pPr>
              <w:pStyle w:val="zSoquijdatQtePartieDem"/>
              <w:ind w:left="709"/>
              <w:jc w:val="both"/>
              <w:rPr>
                <w:lang w:val="en-CA"/>
              </w:rPr>
            </w:pPr>
            <w:r w:rsidRPr="00181BA7">
              <w:rPr>
                <w:lang w:val="en-CA"/>
              </w:rPr>
              <w:t>Respondents</w:t>
            </w:r>
          </w:p>
          <w:p w14:paraId="5A4C5FC9" w14:textId="77777777" w:rsidR="00417C84" w:rsidRPr="001A6C7C" w:rsidRDefault="00417C84" w:rsidP="00BD73A1">
            <w:pPr>
              <w:pStyle w:val="zSoquijlblLienParties"/>
              <w:jc w:val="both"/>
              <w:rPr>
                <w:lang w:val="en-CA"/>
              </w:rPr>
            </w:pPr>
            <w:r w:rsidRPr="00181BA7">
              <w:rPr>
                <w:lang w:val="en-CA"/>
              </w:rPr>
              <w:t xml:space="preserve">and </w:t>
            </w:r>
          </w:p>
          <w:p w14:paraId="3F037A96" w14:textId="77777777" w:rsidR="00417C84" w:rsidRPr="001A6C7C" w:rsidRDefault="00417C84" w:rsidP="00BD73A1">
            <w:pPr>
              <w:pStyle w:val="zSoquijlblLienParties"/>
              <w:jc w:val="both"/>
              <w:rPr>
                <w:lang w:val="en-CA"/>
              </w:rPr>
            </w:pPr>
            <w:r w:rsidRPr="00181BA7">
              <w:rPr>
                <w:b/>
                <w:bCs/>
                <w:lang w:val="en-CA"/>
              </w:rPr>
              <w:t>SDIT INC.</w:t>
            </w:r>
            <w:r w:rsidRPr="00181BA7">
              <w:rPr>
                <w:lang w:val="en-CA"/>
              </w:rPr>
              <w:t>, a joint stock company domiciled at 201-9801, rue Cérès, in the City of Dollard-Des-Ormeaux, Province of Québec, H9B 0A8</w:t>
            </w:r>
          </w:p>
          <w:p w14:paraId="03829ACC" w14:textId="77777777" w:rsidR="00417C84" w:rsidRPr="001A6C7C" w:rsidRDefault="00417C84" w:rsidP="00BD73A1">
            <w:pPr>
              <w:pStyle w:val="zSoquijlblLienParties"/>
              <w:jc w:val="both"/>
              <w:rPr>
                <w:lang w:val="en-CA"/>
              </w:rPr>
            </w:pPr>
            <w:r w:rsidRPr="00181BA7">
              <w:rPr>
                <w:lang w:val="en-CA"/>
              </w:rPr>
              <w:t>and</w:t>
            </w:r>
          </w:p>
          <w:p w14:paraId="44793078" w14:textId="77777777" w:rsidR="00417C84" w:rsidRPr="001A6C7C" w:rsidRDefault="00417C84" w:rsidP="00BD73A1">
            <w:pPr>
              <w:pStyle w:val="zSoquijlblLienParties"/>
              <w:jc w:val="both"/>
              <w:rPr>
                <w:lang w:val="en-CA"/>
              </w:rPr>
            </w:pPr>
            <w:r w:rsidRPr="00181BA7">
              <w:rPr>
                <w:b/>
                <w:bCs/>
                <w:lang w:val="en-CA"/>
              </w:rPr>
              <w:t>SDÉT INC.</w:t>
            </w:r>
            <w:r w:rsidRPr="00181BA7">
              <w:rPr>
                <w:lang w:val="en-CA"/>
              </w:rPr>
              <w:t>, a joint stock company domiciled at 201-9801, rue Cérès, in the City of Dollard-Des-Ormeaux, Province of Québec, H9B 0A8</w:t>
            </w:r>
          </w:p>
          <w:p w14:paraId="78453372" w14:textId="77777777" w:rsidR="00417C84" w:rsidRPr="001A6C7C" w:rsidRDefault="00417C84" w:rsidP="00BD73A1">
            <w:pPr>
              <w:pStyle w:val="zSoquijlblLienParties"/>
              <w:jc w:val="both"/>
              <w:rPr>
                <w:lang w:val="en-CA"/>
              </w:rPr>
            </w:pPr>
            <w:r w:rsidRPr="00181BA7">
              <w:rPr>
                <w:lang w:val="en-CA"/>
              </w:rPr>
              <w:t xml:space="preserve">and </w:t>
            </w:r>
          </w:p>
          <w:p w14:paraId="11D3A40A" w14:textId="77777777" w:rsidR="00417C84" w:rsidRPr="001A6C7C" w:rsidRDefault="00417C84" w:rsidP="00BD73A1">
            <w:pPr>
              <w:pStyle w:val="zSoquijlblLienParties"/>
              <w:jc w:val="both"/>
              <w:rPr>
                <w:lang w:val="en-CA"/>
              </w:rPr>
            </w:pPr>
            <w:r w:rsidRPr="00181BA7">
              <w:rPr>
                <w:b/>
                <w:bCs/>
                <w:lang w:val="en-CA"/>
              </w:rPr>
              <w:t>7350341 CANADA INC.</w:t>
            </w:r>
            <w:r w:rsidRPr="00181BA7">
              <w:rPr>
                <w:lang w:val="en-CA"/>
              </w:rPr>
              <w:t xml:space="preserve">, domiciled at 5915, rue De Jumonville, in the City of Montréal, Province of Québec, H1M 1R2 </w:t>
            </w:r>
          </w:p>
          <w:p w14:paraId="7F48BE6A" w14:textId="77777777" w:rsidR="00417C84" w:rsidRPr="001A6C7C" w:rsidRDefault="00417C84" w:rsidP="00BD73A1">
            <w:pPr>
              <w:pStyle w:val="zSoquijlblLienParties"/>
              <w:jc w:val="both"/>
              <w:rPr>
                <w:lang w:val="en-CA"/>
              </w:rPr>
            </w:pPr>
            <w:r w:rsidRPr="00181BA7">
              <w:rPr>
                <w:lang w:val="en-CA"/>
              </w:rPr>
              <w:t>and</w:t>
            </w:r>
          </w:p>
          <w:p w14:paraId="24BDDDD9" w14:textId="77777777" w:rsidR="00417C84" w:rsidRPr="001A6C7C" w:rsidRDefault="00417C84" w:rsidP="00BD73A1">
            <w:pPr>
              <w:pStyle w:val="zSoquijlblLienParties"/>
              <w:jc w:val="both"/>
              <w:rPr>
                <w:lang w:val="en-CA"/>
              </w:rPr>
            </w:pPr>
            <w:r w:rsidRPr="00181BA7">
              <w:rPr>
                <w:b/>
                <w:bCs/>
                <w:lang w:val="en-CA"/>
              </w:rPr>
              <w:lastRenderedPageBreak/>
              <w:t>TORONTO-DOMINION BANK INC.</w:t>
            </w:r>
            <w:r w:rsidRPr="00181BA7">
              <w:rPr>
                <w:lang w:val="en-CA"/>
              </w:rPr>
              <w:t>, having a place of business at 3720, boulevard des Sources, in the City of Dollard-des-Ormeaux, Province of Québec, H9B 1Z9</w:t>
            </w:r>
          </w:p>
          <w:p w14:paraId="22F492B1" w14:textId="77777777" w:rsidR="00417C84" w:rsidRPr="001A6C7C" w:rsidRDefault="00417C84" w:rsidP="00BD73A1">
            <w:pPr>
              <w:pStyle w:val="zSoquijlblLienParties"/>
              <w:jc w:val="both"/>
              <w:rPr>
                <w:lang w:val="en-CA"/>
              </w:rPr>
            </w:pPr>
            <w:r w:rsidRPr="00181BA7">
              <w:rPr>
                <w:lang w:val="en-CA"/>
              </w:rPr>
              <w:t>and</w:t>
            </w:r>
          </w:p>
          <w:p w14:paraId="1BAC675F" w14:textId="77777777" w:rsidR="00417C84" w:rsidRPr="001A6C7C" w:rsidRDefault="00417C84" w:rsidP="00BD73A1">
            <w:pPr>
              <w:pStyle w:val="zSoquijlblLienParties"/>
              <w:jc w:val="both"/>
              <w:rPr>
                <w:lang w:val="en-CA"/>
              </w:rPr>
            </w:pPr>
            <w:r w:rsidRPr="00181BA7">
              <w:rPr>
                <w:b/>
                <w:bCs/>
                <w:lang w:val="en-CA"/>
              </w:rPr>
              <w:t>TD WATERHOUSE CANADA INC.</w:t>
            </w:r>
            <w:r w:rsidRPr="00181BA7">
              <w:rPr>
                <w:lang w:val="en-CA"/>
              </w:rPr>
              <w:t>, having a place of business at 7250, rue du Mile End, 6th floor, City of Montréal, Province of Québec, H2R 3A4</w:t>
            </w:r>
          </w:p>
          <w:p w14:paraId="40065D89" w14:textId="77777777" w:rsidR="00417C84" w:rsidRPr="001A6C7C" w:rsidRDefault="00417C84" w:rsidP="00BD73A1">
            <w:pPr>
              <w:pStyle w:val="zSoquijlblLienParties"/>
              <w:jc w:val="both"/>
              <w:rPr>
                <w:lang w:val="en-CA"/>
              </w:rPr>
            </w:pPr>
            <w:r w:rsidRPr="00181BA7">
              <w:rPr>
                <w:lang w:val="en-CA"/>
              </w:rPr>
              <w:t xml:space="preserve">and </w:t>
            </w:r>
          </w:p>
          <w:p w14:paraId="4F3F292F" w14:textId="77777777" w:rsidR="00417C84" w:rsidRPr="001A6C7C" w:rsidRDefault="00417C84" w:rsidP="00BD73A1">
            <w:pPr>
              <w:pStyle w:val="zSoquijlblLienParties"/>
              <w:jc w:val="both"/>
              <w:rPr>
                <w:lang w:val="en-CA"/>
              </w:rPr>
            </w:pPr>
            <w:r w:rsidRPr="00181BA7">
              <w:rPr>
                <w:b/>
                <w:bCs/>
                <w:lang w:val="en-CA"/>
              </w:rPr>
              <w:t>ROYAL BANK OF CANADA</w:t>
            </w:r>
            <w:r w:rsidRPr="00181BA7">
              <w:rPr>
                <w:lang w:val="en-CA"/>
              </w:rPr>
              <w:t>, having a place of business at 3131, boulevard de la Côte-Vertu, room F-1, in the City of Montréal (Saint-Laurent), Province of Québec, H4R 1P8</w:t>
            </w:r>
          </w:p>
          <w:p w14:paraId="451BD6CD" w14:textId="77777777" w:rsidR="00417C84" w:rsidRPr="001A6C7C" w:rsidRDefault="00417C84" w:rsidP="00BD73A1">
            <w:pPr>
              <w:pStyle w:val="zSoquijlblLienParties"/>
              <w:jc w:val="both"/>
              <w:rPr>
                <w:lang w:val="en-CA"/>
              </w:rPr>
            </w:pPr>
            <w:r w:rsidRPr="00181BA7">
              <w:rPr>
                <w:lang w:val="en-CA"/>
              </w:rPr>
              <w:t xml:space="preserve">and </w:t>
            </w:r>
          </w:p>
          <w:p w14:paraId="580C516F" w14:textId="77777777" w:rsidR="00417C84" w:rsidRPr="001A6C7C" w:rsidRDefault="00417C84" w:rsidP="00BD73A1">
            <w:pPr>
              <w:pStyle w:val="zSoquijlblLienParties"/>
              <w:jc w:val="both"/>
              <w:rPr>
                <w:lang w:val="en-CA"/>
              </w:rPr>
            </w:pPr>
            <w:r w:rsidRPr="00181BA7">
              <w:rPr>
                <w:b/>
                <w:bCs/>
                <w:lang w:val="en-CA"/>
              </w:rPr>
              <w:t>ROYAL BANK OF CANADA</w:t>
            </w:r>
            <w:r w:rsidRPr="00181BA7">
              <w:rPr>
                <w:lang w:val="en-CA"/>
              </w:rPr>
              <w:t>, having a place of business at 4119, rue Jean-Talon Est, in the City of Montréal (Saint-Léonard), Province of Québec, H1S 1J5</w:t>
            </w:r>
          </w:p>
          <w:p w14:paraId="6B9CFCCB" w14:textId="77777777" w:rsidR="00417C84" w:rsidRPr="001A6C7C" w:rsidRDefault="00417C84" w:rsidP="00BD73A1">
            <w:pPr>
              <w:pStyle w:val="zSoquijlblLienParties"/>
              <w:jc w:val="both"/>
              <w:rPr>
                <w:lang w:val="en-CA"/>
              </w:rPr>
            </w:pPr>
            <w:r w:rsidRPr="00181BA7">
              <w:rPr>
                <w:lang w:val="en-CA"/>
              </w:rPr>
              <w:t>and</w:t>
            </w:r>
          </w:p>
          <w:p w14:paraId="009AE00D" w14:textId="77777777" w:rsidR="00417C84" w:rsidRPr="001A6C7C" w:rsidRDefault="00417C84" w:rsidP="00BD73A1">
            <w:pPr>
              <w:pStyle w:val="zSoquijlblLienParties"/>
              <w:jc w:val="both"/>
              <w:rPr>
                <w:lang w:val="en-CA"/>
              </w:rPr>
            </w:pPr>
            <w:r w:rsidRPr="00181BA7">
              <w:rPr>
                <w:b/>
                <w:bCs/>
                <w:lang w:val="en-CA"/>
              </w:rPr>
              <w:t>RBC PLACEMENTS EN DIRECT INC.</w:t>
            </w:r>
            <w:r w:rsidRPr="00181BA7">
              <w:rPr>
                <w:lang w:val="en-CA"/>
              </w:rPr>
              <w:t>, having a place of business at 1, Place Ville-Marie, ground floor, in the City of Montréal, Province of Québec, H3B 3Y1</w:t>
            </w:r>
          </w:p>
          <w:p w14:paraId="50920034" w14:textId="77777777" w:rsidR="00417C84" w:rsidRPr="001A6C7C" w:rsidRDefault="00417C84" w:rsidP="00BD73A1">
            <w:pPr>
              <w:pStyle w:val="zSoquijlblLienParties"/>
              <w:jc w:val="both"/>
              <w:rPr>
                <w:lang w:val="en-CA"/>
              </w:rPr>
            </w:pPr>
            <w:r w:rsidRPr="00181BA7">
              <w:rPr>
                <w:lang w:val="en-CA"/>
              </w:rPr>
              <w:t>and</w:t>
            </w:r>
          </w:p>
          <w:p w14:paraId="0C1EAE8D" w14:textId="77777777" w:rsidR="00417C84" w:rsidRPr="001A6C7C" w:rsidRDefault="00417C84" w:rsidP="00BD73A1">
            <w:pPr>
              <w:pStyle w:val="zSoquijlblLienParties"/>
              <w:jc w:val="both"/>
              <w:rPr>
                <w:lang w:val="en-CA"/>
              </w:rPr>
            </w:pPr>
            <w:r w:rsidRPr="00181BA7">
              <w:rPr>
                <w:b/>
                <w:bCs/>
                <w:lang w:val="en-CA"/>
              </w:rPr>
              <w:t>SCOTIA BANK</w:t>
            </w:r>
            <w:r w:rsidRPr="00181BA7">
              <w:rPr>
                <w:lang w:val="en-CA"/>
              </w:rPr>
              <w:t>, having a place of business at 3828, boulevard de la Côte-Vertu, in the City of Montréal (Saint-Laurent), Province of Québec, H4R 1P8</w:t>
            </w:r>
          </w:p>
          <w:p w14:paraId="101B0622" w14:textId="77777777" w:rsidR="00417C84" w:rsidRPr="001A6C7C" w:rsidRDefault="00417C84" w:rsidP="00BD73A1">
            <w:pPr>
              <w:pStyle w:val="zSoquijlblLienParties"/>
              <w:jc w:val="both"/>
              <w:rPr>
                <w:lang w:val="en-CA"/>
              </w:rPr>
            </w:pPr>
            <w:r w:rsidRPr="00181BA7">
              <w:rPr>
                <w:lang w:val="en-CA"/>
              </w:rPr>
              <w:t>and</w:t>
            </w:r>
          </w:p>
          <w:p w14:paraId="77C6EE96" w14:textId="035EAA00" w:rsidR="00417C84" w:rsidRPr="001A6C7C" w:rsidRDefault="00417C84" w:rsidP="00BD73A1">
            <w:pPr>
              <w:pStyle w:val="zSoquijlblLienParties"/>
              <w:jc w:val="both"/>
              <w:rPr>
                <w:lang w:val="en-CA"/>
              </w:rPr>
            </w:pPr>
            <w:r w:rsidRPr="00181BA7">
              <w:rPr>
                <w:b/>
                <w:bCs/>
                <w:lang w:val="en-CA"/>
              </w:rPr>
              <w:t>DOUA’A ISMAIL</w:t>
            </w:r>
            <w:r w:rsidRPr="00181BA7">
              <w:rPr>
                <w:lang w:val="en-CA"/>
              </w:rPr>
              <w:t xml:space="preserve">, residing at </w:t>
            </w:r>
            <w:r w:rsidR="00F408E6">
              <w:rPr>
                <w:lang w:val="en-CA"/>
              </w:rPr>
              <w:t>[...]</w:t>
            </w:r>
            <w:r w:rsidRPr="00181BA7">
              <w:rPr>
                <w:lang w:val="en-CA"/>
              </w:rPr>
              <w:t xml:space="preserve">, in the City of Montréal (Île-Bizard), Province of Québec, </w:t>
            </w:r>
            <w:r w:rsidR="00F408E6">
              <w:rPr>
                <w:lang w:val="en-CA"/>
              </w:rPr>
              <w:t>[...]</w:t>
            </w:r>
          </w:p>
          <w:p w14:paraId="25BBDF17" w14:textId="77777777" w:rsidR="00417C84" w:rsidRPr="001A6C7C" w:rsidRDefault="00417C84" w:rsidP="00BD73A1">
            <w:pPr>
              <w:pStyle w:val="zSoquijlblLienParties"/>
              <w:jc w:val="both"/>
              <w:rPr>
                <w:lang w:val="en-CA"/>
              </w:rPr>
            </w:pPr>
            <w:r w:rsidRPr="00181BA7">
              <w:rPr>
                <w:lang w:val="en-CA"/>
              </w:rPr>
              <w:t>and</w:t>
            </w:r>
          </w:p>
          <w:p w14:paraId="336A2CBB" w14:textId="2E211225" w:rsidR="00417C84" w:rsidRPr="001A6C7C" w:rsidRDefault="00417C84" w:rsidP="00BD73A1">
            <w:pPr>
              <w:pStyle w:val="zSoquijlblLienParties"/>
              <w:jc w:val="both"/>
              <w:rPr>
                <w:lang w:val="en-CA"/>
              </w:rPr>
            </w:pPr>
            <w:r w:rsidRPr="00181BA7">
              <w:rPr>
                <w:b/>
                <w:bCs/>
                <w:lang w:val="en-CA"/>
              </w:rPr>
              <w:t>NOUR EL-CHAFEI</w:t>
            </w:r>
            <w:r w:rsidRPr="00181BA7">
              <w:rPr>
                <w:lang w:val="en-CA"/>
              </w:rPr>
              <w:t xml:space="preserve">, residing at </w:t>
            </w:r>
            <w:r w:rsidR="00F408E6">
              <w:rPr>
                <w:lang w:val="en-CA"/>
              </w:rPr>
              <w:t>[...]</w:t>
            </w:r>
            <w:r w:rsidRPr="00181BA7">
              <w:rPr>
                <w:lang w:val="en-CA"/>
              </w:rPr>
              <w:t xml:space="preserve">, in the City of Montréal (Saint-Laurent), Province of Québec, </w:t>
            </w:r>
            <w:r w:rsidR="00F408E6">
              <w:rPr>
                <w:lang w:val="en-CA"/>
              </w:rPr>
              <w:t>[...]</w:t>
            </w:r>
          </w:p>
          <w:p w14:paraId="0B42BE54" w14:textId="77777777" w:rsidR="00417C84" w:rsidRPr="001A6C7C" w:rsidRDefault="00417C84" w:rsidP="00BD73A1">
            <w:pPr>
              <w:pStyle w:val="zSoquijlblLienParties"/>
              <w:jc w:val="both"/>
              <w:rPr>
                <w:lang w:val="en-CA"/>
              </w:rPr>
            </w:pPr>
            <w:r w:rsidRPr="00181BA7">
              <w:rPr>
                <w:lang w:val="en-CA"/>
              </w:rPr>
              <w:t xml:space="preserve">and </w:t>
            </w:r>
          </w:p>
          <w:p w14:paraId="1A8C5F6E" w14:textId="77777777" w:rsidR="00417C84" w:rsidRPr="001A6C7C" w:rsidRDefault="00417C84" w:rsidP="00BD73A1">
            <w:pPr>
              <w:pStyle w:val="zSoquijlblLienParties"/>
              <w:jc w:val="both"/>
              <w:rPr>
                <w:lang w:val="en-CA"/>
              </w:rPr>
            </w:pPr>
            <w:r w:rsidRPr="00181BA7">
              <w:rPr>
                <w:b/>
                <w:bCs/>
                <w:lang w:val="en-CA"/>
              </w:rPr>
              <w:t>BUREAU DE LA PUBLICITÉ DES DROITS, REGISTRATION DIVISION OF MONTRÉAL</w:t>
            </w:r>
            <w:r w:rsidRPr="00181BA7">
              <w:rPr>
                <w:lang w:val="en-CA"/>
              </w:rPr>
              <w:t>, having a place of business at 2050, rue De Bleury, suite RC 10, Ville-Marie, in the City of Montréal, Province of Québec, H3A 2J5</w:t>
            </w:r>
          </w:p>
          <w:p w14:paraId="1635BA4F" w14:textId="77777777" w:rsidR="00417C84" w:rsidRPr="00181BA7" w:rsidRDefault="00417C84" w:rsidP="00BD73A1">
            <w:pPr>
              <w:pStyle w:val="zSoquijdatQtePartieDem"/>
              <w:ind w:left="709"/>
              <w:jc w:val="both"/>
            </w:pPr>
            <w:r w:rsidRPr="00181BA7">
              <w:rPr>
                <w:lang w:val="en-CA"/>
              </w:rPr>
              <w:t>Impleaded parties</w:t>
            </w:r>
          </w:p>
          <w:p w14:paraId="263916C8" w14:textId="77777777" w:rsidR="00B4030F" w:rsidRPr="00181BA7" w:rsidRDefault="00B4030F" w:rsidP="00BD73A1">
            <w:pPr>
              <w:pStyle w:val="zSoquijlblLienParties"/>
              <w:jc w:val="both"/>
            </w:pPr>
          </w:p>
        </w:tc>
      </w:tr>
      <w:tr w:rsidR="00FF6ABC" w:rsidRPr="00181BA7" w14:paraId="1AEE61F5" w14:textId="77777777" w:rsidTr="0002722E">
        <w:trPr>
          <w:gridAfter w:val="1"/>
          <w:wAfter w:w="70" w:type="dxa"/>
        </w:trPr>
        <w:tc>
          <w:tcPr>
            <w:tcW w:w="9498" w:type="dxa"/>
            <w:gridSpan w:val="4"/>
            <w:tcBorders>
              <w:top w:val="single" w:sz="4" w:space="0" w:color="auto"/>
            </w:tcBorders>
          </w:tcPr>
          <w:p w14:paraId="653E1D14" w14:textId="77777777" w:rsidR="00FF6ABC" w:rsidRPr="00181BA7" w:rsidRDefault="00FF6ABC" w:rsidP="00B4030F">
            <w:pPr>
              <w:jc w:val="center"/>
            </w:pPr>
          </w:p>
        </w:tc>
      </w:tr>
      <w:tr w:rsidR="00FF6ABC" w:rsidRPr="00181BA7" w14:paraId="33229DB9" w14:textId="77777777" w:rsidTr="00070D64">
        <w:trPr>
          <w:gridAfter w:val="1"/>
          <w:wAfter w:w="70" w:type="dxa"/>
        </w:trPr>
        <w:tc>
          <w:tcPr>
            <w:tcW w:w="9498" w:type="dxa"/>
            <w:gridSpan w:val="4"/>
          </w:tcPr>
          <w:p w14:paraId="4630B7BD" w14:textId="77777777" w:rsidR="007875B0" w:rsidRPr="00181BA7" w:rsidRDefault="007875B0" w:rsidP="0010326D">
            <w:pPr>
              <w:pStyle w:val="zSoquijlblTypeDocument"/>
            </w:pPr>
          </w:p>
          <w:p w14:paraId="5605AF4A" w14:textId="77777777" w:rsidR="00FF6ABC" w:rsidRPr="00181BA7" w:rsidRDefault="0010326D" w:rsidP="0010326D">
            <w:pPr>
              <w:pStyle w:val="zSoquijlblTypeDocument"/>
              <w:rPr>
                <w:i/>
              </w:rPr>
            </w:pPr>
            <w:r w:rsidRPr="00181BA7">
              <w:rPr>
                <w:bCs/>
                <w:i/>
                <w:iCs/>
                <w:lang w:val="en-CA"/>
              </w:rPr>
              <w:t>EX PARTE</w:t>
            </w:r>
            <w:r w:rsidRPr="00181BA7">
              <w:rPr>
                <w:bCs/>
                <w:lang w:val="en-CA"/>
              </w:rPr>
              <w:t xml:space="preserve"> DECISION</w:t>
            </w:r>
          </w:p>
        </w:tc>
      </w:tr>
      <w:tr w:rsidR="00A34D8C" w:rsidRPr="00181BA7" w14:paraId="54A61630" w14:textId="77777777" w:rsidTr="0002722E">
        <w:trPr>
          <w:gridAfter w:val="1"/>
          <w:wAfter w:w="70" w:type="dxa"/>
        </w:trPr>
        <w:tc>
          <w:tcPr>
            <w:tcW w:w="9498" w:type="dxa"/>
            <w:gridSpan w:val="4"/>
          </w:tcPr>
          <w:p w14:paraId="52099501" w14:textId="77777777" w:rsidR="008B0126" w:rsidRPr="00181BA7" w:rsidRDefault="008B0126" w:rsidP="00AE2C56">
            <w:pPr>
              <w:pStyle w:val="zSoquijlblNosArticles"/>
              <w:jc w:val="left"/>
            </w:pPr>
          </w:p>
        </w:tc>
      </w:tr>
      <w:tr w:rsidR="0002722E" w:rsidRPr="00181BA7" w14:paraId="6A2534C6" w14:textId="77777777" w:rsidTr="0002722E">
        <w:trPr>
          <w:gridAfter w:val="1"/>
          <w:wAfter w:w="70" w:type="dxa"/>
        </w:trPr>
        <w:tc>
          <w:tcPr>
            <w:tcW w:w="9498" w:type="dxa"/>
            <w:gridSpan w:val="4"/>
            <w:tcBorders>
              <w:bottom w:val="single" w:sz="4" w:space="0" w:color="auto"/>
            </w:tcBorders>
          </w:tcPr>
          <w:p w14:paraId="02AE0C94" w14:textId="77777777" w:rsidR="0002722E" w:rsidRPr="00181BA7" w:rsidRDefault="0002722E" w:rsidP="0010326D">
            <w:pPr>
              <w:pStyle w:val="zSoquijlblNosArticles"/>
            </w:pPr>
          </w:p>
        </w:tc>
      </w:tr>
      <w:tr w:rsidR="0002722E" w:rsidRPr="00181BA7" w14:paraId="6575C1E9" w14:textId="77777777" w:rsidTr="0002722E">
        <w:trPr>
          <w:gridAfter w:val="1"/>
          <w:wAfter w:w="70" w:type="dxa"/>
        </w:trPr>
        <w:tc>
          <w:tcPr>
            <w:tcW w:w="9498" w:type="dxa"/>
            <w:gridSpan w:val="4"/>
            <w:tcBorders>
              <w:top w:val="single" w:sz="4" w:space="0" w:color="auto"/>
            </w:tcBorders>
          </w:tcPr>
          <w:p w14:paraId="306673D0" w14:textId="77777777" w:rsidR="0002722E" w:rsidRPr="00181BA7" w:rsidRDefault="0002722E" w:rsidP="0010326D">
            <w:pPr>
              <w:pStyle w:val="zSoquijlblNosArticles"/>
            </w:pPr>
          </w:p>
        </w:tc>
      </w:tr>
    </w:tbl>
    <w:p w14:paraId="719CEF31" w14:textId="77777777" w:rsidR="00415DCB" w:rsidRPr="00181BA7" w:rsidRDefault="00930949" w:rsidP="00825D7D">
      <w:pPr>
        <w:pStyle w:val="Titre1"/>
      </w:pPr>
      <w:bookmarkStart w:id="1" w:name="_Ref456356564"/>
      <w:r w:rsidRPr="00181BA7">
        <w:rPr>
          <w:bCs/>
          <w:lang w:val="en-CA"/>
        </w:rPr>
        <w:t>OVERVIEW</w:t>
      </w:r>
    </w:p>
    <w:bookmarkEnd w:id="1"/>
    <w:p w14:paraId="2C912C0E" w14:textId="34441966" w:rsidR="00415DCB" w:rsidRPr="001A6C7C" w:rsidRDefault="005D41AE" w:rsidP="009471D3">
      <w:pPr>
        <w:pStyle w:val="Paragraphe"/>
        <w:rPr>
          <w:lang w:val="en-CA"/>
        </w:rPr>
      </w:pPr>
      <w:r w:rsidRPr="00181BA7">
        <w:rPr>
          <w:lang w:val="en-CA"/>
        </w:rPr>
        <w:t xml:space="preserve">On April 11, 2022, during an ongoing investigation, the </w:t>
      </w:r>
      <w:r w:rsidR="001A6C7C">
        <w:rPr>
          <w:lang w:val="en-CA"/>
        </w:rPr>
        <w:t>Autorité des marches financiers</w:t>
      </w:r>
      <w:r w:rsidR="001A6C7C" w:rsidRPr="00181BA7">
        <w:rPr>
          <w:lang w:val="en-CA"/>
        </w:rPr>
        <w:t xml:space="preserve"> (“</w:t>
      </w:r>
      <w:r w:rsidRPr="00181BA7">
        <w:rPr>
          <w:lang w:val="en-CA"/>
        </w:rPr>
        <w:t>Authority</w:t>
      </w:r>
      <w:r w:rsidR="001A6C7C" w:rsidRPr="00181BA7">
        <w:rPr>
          <w:lang w:val="en-CA"/>
        </w:rPr>
        <w:t>”)</w:t>
      </w:r>
      <w:r w:rsidRPr="00181BA7">
        <w:rPr>
          <w:lang w:val="en-CA"/>
        </w:rPr>
        <w:t xml:space="preserve"> filed an urgent request for an </w:t>
      </w:r>
      <w:r w:rsidRPr="00181BA7">
        <w:rPr>
          <w:i/>
          <w:iCs/>
          <w:lang w:val="en-CA"/>
        </w:rPr>
        <w:t>ex parte</w:t>
      </w:r>
      <w:r w:rsidRPr="00181BA7">
        <w:rPr>
          <w:lang w:val="en-CA"/>
        </w:rPr>
        <w:t xml:space="preserve"> hearing with the Tribunal administratif des marchés financiers (“Tribunal”) to obtain cease trade orders against respondents Ramy Kamaneh and Mohamed Kada Mesli as well as freeze orders against the same respondents and the impleaded parties. </w:t>
      </w:r>
    </w:p>
    <w:p w14:paraId="5853D54C" w14:textId="0C2E44CD" w:rsidR="007B165B" w:rsidRPr="001A6C7C" w:rsidRDefault="005D41AE" w:rsidP="007B165B">
      <w:pPr>
        <w:pStyle w:val="Paragraphe"/>
        <w:rPr>
          <w:lang w:val="en-CA"/>
        </w:rPr>
      </w:pPr>
      <w:r w:rsidRPr="00181BA7">
        <w:rPr>
          <w:lang w:val="en-CA"/>
        </w:rPr>
        <w:lastRenderedPageBreak/>
        <w:t>The Authority is responsible for enforcing the</w:t>
      </w:r>
      <w:bookmarkStart w:id="2" w:name="_Ref44422660"/>
      <w:r w:rsidRPr="00181BA7">
        <w:rPr>
          <w:i/>
          <w:iCs/>
          <w:lang w:val="en-CA"/>
        </w:rPr>
        <w:t xml:space="preserve"> Securities Act</w:t>
      </w:r>
      <w:r w:rsidRPr="00181BA7">
        <w:rPr>
          <w:rStyle w:val="Appelnotedebasdep"/>
          <w:rFonts w:cs="Arial"/>
          <w:lang w:val="en-CA"/>
        </w:rPr>
        <w:footnoteReference w:id="1"/>
      </w:r>
      <w:bookmarkEnd w:id="2"/>
      <w:r w:rsidRPr="00181BA7">
        <w:rPr>
          <w:lang w:val="en-CA"/>
        </w:rPr>
        <w:t xml:space="preserve"> and the </w:t>
      </w:r>
      <w:r w:rsidRPr="00181BA7">
        <w:rPr>
          <w:i/>
          <w:iCs/>
          <w:lang w:val="en-CA"/>
        </w:rPr>
        <w:t>Derivatives Act</w:t>
      </w:r>
      <w:r w:rsidRPr="00181BA7">
        <w:rPr>
          <w:rStyle w:val="Appelnotedebasdep"/>
          <w:rFonts w:cs="Arial"/>
          <w:lang w:val="en-CA"/>
        </w:rPr>
        <w:footnoteReference w:id="2"/>
      </w:r>
      <w:r w:rsidRPr="00181BA7">
        <w:rPr>
          <w:lang w:val="en-CA"/>
        </w:rPr>
        <w:t xml:space="preserve">. The Authority exercises the functions set out in those Acts, in the manner provided in s. 7 of the </w:t>
      </w:r>
      <w:r w:rsidRPr="00181BA7">
        <w:rPr>
          <w:i/>
          <w:iCs/>
          <w:lang w:val="en-CA"/>
        </w:rPr>
        <w:t>Act respecting the regulation of the financial sector.</w:t>
      </w:r>
      <w:bookmarkStart w:id="3" w:name="_Ref44422125"/>
      <w:r w:rsidRPr="00181BA7">
        <w:rPr>
          <w:rStyle w:val="Appelnotedebasdep"/>
          <w:lang w:val="en-CA"/>
        </w:rPr>
        <w:footnoteReference w:id="3"/>
      </w:r>
      <w:bookmarkEnd w:id="3"/>
    </w:p>
    <w:p w14:paraId="232AB800" w14:textId="77777777" w:rsidR="007875B0" w:rsidRPr="001A6C7C" w:rsidRDefault="000D2FD5" w:rsidP="007B165B">
      <w:pPr>
        <w:pStyle w:val="Paragraphe"/>
        <w:rPr>
          <w:lang w:val="en-CA"/>
        </w:rPr>
      </w:pPr>
      <w:r w:rsidRPr="00181BA7">
        <w:rPr>
          <w:lang w:val="en-CA"/>
        </w:rPr>
        <w:t>Respondent Ramy Kamaneh is a resident of Québec and describes himself as a self-employed person active in business consulting since December 2020.</w:t>
      </w:r>
      <w:r w:rsidRPr="00181BA7">
        <w:rPr>
          <w:rStyle w:val="Appelnotedebasdep"/>
          <w:lang w:val="en-CA"/>
        </w:rPr>
        <w:footnoteReference w:id="4"/>
      </w:r>
      <w:r w:rsidRPr="00181BA7">
        <w:rPr>
          <w:lang w:val="en-CA"/>
        </w:rPr>
        <w:t xml:space="preserve"> He is the majority shareholder and sole director of impleaded party SDÉT Inc.</w:t>
      </w:r>
      <w:r w:rsidRPr="00181BA7">
        <w:rPr>
          <w:rStyle w:val="Appelnotedebasdep"/>
          <w:lang w:val="en-CA"/>
        </w:rPr>
        <w:footnoteReference w:id="5"/>
      </w:r>
      <w:r w:rsidRPr="00181BA7">
        <w:rPr>
          <w:lang w:val="en-CA"/>
        </w:rPr>
        <w:t xml:space="preserve"> and impleaded party SDIT Inc.,</w:t>
      </w:r>
      <w:r w:rsidRPr="00181BA7">
        <w:rPr>
          <w:rStyle w:val="Appelnotedebasdep"/>
          <w:lang w:val="en-CA"/>
        </w:rPr>
        <w:footnoteReference w:id="6"/>
      </w:r>
      <w:r w:rsidRPr="00181BA7">
        <w:rPr>
          <w:lang w:val="en-CA"/>
        </w:rPr>
        <w:t xml:space="preserve"> which also used the names M2Bio Science and Wuhan Général Groupe. Impleaded party Doua’a Ismail is the spouse of respondent Ramy Kamaneh.</w:t>
      </w:r>
    </w:p>
    <w:p w14:paraId="38E1A75A" w14:textId="77777777" w:rsidR="005D41AE" w:rsidRPr="001A6C7C" w:rsidRDefault="007B165B" w:rsidP="007B165B">
      <w:pPr>
        <w:pStyle w:val="Paragraphe"/>
        <w:rPr>
          <w:lang w:val="en-CA"/>
        </w:rPr>
      </w:pPr>
      <w:r w:rsidRPr="00181BA7">
        <w:rPr>
          <w:lang w:val="en-CA"/>
        </w:rPr>
        <w:t xml:space="preserve"> Respondent Mohamed Kada Mesli is a resident of Québec and describes himself as the incumbent of three professional positions: (i) Director of Marketing for Chapman Cloud Accounting, Montréal, (ii) Co-founder and Managing Partner of Andalusian Capital, Montréal, and (iii) CEO and Founder of Mason &amp; Mesli – Online Marketing</w:t>
      </w:r>
      <w:r w:rsidRPr="00181BA7">
        <w:rPr>
          <w:rStyle w:val="Appelnotedebasdep"/>
          <w:lang w:val="en-CA"/>
        </w:rPr>
        <w:footnoteReference w:id="7"/>
      </w:r>
      <w:r w:rsidRPr="00181BA7">
        <w:rPr>
          <w:lang w:val="en-CA"/>
        </w:rPr>
        <w:t>. He is the majority shareholder and sole director of impleaded party 7350341 Canada Inc.</w:t>
      </w:r>
      <w:r w:rsidRPr="00181BA7">
        <w:rPr>
          <w:rStyle w:val="Appelnotedebasdep"/>
          <w:lang w:val="en-CA"/>
        </w:rPr>
        <w:footnoteReference w:id="8"/>
      </w:r>
      <w:r w:rsidRPr="00181BA7">
        <w:rPr>
          <w:lang w:val="en-CA"/>
        </w:rPr>
        <w:t>, which also conducts business under the name Capital Andalusian. Impleaded party Nour El-Chafel is the spouse of respondent Mohamed Kada Mesli.</w:t>
      </w:r>
    </w:p>
    <w:p w14:paraId="43DDE8E2" w14:textId="77777777" w:rsidR="0002722E" w:rsidRPr="001A6C7C" w:rsidRDefault="0002722E" w:rsidP="0002722E">
      <w:pPr>
        <w:pStyle w:val="Paragraphe"/>
        <w:rPr>
          <w:lang w:val="en-CA"/>
        </w:rPr>
      </w:pPr>
      <w:r w:rsidRPr="00181BA7">
        <w:rPr>
          <w:lang w:val="en-CA"/>
        </w:rPr>
        <w:t xml:space="preserve">The Authority’s application was made under s. 115.1 of the </w:t>
      </w:r>
      <w:r w:rsidRPr="00181BA7">
        <w:rPr>
          <w:i/>
          <w:iCs/>
          <w:lang w:val="en-CA"/>
        </w:rPr>
        <w:t xml:space="preserve">Act respecting </w:t>
      </w:r>
      <w:bookmarkStart w:id="4" w:name="_ftnref1"/>
      <w:r w:rsidRPr="00181BA7">
        <w:rPr>
          <w:i/>
          <w:iCs/>
          <w:lang w:val="en-CA"/>
        </w:rPr>
        <w:t>regulation of the financial sector</w:t>
      </w:r>
      <w:r w:rsidRPr="00181BA7">
        <w:rPr>
          <w:lang w:val="en-CA"/>
        </w:rPr>
        <w:t>﻿﻿, which authorizes the Tribunal to render a decision that adversely affects the rights of a person without a prior hearing if urgent action is required or to prevent irreparable injury.</w:t>
      </w:r>
    </w:p>
    <w:p w14:paraId="333C00FE" w14:textId="77777777" w:rsidR="0002722E" w:rsidRPr="001A6C7C" w:rsidRDefault="0002722E" w:rsidP="0002722E">
      <w:pPr>
        <w:pStyle w:val="Paragraphe"/>
        <w:rPr>
          <w:lang w:val="en-CA"/>
        </w:rPr>
      </w:pPr>
      <w:r w:rsidRPr="00181BA7">
        <w:rPr>
          <w:lang w:val="en-CA"/>
        </w:rPr>
        <w:t xml:space="preserve">Together with its application, the Authority filed the affidavit required by s. 19 of the </w:t>
      </w:r>
      <w:r w:rsidRPr="00181BA7">
        <w:rPr>
          <w:i/>
          <w:iCs/>
          <w:lang w:val="en-CA"/>
        </w:rPr>
        <w:t>Rules of Procedure of the</w:t>
      </w:r>
      <w:r w:rsidRPr="00181BA7">
        <w:rPr>
          <w:lang w:val="en-CA"/>
        </w:rPr>
        <w:t xml:space="preserve"> </w:t>
      </w:r>
      <w:bookmarkStart w:id="5" w:name="_ftnref4"/>
      <w:r w:rsidRPr="00181BA7">
        <w:rPr>
          <w:i/>
          <w:iCs/>
          <w:lang w:val="en-CA"/>
        </w:rPr>
        <w:t>Financial Markets Administrative Tribunal</w:t>
      </w:r>
      <w:bookmarkEnd w:id="5"/>
      <w:r w:rsidRPr="00181BA7">
        <w:rPr>
          <w:lang w:val="en-CA"/>
        </w:rPr>
        <w:t>﻿﻿﻿﻿﻿﻿</w:t>
      </w:r>
      <w:bookmarkStart w:id="6" w:name="_ftnref2"/>
      <w:bookmarkEnd w:id="4"/>
      <w:r w:rsidRPr="00181BA7">
        <w:rPr>
          <w:lang w:val="en-CA"/>
        </w:rPr>
        <w:t>﻿﻿</w:t>
      </w:r>
      <w:bookmarkEnd w:id="6"/>
      <w:r w:rsidRPr="00181BA7">
        <w:rPr>
          <w:lang w:val="en-CA"/>
        </w:rPr>
        <w:t>,</w:t>
      </w:r>
      <w:r w:rsidRPr="00181BA7">
        <w:rPr>
          <w:rStyle w:val="Appelnotedebasdep"/>
          <w:rFonts w:cs="Arial"/>
          <w:lang w:val="en-CA"/>
        </w:rPr>
        <w:footnoteReference w:id="9"/>
      </w:r>
      <w:r w:rsidRPr="00181BA7">
        <w:rPr>
          <w:lang w:val="en-CA"/>
        </w:rPr>
        <w:t xml:space="preserve"> whereby an application based on imperative reasons must be filed with a sworn affidavit supporting the facts of the application and the imperative reasons on which it is based </w:t>
      </w:r>
    </w:p>
    <w:p w14:paraId="1FFED06A" w14:textId="61B3E4DE" w:rsidR="0002722E" w:rsidRPr="001A6C7C" w:rsidRDefault="0002722E" w:rsidP="0002722E">
      <w:pPr>
        <w:pStyle w:val="Paragraphe"/>
        <w:rPr>
          <w:lang w:val="en-CA"/>
        </w:rPr>
      </w:pPr>
      <w:r w:rsidRPr="00181BA7">
        <w:rPr>
          <w:lang w:val="en-CA"/>
        </w:rPr>
        <w:t>A copy of the application</w:t>
      </w:r>
      <w:r w:rsidRPr="00181BA7">
        <w:rPr>
          <w:rStyle w:val="Appelnotedebasdep"/>
          <w:lang w:val="en-CA"/>
        </w:rPr>
        <w:footnoteReference w:id="10"/>
      </w:r>
      <w:r w:rsidRPr="00181BA7">
        <w:rPr>
          <w:lang w:val="en-CA"/>
        </w:rPr>
        <w:t xml:space="preserve"> and the required affidavit is appended to this decision.</w:t>
      </w:r>
    </w:p>
    <w:p w14:paraId="0D8E3892" w14:textId="77777777" w:rsidR="007448FF" w:rsidRPr="00181BA7" w:rsidRDefault="00B8309A" w:rsidP="007B165B">
      <w:pPr>
        <w:pStyle w:val="Paragraphe"/>
      </w:pPr>
      <w:r w:rsidRPr="00181BA7">
        <w:rPr>
          <w:lang w:val="en-CA"/>
        </w:rPr>
        <w:t xml:space="preserve">The Authority alleges that for approximately ten (10) months, i.e., between March 2021 and January 2022, respondents Ramy Kamaneh and Mohamed Kada Mesli committed serious offences under ss. 195.2 and 199.1 of the </w:t>
      </w:r>
      <w:r w:rsidRPr="00181BA7">
        <w:rPr>
          <w:i/>
          <w:iCs/>
          <w:lang w:val="en-CA"/>
        </w:rPr>
        <w:t>Securities Act</w:t>
      </w:r>
      <w:r w:rsidRPr="00181BA7">
        <w:rPr>
          <w:lang w:val="en-CA"/>
        </w:rPr>
        <w:t xml:space="preserve"> and committed acts contrary to the public interest that are likely to affect the integrity of the financial markets and the trust of the public investor in these markets. In this respect, the Authority more specifically alleges that:</w:t>
      </w:r>
    </w:p>
    <w:p w14:paraId="241CE626" w14:textId="77777777" w:rsidR="007B165B" w:rsidRPr="001A6C7C" w:rsidRDefault="007448FF" w:rsidP="007448FF">
      <w:pPr>
        <w:pStyle w:val="Paragraphe"/>
        <w:numPr>
          <w:ilvl w:val="0"/>
          <w:numId w:val="23"/>
        </w:numPr>
        <w:rPr>
          <w:lang w:val="en-CA"/>
        </w:rPr>
      </w:pPr>
      <w:r w:rsidRPr="00181BA7">
        <w:rPr>
          <w:lang w:val="en-CA"/>
        </w:rPr>
        <w:lastRenderedPageBreak/>
        <w:t>Respondent Ramy Kamaneh influenced and/or attempted to influence the price or value of the securities of Magic Wheels Corporation (“MJWL”), ICOA and All American Pet Company (“AAPT”)</w:t>
      </w:r>
      <w:r w:rsidRPr="00181BA7">
        <w:rPr>
          <w:rStyle w:val="Appelnotedebasdep"/>
          <w:lang w:val="en-CA"/>
        </w:rPr>
        <w:footnoteReference w:id="11"/>
      </w:r>
      <w:r w:rsidRPr="00181BA7">
        <w:rPr>
          <w:lang w:val="en-CA"/>
        </w:rPr>
        <w:t xml:space="preserve"> using unfair, improper or fraudulent practices;</w:t>
      </w:r>
    </w:p>
    <w:p w14:paraId="03B6009F" w14:textId="77777777" w:rsidR="009B3F2A" w:rsidRPr="001A6C7C" w:rsidRDefault="009B3F2A" w:rsidP="007448FF">
      <w:pPr>
        <w:pStyle w:val="Paragraphe"/>
        <w:numPr>
          <w:ilvl w:val="0"/>
          <w:numId w:val="23"/>
        </w:numPr>
        <w:rPr>
          <w:lang w:val="en-CA"/>
        </w:rPr>
      </w:pPr>
      <w:r w:rsidRPr="00181BA7">
        <w:rPr>
          <w:lang w:val="en-CA"/>
        </w:rPr>
        <w:t>Respondent Mohamed Kada Mesli influenced and/or attempted to influence the price or value of the securities of ICOA companies using unfair, improper or fraudulent practices;</w:t>
      </w:r>
    </w:p>
    <w:p w14:paraId="78428BCE" w14:textId="77777777" w:rsidR="009B3F2A" w:rsidRPr="001A6C7C" w:rsidRDefault="009B3F2A" w:rsidP="007448FF">
      <w:pPr>
        <w:pStyle w:val="Paragraphe"/>
        <w:numPr>
          <w:ilvl w:val="0"/>
          <w:numId w:val="23"/>
        </w:numPr>
        <w:rPr>
          <w:lang w:val="en-CA"/>
        </w:rPr>
      </w:pPr>
      <w:r w:rsidRPr="00181BA7">
        <w:rPr>
          <w:lang w:val="en-CA"/>
        </w:rPr>
        <w:t>Respondent Ramy Kamaneh engaged in an act, practice or conduct that he knew or ought reasonably to know would create an artificial price for the securities of MJWL, ICOA and AAPT;</w:t>
      </w:r>
    </w:p>
    <w:p w14:paraId="2BFA58F2" w14:textId="77777777" w:rsidR="00AC1127" w:rsidRPr="001A6C7C" w:rsidRDefault="00AC1127" w:rsidP="007448FF">
      <w:pPr>
        <w:pStyle w:val="Paragraphe"/>
        <w:numPr>
          <w:ilvl w:val="0"/>
          <w:numId w:val="23"/>
        </w:numPr>
        <w:rPr>
          <w:lang w:val="en-CA"/>
        </w:rPr>
      </w:pPr>
      <w:r w:rsidRPr="00181BA7">
        <w:rPr>
          <w:lang w:val="en-CA"/>
        </w:rPr>
        <w:t>Respondent Mohamed Kada Mesli engaged in an act, practice or conduct that he knew or ought reasonably to know would create an artificial price for the securities of ICOA and AAPT.</w:t>
      </w:r>
    </w:p>
    <w:p w14:paraId="3E33002D" w14:textId="77777777" w:rsidR="00344099" w:rsidRPr="001A6C7C" w:rsidRDefault="00AC1127" w:rsidP="00344099">
      <w:pPr>
        <w:pStyle w:val="Paragraphe"/>
        <w:rPr>
          <w:lang w:val="en-CA"/>
        </w:rPr>
      </w:pPr>
      <w:r w:rsidRPr="00181BA7">
        <w:rPr>
          <w:lang w:val="en-CA"/>
        </w:rPr>
        <w:t xml:space="preserve">The Authority affirms that its investigation into this case is ongoing and essentially concerns a scheme in which the respondents allegedly participated to manipulate the market shares of the three aforementioned companies. </w:t>
      </w:r>
    </w:p>
    <w:p w14:paraId="459A8408" w14:textId="77777777" w:rsidR="00344099" w:rsidRPr="001A6C7C" w:rsidRDefault="00344099" w:rsidP="00344099">
      <w:pPr>
        <w:pStyle w:val="Paragraphe"/>
        <w:rPr>
          <w:lang w:val="en-CA"/>
        </w:rPr>
      </w:pPr>
      <w:r w:rsidRPr="00181BA7">
        <w:rPr>
          <w:lang w:val="en-CA"/>
        </w:rPr>
        <w:t>According to the Authority, its investigation shows that between May 2021 and February 2022, the respondents unlawfully made profits of nearly USD 12 million, or more than CAD 15 million, by participating in this scheme.</w:t>
      </w:r>
    </w:p>
    <w:p w14:paraId="53C7FDE6" w14:textId="77777777" w:rsidR="00694E3E" w:rsidRPr="001A6C7C" w:rsidRDefault="00694E3E" w:rsidP="00694E3E">
      <w:pPr>
        <w:pStyle w:val="Paragraphe"/>
        <w:rPr>
          <w:lang w:val="en-CA"/>
        </w:rPr>
      </w:pPr>
      <w:r w:rsidRPr="00181BA7">
        <w:rPr>
          <w:lang w:val="en-CA"/>
        </w:rPr>
        <w:t>The Authority argues that it is urgent for the Tribunal to issue the orders required in the findings of its application, in particular to (i) prevent the respondents from squandering the significant sums they have already gained through illegal activities, and (ii) to prevent the respondents from persisting in these illegal activities, which are likely to cause irreparable injury to the integrity of the financial markets and the public investor.</w:t>
      </w:r>
    </w:p>
    <w:p w14:paraId="3A6435F9" w14:textId="77777777" w:rsidR="00FA3C17" w:rsidRPr="001A6C7C" w:rsidRDefault="00FA3C17" w:rsidP="0002722E">
      <w:pPr>
        <w:pStyle w:val="Paragraphe"/>
        <w:rPr>
          <w:lang w:val="en-CA"/>
        </w:rPr>
      </w:pPr>
      <w:r w:rsidRPr="00181BA7">
        <w:rPr>
          <w:lang w:val="en-CA"/>
        </w:rPr>
        <w:t xml:space="preserve">Given the urgency alleged by the Authority, the Tribunal heard its request on its merits at an </w:t>
      </w:r>
      <w:r w:rsidRPr="00181BA7">
        <w:rPr>
          <w:i/>
          <w:iCs/>
          <w:lang w:val="en-CA"/>
        </w:rPr>
        <w:t>ex parte</w:t>
      </w:r>
      <w:r w:rsidRPr="00181BA7">
        <w:rPr>
          <w:lang w:val="en-CA"/>
        </w:rPr>
        <w:t xml:space="preserve"> hearing held on December 12, 2022. </w:t>
      </w:r>
      <w:r w:rsidRPr="00181BA7">
        <w:rPr>
          <w:color w:val="000000" w:themeColor="text1"/>
          <w:szCs w:val="24"/>
          <w:lang w:val="en-CA"/>
        </w:rPr>
        <w:t>The Tribunal may, in an emergency or to avoid irreparable injury, render a decision that adversely affects the rights of a person without a prior hearing.</w:t>
      </w:r>
      <w:r w:rsidRPr="00181BA7">
        <w:rPr>
          <w:rStyle w:val="Appelnotedebasdep"/>
          <w:color w:val="000000" w:themeColor="text1"/>
          <w:szCs w:val="24"/>
          <w:lang w:val="en-CA"/>
        </w:rPr>
        <w:footnoteReference w:id="12"/>
      </w:r>
    </w:p>
    <w:p w14:paraId="31776DFF" w14:textId="77777777" w:rsidR="00C751A8" w:rsidRPr="001A6C7C" w:rsidRDefault="00C751A8" w:rsidP="00C751A8">
      <w:pPr>
        <w:pStyle w:val="Paragraphe"/>
        <w:numPr>
          <w:ilvl w:val="0"/>
          <w:numId w:val="1"/>
        </w:numPr>
        <w:rPr>
          <w:color w:val="000000" w:themeColor="text1"/>
          <w:szCs w:val="24"/>
          <w:lang w:val="en-CA"/>
        </w:rPr>
      </w:pPr>
      <w:r w:rsidRPr="00181BA7">
        <w:rPr>
          <w:color w:val="000000" w:themeColor="text1"/>
          <w:szCs w:val="24"/>
          <w:lang w:val="en-CA"/>
        </w:rPr>
        <w:t xml:space="preserve">In its analysis and determination of the issues raised, the Tribunal answered the following questions: </w:t>
      </w:r>
    </w:p>
    <w:p w14:paraId="4DC38FA0" w14:textId="77777777" w:rsidR="00C751A8" w:rsidRPr="001A6C7C" w:rsidRDefault="00C751A8" w:rsidP="00C751A8">
      <w:pPr>
        <w:pStyle w:val="Paragraphe"/>
        <w:numPr>
          <w:ilvl w:val="0"/>
          <w:numId w:val="14"/>
        </w:numPr>
        <w:rPr>
          <w:color w:val="000000" w:themeColor="text1"/>
          <w:szCs w:val="24"/>
          <w:lang w:val="en-CA"/>
        </w:rPr>
      </w:pPr>
      <w:r w:rsidRPr="00181BA7">
        <w:rPr>
          <w:color w:val="000000" w:themeColor="text1"/>
          <w:szCs w:val="24"/>
          <w:lang w:val="en-CA"/>
        </w:rPr>
        <w:t xml:space="preserve">Does the evidence gathered by the Authority show apparent breaches by the respondents to the </w:t>
      </w:r>
      <w:r w:rsidRPr="00181BA7">
        <w:rPr>
          <w:i/>
          <w:iCs/>
          <w:lang w:val="en-CA"/>
        </w:rPr>
        <w:t>Securities Act</w:t>
      </w:r>
      <w:r w:rsidRPr="00181BA7">
        <w:rPr>
          <w:color w:val="000000" w:themeColor="text1"/>
          <w:szCs w:val="24"/>
          <w:lang w:val="en-CA"/>
        </w:rPr>
        <w:t xml:space="preserve"> or acts contrary to the public interest? </w:t>
      </w:r>
    </w:p>
    <w:p w14:paraId="6269CB9C" w14:textId="77777777" w:rsidR="00C751A8" w:rsidRPr="001A6C7C" w:rsidRDefault="00C751A8" w:rsidP="00C751A8">
      <w:pPr>
        <w:pStyle w:val="Paragraphe"/>
        <w:numPr>
          <w:ilvl w:val="0"/>
          <w:numId w:val="14"/>
        </w:numPr>
        <w:rPr>
          <w:color w:val="000000" w:themeColor="text1"/>
          <w:szCs w:val="24"/>
          <w:lang w:val="en-CA"/>
        </w:rPr>
      </w:pPr>
      <w:r w:rsidRPr="00181BA7">
        <w:rPr>
          <w:lang w:val="en-CA"/>
        </w:rPr>
        <w:t>Are we dealing with a situation that requires urgent action and/or that could result in irreparable injury unless the Tribunal does not render a decision without first hearing the respondents and the impleaded parties</w:t>
      </w:r>
      <w:r w:rsidRPr="00181BA7">
        <w:rPr>
          <w:color w:val="000000" w:themeColor="text1"/>
          <w:szCs w:val="24"/>
          <w:lang w:val="en-CA"/>
        </w:rPr>
        <w:t>?</w:t>
      </w:r>
    </w:p>
    <w:p w14:paraId="0FB4FB63" w14:textId="77777777" w:rsidR="00C751A8" w:rsidRPr="001A6C7C" w:rsidRDefault="00C751A8" w:rsidP="00C751A8">
      <w:pPr>
        <w:pStyle w:val="Paragraphe"/>
        <w:numPr>
          <w:ilvl w:val="0"/>
          <w:numId w:val="14"/>
        </w:numPr>
        <w:rPr>
          <w:color w:val="000000" w:themeColor="text1"/>
          <w:szCs w:val="24"/>
          <w:lang w:val="en-CA"/>
        </w:rPr>
      </w:pPr>
      <w:r w:rsidRPr="00181BA7">
        <w:rPr>
          <w:color w:val="000000" w:themeColor="text1"/>
          <w:szCs w:val="24"/>
          <w:lang w:val="en-CA"/>
        </w:rPr>
        <w:lastRenderedPageBreak/>
        <w:t xml:space="preserve">If so, what preventive, protective and conservatory measures should the Tribunal implement in the public interest? </w:t>
      </w:r>
    </w:p>
    <w:p w14:paraId="2D1CC508" w14:textId="77777777" w:rsidR="008069BD" w:rsidRPr="001A6C7C" w:rsidRDefault="00E379D0" w:rsidP="008069BD">
      <w:pPr>
        <w:pStyle w:val="Paragraphe"/>
        <w:rPr>
          <w:lang w:val="en-CA"/>
        </w:rPr>
      </w:pPr>
      <w:r w:rsidRPr="00181BA7">
        <w:rPr>
          <w:lang w:val="en-CA"/>
        </w:rPr>
        <w:t xml:space="preserve">After analysis, the Tribunal responded positively to the first two questions above and decided, in the public interest, to implement all of the cease trade and freeze orders required in the conclusions of the Authority's amended application as protective, preventive and conservatory measures. </w:t>
      </w:r>
    </w:p>
    <w:p w14:paraId="43BF82FF" w14:textId="77777777" w:rsidR="00585FBC" w:rsidRPr="001A6C7C" w:rsidRDefault="00585FBC" w:rsidP="008069BD">
      <w:pPr>
        <w:pStyle w:val="Paragraphe"/>
        <w:numPr>
          <w:ilvl w:val="0"/>
          <w:numId w:val="0"/>
        </w:numPr>
        <w:rPr>
          <w:b/>
          <w:lang w:val="en-CA"/>
        </w:rPr>
      </w:pPr>
      <w:r w:rsidRPr="00181BA7">
        <w:rPr>
          <w:b/>
          <w:bCs/>
          <w:lang w:val="en-CA"/>
        </w:rPr>
        <w:t>ANALYSIS</w:t>
      </w:r>
    </w:p>
    <w:p w14:paraId="2511483B" w14:textId="77777777" w:rsidR="00D9369B" w:rsidRPr="001A6C7C" w:rsidRDefault="00825D7D" w:rsidP="00A45014">
      <w:pPr>
        <w:pStyle w:val="Titre2"/>
        <w:rPr>
          <w:lang w:val="en-CA"/>
        </w:rPr>
      </w:pPr>
      <w:r w:rsidRPr="00181BA7">
        <w:rPr>
          <w:bCs/>
          <w:lang w:val="en-CA"/>
        </w:rPr>
        <w:t xml:space="preserve">Question 1: Does the evidence adduced by the Authority show apparent breaches by the respondents of the </w:t>
      </w:r>
      <w:r w:rsidRPr="00181BA7">
        <w:rPr>
          <w:bCs/>
          <w:i/>
          <w:iCs/>
          <w:lang w:val="en-CA"/>
        </w:rPr>
        <w:t>Securities Act</w:t>
      </w:r>
      <w:r w:rsidRPr="00181BA7">
        <w:rPr>
          <w:bCs/>
          <w:lang w:val="en-CA"/>
        </w:rPr>
        <w:t xml:space="preserve"> or actions contrary to the public interest?</w:t>
      </w:r>
    </w:p>
    <w:p w14:paraId="230CBFE0" w14:textId="77777777" w:rsidR="00A45014" w:rsidRPr="001A6C7C" w:rsidRDefault="00A45014" w:rsidP="00B14E95">
      <w:pPr>
        <w:pStyle w:val="Paragraphe"/>
        <w:rPr>
          <w:lang w:val="en-CA"/>
        </w:rPr>
      </w:pPr>
      <w:r w:rsidRPr="00181BA7">
        <w:rPr>
          <w:lang w:val="en-CA"/>
        </w:rPr>
        <w:t xml:space="preserve">In the Tribunal’s opinion, the Authority adduced compelling evidence showing that, for approximately ten (10) months, between March 2021 and January 2022, respondents Ramy Kamaneh and Mohamed Kada Mesli committed apparent breaches of ss. 195.2 and 199.1 of the </w:t>
      </w:r>
      <w:r w:rsidRPr="00181BA7">
        <w:rPr>
          <w:i/>
          <w:iCs/>
          <w:lang w:val="en-CA"/>
        </w:rPr>
        <w:t>Securities Act</w:t>
      </w:r>
      <w:r w:rsidRPr="00181BA7">
        <w:rPr>
          <w:lang w:val="en-CA"/>
        </w:rPr>
        <w:t xml:space="preserve"> as well as apparent acts contrary to the public interest and likely to cause irreparable injury to the integrity of the financial markets and to affect the confidence of public investors in these markets.</w:t>
      </w:r>
    </w:p>
    <w:p w14:paraId="3B29AFF2" w14:textId="428488B8" w:rsidR="00E37216" w:rsidRPr="001A6C7C" w:rsidRDefault="00A713FD" w:rsidP="00E37216">
      <w:pPr>
        <w:pStyle w:val="Paragraphe"/>
        <w:rPr>
          <w:lang w:val="en-CA"/>
        </w:rPr>
      </w:pPr>
      <w:r w:rsidRPr="00181BA7">
        <w:rPr>
          <w:lang w:val="en-CA"/>
        </w:rPr>
        <w:t xml:space="preserve">According to the evidence adduced by the Authority, these apparent breaches and acts contrary to the public interest were committed by the respondents when they became involved in a scheme to influence and/or attempt to influence the price or value of the securities of MJWL, ICOA and AAPT using unfair, improper or fraudulent practices. </w:t>
      </w:r>
    </w:p>
    <w:p w14:paraId="494F99E6" w14:textId="717DCA0A" w:rsidR="00E37216" w:rsidRPr="001A6C7C" w:rsidRDefault="00A713FD" w:rsidP="00B14E95">
      <w:pPr>
        <w:pStyle w:val="Paragraphe"/>
        <w:rPr>
          <w:lang w:val="en-CA"/>
        </w:rPr>
      </w:pPr>
      <w:r w:rsidRPr="00181BA7">
        <w:rPr>
          <w:lang w:val="en-CA"/>
        </w:rPr>
        <w:t>The securities of these three issuers are traded on the OTC Markets Stock Exchange in the United States and are commonly referred to in the English-speaking world as “penny stock,” i.e., companies with a unit share value that generally under one dollar.</w:t>
      </w:r>
    </w:p>
    <w:p w14:paraId="0DCFF53C" w14:textId="77777777" w:rsidR="00B14E95" w:rsidRPr="001A6C7C" w:rsidRDefault="00A45014" w:rsidP="00B14E95">
      <w:pPr>
        <w:pStyle w:val="Paragraphe"/>
        <w:rPr>
          <w:lang w:val="en-CA"/>
        </w:rPr>
      </w:pPr>
      <w:r w:rsidRPr="00181BA7">
        <w:rPr>
          <w:lang w:val="en-CA"/>
        </w:rPr>
        <w:t xml:space="preserve">The Tribunal underscored that ss. 195.2 and 199.1 of the </w:t>
      </w:r>
      <w:r w:rsidRPr="00181BA7">
        <w:rPr>
          <w:i/>
          <w:iCs/>
          <w:lang w:val="en-CA"/>
        </w:rPr>
        <w:t>Securities Act</w:t>
      </w:r>
      <w:r w:rsidRPr="00181BA7">
        <w:rPr>
          <w:lang w:val="en-CA"/>
        </w:rPr>
        <w:t xml:space="preserve"> provide as follows:</w:t>
      </w:r>
    </w:p>
    <w:p w14:paraId="7DFFA8C1" w14:textId="77777777" w:rsidR="00B14E95" w:rsidRPr="008318D8" w:rsidRDefault="00B14E95" w:rsidP="00B14E95">
      <w:pPr>
        <w:pStyle w:val="Citationendoubleretrait"/>
        <w:rPr>
          <w:rStyle w:val="subsection"/>
          <w:szCs w:val="22"/>
          <w:shd w:val="clear" w:color="auto" w:fill="FFFFFF"/>
          <w:lang w:val="en-CA"/>
        </w:rPr>
      </w:pPr>
      <w:bookmarkStart w:id="7" w:name="_Hlk99659801"/>
      <w:r w:rsidRPr="00181BA7">
        <w:rPr>
          <w:rStyle w:val="label-section"/>
          <w:b/>
          <w:bCs/>
          <w:szCs w:val="22"/>
          <w:shd w:val="clear" w:color="auto" w:fill="FFFFFF"/>
          <w:lang w:val="en-CA"/>
        </w:rPr>
        <w:t>195.2.</w:t>
      </w:r>
      <w:r w:rsidRPr="00181BA7">
        <w:rPr>
          <w:szCs w:val="22"/>
          <w:shd w:val="clear" w:color="auto" w:fill="FFFFFF"/>
          <w:lang w:val="en-CA"/>
        </w:rPr>
        <w:t> </w:t>
      </w:r>
      <w:r w:rsidRPr="00181BA7">
        <w:rPr>
          <w:rStyle w:val="subsection"/>
          <w:szCs w:val="22"/>
          <w:shd w:val="clear" w:color="auto" w:fill="FFFFFF"/>
          <w:lang w:val="en-CA"/>
        </w:rPr>
        <w:t>Influencing or attempting to influence the market price or the value of securities by means of unfair, improper or fraudulent practices is an offence.</w:t>
      </w:r>
    </w:p>
    <w:p w14:paraId="53F9E986" w14:textId="77777777" w:rsidR="00B14E95" w:rsidRPr="008318D8" w:rsidRDefault="001B00C0" w:rsidP="00B14E95">
      <w:pPr>
        <w:pStyle w:val="Citationendoubleretrait"/>
        <w:rPr>
          <w:lang w:val="en-CA"/>
        </w:rPr>
      </w:pPr>
      <w:r w:rsidRPr="00181BA7">
        <w:rPr>
          <w:b/>
          <w:bCs/>
          <w:lang w:val="en-CA"/>
        </w:rPr>
        <w:t>199.1.</w:t>
      </w:r>
      <w:r w:rsidRPr="00181BA7">
        <w:rPr>
          <w:lang w:val="en-CA"/>
        </w:rPr>
        <w:t> A person who directly or indirectly engages or participates in any transaction or series of transactions in securities or any trading method relating to a transaction in securities, or in any act, practice or course of conduct is guilty of an offence if the person knows, or ought reasonably to know, that the transaction, series of transactions, trading method, act, practice or course of conduct.</w:t>
      </w:r>
    </w:p>
    <w:p w14:paraId="3580ABCC" w14:textId="77777777" w:rsidR="00B14E95" w:rsidRPr="001A6C7C" w:rsidRDefault="00B14E95" w:rsidP="00B14E95">
      <w:pPr>
        <w:pStyle w:val="Citationendoubleretrait"/>
        <w:rPr>
          <w:lang w:val="en-CA"/>
        </w:rPr>
      </w:pPr>
      <w:r w:rsidRPr="00181BA7">
        <w:rPr>
          <w:lang w:val="en-CA"/>
        </w:rPr>
        <w:t>(1) creates or contributes to a misleading appearance of trading activity in, or an artificial price for, a security; or</w:t>
      </w:r>
    </w:p>
    <w:p w14:paraId="244B7D17" w14:textId="77777777" w:rsidR="00B14E95" w:rsidRPr="001A6C7C" w:rsidRDefault="00B14E95" w:rsidP="00B14E95">
      <w:pPr>
        <w:pStyle w:val="Citationendoubleretrait"/>
        <w:rPr>
          <w:lang w:val="en-CA"/>
        </w:rPr>
      </w:pPr>
      <w:r w:rsidRPr="00181BA7">
        <w:rPr>
          <w:lang w:val="en-CA"/>
        </w:rPr>
        <w:t>(2) perpetrates a fraud on any person.</w:t>
      </w:r>
    </w:p>
    <w:p w14:paraId="7F0A95DF" w14:textId="77777777" w:rsidR="00B14E95" w:rsidRPr="001A6C7C" w:rsidRDefault="00B14E95" w:rsidP="00B14E95">
      <w:pPr>
        <w:pStyle w:val="Citationendoubleretrait"/>
        <w:rPr>
          <w:lang w:val="en-CA"/>
        </w:rPr>
      </w:pPr>
      <w:r w:rsidRPr="00181BA7">
        <w:rPr>
          <w:lang w:val="en-CA"/>
        </w:rPr>
        <w:t>A person who attempts to commit an offence described in the first paragraph is also guilty of an offence.</w:t>
      </w:r>
      <w:bookmarkEnd w:id="7"/>
    </w:p>
    <w:p w14:paraId="542486E5" w14:textId="77777777" w:rsidR="00E81BD8" w:rsidRPr="001A6C7C" w:rsidRDefault="00E81BD8" w:rsidP="00B14E95">
      <w:pPr>
        <w:pStyle w:val="Paragraphe"/>
        <w:rPr>
          <w:lang w:val="en-CA"/>
        </w:rPr>
      </w:pPr>
      <w:r w:rsidRPr="00181BA7">
        <w:rPr>
          <w:lang w:val="en-CA"/>
        </w:rPr>
        <w:lastRenderedPageBreak/>
        <w:t>In October 2021, the Authority launched an investigation</w:t>
      </w:r>
      <w:r w:rsidRPr="00181BA7">
        <w:rPr>
          <w:rStyle w:val="Appelnotedebasdep"/>
          <w:lang w:val="en-CA"/>
        </w:rPr>
        <w:footnoteReference w:id="13"/>
      </w:r>
      <w:r w:rsidRPr="00181BA7">
        <w:rPr>
          <w:lang w:val="en-CA"/>
        </w:rPr>
        <w:t xml:space="preserve"> notably to determine whether natural or legal persons influenced or attempted to influence the MJWL share price or value through unfair, improper or fraudulent practices.</w:t>
      </w:r>
    </w:p>
    <w:p w14:paraId="1857D4D6" w14:textId="77777777" w:rsidR="00561338" w:rsidRPr="001A6C7C" w:rsidRDefault="00E81BD8" w:rsidP="00B14E95">
      <w:pPr>
        <w:pStyle w:val="Paragraphe"/>
        <w:rPr>
          <w:lang w:val="en-CA"/>
        </w:rPr>
      </w:pPr>
      <w:r w:rsidRPr="00181BA7">
        <w:rPr>
          <w:lang w:val="en-CA"/>
        </w:rPr>
        <w:t>Respondent Ramy Kamaneh was questioned by Authority investigators on October 14, 2021 and told them at that time he had no contact with MJWL management.</w:t>
      </w:r>
      <w:r w:rsidRPr="00181BA7">
        <w:rPr>
          <w:rStyle w:val="Appelnotedebasdep"/>
          <w:lang w:val="en-CA"/>
        </w:rPr>
        <w:footnoteReference w:id="14"/>
      </w:r>
      <w:r w:rsidRPr="00181BA7">
        <w:rPr>
          <w:lang w:val="en-CA"/>
        </w:rPr>
        <w:t xml:space="preserve"> </w:t>
      </w:r>
    </w:p>
    <w:p w14:paraId="7C8CE0D1" w14:textId="6D9F0F12" w:rsidR="00F95F12" w:rsidRPr="001A6C7C" w:rsidRDefault="00D46B70" w:rsidP="00B14E95">
      <w:pPr>
        <w:pStyle w:val="Paragraphe"/>
        <w:rPr>
          <w:lang w:val="en-CA"/>
        </w:rPr>
      </w:pPr>
      <w:bookmarkStart w:id="8" w:name="_Ref101166842"/>
      <w:r w:rsidRPr="00181BA7">
        <w:rPr>
          <w:lang w:val="en-CA"/>
        </w:rPr>
        <w:t>However, the Authority’s investigators discovered a correspondence between the IP addresses used by David Shaw Cheng Chong (“David Chong”), appointed CEO and director of MJWL on May 12, 2021</w:t>
      </w:r>
      <w:r w:rsidRPr="00181BA7">
        <w:rPr>
          <w:rStyle w:val="Appelnotedebasdep"/>
          <w:lang w:val="en-CA"/>
        </w:rPr>
        <w:footnoteReference w:id="15"/>
      </w:r>
      <w:r w:rsidRPr="00181BA7">
        <w:rPr>
          <w:lang w:val="en-CA"/>
        </w:rPr>
        <w:t>, and the IP addresses used by respondent Ramy Kamaneh. The evidence adduced by the Authority therefore appears to show that the person who interacted via the Internet several times, in June and August 2021, with the MJWL transfer agent and with OTC Markets - in this case David Chong - had connected to the Internet from the same location as the person who connected to the brokerage and bank accounts of respondent Ramy Kamaneh.</w:t>
      </w:r>
      <w:r w:rsidRPr="00181BA7">
        <w:rPr>
          <w:rStyle w:val="Appelnotedebasdep"/>
          <w:lang w:val="en-CA"/>
        </w:rPr>
        <w:footnoteReference w:id="16"/>
      </w:r>
      <w:bookmarkEnd w:id="8"/>
      <w:r w:rsidRPr="00181BA7">
        <w:rPr>
          <w:lang w:val="en-CA"/>
        </w:rPr>
        <w:t xml:space="preserve"> </w:t>
      </w:r>
    </w:p>
    <w:p w14:paraId="4399B247" w14:textId="77777777" w:rsidR="006807C4" w:rsidRPr="001A6C7C" w:rsidRDefault="006807C4" w:rsidP="00B14E95">
      <w:pPr>
        <w:pStyle w:val="Paragraphe"/>
        <w:rPr>
          <w:lang w:val="en-CA"/>
        </w:rPr>
      </w:pPr>
      <w:bookmarkStart w:id="9" w:name="_Ref101167041"/>
      <w:r w:rsidRPr="00181BA7">
        <w:rPr>
          <w:lang w:val="en-CA"/>
        </w:rPr>
        <w:t>The Authority’s investigators also matched the IP addresses used by Erwin Vahlsing - who at the time of the alleged acts held the positions of Head of Financial Affairs (“CFO”), Secretary and Treasurer of ICOA</w:t>
      </w:r>
      <w:r w:rsidRPr="00181BA7">
        <w:rPr>
          <w:rStyle w:val="Appelnotedebasdep"/>
          <w:lang w:val="en-CA"/>
        </w:rPr>
        <w:footnoteReference w:id="17"/>
      </w:r>
      <w:r w:rsidRPr="00181BA7">
        <w:rPr>
          <w:lang w:val="en-CA"/>
        </w:rPr>
        <w:t>- to the IP addresses used by the respondent Ramy Kamaneh. The evidence presented by the Authority therefore appears to show that the person who interacted via the Internet several times in September 2021, on behalf of the ICOA company with OTC Markets by the name of Vahlsing, used an IP address associated with respondent Ramy Kamaneh.</w:t>
      </w:r>
      <w:r w:rsidRPr="00181BA7">
        <w:rPr>
          <w:rStyle w:val="Appelnotedebasdep"/>
          <w:lang w:val="en-CA"/>
        </w:rPr>
        <w:footnoteReference w:id="18"/>
      </w:r>
      <w:bookmarkEnd w:id="9"/>
    </w:p>
    <w:p w14:paraId="7A592D79" w14:textId="77777777" w:rsidR="00B14E95" w:rsidRPr="001A6C7C" w:rsidRDefault="00B26186" w:rsidP="00B14E95">
      <w:pPr>
        <w:pStyle w:val="Paragraphe"/>
        <w:rPr>
          <w:lang w:val="en-CA"/>
        </w:rPr>
      </w:pPr>
      <w:bookmarkStart w:id="10" w:name="_Ref101166830"/>
      <w:r w:rsidRPr="00181BA7">
        <w:rPr>
          <w:lang w:val="en-CA"/>
        </w:rPr>
        <w:t>The Authority also analyzed the metadata linked to several official MJWL documents signed by the directors of this company and sent by them to MJWL’s transfer agent in June and July 2021. This analysis shows that respondents Ramy Kamaneh and Mohamed Kada Mesli apparently wrote several of these documents.</w:t>
      </w:r>
      <w:r w:rsidRPr="00181BA7">
        <w:rPr>
          <w:rStyle w:val="Appelnotedebasdep"/>
          <w:lang w:val="en-CA"/>
        </w:rPr>
        <w:footnoteReference w:id="19"/>
      </w:r>
      <w:r w:rsidRPr="00181BA7">
        <w:rPr>
          <w:lang w:val="en-CA"/>
        </w:rPr>
        <w:t xml:space="preserve"> However, the names of these respondents appear nowhere in MJWL's public documents.</w:t>
      </w:r>
      <w:bookmarkEnd w:id="10"/>
      <w:r w:rsidRPr="00181BA7">
        <w:rPr>
          <w:lang w:val="en-CA"/>
        </w:rPr>
        <w:t xml:space="preserve"> </w:t>
      </w:r>
    </w:p>
    <w:p w14:paraId="4A327970" w14:textId="01BCE19D" w:rsidR="00BE2763" w:rsidRPr="001A6C7C" w:rsidRDefault="002F34CB" w:rsidP="00BE2763">
      <w:pPr>
        <w:pStyle w:val="Paragraphe"/>
        <w:rPr>
          <w:lang w:val="en-CA"/>
        </w:rPr>
      </w:pPr>
      <w:bookmarkStart w:id="11" w:name="_Ref101167137"/>
      <w:r w:rsidRPr="00181BA7">
        <w:rPr>
          <w:lang w:val="en-CA"/>
        </w:rPr>
        <w:t>The Authority’s investigation also reveals that on April 16, 2021, Kim Halvorson – then CEO and Director of MJWL – sent MJWL’s transfer agent</w:t>
      </w:r>
      <w:r w:rsidRPr="00181BA7">
        <w:rPr>
          <w:rStyle w:val="Appelnotedebasdep"/>
          <w:lang w:val="en-CA"/>
        </w:rPr>
        <w:footnoteReference w:id="20"/>
      </w:r>
      <w:r w:rsidRPr="00181BA7">
        <w:rPr>
          <w:lang w:val="en-CA"/>
        </w:rPr>
        <w:t xml:space="preserve"> a series of documents, including one, entitled “Settlement Agreement,”</w:t>
      </w:r>
      <w:r w:rsidRPr="00181BA7">
        <w:rPr>
          <w:rStyle w:val="Appelnotedebasdep"/>
          <w:lang w:val="en-CA"/>
        </w:rPr>
        <w:footnoteReference w:id="21"/>
      </w:r>
      <w:r w:rsidRPr="00181BA7">
        <w:rPr>
          <w:lang w:val="en-CA"/>
        </w:rPr>
        <w:t xml:space="preserve"> dated March 1, 2019, whereby a group of individuals – including respondent Ramy Kamaneh – allegedly purchased from Kim Halvorson a MJWL debt instrument worth USD 837,000.</w:t>
      </w:r>
      <w:bookmarkEnd w:id="11"/>
      <w:r w:rsidRPr="00181BA7">
        <w:rPr>
          <w:lang w:val="en-CA"/>
        </w:rPr>
        <w:t xml:space="preserve"> </w:t>
      </w:r>
    </w:p>
    <w:p w14:paraId="0D69888B" w14:textId="77777777" w:rsidR="00644D27" w:rsidRPr="001A6C7C" w:rsidRDefault="002F34CB" w:rsidP="00BE2763">
      <w:pPr>
        <w:pStyle w:val="Paragraphe"/>
        <w:rPr>
          <w:lang w:val="en-CA"/>
        </w:rPr>
      </w:pPr>
      <w:bookmarkStart w:id="12" w:name="_Ref101167139"/>
      <w:r w:rsidRPr="00181BA7">
        <w:rPr>
          <w:lang w:val="en-CA"/>
        </w:rPr>
        <w:t>Moreover, the Authority’s investigation reveals that respondents Ramy Kamaneh and Mohamed Kada Mesli apparently paid</w:t>
      </w:r>
      <w:r w:rsidRPr="00181BA7">
        <w:rPr>
          <w:rStyle w:val="Appelnotedebasdep"/>
          <w:lang w:val="en-CA"/>
        </w:rPr>
        <w:footnoteReference w:id="22"/>
      </w:r>
      <w:r w:rsidRPr="00181BA7">
        <w:rPr>
          <w:lang w:val="en-CA"/>
        </w:rPr>
        <w:t xml:space="preserve"> - through the impleaded companies SDIT </w:t>
      </w:r>
      <w:r w:rsidRPr="00181BA7">
        <w:rPr>
          <w:lang w:val="en-CA"/>
        </w:rPr>
        <w:lastRenderedPageBreak/>
        <w:t>Inc. and 7350341 Canada Inc. which they control, respectively - a total of USD 100,000 to Kim Halvorson, through the company Triage Micro-Cap Advisors LLC, of which she is the “Managing Partner.”</w:t>
      </w:r>
      <w:r w:rsidRPr="00181BA7">
        <w:rPr>
          <w:rStyle w:val="Appelnotedebasdep"/>
          <w:lang w:val="en-CA"/>
        </w:rPr>
        <w:footnoteReference w:id="23"/>
      </w:r>
      <w:bookmarkEnd w:id="12"/>
    </w:p>
    <w:p w14:paraId="24A80195" w14:textId="77777777" w:rsidR="001F5DC5" w:rsidRPr="001A6C7C" w:rsidRDefault="00DA7B31" w:rsidP="00B14E95">
      <w:pPr>
        <w:pStyle w:val="Paragraphe"/>
        <w:rPr>
          <w:lang w:val="en-CA"/>
        </w:rPr>
      </w:pPr>
      <w:bookmarkStart w:id="13" w:name="_Ref101166851"/>
      <w:r w:rsidRPr="00181BA7">
        <w:rPr>
          <w:lang w:val="en-CA"/>
        </w:rPr>
        <w:t>Furthermore, the investigation established that respondent Ramy Kamaneh transferred, directly</w:t>
      </w:r>
      <w:r w:rsidRPr="00181BA7">
        <w:rPr>
          <w:rStyle w:val="Appelnotedebasdep"/>
          <w:lang w:val="en-CA"/>
        </w:rPr>
        <w:footnoteReference w:id="24"/>
      </w:r>
      <w:r w:rsidRPr="00181BA7">
        <w:rPr>
          <w:lang w:val="en-CA"/>
        </w:rPr>
        <w:t xml:space="preserve"> or through impleaded party SDIT Inc.</w:t>
      </w:r>
      <w:r w:rsidRPr="00181BA7">
        <w:rPr>
          <w:rStyle w:val="Appelnotedebasdep"/>
          <w:lang w:val="en-CA"/>
        </w:rPr>
        <w:footnoteReference w:id="25"/>
      </w:r>
      <w:r w:rsidRPr="00181BA7">
        <w:rPr>
          <w:lang w:val="en-CA"/>
        </w:rPr>
        <w:t>, which he controls, a total of $608,500 to respondent Mohamed Kada Mesli, through the impleaded party 7350341 Canada Inc., which he controls. The evidence also shows that, between April 1 and October 6, 2021, respondent Mohamed Kada Mesli allegedly used impleaded party 7350341 Canada Inc. to pay a total of USD 129,000 to EDM Media LLC</w:t>
      </w:r>
      <w:r w:rsidRPr="00181BA7">
        <w:rPr>
          <w:rStyle w:val="Appelnotedebasdep"/>
          <w:lang w:val="en-CA"/>
        </w:rPr>
        <w:footnoteReference w:id="26"/>
      </w:r>
      <w:r w:rsidRPr="00181BA7">
        <w:rPr>
          <w:lang w:val="en-CA"/>
        </w:rPr>
        <w:t xml:space="preserve"> which, among other things, offers the following service: “Press Release Writing,” which the company describes as follows:</w:t>
      </w:r>
      <w:bookmarkEnd w:id="13"/>
    </w:p>
    <w:p w14:paraId="5C5176BC" w14:textId="77777777" w:rsidR="0093756A" w:rsidRPr="001A6C7C" w:rsidRDefault="001F5DC5" w:rsidP="001F5DC5">
      <w:pPr>
        <w:pStyle w:val="Paragraphe"/>
        <w:numPr>
          <w:ilvl w:val="0"/>
          <w:numId w:val="0"/>
        </w:numPr>
        <w:ind w:left="567" w:right="431"/>
        <w:rPr>
          <w:lang w:val="en-CA"/>
        </w:rPr>
      </w:pPr>
      <w:r w:rsidRPr="00181BA7">
        <w:rPr>
          <w:lang w:val="en-CA"/>
        </w:rPr>
        <w:t>“</w:t>
      </w:r>
      <w:r w:rsidRPr="00181BA7">
        <w:rPr>
          <w:i/>
          <w:iCs/>
          <w:lang w:val="en-CA"/>
        </w:rPr>
        <w:t>We have designed and executed high-impact press release campaigns for over 500 customers, including publicly traded companies...</w:t>
      </w:r>
      <w:r w:rsidRPr="00181BA7">
        <w:rPr>
          <w:lang w:val="en-CA"/>
        </w:rPr>
        <w:t>”</w:t>
      </w:r>
    </w:p>
    <w:p w14:paraId="3C4500AF" w14:textId="77777777" w:rsidR="00DA7B31" w:rsidRPr="001A6C7C" w:rsidRDefault="00984066" w:rsidP="00DA7B31">
      <w:pPr>
        <w:pStyle w:val="Paragraphe"/>
        <w:rPr>
          <w:lang w:val="en-CA"/>
        </w:rPr>
      </w:pPr>
      <w:r w:rsidRPr="00181BA7">
        <w:rPr>
          <w:lang w:val="en-CA"/>
        </w:rPr>
        <w:t>Finally, the evidence shows that David Chong’s appointment as CFO of AAPT was publicly announced in a press release on September 14, 2021.</w:t>
      </w:r>
      <w:r w:rsidRPr="00181BA7">
        <w:rPr>
          <w:rStyle w:val="Appelnotedebasdep"/>
          <w:lang w:val="en-CA"/>
        </w:rPr>
        <w:footnoteReference w:id="27"/>
      </w:r>
      <w:r w:rsidRPr="00181BA7">
        <w:rPr>
          <w:lang w:val="en-CA"/>
        </w:rPr>
        <w:t xml:space="preserve"> This date coincides with the creation of a Twitter profile in the name of @RealDavidChong, which has published numerous tweets about the three issuers at the centre of the Authority’s investigation, namely, MJWL, ICOA and AAPT.</w:t>
      </w:r>
      <w:r w:rsidRPr="00181BA7">
        <w:rPr>
          <w:rStyle w:val="Appelnotedebasdep"/>
          <w:lang w:val="en-CA"/>
        </w:rPr>
        <w:footnoteReference w:id="28"/>
      </w:r>
    </w:p>
    <w:p w14:paraId="3E38131D" w14:textId="77777777" w:rsidR="00571D19" w:rsidRPr="001A6C7C" w:rsidRDefault="00DA7B31" w:rsidP="00B14E95">
      <w:pPr>
        <w:pStyle w:val="Paragraphe"/>
        <w:rPr>
          <w:lang w:val="en-CA"/>
        </w:rPr>
      </w:pPr>
      <w:r w:rsidRPr="00181BA7">
        <w:rPr>
          <w:lang w:val="en-CA"/>
        </w:rPr>
        <w:t xml:space="preserve">In the opinion of the Tribunal, the evidence described in paragraphs 20 to 27 of this decision suggests significant ties between respondents Ramy Kamaneh and Mohamed Kada Mesli and between them and other persons - specifically, David Chong, Kim Halvorson and Erwin Vahlsing - who were involved in managing MJWL, ICOA and AAPT during the period of the alleged breaches. </w:t>
      </w:r>
    </w:p>
    <w:p w14:paraId="08421BB3" w14:textId="77777777" w:rsidR="00F11270" w:rsidRPr="001A6C7C" w:rsidRDefault="00612C34" w:rsidP="00B14E95">
      <w:pPr>
        <w:pStyle w:val="Paragraphe"/>
        <w:rPr>
          <w:lang w:val="en-CA"/>
        </w:rPr>
      </w:pPr>
      <w:r w:rsidRPr="00181BA7">
        <w:rPr>
          <w:lang w:val="en-CA"/>
        </w:rPr>
        <w:t xml:space="preserve">Against this backdrop, the following evidence is noteworthy. </w:t>
      </w:r>
    </w:p>
    <w:p w14:paraId="6B2D6589" w14:textId="2BA5901F" w:rsidR="00F11270" w:rsidRPr="001A6C7C" w:rsidRDefault="00787508" w:rsidP="00B14E95">
      <w:pPr>
        <w:pStyle w:val="Paragraphe"/>
        <w:rPr>
          <w:lang w:val="en-CA"/>
        </w:rPr>
      </w:pPr>
      <w:r w:rsidRPr="00181BA7">
        <w:rPr>
          <w:lang w:val="en-CA"/>
        </w:rPr>
        <w:t>First, intense promotional campaigns were allegedly launched on behalf of MJWL, ICOA and AAPT, which significantly increased the value of their shares. Also, respondents Ramy Kamaneh and Mohamed Kada Mesli each allegedly purchased a very large number of shares in these companies before and during these promotional campaigns when the share price was relatively low or rising and apparently liquidated them when their price was considerably higher.</w:t>
      </w:r>
    </w:p>
    <w:p w14:paraId="479D2BDC" w14:textId="77777777" w:rsidR="00F11270" w:rsidRPr="001A6C7C" w:rsidRDefault="0086376B" w:rsidP="00F11270">
      <w:pPr>
        <w:pStyle w:val="Paragraphe"/>
        <w:rPr>
          <w:lang w:val="en-CA"/>
        </w:rPr>
      </w:pPr>
      <w:r w:rsidRPr="00181BA7">
        <w:rPr>
          <w:lang w:val="en-CA"/>
        </w:rPr>
        <w:t xml:space="preserve"> The Authority conducted a detailed analysis of the respondents' transactions in the securities of issuers MJWL, ICOA and AAPT and the evidence it gathered shows that these very well-timed transactions allowed them to earn total profits, between May 2021 </w:t>
      </w:r>
      <w:r w:rsidRPr="00181BA7">
        <w:rPr>
          <w:lang w:val="en-CA"/>
        </w:rPr>
        <w:lastRenderedPageBreak/>
        <w:t xml:space="preserve">and February 2022, of nearly USD 12 million, or more than CAD 15 million, broken down as follows: </w:t>
      </w:r>
    </w:p>
    <w:p w14:paraId="73A870C2" w14:textId="77777777" w:rsidR="00F11270" w:rsidRPr="00181BA7" w:rsidRDefault="00F11270" w:rsidP="00F11270">
      <w:pPr>
        <w:pStyle w:val="Paragraphe"/>
        <w:numPr>
          <w:ilvl w:val="0"/>
          <w:numId w:val="25"/>
        </w:numPr>
      </w:pPr>
      <w:r w:rsidRPr="00181BA7">
        <w:rPr>
          <w:lang w:val="en-CA"/>
        </w:rPr>
        <w:t>MJWL: 6,826,271 USD</w:t>
      </w:r>
    </w:p>
    <w:p w14:paraId="1FFABA84" w14:textId="77777777" w:rsidR="000A7378" w:rsidRPr="00181BA7" w:rsidRDefault="000A7378" w:rsidP="00F11270">
      <w:pPr>
        <w:pStyle w:val="Paragraphe"/>
        <w:numPr>
          <w:ilvl w:val="0"/>
          <w:numId w:val="25"/>
        </w:numPr>
      </w:pPr>
      <w:r w:rsidRPr="00181BA7">
        <w:rPr>
          <w:lang w:val="en-CA"/>
        </w:rPr>
        <w:t>ICOA: 3,549,530 USD</w:t>
      </w:r>
    </w:p>
    <w:p w14:paraId="70D20D20" w14:textId="77777777" w:rsidR="000A7378" w:rsidRPr="00181BA7" w:rsidRDefault="000A7378" w:rsidP="00F11270">
      <w:pPr>
        <w:pStyle w:val="Paragraphe"/>
        <w:numPr>
          <w:ilvl w:val="0"/>
          <w:numId w:val="25"/>
        </w:numPr>
      </w:pPr>
      <w:r w:rsidRPr="00181BA7">
        <w:rPr>
          <w:lang w:val="en-CA"/>
        </w:rPr>
        <w:t>AAPT: 1,459,270 USD</w:t>
      </w:r>
    </w:p>
    <w:p w14:paraId="454E8726" w14:textId="77777777" w:rsidR="001C6069" w:rsidRPr="00181BA7" w:rsidRDefault="00845E3F" w:rsidP="00B14E95">
      <w:pPr>
        <w:pStyle w:val="Paragraphe"/>
      </w:pPr>
      <w:bookmarkStart w:id="14" w:name="_Ref101167024"/>
      <w:r w:rsidRPr="00181BA7">
        <w:rPr>
          <w:lang w:val="en-CA"/>
        </w:rPr>
        <w:t>The Tribunal notes the coincidence of MJWL’s promotional campaign and respondent Ramy Kamaneh’s alleged trading in MJWL’s stock, as disclosed in the detailed evidence presented to it by the Authority. In this regard, the Tribunal notes:</w:t>
      </w:r>
      <w:bookmarkEnd w:id="14"/>
    </w:p>
    <w:p w14:paraId="70A3A6D3" w14:textId="77777777" w:rsidR="00DB1EE9" w:rsidRPr="001A6C7C" w:rsidRDefault="007B4F83" w:rsidP="00DB1EE9">
      <w:pPr>
        <w:pStyle w:val="Paragraphe"/>
        <w:numPr>
          <w:ilvl w:val="0"/>
          <w:numId w:val="26"/>
        </w:numPr>
        <w:rPr>
          <w:lang w:val="en-CA"/>
        </w:rPr>
      </w:pPr>
      <w:r w:rsidRPr="00181BA7">
        <w:rPr>
          <w:lang w:val="en-CA"/>
        </w:rPr>
        <w:t>Between March 29 and April 29, 2021, i.e., immediately before the publication of MJWL’s first promotional press release, respondent Ramy Kamaneh reportedly purchased 86,617,669 shares of MJWL at a total cost of USD 524,648.</w:t>
      </w:r>
      <w:r w:rsidRPr="00181BA7">
        <w:rPr>
          <w:rStyle w:val="Appelnotedebasdep"/>
          <w:lang w:val="en-CA"/>
        </w:rPr>
        <w:footnoteReference w:id="29"/>
      </w:r>
      <w:r w:rsidRPr="00181BA7">
        <w:rPr>
          <w:lang w:val="en-CA"/>
        </w:rPr>
        <w:t xml:space="preserve"> The aforementioned purchases by respondent Ramy Kamaneh during this period seem to represent no less than 40% of the total volume of MJWL shares traded on the market.</w:t>
      </w:r>
      <w:r w:rsidRPr="00181BA7">
        <w:rPr>
          <w:rStyle w:val="Appelnotedebasdep"/>
          <w:lang w:val="en-CA"/>
        </w:rPr>
        <w:footnoteReference w:id="30"/>
      </w:r>
      <w:r w:rsidRPr="00181BA7">
        <w:rPr>
          <w:lang w:val="en-CA"/>
        </w:rPr>
        <w:t xml:space="preserve"> Moreover, in April 2021, shortly before the start of MJWL’s promotional campaign, respondent Ramy Kamaneh’s MJWL position seems to have comprised 85% of his stock portfolio, whereas MJWL’s share value at the time was less than USD 0.01</w:t>
      </w:r>
      <w:r w:rsidRPr="00181BA7">
        <w:rPr>
          <w:rStyle w:val="Appelnotedebasdep"/>
          <w:lang w:val="en-CA"/>
        </w:rPr>
        <w:footnoteReference w:id="31"/>
      </w:r>
      <w:r w:rsidRPr="00181BA7">
        <w:rPr>
          <w:lang w:val="en-CA"/>
        </w:rPr>
        <w:t>;</w:t>
      </w:r>
    </w:p>
    <w:p w14:paraId="5143EDAE" w14:textId="77777777" w:rsidR="005B54A6" w:rsidRPr="001A6C7C" w:rsidRDefault="005B54A6" w:rsidP="00DB1EE9">
      <w:pPr>
        <w:pStyle w:val="Paragraphe"/>
        <w:numPr>
          <w:ilvl w:val="0"/>
          <w:numId w:val="26"/>
        </w:numPr>
        <w:rPr>
          <w:lang w:val="en-CA"/>
        </w:rPr>
      </w:pPr>
      <w:r w:rsidRPr="00181BA7">
        <w:rPr>
          <w:lang w:val="en-CA"/>
        </w:rPr>
        <w:t>On April 30, 2021, MJWL published a press release announcing the arrival of a new management team</w:t>
      </w:r>
      <w:r w:rsidRPr="00181BA7">
        <w:rPr>
          <w:rStyle w:val="Appelnotedebasdep"/>
          <w:lang w:val="en-CA"/>
        </w:rPr>
        <w:footnoteReference w:id="32"/>
      </w:r>
      <w:r w:rsidRPr="00181BA7">
        <w:rPr>
          <w:lang w:val="en-CA"/>
        </w:rPr>
        <w:t>. Between April 30 and December 27, 2021, MJWL issued more than 20 promotional press releases written by David Chong</w:t>
      </w:r>
      <w:r w:rsidRPr="00181BA7">
        <w:rPr>
          <w:rStyle w:val="Appelnotedebasdep"/>
          <w:lang w:val="en-CA"/>
        </w:rPr>
        <w:footnoteReference w:id="33"/>
      </w:r>
      <w:r w:rsidRPr="00181BA7">
        <w:rPr>
          <w:lang w:val="en-CA"/>
        </w:rPr>
        <w:t>. According to evidence adduced by the Authority, no other MJWL press releases were identified prior to these dates;</w:t>
      </w:r>
    </w:p>
    <w:p w14:paraId="3601FDF5" w14:textId="760D52B9" w:rsidR="00841B72" w:rsidRPr="001A6C7C" w:rsidRDefault="00C36790" w:rsidP="00DB1EE9">
      <w:pPr>
        <w:pStyle w:val="Paragraphe"/>
        <w:numPr>
          <w:ilvl w:val="0"/>
          <w:numId w:val="26"/>
        </w:numPr>
        <w:rPr>
          <w:lang w:val="en-CA"/>
        </w:rPr>
      </w:pPr>
      <w:r w:rsidRPr="00181BA7">
        <w:rPr>
          <w:lang w:val="en-CA"/>
        </w:rPr>
        <w:t>After these press releases were published, the volume of trades and the value of MJWL’s stock increased significantly,</w:t>
      </w:r>
      <w:r w:rsidRPr="00181BA7">
        <w:rPr>
          <w:rStyle w:val="Appelnotedebasdep"/>
          <w:lang w:val="en-CA"/>
        </w:rPr>
        <w:footnoteReference w:id="34"/>
      </w:r>
      <w:r w:rsidRPr="00181BA7">
        <w:rPr>
          <w:lang w:val="en-CA"/>
        </w:rPr>
        <w:t xml:space="preserve"> and on July 2, 2021, MJWL’s share price peaked at USD 0.25,</w:t>
      </w:r>
      <w:r w:rsidRPr="00181BA7">
        <w:rPr>
          <w:rStyle w:val="Appelnotedebasdep"/>
          <w:lang w:val="en-CA"/>
        </w:rPr>
        <w:footnoteReference w:id="35"/>
      </w:r>
      <w:r w:rsidRPr="00181BA7">
        <w:rPr>
          <w:lang w:val="en-CA"/>
        </w:rPr>
        <w:t xml:space="preserve"> an increase of more than 50 times the value of the highest price reached by MJWL’s shares between January 13, 2020 and April 29, 2021</w:t>
      </w:r>
      <w:r w:rsidRPr="00181BA7">
        <w:rPr>
          <w:rStyle w:val="Appelnotedebasdep"/>
          <w:lang w:val="en-CA"/>
        </w:rPr>
        <w:footnoteReference w:id="36"/>
      </w:r>
      <w:r w:rsidRPr="00181BA7">
        <w:rPr>
          <w:lang w:val="en-CA"/>
        </w:rPr>
        <w:t xml:space="preserve">; </w:t>
      </w:r>
    </w:p>
    <w:p w14:paraId="0578805E" w14:textId="77777777" w:rsidR="007830F9" w:rsidRPr="001A6C7C" w:rsidRDefault="00572F05" w:rsidP="00DB1EE9">
      <w:pPr>
        <w:pStyle w:val="Paragraphe"/>
        <w:numPr>
          <w:ilvl w:val="0"/>
          <w:numId w:val="26"/>
        </w:numPr>
        <w:rPr>
          <w:lang w:val="en-CA"/>
        </w:rPr>
      </w:pPr>
      <w:r w:rsidRPr="00181BA7">
        <w:rPr>
          <w:lang w:val="en-CA"/>
        </w:rPr>
        <w:t xml:space="preserve">The Tribunal would mention that the Authority’s evidence shows that respondents Ramy Kamaneh and Mohamed Kada Mesli were purportedly involved in producing </w:t>
      </w:r>
      <w:r w:rsidRPr="00181BA7">
        <w:rPr>
          <w:lang w:val="en-CA"/>
        </w:rPr>
        <w:lastRenderedPageBreak/>
        <w:t>official MJWL documents - allegedly sent by MJWL directors to the company’s transfer agent in June and July 2021</w:t>
      </w:r>
      <w:r w:rsidRPr="00181BA7">
        <w:rPr>
          <w:rStyle w:val="Appelnotedebasdep"/>
          <w:lang w:val="en-CA"/>
        </w:rPr>
        <w:footnoteReference w:id="37"/>
      </w:r>
      <w:r w:rsidRPr="00181BA7">
        <w:rPr>
          <w:lang w:val="en-CA"/>
        </w:rPr>
        <w:t xml:space="preserve"> - and that in June and August 2021, respondent Ramy Kamaneh was allegedly involved in communications by David Chong, then CEO of MJWL, with OTC Markets</w:t>
      </w:r>
      <w:r w:rsidRPr="00181BA7">
        <w:rPr>
          <w:rStyle w:val="Appelnotedebasdep"/>
          <w:lang w:val="en-CA"/>
        </w:rPr>
        <w:footnoteReference w:id="38"/>
      </w:r>
      <w:r w:rsidRPr="00181BA7">
        <w:rPr>
          <w:lang w:val="en-CA"/>
        </w:rPr>
        <w:t>;</w:t>
      </w:r>
    </w:p>
    <w:p w14:paraId="7AE139E3" w14:textId="77777777" w:rsidR="007830F9" w:rsidRPr="001A6C7C" w:rsidRDefault="007830F9" w:rsidP="00DB1EE9">
      <w:pPr>
        <w:pStyle w:val="Paragraphe"/>
        <w:numPr>
          <w:ilvl w:val="0"/>
          <w:numId w:val="26"/>
        </w:numPr>
        <w:rPr>
          <w:lang w:val="en-CA"/>
        </w:rPr>
      </w:pPr>
      <w:r w:rsidRPr="00181BA7">
        <w:rPr>
          <w:lang w:val="en-CA"/>
        </w:rPr>
        <w:t>Between April 30 and October 12, 2021, respondent Ramy Kamaneh allegedly sold 89,001,395 shares of MJWL for a total of USD 7,350,919, thereby making a profit estimated by the Authority to amount to USD 6,826,271, i.e., approximately 13 times (1,300%) his initial investment of USD 524,648 in purchasing MJWL shares;</w:t>
      </w:r>
      <w:r w:rsidRPr="00181BA7">
        <w:rPr>
          <w:rStyle w:val="Appelnotedebasdep"/>
          <w:lang w:val="en-CA"/>
        </w:rPr>
        <w:footnoteReference w:id="39"/>
      </w:r>
    </w:p>
    <w:p w14:paraId="2D76ABF5" w14:textId="77777777" w:rsidR="007830F9" w:rsidRPr="001A6C7C" w:rsidRDefault="00C0616D" w:rsidP="00DB1EE9">
      <w:pPr>
        <w:pStyle w:val="Paragraphe"/>
        <w:numPr>
          <w:ilvl w:val="0"/>
          <w:numId w:val="26"/>
        </w:numPr>
        <w:rPr>
          <w:lang w:val="en-CA"/>
        </w:rPr>
      </w:pPr>
      <w:r w:rsidRPr="00181BA7">
        <w:rPr>
          <w:lang w:val="en-CA"/>
        </w:rPr>
        <w:t>Evidence gathered by the Authority shows that respondent Mohamed Kada Mesli allegedly did not trade in MJWL stocks, but apparently received from respondent Ramy Kamaneh a total of USD 608,500 through impleaded party 7350341 Canada Inc. controlled by respondent Mohamed Kada Mesli.</w:t>
      </w:r>
      <w:r w:rsidRPr="00181BA7">
        <w:rPr>
          <w:rStyle w:val="Appelnotedebasdep"/>
          <w:lang w:val="en-CA"/>
        </w:rPr>
        <w:footnoteReference w:id="40"/>
      </w:r>
      <w:r w:rsidRPr="00181BA7">
        <w:rPr>
          <w:lang w:val="en-CA"/>
        </w:rPr>
        <w:t xml:space="preserve"> This evidence also shows that, shortly after receiving this sum of money, respondent Mohamed Kada Mesli allegedly carried out his first trade involving ICOA shares on July 30, 2021.</w:t>
      </w:r>
      <w:r w:rsidRPr="00181BA7">
        <w:rPr>
          <w:rStyle w:val="Appelnotedebasdep"/>
          <w:lang w:val="en-CA"/>
        </w:rPr>
        <w:footnoteReference w:id="41"/>
      </w:r>
    </w:p>
    <w:p w14:paraId="3CAF9E76" w14:textId="77777777" w:rsidR="004F2C1D" w:rsidRPr="00181BA7" w:rsidRDefault="00A92E6C" w:rsidP="004F2C1D">
      <w:pPr>
        <w:pStyle w:val="Paragraphe"/>
      </w:pPr>
      <w:r w:rsidRPr="00181BA7">
        <w:rPr>
          <w:lang w:val="en-CA"/>
        </w:rPr>
        <w:t>The Tribunal also notes the coincidence of ICOA’s promotional campaign with the alleged transactions of respondents Ramy Kamaneh and Mohamed Kada Mesli in ICOA stock, disclosed in the detailed evidence presented to the Tribunal by the Authority. In this regard, the Tribunal notes:</w:t>
      </w:r>
    </w:p>
    <w:p w14:paraId="385EE125" w14:textId="77777777" w:rsidR="0071703F" w:rsidRPr="001A6C7C" w:rsidRDefault="001A5CF3" w:rsidP="00AE2C56">
      <w:pPr>
        <w:pStyle w:val="Paragraphe"/>
        <w:numPr>
          <w:ilvl w:val="0"/>
          <w:numId w:val="27"/>
        </w:numPr>
        <w:rPr>
          <w:lang w:val="en-CA"/>
        </w:rPr>
      </w:pPr>
      <w:r w:rsidRPr="00181BA7">
        <w:rPr>
          <w:lang w:val="en-CA"/>
        </w:rPr>
        <w:t>On June 1, 2021, i.e., approximately 2 months before publication of ICOA's first press release, respondent Ramy Kamaneh allegedly began to buy shares in this company.</w:t>
      </w:r>
      <w:r w:rsidRPr="00181BA7">
        <w:rPr>
          <w:rStyle w:val="Appelnotedebasdep"/>
          <w:lang w:val="en-CA"/>
        </w:rPr>
        <w:footnoteReference w:id="42"/>
      </w:r>
      <w:r w:rsidRPr="00181BA7">
        <w:rPr>
          <w:lang w:val="en-CA"/>
        </w:rPr>
        <w:t xml:space="preserve"> Between June 1 and October 6, 2021, respondent Ramy Kamaneh reportedly purchased 754,034,650 shares of ICOA at an average cost per share of USD 0.00175, for a total of USD 1,325,006</w:t>
      </w:r>
      <w:r w:rsidRPr="00181BA7">
        <w:rPr>
          <w:rStyle w:val="Appelnotedebasdep"/>
          <w:lang w:val="en-CA"/>
        </w:rPr>
        <w:footnoteReference w:id="43"/>
      </w:r>
      <w:r w:rsidRPr="00181BA7">
        <w:rPr>
          <w:lang w:val="en-CA"/>
        </w:rPr>
        <w:t>;</w:t>
      </w:r>
    </w:p>
    <w:p w14:paraId="2AF01ED6" w14:textId="60C18F01" w:rsidR="001A5CF3" w:rsidRPr="001A6C7C" w:rsidRDefault="001A5CF3" w:rsidP="00A92E6C">
      <w:pPr>
        <w:pStyle w:val="Paragraphe"/>
        <w:numPr>
          <w:ilvl w:val="0"/>
          <w:numId w:val="27"/>
        </w:numPr>
        <w:rPr>
          <w:lang w:val="en-CA"/>
        </w:rPr>
      </w:pPr>
      <w:r w:rsidRPr="00181BA7">
        <w:rPr>
          <w:lang w:val="en-CA"/>
        </w:rPr>
        <w:t>The largest portion of ICOA share purchases by respondent Ramy Kamaneh, i.e., 720,931,598 shares, apparently took place between June 1 and September 3, 2021, i.e., immediately before IOCA documents were filed with OTC Markets on September 13, 2021.</w:t>
      </w:r>
      <w:r w:rsidRPr="00181BA7">
        <w:rPr>
          <w:rStyle w:val="Appelnotedebasdep"/>
          <w:lang w:val="en-CA"/>
        </w:rPr>
        <w:footnoteReference w:id="44"/>
      </w:r>
      <w:r w:rsidRPr="00181BA7">
        <w:rPr>
          <w:lang w:val="en-CA"/>
        </w:rPr>
        <w:t xml:space="preserve"> The filing of these documents is a key component of ICOA’s promotional campaign given that filing is essential in order to obtain the desired “Pink Current Information” status from OTC Markets.</w:t>
      </w:r>
      <w:r w:rsidRPr="00181BA7">
        <w:rPr>
          <w:rStyle w:val="Appelnotedebasdep"/>
          <w:lang w:val="en-CA"/>
        </w:rPr>
        <w:footnoteReference w:id="45"/>
      </w:r>
      <w:r w:rsidRPr="00181BA7">
        <w:rPr>
          <w:lang w:val="en-CA"/>
        </w:rPr>
        <w:t xml:space="preserve"> During this period, the </w:t>
      </w:r>
      <w:r w:rsidRPr="00181BA7">
        <w:rPr>
          <w:lang w:val="en-CA"/>
        </w:rPr>
        <w:lastRenderedPageBreak/>
        <w:t>alleged transactions by respondent Ramy Kamaneh involving IOCA stock amount to 9% of total IOCA shares traded on the market</w:t>
      </w:r>
      <w:r w:rsidRPr="00181BA7">
        <w:rPr>
          <w:rStyle w:val="Appelnotedebasdep"/>
          <w:lang w:val="en-CA"/>
        </w:rPr>
        <w:footnoteReference w:id="46"/>
      </w:r>
      <w:r w:rsidRPr="00181BA7">
        <w:rPr>
          <w:lang w:val="en-CA"/>
        </w:rPr>
        <w:t>;</w:t>
      </w:r>
    </w:p>
    <w:p w14:paraId="58DBBBC7" w14:textId="7C980136" w:rsidR="001415E2" w:rsidRPr="001A6C7C" w:rsidRDefault="00653CF1" w:rsidP="00A92E6C">
      <w:pPr>
        <w:pStyle w:val="Paragraphe"/>
        <w:numPr>
          <w:ilvl w:val="0"/>
          <w:numId w:val="27"/>
        </w:numPr>
        <w:rPr>
          <w:lang w:val="en-CA"/>
        </w:rPr>
      </w:pPr>
      <w:r w:rsidRPr="00181BA7">
        <w:rPr>
          <w:lang w:val="en-CA"/>
        </w:rPr>
        <w:t>On July 30, 2021, shortly after receiving USD 608,500 from respondent Ramy Kamaneh</w:t>
      </w:r>
      <w:r w:rsidRPr="00181BA7">
        <w:rPr>
          <w:rStyle w:val="Appelnotedebasdep"/>
          <w:lang w:val="en-CA"/>
        </w:rPr>
        <w:footnoteReference w:id="47"/>
      </w:r>
      <w:r w:rsidRPr="00181BA7">
        <w:rPr>
          <w:lang w:val="en-CA"/>
        </w:rPr>
        <w:t>, i.e., part of the profits that he allegedly made on MJWL’s shares, respondent Mohamed Kada Mesli is alleged to have made his first transaction on ICOA’s shares.</w:t>
      </w:r>
      <w:r w:rsidRPr="00181BA7">
        <w:rPr>
          <w:rStyle w:val="Appelnotedebasdep"/>
          <w:lang w:val="en-CA"/>
        </w:rPr>
        <w:footnoteReference w:id="48"/>
      </w:r>
      <w:r w:rsidRPr="00181BA7">
        <w:rPr>
          <w:lang w:val="en-CA"/>
        </w:rPr>
        <w:t xml:space="preserve"> Between July 30 and September 8, 2021, respondent Mohamed Kada Mesli reportedly purchased 33,891,119 shares of ICOA at an average cost of USD 0.00126, for a total investment of USD 42,831.</w:t>
      </w:r>
      <w:r w:rsidRPr="00181BA7">
        <w:rPr>
          <w:rStyle w:val="Appelnotedebasdep"/>
          <w:lang w:val="en-CA"/>
        </w:rPr>
        <w:footnoteReference w:id="49"/>
      </w:r>
      <w:r w:rsidRPr="00181BA7">
        <w:rPr>
          <w:lang w:val="en-CA"/>
        </w:rPr>
        <w:t xml:space="preserve"> On August 31, 2021, respondent Mohamed Kada Mesli’s position in IOAC apparently amounted to 80% of his securities portfolio</w:t>
      </w:r>
      <w:r w:rsidRPr="00181BA7">
        <w:rPr>
          <w:rStyle w:val="Appelnotedebasdep"/>
          <w:lang w:val="en-CA"/>
        </w:rPr>
        <w:footnoteReference w:id="50"/>
      </w:r>
      <w:r w:rsidRPr="00181BA7">
        <w:rPr>
          <w:lang w:val="en-CA"/>
        </w:rPr>
        <w:t>;</w:t>
      </w:r>
    </w:p>
    <w:p w14:paraId="00BF9870" w14:textId="77777777" w:rsidR="00AA49AC" w:rsidRPr="001A6C7C" w:rsidRDefault="00AA49AC" w:rsidP="00A92E6C">
      <w:pPr>
        <w:pStyle w:val="Paragraphe"/>
        <w:numPr>
          <w:ilvl w:val="0"/>
          <w:numId w:val="27"/>
        </w:numPr>
        <w:rPr>
          <w:lang w:val="en-CA"/>
        </w:rPr>
      </w:pPr>
      <w:r w:rsidRPr="00181BA7">
        <w:rPr>
          <w:lang w:val="en-CA"/>
        </w:rPr>
        <w:t>Between July 25 and December 20, 2021, ICOA issued 11 promotional press releases and filed them with OTC Markets. No ICOA press release was identified by the Authority before July 25, 2021</w:t>
      </w:r>
      <w:r w:rsidRPr="00181BA7">
        <w:rPr>
          <w:rStyle w:val="Appelnotedebasdep"/>
          <w:lang w:val="en-CA"/>
        </w:rPr>
        <w:footnoteReference w:id="51"/>
      </w:r>
      <w:r w:rsidRPr="00181BA7">
        <w:rPr>
          <w:lang w:val="en-CA"/>
        </w:rPr>
        <w:t>;</w:t>
      </w:r>
    </w:p>
    <w:p w14:paraId="5147BDAE" w14:textId="5CEB3E54" w:rsidR="00AA49AC" w:rsidRPr="001A6C7C" w:rsidRDefault="00AA49AC" w:rsidP="00AA49AC">
      <w:pPr>
        <w:pStyle w:val="Paragraphe"/>
        <w:numPr>
          <w:ilvl w:val="0"/>
          <w:numId w:val="27"/>
        </w:numPr>
        <w:rPr>
          <w:lang w:val="en-CA"/>
        </w:rPr>
      </w:pPr>
      <w:r w:rsidRPr="00181BA7">
        <w:rPr>
          <w:lang w:val="en-CA"/>
        </w:rPr>
        <w:t>After the publication of these press releases, the volume of transactions and the value of ICOA shares increased significantly</w:t>
      </w:r>
      <w:r w:rsidRPr="00181BA7">
        <w:rPr>
          <w:rStyle w:val="Appelnotedebasdep"/>
          <w:lang w:val="en-CA"/>
        </w:rPr>
        <w:footnoteReference w:id="52"/>
      </w:r>
      <w:r w:rsidRPr="00181BA7">
        <w:rPr>
          <w:lang w:val="en-CA"/>
        </w:rPr>
        <w:t xml:space="preserve"> and, on September 30, 2021, when ICOA obtained the “Pink Current Information” status from OTC Markets, ICOA’s share price peaked at USD 0,026</w:t>
      </w:r>
      <w:r w:rsidRPr="00181BA7">
        <w:rPr>
          <w:rStyle w:val="Appelnotedebasdep"/>
          <w:lang w:val="en-CA"/>
        </w:rPr>
        <w:footnoteReference w:id="53"/>
      </w:r>
      <w:r w:rsidRPr="00181BA7">
        <w:rPr>
          <w:lang w:val="en-CA"/>
        </w:rPr>
        <w:t>, i.e., an increase of more than 10 times the value of the highest price for ICOA shares recorded in the period from January 6, 2020 to July 25, 2021</w:t>
      </w:r>
      <w:r w:rsidRPr="00181BA7">
        <w:rPr>
          <w:rStyle w:val="Appelnotedebasdep"/>
          <w:lang w:val="en-CA"/>
        </w:rPr>
        <w:footnoteReference w:id="54"/>
      </w:r>
      <w:r w:rsidRPr="00181BA7">
        <w:rPr>
          <w:lang w:val="en-CA"/>
        </w:rPr>
        <w:t xml:space="preserve">; </w:t>
      </w:r>
    </w:p>
    <w:p w14:paraId="48449082" w14:textId="77777777" w:rsidR="002A0100" w:rsidRPr="001A6C7C" w:rsidRDefault="002A0100" w:rsidP="002A0100">
      <w:pPr>
        <w:pStyle w:val="Paragraphe"/>
        <w:numPr>
          <w:ilvl w:val="0"/>
          <w:numId w:val="27"/>
        </w:numPr>
        <w:rPr>
          <w:lang w:val="en-CA"/>
        </w:rPr>
      </w:pPr>
      <w:r w:rsidRPr="00181BA7">
        <w:rPr>
          <w:lang w:val="en-CA"/>
        </w:rPr>
        <w:t>The Tribunal notes that, in September 2021, evidence collected by the Authority shows that respondent Ramy Kamaneh was allegedly involved in communications from Erwin Vahlsing - then CFO, secretary and treasurer of ICOA - with OTC Markets</w:t>
      </w:r>
      <w:r w:rsidRPr="00181BA7">
        <w:rPr>
          <w:rStyle w:val="Appelnotedebasdep"/>
          <w:lang w:val="en-CA"/>
        </w:rPr>
        <w:footnoteReference w:id="55"/>
      </w:r>
      <w:r w:rsidRPr="00181BA7">
        <w:rPr>
          <w:lang w:val="en-CA"/>
        </w:rPr>
        <w:t>;</w:t>
      </w:r>
    </w:p>
    <w:p w14:paraId="0968976F" w14:textId="77777777" w:rsidR="00AA49AC" w:rsidRPr="001A6C7C" w:rsidRDefault="002A0100" w:rsidP="00A92E6C">
      <w:pPr>
        <w:pStyle w:val="Paragraphe"/>
        <w:numPr>
          <w:ilvl w:val="0"/>
          <w:numId w:val="27"/>
        </w:numPr>
        <w:rPr>
          <w:lang w:val="en-CA"/>
        </w:rPr>
      </w:pPr>
      <w:r w:rsidRPr="00181BA7">
        <w:rPr>
          <w:lang w:val="en-CA"/>
        </w:rPr>
        <w:t>Between June 2 and October 12, 2021, respondent Ramy Kamaneh sold 205,034,650 shares in ICOA and received USD 2,078,957, in return for a profit estimated by the Authority at USD 753,951.</w:t>
      </w:r>
      <w:r w:rsidRPr="00181BA7">
        <w:rPr>
          <w:rStyle w:val="Appelnotedebasdep"/>
          <w:lang w:val="en-CA"/>
        </w:rPr>
        <w:footnoteReference w:id="56"/>
      </w:r>
      <w:r w:rsidRPr="00181BA7">
        <w:rPr>
          <w:lang w:val="en-CA"/>
        </w:rPr>
        <w:t xml:space="preserve"> Moreover, between October 13, 2021 and February 3, 2022, he allegedly liquidated the remainder of his ICOA shares, which the Authority claims generated additional profits of at least USD 2,600,000.</w:t>
      </w:r>
      <w:r w:rsidRPr="00181BA7">
        <w:rPr>
          <w:rStyle w:val="Appelnotedebasdep"/>
          <w:lang w:val="en-CA"/>
        </w:rPr>
        <w:footnoteReference w:id="57"/>
      </w:r>
      <w:r w:rsidRPr="00181BA7">
        <w:rPr>
          <w:lang w:val="en-CA"/>
        </w:rPr>
        <w:t xml:space="preserve"> These transactions by respondent Ramy Kamaneh in ICOA stock </w:t>
      </w:r>
      <w:r w:rsidRPr="00181BA7">
        <w:rPr>
          <w:lang w:val="en-CA"/>
        </w:rPr>
        <w:lastRenderedPageBreak/>
        <w:t>therefore appear to have earned him a return of more than 250% on his initial investment of USD 1,325,006;</w:t>
      </w:r>
    </w:p>
    <w:p w14:paraId="0C862663" w14:textId="77777777" w:rsidR="000300EA" w:rsidRPr="001A6C7C" w:rsidRDefault="002433CD" w:rsidP="00A92E6C">
      <w:pPr>
        <w:pStyle w:val="Paragraphe"/>
        <w:numPr>
          <w:ilvl w:val="0"/>
          <w:numId w:val="27"/>
        </w:numPr>
        <w:rPr>
          <w:lang w:val="en-CA"/>
        </w:rPr>
      </w:pPr>
      <w:r w:rsidRPr="00181BA7">
        <w:rPr>
          <w:lang w:val="en-CA"/>
        </w:rPr>
        <w:t>Evidence adduced by the Authority shows that respondent Mohamed Kada Mesli, between August 23 and October 27, 2021, sold 16,841,119 shares of ICOA for a sum of USD 238,410. He therefore appears to have made a profit estimated by the Authority at USD 195,579</w:t>
      </w:r>
      <w:r w:rsidRPr="00181BA7">
        <w:rPr>
          <w:rStyle w:val="Appelnotedebasdep"/>
          <w:lang w:val="en-CA"/>
        </w:rPr>
        <w:footnoteReference w:id="58"/>
      </w:r>
      <w:r w:rsidRPr="00181BA7">
        <w:rPr>
          <w:lang w:val="en-CA"/>
        </w:rPr>
        <w:t xml:space="preserve">, i.e., a return of more than 450% on his initial investment of USD 42,831. </w:t>
      </w:r>
    </w:p>
    <w:p w14:paraId="117B6C20" w14:textId="764F5107" w:rsidR="004F2C1D" w:rsidRPr="00181BA7" w:rsidRDefault="00227DD0" w:rsidP="004F2C1D">
      <w:pPr>
        <w:pStyle w:val="Paragraphe"/>
      </w:pPr>
      <w:r w:rsidRPr="00181BA7">
        <w:rPr>
          <w:lang w:val="en-CA"/>
        </w:rPr>
        <w:t>The Tribunal also notes the coincidence of the AAPT promotional campaign with the alleged transactions by respondents Ramy Kamaneh and Mohamed Kada Mesli involving AAPT shares, as shown by the detailed evidence presented before the Tribunal by the Authority. In this regard, the Tribunal notes:</w:t>
      </w:r>
    </w:p>
    <w:p w14:paraId="46EFB807" w14:textId="77777777" w:rsidR="00FE72C4" w:rsidRPr="001A6C7C" w:rsidRDefault="00EC1E0D" w:rsidP="00EC1E0D">
      <w:pPr>
        <w:pStyle w:val="Paragraphe"/>
        <w:numPr>
          <w:ilvl w:val="0"/>
          <w:numId w:val="29"/>
        </w:numPr>
        <w:rPr>
          <w:lang w:val="en-CA"/>
        </w:rPr>
      </w:pPr>
      <w:r w:rsidRPr="00181BA7">
        <w:rPr>
          <w:lang w:val="en-CA"/>
        </w:rPr>
        <w:t>On July 23, 2021, respondent Ramy Kamaneh allegedly began purchasing AAPT shares and, between that date and September 30, 2021, he allegedly purchased 90,624,218 shares of the same company at an average cost per share of USD 0.01097, thereby disbursing a total of USD 994,929</w:t>
      </w:r>
      <w:r w:rsidRPr="00181BA7">
        <w:rPr>
          <w:rStyle w:val="Appelnotedebasdep"/>
          <w:lang w:val="en-CA"/>
        </w:rPr>
        <w:footnoteReference w:id="59"/>
      </w:r>
      <w:r w:rsidRPr="00181BA7">
        <w:rPr>
          <w:lang w:val="en-CA"/>
        </w:rPr>
        <w:t xml:space="preserve">. </w:t>
      </w:r>
    </w:p>
    <w:p w14:paraId="7573CB6B" w14:textId="77777777" w:rsidR="003730EE" w:rsidRPr="001A6C7C" w:rsidRDefault="003730EE" w:rsidP="00EC1E0D">
      <w:pPr>
        <w:pStyle w:val="Paragraphe"/>
        <w:numPr>
          <w:ilvl w:val="0"/>
          <w:numId w:val="29"/>
        </w:numPr>
        <w:rPr>
          <w:lang w:val="en-CA"/>
        </w:rPr>
      </w:pPr>
      <w:r w:rsidRPr="00181BA7">
        <w:rPr>
          <w:lang w:val="en-CA"/>
        </w:rPr>
        <w:t>The largest portion of these purchases, i.e., 76,000,000 shares, occurred between July 23 and August 25, 2021, very shortly before the public announcement by AAPT on September 1, 2021, of a change in control,</w:t>
      </w:r>
      <w:r w:rsidRPr="00181BA7">
        <w:rPr>
          <w:rStyle w:val="Appelnotedebasdep"/>
          <w:lang w:val="en-CA"/>
        </w:rPr>
        <w:footnoteReference w:id="60"/>
      </w:r>
      <w:r w:rsidRPr="00181BA7">
        <w:rPr>
          <w:lang w:val="en-CA"/>
        </w:rPr>
        <w:t xml:space="preserve"> the filing of continuous information documents on OTC Markets and the publication of a series of four promotional press releases between September 14 and 29, 2021 by AAPT’s new management</w:t>
      </w:r>
      <w:r w:rsidRPr="00181BA7">
        <w:rPr>
          <w:rStyle w:val="Appelnotedebasdep"/>
          <w:lang w:val="en-CA"/>
        </w:rPr>
        <w:footnoteReference w:id="61"/>
      </w:r>
      <w:r w:rsidRPr="00181BA7">
        <w:rPr>
          <w:lang w:val="en-CA"/>
        </w:rPr>
        <w:t xml:space="preserve">; </w:t>
      </w:r>
    </w:p>
    <w:p w14:paraId="764FB0C5" w14:textId="77777777" w:rsidR="00EC1E0D" w:rsidRPr="001A6C7C" w:rsidRDefault="005902EA" w:rsidP="00EC1E0D">
      <w:pPr>
        <w:pStyle w:val="Paragraphe"/>
        <w:numPr>
          <w:ilvl w:val="0"/>
          <w:numId w:val="29"/>
        </w:numPr>
        <w:rPr>
          <w:lang w:val="en-CA"/>
        </w:rPr>
      </w:pPr>
      <w:r w:rsidRPr="00181BA7">
        <w:rPr>
          <w:lang w:val="en-CA"/>
        </w:rPr>
        <w:t>On September 14, 2021, AAPT announced the appointment of David Chong</w:t>
      </w:r>
      <w:r w:rsidRPr="00181BA7">
        <w:rPr>
          <w:rStyle w:val="Appelnotedebasdep"/>
          <w:lang w:val="en-CA"/>
        </w:rPr>
        <w:footnoteReference w:id="62"/>
      </w:r>
      <w:r w:rsidRPr="00181BA7">
        <w:rPr>
          <w:lang w:val="en-CA"/>
        </w:rPr>
        <w:t xml:space="preserve"> as CFO in a press release</w:t>
      </w:r>
      <w:r w:rsidRPr="00181BA7">
        <w:rPr>
          <w:rStyle w:val="Appelnotedebasdep"/>
          <w:lang w:val="en-CA"/>
        </w:rPr>
        <w:footnoteReference w:id="63"/>
      </w:r>
      <w:r w:rsidRPr="00181BA7">
        <w:rPr>
          <w:lang w:val="en-CA"/>
        </w:rPr>
        <w:t>. The Tribunal pointed out that this date coincided with the creation of a Twitter profile in the name of @RealDavidChong, which published numerous tweets about the three issuers at the centre of the Authority’s investigation, namely, MJWL, ICOA and AAPT</w:t>
      </w:r>
      <w:r w:rsidRPr="00181BA7">
        <w:rPr>
          <w:rStyle w:val="Appelnotedebasdep"/>
          <w:lang w:val="en-CA"/>
        </w:rPr>
        <w:footnoteReference w:id="64"/>
      </w:r>
      <w:r w:rsidRPr="00181BA7">
        <w:rPr>
          <w:lang w:val="en-CA"/>
        </w:rPr>
        <w:t>;</w:t>
      </w:r>
    </w:p>
    <w:p w14:paraId="6A3D5ACB" w14:textId="77777777" w:rsidR="004352D0" w:rsidRPr="001A6C7C" w:rsidRDefault="004352D0" w:rsidP="00EC1E0D">
      <w:pPr>
        <w:pStyle w:val="Paragraphe"/>
        <w:numPr>
          <w:ilvl w:val="0"/>
          <w:numId w:val="29"/>
        </w:numPr>
        <w:rPr>
          <w:lang w:val="en-CA"/>
        </w:rPr>
      </w:pPr>
      <w:r w:rsidRPr="00181BA7">
        <w:rPr>
          <w:lang w:val="en-CA"/>
        </w:rPr>
        <w:t>On September 17, 2021, OTC Markets granted AAPT “Pink Current Information” status</w:t>
      </w:r>
      <w:r w:rsidRPr="00181BA7">
        <w:rPr>
          <w:rStyle w:val="Appelnotedebasdep"/>
          <w:lang w:val="en-CA"/>
        </w:rPr>
        <w:footnoteReference w:id="65"/>
      </w:r>
      <w:r w:rsidRPr="00181BA7">
        <w:rPr>
          <w:lang w:val="en-CA"/>
        </w:rPr>
        <w:t>;</w:t>
      </w:r>
    </w:p>
    <w:p w14:paraId="4ED106DF" w14:textId="77777777" w:rsidR="007416CE" w:rsidRPr="001A6C7C" w:rsidRDefault="004352D0" w:rsidP="007416CE">
      <w:pPr>
        <w:pStyle w:val="Paragraphe"/>
        <w:numPr>
          <w:ilvl w:val="0"/>
          <w:numId w:val="29"/>
        </w:numPr>
        <w:rPr>
          <w:lang w:val="en-CA"/>
        </w:rPr>
      </w:pPr>
      <w:r w:rsidRPr="00181BA7">
        <w:rPr>
          <w:lang w:val="en-CA"/>
        </w:rPr>
        <w:t>As a result of these events and the publication of these press releases, trading volume and the value of AAPT’s share increased significantly</w:t>
      </w:r>
      <w:r w:rsidRPr="00181BA7">
        <w:rPr>
          <w:rStyle w:val="Appelnotedebasdep"/>
          <w:lang w:val="en-CA"/>
        </w:rPr>
        <w:footnoteReference w:id="66"/>
      </w:r>
      <w:r w:rsidRPr="00181BA7">
        <w:rPr>
          <w:lang w:val="en-CA"/>
        </w:rPr>
        <w:t xml:space="preserve"> and, on September 22, 2021, shortly after AAPT obtained “Pink Current Information” status from OTC </w:t>
      </w:r>
      <w:r w:rsidRPr="00181BA7">
        <w:rPr>
          <w:lang w:val="en-CA"/>
        </w:rPr>
        <w:lastRenderedPageBreak/>
        <w:t>Markets, AAPT’s share price peaked at USD 0.0322</w:t>
      </w:r>
      <w:r w:rsidRPr="00181BA7">
        <w:rPr>
          <w:rStyle w:val="Appelnotedebasdep"/>
          <w:lang w:val="en-CA"/>
        </w:rPr>
        <w:footnoteReference w:id="67"/>
      </w:r>
      <w:r w:rsidRPr="00181BA7">
        <w:rPr>
          <w:lang w:val="en-CA"/>
        </w:rPr>
        <w:t>, an increase of nearly 15 times the value of the highest price attained by AAPT shares during the period from January 3, 2020 to May 17, 2021</w:t>
      </w:r>
      <w:r w:rsidRPr="00181BA7">
        <w:rPr>
          <w:rStyle w:val="Appelnotedebasdep"/>
          <w:lang w:val="en-CA"/>
        </w:rPr>
        <w:footnoteReference w:id="68"/>
      </w:r>
      <w:r w:rsidRPr="00181BA7">
        <w:rPr>
          <w:lang w:val="en-CA"/>
        </w:rPr>
        <w:t xml:space="preserve">; </w:t>
      </w:r>
    </w:p>
    <w:p w14:paraId="44016CC8" w14:textId="77777777" w:rsidR="004352D0" w:rsidRPr="001A6C7C" w:rsidRDefault="00730283" w:rsidP="007416CE">
      <w:pPr>
        <w:pStyle w:val="Paragraphe"/>
        <w:numPr>
          <w:ilvl w:val="0"/>
          <w:numId w:val="29"/>
        </w:numPr>
        <w:rPr>
          <w:lang w:val="en-CA"/>
        </w:rPr>
      </w:pPr>
      <w:r w:rsidRPr="00181BA7">
        <w:rPr>
          <w:lang w:val="en-CA"/>
        </w:rPr>
        <w:t>Between August 30 and September 1, 2021, i.e., immediately before the above-mentioned major announcements and publications by AAPT, respondent Mohamed Kada Mesli reportedly purchased 7,072,526 shares of AAPT at an average cost per share of USD 0.00633, for a total of USD 44,786</w:t>
      </w:r>
      <w:r w:rsidRPr="00181BA7">
        <w:rPr>
          <w:rStyle w:val="Appelnotedebasdep"/>
          <w:lang w:val="en-CA"/>
        </w:rPr>
        <w:footnoteReference w:id="69"/>
      </w:r>
      <w:r w:rsidRPr="00181BA7">
        <w:rPr>
          <w:lang w:val="en-CA"/>
        </w:rPr>
        <w:t>;</w:t>
      </w:r>
    </w:p>
    <w:p w14:paraId="05B71159" w14:textId="77777777" w:rsidR="007416CE" w:rsidRPr="001A6C7C" w:rsidRDefault="007416CE" w:rsidP="007416CE">
      <w:pPr>
        <w:pStyle w:val="Paragraphe"/>
        <w:numPr>
          <w:ilvl w:val="0"/>
          <w:numId w:val="29"/>
        </w:numPr>
        <w:rPr>
          <w:lang w:val="en-CA"/>
        </w:rPr>
      </w:pPr>
      <w:r w:rsidRPr="00181BA7">
        <w:rPr>
          <w:lang w:val="en-CA"/>
        </w:rPr>
        <w:t>Between September 3 and October 12, 2021, respondent Ramy Kamaneh purportedly liquidated most of his AAPT shares, i.e., 86,624,218 shares. According to the Authority, he received a total of USD 2,314,464 for these shares and, as of November 3, 2021, made profits of USD 1,319,535,</w:t>
      </w:r>
      <w:r w:rsidRPr="00181BA7">
        <w:rPr>
          <w:rStyle w:val="Appelnotedebasdep"/>
          <w:lang w:val="en-CA"/>
        </w:rPr>
        <w:footnoteReference w:id="70"/>
      </w:r>
      <w:r w:rsidRPr="00181BA7">
        <w:rPr>
          <w:lang w:val="en-CA"/>
        </w:rPr>
        <w:t xml:space="preserve"> i.e., a return of more than 130% on his initial investment of USD 994,929; </w:t>
      </w:r>
    </w:p>
    <w:p w14:paraId="5B212AE5" w14:textId="77777777" w:rsidR="00321FEB" w:rsidRPr="001A6C7C" w:rsidRDefault="004352D0" w:rsidP="00321FEB">
      <w:pPr>
        <w:pStyle w:val="Paragraphe"/>
        <w:numPr>
          <w:ilvl w:val="0"/>
          <w:numId w:val="28"/>
        </w:numPr>
        <w:rPr>
          <w:lang w:val="en-CA"/>
        </w:rPr>
      </w:pPr>
      <w:r w:rsidRPr="00181BA7">
        <w:rPr>
          <w:lang w:val="en-CA"/>
        </w:rPr>
        <w:t>Between September 3 and October 15, 2021, respondent Mohamed Kada Mesli allegedly liquidated all of his shares in AAPT and received a total of USD 184,521 in return.</w:t>
      </w:r>
      <w:r w:rsidRPr="00181BA7">
        <w:rPr>
          <w:rStyle w:val="Appelnotedebasdep"/>
          <w:lang w:val="en-CA"/>
        </w:rPr>
        <w:footnoteReference w:id="71"/>
      </w:r>
      <w:r w:rsidRPr="00181BA7">
        <w:rPr>
          <w:lang w:val="en-CA"/>
        </w:rPr>
        <w:t xml:space="preserve"> He would therefore have made a profit of USD 139,735</w:t>
      </w:r>
      <w:r w:rsidRPr="00181BA7">
        <w:rPr>
          <w:rStyle w:val="Appelnotedebasdep"/>
          <w:lang w:val="en-CA"/>
        </w:rPr>
        <w:footnoteReference w:id="72"/>
      </w:r>
      <w:r w:rsidRPr="00181BA7">
        <w:rPr>
          <w:lang w:val="en-CA"/>
        </w:rPr>
        <w:t xml:space="preserve"> for a return exceeding 300% on his initial investment of USD 44,786. </w:t>
      </w:r>
    </w:p>
    <w:p w14:paraId="22776970" w14:textId="77777777" w:rsidR="00227DD0" w:rsidRPr="001A6C7C" w:rsidRDefault="003164D9" w:rsidP="00227DD0">
      <w:pPr>
        <w:pStyle w:val="Paragraphe"/>
        <w:rPr>
          <w:lang w:val="en-CA"/>
        </w:rPr>
      </w:pPr>
      <w:r w:rsidRPr="00181BA7">
        <w:rPr>
          <w:lang w:val="en-CA"/>
        </w:rPr>
        <w:t>In light of all the evidence presented to it by the Authority, the Tribunal considers the following matters of deep concern to market integrity and protection of the public investor: (i) the appearance of a series of publicly undisclosed, significant ties,</w:t>
      </w:r>
      <w:r w:rsidRPr="00181BA7">
        <w:rPr>
          <w:rStyle w:val="Appelnotedebasdep"/>
          <w:lang w:val="en-CA"/>
        </w:rPr>
        <w:footnoteReference w:id="73"/>
      </w:r>
      <w:r w:rsidRPr="00181BA7">
        <w:rPr>
          <w:lang w:val="en-CA"/>
        </w:rPr>
        <w:t xml:space="preserve"> including substantial payments of money,</w:t>
      </w:r>
      <w:r w:rsidRPr="00181BA7">
        <w:rPr>
          <w:rStyle w:val="Appelnotedebasdep"/>
          <w:lang w:val="en-CA"/>
        </w:rPr>
        <w:footnoteReference w:id="74"/>
      </w:r>
      <w:r w:rsidRPr="00181BA7">
        <w:rPr>
          <w:lang w:val="en-CA"/>
        </w:rPr>
        <w:t xml:space="preserve"> between the respondents Ramy Kamaneh, Mohamed Kada Mesli and persons holding important positions within the management of the companies MJWL, ICOA and AAPT, (ii) the staggering profits - $15 million over a period of approximately 10 months between May 2021 and February 2022 - allegedly made by the respondents as a result of a series of significant stock trading transactions on the securities of these companies, carried out in a manner strangely coinciding with campaigns to promote these securities by managers of these companies, and (iii) the substantial payments of monies allegedly made by the respondents to a communications firm that had "…</w:t>
      </w:r>
      <w:r w:rsidRPr="00181BA7">
        <w:rPr>
          <w:i/>
          <w:iCs/>
          <w:lang w:val="en-CA"/>
        </w:rPr>
        <w:t>designed and executed</w:t>
      </w:r>
      <w:r w:rsidRPr="00181BA7">
        <w:rPr>
          <w:lang w:val="en-CA"/>
        </w:rPr>
        <w:t> </w:t>
      </w:r>
      <w:r w:rsidRPr="00181BA7">
        <w:rPr>
          <w:i/>
          <w:iCs/>
          <w:lang w:val="en-CA"/>
        </w:rPr>
        <w:t>high-impact press release campaigns for over 500 clients, including publicly traded companies.</w:t>
      </w:r>
      <w:r w:rsidRPr="00181BA7">
        <w:rPr>
          <w:lang w:val="en-CA"/>
        </w:rPr>
        <w:t>”</w:t>
      </w:r>
      <w:r w:rsidRPr="00181BA7">
        <w:rPr>
          <w:rStyle w:val="Appelnotedebasdep"/>
          <w:lang w:val="en-CA"/>
        </w:rPr>
        <w:footnoteReference w:id="75"/>
      </w:r>
      <w:r w:rsidRPr="00181BA7">
        <w:rPr>
          <w:lang w:val="en-CA"/>
        </w:rPr>
        <w:t xml:space="preserve"> </w:t>
      </w:r>
    </w:p>
    <w:p w14:paraId="5A14A3C9" w14:textId="01994888" w:rsidR="004B67CC" w:rsidRPr="001A6C7C" w:rsidRDefault="00A92E6C" w:rsidP="00F7277B">
      <w:pPr>
        <w:pStyle w:val="Paragraphe"/>
        <w:rPr>
          <w:lang w:val="en-CA"/>
        </w:rPr>
      </w:pPr>
      <w:r w:rsidRPr="00181BA7">
        <w:rPr>
          <w:lang w:val="en-CA"/>
        </w:rPr>
        <w:t xml:space="preserve">Consequently, having duly considered all the above-mentioned evidence, the Tribunal finds that the </w:t>
      </w:r>
      <w:r w:rsidR="001A6C7C">
        <w:rPr>
          <w:lang w:val="en-CA"/>
        </w:rPr>
        <w:t>Authority</w:t>
      </w:r>
      <w:r w:rsidR="001A6C7C" w:rsidRPr="00181BA7">
        <w:rPr>
          <w:lang w:val="en-CA"/>
        </w:rPr>
        <w:t xml:space="preserve"> </w:t>
      </w:r>
      <w:r w:rsidRPr="00181BA7">
        <w:rPr>
          <w:lang w:val="en-CA"/>
        </w:rPr>
        <w:t xml:space="preserve">has adduced compelling circumstantial evidence showing that for approximately ten (10) months, i.e., between March 2021 and January 2022, the </w:t>
      </w:r>
      <w:r w:rsidRPr="00181BA7">
        <w:rPr>
          <w:lang w:val="en-CA"/>
        </w:rPr>
        <w:lastRenderedPageBreak/>
        <w:t xml:space="preserve">respondents committed serious apparent breaches of ss. 195.2 and 199.1 of the </w:t>
      </w:r>
      <w:r w:rsidRPr="00181BA7">
        <w:rPr>
          <w:i/>
          <w:iCs/>
          <w:lang w:val="en-CA"/>
        </w:rPr>
        <w:t>Securities Act</w:t>
      </w:r>
      <w:r w:rsidRPr="00181BA7">
        <w:rPr>
          <w:lang w:val="en-CA"/>
        </w:rPr>
        <w:t xml:space="preserve"> as well as apparent acts contrary to the public interest - that risk causing irreparable injury to the integrity of financial markets, to the public investor and to investor confidence in these markets - by participating in a scheme to influence and/or attempt to influence the price or value of the securities of MJWL, ICOA and AAPT, and by engaging in apparently unfair, improper or fraudulent practices. </w:t>
      </w:r>
    </w:p>
    <w:p w14:paraId="64DC3567" w14:textId="77777777" w:rsidR="00E935FC" w:rsidRPr="001A6C7C" w:rsidRDefault="00227DD0" w:rsidP="00870BE7">
      <w:pPr>
        <w:pStyle w:val="Paragraphe"/>
        <w:rPr>
          <w:lang w:val="en-CA"/>
        </w:rPr>
      </w:pPr>
      <w:r w:rsidRPr="00181BA7">
        <w:rPr>
          <w:lang w:val="en-CA"/>
        </w:rPr>
        <w:t>The Tribunal is also deeply concerned that the evidence gathered by the Authority, in the course of an ongoing investigation, reveals that respondents Ramy Kamaneh and Mohamed Kada Mesli may be pursuing - with the substantial profits they have already reaped - similar activities involving other companies, such as Caduceus Software System Corp,</w:t>
      </w:r>
      <w:r w:rsidRPr="00181BA7">
        <w:rPr>
          <w:rStyle w:val="Appelnotedebasdep"/>
          <w:lang w:val="en-CA"/>
        </w:rPr>
        <w:footnoteReference w:id="76"/>
      </w:r>
      <w:r w:rsidRPr="00181BA7">
        <w:rPr>
          <w:lang w:val="en-CA"/>
        </w:rPr>
        <w:t xml:space="preserve"> a company that appears to be using a promotional strategy similar to those of MJWL, ICOA and AAPT,</w:t>
      </w:r>
      <w:r w:rsidRPr="00181BA7">
        <w:rPr>
          <w:rStyle w:val="Appelnotedebasdep"/>
          <w:lang w:val="en-CA"/>
        </w:rPr>
        <w:footnoteReference w:id="77"/>
      </w:r>
      <w:r w:rsidRPr="00181BA7">
        <w:rPr>
          <w:lang w:val="en-CA"/>
        </w:rPr>
        <w:t xml:space="preserve"> in which impleaded party SDÉT Inc., a company controlled by respondent Ramy Kamaneh, has invested USD 2,130,000.</w:t>
      </w:r>
      <w:r w:rsidRPr="00181BA7">
        <w:rPr>
          <w:rStyle w:val="Appelnotedebasdep"/>
          <w:lang w:val="en-CA"/>
        </w:rPr>
        <w:footnoteReference w:id="78"/>
      </w:r>
    </w:p>
    <w:p w14:paraId="6EF99305" w14:textId="77777777" w:rsidR="00E935FC" w:rsidRPr="001A6C7C" w:rsidRDefault="005B3619" w:rsidP="008B0B0E">
      <w:pPr>
        <w:pStyle w:val="Paragraphe"/>
        <w:rPr>
          <w:lang w:val="en-CA"/>
        </w:rPr>
      </w:pPr>
      <w:r w:rsidRPr="00181BA7">
        <w:rPr>
          <w:lang w:val="en-CA"/>
        </w:rPr>
        <w:t>In this regard, the Authority asserts that respondent Ramy Kamaneh still has several brokerage and bank accounts that he is currently using to trade in other securities, including through options, and that, as of March 14, 2022, USD 3,374,227 was still available in one of his brokerage accounts.</w:t>
      </w:r>
      <w:r w:rsidRPr="00181BA7">
        <w:rPr>
          <w:rStyle w:val="Appelnotedebasdep"/>
          <w:lang w:val="en-CA"/>
        </w:rPr>
        <w:footnoteReference w:id="79"/>
      </w:r>
    </w:p>
    <w:p w14:paraId="778A2884" w14:textId="77777777" w:rsidR="00D9369B" w:rsidRPr="001A6C7C" w:rsidRDefault="00870BE7" w:rsidP="00E935FC">
      <w:pPr>
        <w:pStyle w:val="Titre2"/>
        <w:rPr>
          <w:lang w:val="en-CA"/>
        </w:rPr>
      </w:pPr>
      <w:r w:rsidRPr="00181BA7">
        <w:rPr>
          <w:bCs/>
          <w:lang w:val="en-CA"/>
        </w:rPr>
        <w:t>Question 2: Are we dealing with a situation that requires urgent action and/or that could cause irreparable injury if the Tribunal does not render a decision without first hearing the respondents and the impleaded parties</w:t>
      </w:r>
      <w:r w:rsidRPr="00181BA7">
        <w:rPr>
          <w:bCs/>
          <w:color w:val="000000" w:themeColor="text1"/>
          <w:szCs w:val="24"/>
          <w:lang w:val="en-CA"/>
        </w:rPr>
        <w:t>?</w:t>
      </w:r>
    </w:p>
    <w:p w14:paraId="0A4139FB" w14:textId="77777777" w:rsidR="00B14E95" w:rsidRPr="001A6C7C" w:rsidRDefault="00B14E95" w:rsidP="00B14E95">
      <w:pPr>
        <w:pStyle w:val="Paragraphe"/>
        <w:rPr>
          <w:rFonts w:ascii="Times New Roman" w:hAnsi="Times New Roman"/>
          <w:lang w:val="en-CA"/>
        </w:rPr>
      </w:pPr>
      <w:r w:rsidRPr="00181BA7">
        <w:rPr>
          <w:lang w:val="en-CA"/>
        </w:rPr>
        <w:t>After hearing the evidence presented by the Authority, the Tribunal answers this question in the affirmative. The Tribunal considers the situation to require urgent action and to present a risk of irreparable injury unless it renders a decision without first hearing the respondents and the impleaded parties.</w:t>
      </w:r>
    </w:p>
    <w:p w14:paraId="035A0690" w14:textId="77777777" w:rsidR="007E37C9" w:rsidRPr="001A6C7C" w:rsidRDefault="00B14E95" w:rsidP="007E37C9">
      <w:pPr>
        <w:pStyle w:val="Paragraphe"/>
        <w:rPr>
          <w:rFonts w:ascii="Times New Roman" w:hAnsi="Times New Roman"/>
          <w:lang w:val="en-CA"/>
        </w:rPr>
      </w:pPr>
      <w:r w:rsidRPr="00181BA7">
        <w:rPr>
          <w:lang w:val="en-CA"/>
        </w:rPr>
        <w:t xml:space="preserve">Section 115.1, paragraph 2, of the </w:t>
      </w:r>
      <w:r w:rsidRPr="00181BA7">
        <w:rPr>
          <w:i/>
          <w:iCs/>
          <w:lang w:val="en-CA"/>
        </w:rPr>
        <w:t>Act respecting regulation of the financial sector</w:t>
      </w:r>
      <w:r w:rsidRPr="00181BA7">
        <w:rPr>
          <w:lang w:val="en-CA"/>
        </w:rPr>
        <w:t>﻿﻿ provides that the Tribunal may render a decision adversely affecting the rights of a person, without a prior hearing, if urgent action is required or to prevent irreparable injury.</w:t>
      </w:r>
    </w:p>
    <w:p w14:paraId="2FBA7484" w14:textId="77777777" w:rsidR="00294524" w:rsidRPr="001A6C7C" w:rsidRDefault="00B14E95" w:rsidP="008B0B0E">
      <w:pPr>
        <w:pStyle w:val="Paragraphe"/>
        <w:rPr>
          <w:rFonts w:ascii="Times New Roman" w:hAnsi="Times New Roman"/>
          <w:lang w:val="en-CA"/>
        </w:rPr>
      </w:pPr>
      <w:r w:rsidRPr="00181BA7">
        <w:rPr>
          <w:lang w:val="en-CA"/>
        </w:rPr>
        <w:t xml:space="preserve">In the Tribunal’s opinion, a preponderance of evidence shows that the urgency and risk of irreparable harm to the public investor or to the integrity of financial markets, caused by apparent breaches of the </w:t>
      </w:r>
      <w:r w:rsidRPr="00181BA7">
        <w:rPr>
          <w:i/>
          <w:iCs/>
          <w:lang w:val="en-CA"/>
        </w:rPr>
        <w:t>Securities Act</w:t>
      </w:r>
      <w:r w:rsidRPr="00181BA7">
        <w:rPr>
          <w:lang w:val="en-CA"/>
        </w:rPr>
        <w:t xml:space="preserve">, ss. 195.2 and 199.1, and by alleged actions contrary to the public interest committed by the respondents, justifies an immediate response by the Tribunal to protect the public interest. </w:t>
      </w:r>
    </w:p>
    <w:p w14:paraId="1F14BA41" w14:textId="77777777" w:rsidR="008B306D" w:rsidRPr="001A6C7C" w:rsidRDefault="003A2E23" w:rsidP="008B0B0E">
      <w:pPr>
        <w:pStyle w:val="Paragraphe"/>
        <w:rPr>
          <w:rFonts w:ascii="Times New Roman" w:hAnsi="Times New Roman"/>
          <w:lang w:val="en-CA"/>
        </w:rPr>
      </w:pPr>
      <w:r w:rsidRPr="00181BA7">
        <w:rPr>
          <w:lang w:val="en-CA"/>
        </w:rPr>
        <w:t>In this respect, the Tribunal would underscore:</w:t>
      </w:r>
    </w:p>
    <w:p w14:paraId="793A2255" w14:textId="77777777" w:rsidR="00023C94" w:rsidRPr="001A6C7C" w:rsidRDefault="00023C94" w:rsidP="008F73CB">
      <w:pPr>
        <w:pStyle w:val="Paragraphe"/>
        <w:numPr>
          <w:ilvl w:val="0"/>
          <w:numId w:val="28"/>
        </w:numPr>
        <w:rPr>
          <w:lang w:val="en-CA"/>
        </w:rPr>
      </w:pPr>
      <w:r w:rsidRPr="00181BA7">
        <w:rPr>
          <w:lang w:val="en-CA"/>
        </w:rPr>
        <w:lastRenderedPageBreak/>
        <w:t xml:space="preserve">Although the Authority’s investigation into the financial activities of the respondents is ongoing, in the opinion of the Tribunal, it already presents compelling evidence that the respondents committed apparent breaches of ss. 195.2 and 199.1 of the </w:t>
      </w:r>
      <w:r w:rsidRPr="00181BA7">
        <w:rPr>
          <w:i/>
          <w:iCs/>
          <w:lang w:val="en-CA"/>
        </w:rPr>
        <w:t>Securities Act</w:t>
      </w:r>
      <w:r w:rsidRPr="00181BA7">
        <w:rPr>
          <w:lang w:val="en-CA"/>
        </w:rPr>
        <w:t xml:space="preserve"> as well as apparent acts contrary to the public interest that risk causing irreparable injury to the integrity of the financial markets and to the public investor, and affects the confidence of investors in these markets, all by participating in a scheme apparently designed to influence and/or attempt to influence the price or value of the securities of MJWL, ICOA and AAPT and by engaging in unfair, improper or fraudulent practices;</w:t>
      </w:r>
    </w:p>
    <w:p w14:paraId="46440519" w14:textId="77777777" w:rsidR="00635B49" w:rsidRPr="001A6C7C" w:rsidRDefault="00635B49" w:rsidP="008B306D">
      <w:pPr>
        <w:pStyle w:val="Paragraphe"/>
        <w:numPr>
          <w:ilvl w:val="0"/>
          <w:numId w:val="28"/>
        </w:numPr>
        <w:rPr>
          <w:rFonts w:ascii="Times New Roman" w:hAnsi="Times New Roman"/>
          <w:lang w:val="en-CA"/>
        </w:rPr>
      </w:pPr>
      <w:r w:rsidRPr="00181BA7">
        <w:rPr>
          <w:rFonts w:cs="Arial"/>
          <w:lang w:val="en-CA"/>
        </w:rPr>
        <w:t>Furthermore, the evidence gathered by the Authority reveals that the respondents may still be engaged in illicit activities by trading in the securities and the derivatives of other companies, specifically by using a portion of the $15,000,000 they allegedly earned from their MJWL, ICOA and AAPT securities transactions;</w:t>
      </w:r>
    </w:p>
    <w:p w14:paraId="3A84716A" w14:textId="77777777" w:rsidR="00023C94" w:rsidRPr="001A6C7C" w:rsidRDefault="00BB2D39" w:rsidP="008B306D">
      <w:pPr>
        <w:pStyle w:val="Paragraphe"/>
        <w:numPr>
          <w:ilvl w:val="0"/>
          <w:numId w:val="28"/>
        </w:numPr>
        <w:rPr>
          <w:rFonts w:ascii="Times New Roman" w:hAnsi="Times New Roman"/>
          <w:lang w:val="en-CA"/>
        </w:rPr>
      </w:pPr>
      <w:r w:rsidRPr="00181BA7">
        <w:rPr>
          <w:rFonts w:cs="Arial"/>
          <w:lang w:val="en-CA"/>
        </w:rPr>
        <w:t>In light of this evidence, it is imperative to implement a set of measures to protect the integrity of financial markets and the public investor, and to maintain public trust in these markets. Maintaining this trust is vital to the proper operation and preservation of the market economy in today’s society;</w:t>
      </w:r>
    </w:p>
    <w:p w14:paraId="05FFC77A" w14:textId="1E2370B5" w:rsidR="008D2D86" w:rsidRPr="001A6C7C" w:rsidRDefault="00BB2D39" w:rsidP="008B0B0E">
      <w:pPr>
        <w:pStyle w:val="Paragraphe"/>
        <w:numPr>
          <w:ilvl w:val="0"/>
          <w:numId w:val="28"/>
        </w:numPr>
        <w:rPr>
          <w:rFonts w:ascii="Times New Roman" w:hAnsi="Times New Roman"/>
          <w:lang w:val="en-CA"/>
        </w:rPr>
      </w:pPr>
      <w:r w:rsidRPr="00181BA7">
        <w:rPr>
          <w:rFonts w:cs="Arial"/>
          <w:lang w:val="en-CA"/>
        </w:rPr>
        <w:t xml:space="preserve">A preliminary analysis of the movement of funds in the respondents' accounts, conducted in the course of the Authority's investigation, indicates that they </w:t>
      </w:r>
      <w:r w:rsidR="001A6C7C">
        <w:rPr>
          <w:lang w:val="en-CA"/>
        </w:rPr>
        <w:t xml:space="preserve">apparently already </w:t>
      </w:r>
      <w:r w:rsidRPr="00181BA7">
        <w:rPr>
          <w:rFonts w:cs="Arial"/>
          <w:lang w:val="en-CA"/>
        </w:rPr>
        <w:t>have used a significant portion of the unlawfully obtained earnings made in this case to acquire property</w:t>
      </w:r>
      <w:r w:rsidRPr="00181BA7">
        <w:rPr>
          <w:rStyle w:val="Appelnotedebasdep"/>
          <w:rFonts w:cs="Arial"/>
          <w:lang w:val="en-CA"/>
        </w:rPr>
        <w:footnoteReference w:id="80"/>
      </w:r>
      <w:r w:rsidRPr="00181BA7">
        <w:rPr>
          <w:rFonts w:cs="Arial"/>
          <w:lang w:val="en-CA"/>
        </w:rPr>
        <w:t xml:space="preserve"> totalling several millions of dollars in Québec. The respondents also </w:t>
      </w:r>
      <w:r w:rsidR="001A6C7C">
        <w:rPr>
          <w:lang w:val="en-CA"/>
        </w:rPr>
        <w:t>apparently</w:t>
      </w:r>
      <w:r w:rsidR="001A6C7C" w:rsidRPr="00181BA7">
        <w:rPr>
          <w:rFonts w:cs="Arial"/>
          <w:lang w:val="en-CA"/>
        </w:rPr>
        <w:t xml:space="preserve"> </w:t>
      </w:r>
      <w:r w:rsidRPr="00181BA7">
        <w:rPr>
          <w:rFonts w:cs="Arial"/>
          <w:lang w:val="en-CA"/>
        </w:rPr>
        <w:t>transferred several million dollars to third parties outside Québec</w:t>
      </w:r>
      <w:r w:rsidRPr="00181BA7">
        <w:rPr>
          <w:rStyle w:val="Appelnotedebasdep"/>
          <w:rFonts w:cs="Arial"/>
          <w:lang w:val="en-CA"/>
        </w:rPr>
        <w:footnoteReference w:id="81"/>
      </w:r>
      <w:r w:rsidRPr="00181BA7">
        <w:rPr>
          <w:rFonts w:cs="Arial"/>
          <w:lang w:val="en-CA"/>
        </w:rPr>
        <w:t>;</w:t>
      </w:r>
    </w:p>
    <w:p w14:paraId="4094503D" w14:textId="49367401" w:rsidR="00B14E95" w:rsidRPr="001A6C7C" w:rsidRDefault="008D2D86" w:rsidP="00294524">
      <w:pPr>
        <w:pStyle w:val="Paragraphe"/>
        <w:numPr>
          <w:ilvl w:val="0"/>
          <w:numId w:val="28"/>
        </w:numPr>
        <w:rPr>
          <w:rFonts w:ascii="Times New Roman" w:hAnsi="Times New Roman"/>
          <w:lang w:val="en-CA"/>
        </w:rPr>
      </w:pPr>
      <w:r w:rsidRPr="00181BA7">
        <w:rPr>
          <w:rFonts w:cs="Arial"/>
          <w:lang w:val="en-CA"/>
        </w:rPr>
        <w:t xml:space="preserve">Unless the Tribunal takes immediate action, there is reason for concern that the substantial monies allegedly received by the respondents from unlawful activities could be squandered by the same respondents, thus making it impossible to take any recourse to recover the sums obtained from such activities, particularly </w:t>
      </w:r>
      <w:r w:rsidR="00E940C0">
        <w:rPr>
          <w:rFonts w:cs="Arial"/>
          <w:lang w:val="en-CA"/>
        </w:rPr>
        <w:t xml:space="preserve">to </w:t>
      </w:r>
      <w:r w:rsidR="00E940C0" w:rsidRPr="00181BA7">
        <w:rPr>
          <w:rFonts w:cs="Arial"/>
          <w:lang w:val="en-CA"/>
        </w:rPr>
        <w:t>compensat</w:t>
      </w:r>
      <w:r w:rsidR="00E940C0">
        <w:rPr>
          <w:rFonts w:cs="Arial"/>
          <w:lang w:val="en-CA"/>
        </w:rPr>
        <w:t>e</w:t>
      </w:r>
      <w:r w:rsidR="00E940C0" w:rsidRPr="00181BA7">
        <w:rPr>
          <w:rFonts w:cs="Arial"/>
          <w:lang w:val="en-CA"/>
        </w:rPr>
        <w:t xml:space="preserve"> </w:t>
      </w:r>
      <w:r w:rsidRPr="00181BA7">
        <w:rPr>
          <w:rFonts w:cs="Arial"/>
          <w:lang w:val="en-CA"/>
        </w:rPr>
        <w:t>public investors injured by these activities.</w:t>
      </w:r>
    </w:p>
    <w:p w14:paraId="14D7017D" w14:textId="77777777" w:rsidR="00E274E3" w:rsidRPr="001A6C7C" w:rsidRDefault="00294524" w:rsidP="00294524">
      <w:pPr>
        <w:pStyle w:val="Paragraphe"/>
        <w:rPr>
          <w:lang w:val="en-CA"/>
        </w:rPr>
      </w:pPr>
      <w:r w:rsidRPr="00181BA7">
        <w:rPr>
          <w:lang w:val="en-CA"/>
        </w:rPr>
        <w:t>Therefore, in the Tribunal’s opinion, the Authority has established the urgency and risk of irreparable injury to the public and to the integrity of the markets by apparent breaches and acts contrary to the public interest allegedly committed by the respondents herein, all of which justifies immediate action by the Tribunal.</w:t>
      </w:r>
    </w:p>
    <w:p w14:paraId="1760DD46" w14:textId="77777777" w:rsidR="00D9369B" w:rsidRPr="001A6C7C" w:rsidRDefault="00870BE7" w:rsidP="00A031E8">
      <w:pPr>
        <w:pStyle w:val="Titre2"/>
        <w:rPr>
          <w:lang w:val="en-CA"/>
        </w:rPr>
      </w:pPr>
      <w:r w:rsidRPr="00181BA7">
        <w:rPr>
          <w:bCs/>
          <w:lang w:val="en-CA"/>
        </w:rPr>
        <w:t xml:space="preserve">Question 3: If so, what preventive, protective and conservatory measures should the Tribunal implement in the public interest? </w:t>
      </w:r>
    </w:p>
    <w:p w14:paraId="7A157721" w14:textId="77777777" w:rsidR="007E37C9" w:rsidRPr="001A6C7C" w:rsidRDefault="007E37C9" w:rsidP="007E37C9">
      <w:pPr>
        <w:pStyle w:val="Paragraphe"/>
        <w:rPr>
          <w:rFonts w:ascii="Times New Roman" w:hAnsi="Times New Roman"/>
          <w:lang w:val="en-CA"/>
        </w:rPr>
      </w:pPr>
      <w:r w:rsidRPr="00181BA7">
        <w:rPr>
          <w:lang w:val="en-CA"/>
        </w:rPr>
        <w:t>The orders sought in this case by the Authority under sections 93, 94, 97 para. 2(3</w:t>
      </w:r>
      <w:r w:rsidRPr="00181BA7">
        <w:rPr>
          <w:color w:val="333333"/>
          <w:shd w:val="clear" w:color="auto" w:fill="FFFFFF"/>
          <w:lang w:val="en-CA"/>
        </w:rPr>
        <w:t>°</w:t>
      </w:r>
      <w:r w:rsidRPr="00181BA7">
        <w:rPr>
          <w:lang w:val="en-CA"/>
        </w:rPr>
        <w:t>), 97 para 2 (</w:t>
      </w:r>
      <w:r w:rsidRPr="00181BA7">
        <w:rPr>
          <w:color w:val="333333"/>
          <w:shd w:val="clear" w:color="auto" w:fill="FFFFFF"/>
          <w:lang w:val="en-CA"/>
        </w:rPr>
        <w:t>7°</w:t>
      </w:r>
      <w:r w:rsidRPr="00181BA7">
        <w:rPr>
          <w:lang w:val="en-CA"/>
        </w:rPr>
        <w:t xml:space="preserve">), 115.1 and 115.15.3 of the </w:t>
      </w:r>
      <w:r w:rsidRPr="00181BA7">
        <w:rPr>
          <w:i/>
          <w:iCs/>
          <w:lang w:val="en-CA"/>
        </w:rPr>
        <w:t xml:space="preserve">Act respecting the regulation of the </w:t>
      </w:r>
      <w:r w:rsidRPr="00181BA7">
        <w:rPr>
          <w:i/>
          <w:iCs/>
          <w:lang w:val="en-CA"/>
        </w:rPr>
        <w:lastRenderedPageBreak/>
        <w:t>financial sector</w:t>
      </w:r>
      <w:r w:rsidRPr="00181BA7">
        <w:rPr>
          <w:lang w:val="en-CA"/>
        </w:rPr>
        <w:t xml:space="preserve">, sections 249, 250 and 265 of the </w:t>
      </w:r>
      <w:r w:rsidRPr="00181BA7">
        <w:rPr>
          <w:i/>
          <w:iCs/>
          <w:lang w:val="en-CA"/>
        </w:rPr>
        <w:t>Securities Act</w:t>
      </w:r>
      <w:r w:rsidRPr="00181BA7">
        <w:rPr>
          <w:lang w:val="en-CA"/>
        </w:rPr>
        <w:t xml:space="preserve">, and sections 119, 120 and 131 of the </w:t>
      </w:r>
      <w:r w:rsidRPr="00181BA7">
        <w:rPr>
          <w:i/>
          <w:iCs/>
          <w:lang w:val="en-CA"/>
        </w:rPr>
        <w:t>Derivatives Act</w:t>
      </w:r>
      <w:r w:rsidRPr="00181BA7">
        <w:rPr>
          <w:lang w:val="en-CA"/>
        </w:rPr>
        <w:t xml:space="preserve"> are protective, preventive and conservatory in nature.</w:t>
      </w:r>
    </w:p>
    <w:p w14:paraId="24882FBD" w14:textId="1A40B8E6" w:rsidR="007E37C9" w:rsidRPr="001A6C7C" w:rsidRDefault="007E37C9" w:rsidP="007E37C9">
      <w:pPr>
        <w:pStyle w:val="Paragraphe"/>
        <w:rPr>
          <w:lang w:val="en-CA"/>
        </w:rPr>
      </w:pPr>
      <w:r w:rsidRPr="00181BA7">
        <w:rPr>
          <w:lang w:val="en-CA"/>
        </w:rPr>
        <w:t>First of all, these orders are intended to prevent</w:t>
      </w:r>
      <w:r w:rsidR="00E940C0">
        <w:rPr>
          <w:lang w:val="en-CA"/>
        </w:rPr>
        <w:t xml:space="preserve"> - during the Authority’s investigation - </w:t>
      </w:r>
      <w:r w:rsidRPr="00181BA7">
        <w:rPr>
          <w:lang w:val="en-CA"/>
        </w:rPr>
        <w:t>the squandering of assets obtained by the respondents</w:t>
      </w:r>
      <w:r w:rsidR="00E940C0">
        <w:rPr>
          <w:lang w:val="en-CA"/>
        </w:rPr>
        <w:t>,</w:t>
      </w:r>
      <w:r w:rsidRPr="00181BA7">
        <w:rPr>
          <w:lang w:val="en-CA"/>
        </w:rPr>
        <w:t xml:space="preserve"> allegedly in connection with breaches of the law or acts contrary to the public interest, by ordering them not to dispose directly or indirectly of funds, securities or other assets in their possession or entrusted to them and not to withdraw or appropriate funds, securities or other assets from another person with custody or control over them, including the contents of the security boxes, in any place whatsoever. </w:t>
      </w:r>
    </w:p>
    <w:p w14:paraId="179C3E27" w14:textId="77777777" w:rsidR="000D2FD5" w:rsidRPr="001A6C7C" w:rsidRDefault="007E37C9" w:rsidP="000D2FD5">
      <w:pPr>
        <w:pStyle w:val="Paragraphe"/>
        <w:rPr>
          <w:lang w:val="en-CA"/>
        </w:rPr>
      </w:pPr>
      <w:r w:rsidRPr="00181BA7">
        <w:rPr>
          <w:color w:val="000000"/>
          <w:sz w:val="14"/>
          <w:szCs w:val="14"/>
          <w:lang w:val="en-CA"/>
        </w:rPr>
        <w:t> </w:t>
      </w:r>
      <w:r w:rsidRPr="00181BA7">
        <w:rPr>
          <w:color w:val="000000"/>
          <w:lang w:val="en-CA"/>
        </w:rPr>
        <w:t xml:space="preserve">In this regard, the Tribunal notes that s. 249 of the </w:t>
      </w:r>
      <w:r w:rsidRPr="00181BA7">
        <w:rPr>
          <w:i/>
          <w:iCs/>
          <w:color w:val="000000"/>
          <w:lang w:val="en-CA"/>
        </w:rPr>
        <w:t xml:space="preserve">Securities Act </w:t>
      </w:r>
      <w:r w:rsidRPr="00181BA7">
        <w:rPr>
          <w:color w:val="000000"/>
          <w:lang w:val="en-CA"/>
        </w:rPr>
        <w:t xml:space="preserve">and s. </w:t>
      </w:r>
      <w:r w:rsidRPr="00181BA7">
        <w:rPr>
          <w:lang w:val="en-CA"/>
        </w:rPr>
        <w:t xml:space="preserve">119 of the </w:t>
      </w:r>
      <w:r w:rsidRPr="00181BA7">
        <w:rPr>
          <w:i/>
          <w:iCs/>
          <w:lang w:val="en-CA"/>
        </w:rPr>
        <w:t xml:space="preserve">Derivatives Act </w:t>
      </w:r>
      <w:r w:rsidRPr="00181BA7">
        <w:rPr>
          <w:color w:val="000000"/>
          <w:lang w:val="en-CA"/>
        </w:rPr>
        <w:t>allow it to issue freeze orders against the respondents personally and against third parties with custody and control of property or monies belonging or owed to the respondents.</w:t>
      </w:r>
    </w:p>
    <w:p w14:paraId="60092580" w14:textId="77777777" w:rsidR="007E37C9" w:rsidRPr="001A6C7C" w:rsidRDefault="00E97898" w:rsidP="000D2FD5">
      <w:pPr>
        <w:pStyle w:val="Paragraphe"/>
        <w:rPr>
          <w:lang w:val="en-CA"/>
        </w:rPr>
      </w:pPr>
      <w:r w:rsidRPr="00181BA7">
        <w:rPr>
          <w:color w:val="000000"/>
          <w:lang w:val="en-CA"/>
        </w:rPr>
        <w:t xml:space="preserve">In accordance with ss. 250 of the </w:t>
      </w:r>
      <w:r w:rsidRPr="00181BA7">
        <w:rPr>
          <w:i/>
          <w:iCs/>
          <w:color w:val="000000"/>
          <w:lang w:val="en-CA"/>
        </w:rPr>
        <w:t xml:space="preserve">Securities Act </w:t>
      </w:r>
      <w:r w:rsidRPr="00181BA7">
        <w:rPr>
          <w:color w:val="000000"/>
          <w:lang w:val="en-CA"/>
        </w:rPr>
        <w:t xml:space="preserve">and </w:t>
      </w:r>
      <w:r w:rsidRPr="00181BA7">
        <w:rPr>
          <w:lang w:val="en-CA"/>
        </w:rPr>
        <w:t>120 of the</w:t>
      </w:r>
      <w:r w:rsidRPr="00181BA7">
        <w:rPr>
          <w:i/>
          <w:iCs/>
          <w:lang w:val="en-CA"/>
        </w:rPr>
        <w:t xml:space="preserve"> Derivatives Act</w:t>
      </w:r>
      <w:r w:rsidRPr="00181BA7">
        <w:rPr>
          <w:lang w:val="en-CA"/>
        </w:rPr>
        <w:t>, t</w:t>
      </w:r>
      <w:r w:rsidRPr="00181BA7">
        <w:rPr>
          <w:color w:val="000000"/>
          <w:lang w:val="en-CA"/>
        </w:rPr>
        <w:t>he freeze orders take effect upon serving notice to the persons concerned and, unless otherwise provided, will remain in force for 12 months. However, the freeze orders may be revoked or otherwise amended by the Tribunal during this period as dictated by the public interest.</w:t>
      </w:r>
    </w:p>
    <w:p w14:paraId="59F07657" w14:textId="40020FB2" w:rsidR="007E37C9" w:rsidRPr="001A6C7C" w:rsidRDefault="007E37C9" w:rsidP="007E37C9">
      <w:pPr>
        <w:pStyle w:val="Paragraphe"/>
        <w:rPr>
          <w:rFonts w:ascii="Times New Roman" w:hAnsi="Times New Roman"/>
          <w:lang w:val="en-CA"/>
        </w:rPr>
      </w:pPr>
      <w:r w:rsidRPr="00181BA7">
        <w:rPr>
          <w:lang w:val="en-CA"/>
        </w:rPr>
        <w:t xml:space="preserve">Given that the evidence adduced by the Authority shows that the respondents committed numerous and serious apparent breaches of ss. 195.2 and 199.1 of the </w:t>
      </w:r>
      <w:r w:rsidRPr="00181BA7">
        <w:rPr>
          <w:i/>
          <w:iCs/>
          <w:lang w:val="en-CA"/>
        </w:rPr>
        <w:t xml:space="preserve">Securities Act, </w:t>
      </w:r>
      <w:r w:rsidR="00E940C0" w:rsidRPr="008318D8">
        <w:rPr>
          <w:iCs/>
          <w:lang w:val="en-CA"/>
        </w:rPr>
        <w:t xml:space="preserve">along with </w:t>
      </w:r>
      <w:r w:rsidRPr="00181BA7">
        <w:rPr>
          <w:lang w:val="en-CA"/>
        </w:rPr>
        <w:t>acts contrary to the public interest and</w:t>
      </w:r>
      <w:r w:rsidR="00E940C0">
        <w:rPr>
          <w:lang w:val="en-CA"/>
        </w:rPr>
        <w:t xml:space="preserve"> that</w:t>
      </w:r>
      <w:r w:rsidRPr="00181BA7">
        <w:rPr>
          <w:lang w:val="en-CA"/>
        </w:rPr>
        <w:t>, moreover, this evidence contains serious indications that the respondents could</w:t>
      </w:r>
      <w:r w:rsidR="00E940C0">
        <w:rPr>
          <w:lang w:val="en-CA"/>
        </w:rPr>
        <w:t xml:space="preserve"> presently</w:t>
      </w:r>
      <w:r w:rsidRPr="00181BA7">
        <w:rPr>
          <w:lang w:val="en-CA"/>
        </w:rPr>
        <w:t xml:space="preserve"> be engaged in such illegal activities through the securities or derivatives market, the Tribunal considers that the cease trade orders sought by the regulator must be issued immediately to protect the integrity of financial markets and the public investor, and to preserve the public’s trust in the integrity of these markets. Sections 265 of the </w:t>
      </w:r>
      <w:r w:rsidRPr="00181BA7">
        <w:rPr>
          <w:i/>
          <w:iCs/>
          <w:lang w:val="en-CA"/>
        </w:rPr>
        <w:t xml:space="preserve">Securities Act </w:t>
      </w:r>
      <w:r w:rsidRPr="00181BA7">
        <w:rPr>
          <w:lang w:val="en-CA"/>
        </w:rPr>
        <w:t>and 131</w:t>
      </w:r>
      <w:r w:rsidRPr="00181BA7">
        <w:rPr>
          <w:i/>
          <w:iCs/>
          <w:lang w:val="en-CA"/>
        </w:rPr>
        <w:t xml:space="preserve"> Derivatives Act </w:t>
      </w:r>
      <w:r w:rsidRPr="00181BA7">
        <w:rPr>
          <w:lang w:val="en-CA"/>
        </w:rPr>
        <w:t>empower the Tribunal to issue such orders in the public interest.</w:t>
      </w:r>
    </w:p>
    <w:p w14:paraId="78F8D572" w14:textId="2A20E5B9" w:rsidR="007A7C59" w:rsidRPr="001A6C7C" w:rsidRDefault="002034D3" w:rsidP="007E37C9">
      <w:pPr>
        <w:pStyle w:val="Paragraphe"/>
        <w:rPr>
          <w:rFonts w:ascii="Times New Roman" w:hAnsi="Times New Roman"/>
          <w:lang w:val="en-CA"/>
        </w:rPr>
      </w:pPr>
      <w:r w:rsidRPr="00181BA7">
        <w:rPr>
          <w:lang w:val="en-CA"/>
        </w:rPr>
        <w:t xml:space="preserve">In this respect, the Tribunal underscore that the breaches of ss. 195.2 and 199.1 of the </w:t>
      </w:r>
      <w:r w:rsidRPr="00181BA7">
        <w:rPr>
          <w:i/>
          <w:iCs/>
          <w:lang w:val="en-CA"/>
        </w:rPr>
        <w:t>Securities Act</w:t>
      </w:r>
      <w:r w:rsidRPr="00181BA7">
        <w:rPr>
          <w:lang w:val="en-CA"/>
        </w:rPr>
        <w:t xml:space="preserve"> and acts contrary to the public interest that undermine the integrity of the financial markets and the trust of the public investor in these markets are among the most serious offences provided in the </w:t>
      </w:r>
      <w:r w:rsidRPr="00181BA7">
        <w:rPr>
          <w:i/>
          <w:iCs/>
          <w:lang w:val="en-CA"/>
        </w:rPr>
        <w:t>Securities Act</w:t>
      </w:r>
      <w:r w:rsidRPr="00181BA7">
        <w:rPr>
          <w:lang w:val="en-CA"/>
        </w:rPr>
        <w:t xml:space="preserve"> provides because they undermine the very foundation of the market economy on which the standard of living of the public and the entirety of our contemporary society ultimately depends.  </w:t>
      </w:r>
    </w:p>
    <w:p w14:paraId="7D21818D" w14:textId="35DB8B87" w:rsidR="002034D3" w:rsidRPr="001A6C7C" w:rsidRDefault="007A7C59" w:rsidP="007E37C9">
      <w:pPr>
        <w:pStyle w:val="Paragraphe"/>
        <w:rPr>
          <w:rFonts w:ascii="Times New Roman" w:hAnsi="Times New Roman"/>
          <w:lang w:val="en-CA"/>
        </w:rPr>
      </w:pPr>
      <w:r w:rsidRPr="00181BA7">
        <w:rPr>
          <w:lang w:val="en-CA"/>
        </w:rPr>
        <w:t xml:space="preserve">In the public interest, the Tribunal must therefore take very seriously the detailed evidence urgently adduced before it by the Authority in this case, particularly in light of the market regulator’s allegations that such serious breaches and acts contrary to the public interest have been committed and appear ongoing by the respondents.  </w:t>
      </w:r>
    </w:p>
    <w:p w14:paraId="09740A44" w14:textId="77777777" w:rsidR="007E37C9" w:rsidRPr="001A6C7C" w:rsidRDefault="007E37C9" w:rsidP="007E37C9">
      <w:pPr>
        <w:pStyle w:val="Paragraphe"/>
        <w:rPr>
          <w:lang w:val="en-CA"/>
        </w:rPr>
      </w:pPr>
      <w:r w:rsidRPr="00181BA7">
        <w:rPr>
          <w:lang w:val="en-CA"/>
        </w:rPr>
        <w:t xml:space="preserve">Therefore, after duly considering the evidence and arguments presented by the Authority at the </w:t>
      </w:r>
      <w:r w:rsidRPr="00181BA7">
        <w:rPr>
          <w:i/>
          <w:iCs/>
          <w:lang w:val="en-CA"/>
        </w:rPr>
        <w:t>ex parte</w:t>
      </w:r>
      <w:r w:rsidRPr="00181BA7">
        <w:rPr>
          <w:lang w:val="en-CA"/>
        </w:rPr>
        <w:t xml:space="preserve"> hearing on December 12, 2022, the Tribunal finds it in the public </w:t>
      </w:r>
      <w:r w:rsidRPr="00181BA7">
        <w:rPr>
          <w:lang w:val="en-CA"/>
        </w:rPr>
        <w:lastRenderedPageBreak/>
        <w:t xml:space="preserve">interest to implement all of the orders sought in the conclusions of the Authority’s application. </w:t>
      </w:r>
    </w:p>
    <w:p w14:paraId="43BA98E9" w14:textId="77777777" w:rsidR="004E47AA" w:rsidRPr="001A6C7C" w:rsidRDefault="000D2FD5" w:rsidP="00745A21">
      <w:pPr>
        <w:pStyle w:val="Paragraphe"/>
        <w:numPr>
          <w:ilvl w:val="0"/>
          <w:numId w:val="0"/>
        </w:numPr>
        <w:rPr>
          <w:lang w:val="en-CA"/>
        </w:rPr>
      </w:pPr>
      <w:r w:rsidRPr="00181BA7">
        <w:rPr>
          <w:b/>
          <w:bCs/>
          <w:lang w:val="en-CA"/>
        </w:rPr>
        <w:t>FOR THESE REASONS</w:t>
      </w:r>
      <w:r w:rsidRPr="00181BA7">
        <w:rPr>
          <w:lang w:val="en-CA"/>
        </w:rPr>
        <w:t>, in view of the evidence adduced by the Authority showing that a decision in this matter is urgent to avoid irreparable injury and that immediate action without first hearing the respondents is justified to protect the public interest, the Financial Markets Administrative Tribunal, pursuant to ss. 93, 94, 97 para. 2 (3</w:t>
      </w:r>
      <w:r w:rsidRPr="00181BA7">
        <w:rPr>
          <w:color w:val="333333"/>
          <w:shd w:val="clear" w:color="auto" w:fill="FFFFFF"/>
          <w:lang w:val="en-CA"/>
        </w:rPr>
        <w:t xml:space="preserve">° and </w:t>
      </w:r>
      <w:r w:rsidRPr="00181BA7">
        <w:rPr>
          <w:shd w:val="clear" w:color="auto" w:fill="FFFFFF"/>
          <w:lang w:val="en-CA"/>
        </w:rPr>
        <w:t>7°</w:t>
      </w:r>
      <w:r w:rsidRPr="00181BA7">
        <w:rPr>
          <w:lang w:val="en-CA"/>
        </w:rPr>
        <w:t xml:space="preserve">), 115.1 and 115.15.3 of the </w:t>
      </w:r>
      <w:r w:rsidRPr="00181BA7">
        <w:rPr>
          <w:i/>
          <w:iCs/>
          <w:lang w:val="en-CA"/>
        </w:rPr>
        <w:t>Act respecting the regulation of the financial sector</w:t>
      </w:r>
      <w:r w:rsidRPr="00181BA7">
        <w:rPr>
          <w:lang w:val="en-CA"/>
        </w:rPr>
        <w:t xml:space="preserve">, ss. 249, 250 and 265 of the </w:t>
      </w:r>
      <w:r w:rsidRPr="00181BA7">
        <w:rPr>
          <w:i/>
          <w:iCs/>
          <w:lang w:val="en-CA"/>
        </w:rPr>
        <w:t>Securities Act</w:t>
      </w:r>
      <w:r w:rsidRPr="00181BA7">
        <w:rPr>
          <w:lang w:val="en-CA"/>
        </w:rPr>
        <w:t xml:space="preserve">, and ss. 119, 120 and 131 of the </w:t>
      </w:r>
      <w:r w:rsidRPr="00181BA7">
        <w:rPr>
          <w:i/>
          <w:iCs/>
          <w:lang w:val="en-CA"/>
        </w:rPr>
        <w:t>Derivatives Act</w:t>
      </w:r>
      <w:r w:rsidRPr="00181BA7">
        <w:rPr>
          <w:lang w:val="en-CA"/>
        </w:rPr>
        <w:t>:</w:t>
      </w:r>
    </w:p>
    <w:p w14:paraId="6889040D" w14:textId="358E7D06" w:rsidR="00745A21" w:rsidRPr="001A6C7C" w:rsidRDefault="00745A21" w:rsidP="00745A21">
      <w:pPr>
        <w:pStyle w:val="Paragraphe"/>
        <w:numPr>
          <w:ilvl w:val="0"/>
          <w:numId w:val="0"/>
        </w:numPr>
        <w:rPr>
          <w:lang w:val="en-CA"/>
        </w:rPr>
      </w:pPr>
      <w:r w:rsidRPr="00181BA7">
        <w:rPr>
          <w:b/>
          <w:bCs/>
          <w:lang w:val="en-CA"/>
        </w:rPr>
        <w:t>ALLOWS</w:t>
      </w:r>
      <w:r w:rsidRPr="00181BA7">
        <w:rPr>
          <w:lang w:val="en-CA"/>
        </w:rPr>
        <w:t xml:space="preserve"> the amended application by the Autorité des marchés financiers</w:t>
      </w:r>
      <w:r w:rsidR="00E940C0">
        <w:rPr>
          <w:lang w:val="en-CA"/>
        </w:rPr>
        <w:t xml:space="preserve"> and, </w:t>
      </w:r>
      <w:r w:rsidR="00E940C0" w:rsidRPr="00181BA7">
        <w:rPr>
          <w:lang w:val="en-CA"/>
        </w:rPr>
        <w:t>in the public interest</w:t>
      </w:r>
      <w:r w:rsidRPr="00181BA7">
        <w:rPr>
          <w:lang w:val="en-CA"/>
        </w:rPr>
        <w:t>;</w:t>
      </w:r>
    </w:p>
    <w:p w14:paraId="6B6D45A8" w14:textId="77777777" w:rsidR="00745A21" w:rsidRPr="001A6C7C" w:rsidRDefault="00745A21" w:rsidP="004F7C6A">
      <w:pPr>
        <w:ind w:left="567" w:hanging="567"/>
        <w:jc w:val="both"/>
        <w:rPr>
          <w:b/>
          <w:bCs/>
          <w:lang w:val="en-CA"/>
        </w:rPr>
      </w:pPr>
      <w:r w:rsidRPr="00181BA7">
        <w:rPr>
          <w:b/>
          <w:bCs/>
          <w:u w:val="single"/>
          <w:lang w:val="en-CA"/>
        </w:rPr>
        <w:t>Cease Trade Orders</w:t>
      </w:r>
      <w:r w:rsidRPr="00181BA7">
        <w:rPr>
          <w:b/>
          <w:bCs/>
          <w:lang w:val="en-CA"/>
        </w:rPr>
        <w:t xml:space="preserve"> </w:t>
      </w:r>
    </w:p>
    <w:p w14:paraId="5A161D30" w14:textId="77777777" w:rsidR="004F7C6A" w:rsidRPr="001A6C7C" w:rsidRDefault="004F7C6A" w:rsidP="004F7C6A">
      <w:pPr>
        <w:pStyle w:val="Paragraphe"/>
        <w:numPr>
          <w:ilvl w:val="0"/>
          <w:numId w:val="0"/>
        </w:numPr>
        <w:spacing w:before="0" w:after="0"/>
        <w:rPr>
          <w:b/>
          <w:bCs/>
          <w:lang w:val="en-CA"/>
        </w:rPr>
      </w:pPr>
    </w:p>
    <w:p w14:paraId="1D6AAEA7" w14:textId="77777777" w:rsidR="00745A21" w:rsidRPr="001A6C7C" w:rsidRDefault="00745A21" w:rsidP="004F7C6A">
      <w:pPr>
        <w:pStyle w:val="Paragraphe"/>
        <w:numPr>
          <w:ilvl w:val="0"/>
          <w:numId w:val="0"/>
        </w:numPr>
        <w:spacing w:before="0" w:after="0"/>
        <w:rPr>
          <w:lang w:val="en-CA"/>
        </w:rPr>
      </w:pPr>
      <w:r w:rsidRPr="00181BA7">
        <w:rPr>
          <w:b/>
          <w:bCs/>
          <w:lang w:val="en-CA"/>
        </w:rPr>
        <w:t>PROHIBITS</w:t>
      </w:r>
      <w:r w:rsidRPr="00181BA7">
        <w:rPr>
          <w:lang w:val="en-CA"/>
        </w:rPr>
        <w:t xml:space="preserve"> respondent Ramy Kamaneh from engaging in any direct or indirect activity related to securities transactions involving any form of investment covered by the </w:t>
      </w:r>
      <w:r w:rsidRPr="00181BA7">
        <w:rPr>
          <w:i/>
          <w:iCs/>
          <w:lang w:val="en-CA"/>
        </w:rPr>
        <w:t>Securities Act</w:t>
      </w:r>
      <w:r w:rsidRPr="00181BA7">
        <w:rPr>
          <w:lang w:val="en-CA"/>
        </w:rPr>
        <w:t>;</w:t>
      </w:r>
    </w:p>
    <w:p w14:paraId="20BB0BF2" w14:textId="77777777" w:rsidR="00A900A7" w:rsidRPr="001A6C7C" w:rsidRDefault="00A900A7" w:rsidP="004F7C6A">
      <w:pPr>
        <w:pStyle w:val="Paragraphe"/>
        <w:numPr>
          <w:ilvl w:val="0"/>
          <w:numId w:val="0"/>
        </w:numPr>
        <w:spacing w:before="0" w:after="0"/>
        <w:rPr>
          <w:lang w:val="en-CA"/>
        </w:rPr>
      </w:pPr>
    </w:p>
    <w:p w14:paraId="42C5FD22" w14:textId="77777777" w:rsidR="00745A21" w:rsidRPr="001A6C7C" w:rsidRDefault="00745A21" w:rsidP="00745A21">
      <w:pPr>
        <w:jc w:val="both"/>
        <w:rPr>
          <w:lang w:val="en-CA"/>
        </w:rPr>
      </w:pPr>
      <w:r w:rsidRPr="00181BA7">
        <w:rPr>
          <w:b/>
          <w:bCs/>
          <w:lang w:val="en-CA"/>
        </w:rPr>
        <w:t xml:space="preserve">PROHIBITS </w:t>
      </w:r>
      <w:r w:rsidRPr="00181BA7">
        <w:rPr>
          <w:lang w:val="en-CA"/>
        </w:rPr>
        <w:t xml:space="preserve">respondent Ramy Kamaneh from engaging in any activity in respect of any direct or indirect transaction involving any derivative instrument covered by the </w:t>
      </w:r>
      <w:r w:rsidRPr="00181BA7">
        <w:rPr>
          <w:i/>
          <w:iCs/>
          <w:lang w:val="en-CA"/>
        </w:rPr>
        <w:t>Derivatives Act</w:t>
      </w:r>
      <w:r w:rsidRPr="00181BA7">
        <w:rPr>
          <w:lang w:val="en-CA"/>
        </w:rPr>
        <w:t>;</w:t>
      </w:r>
    </w:p>
    <w:p w14:paraId="408CE05C" w14:textId="77777777" w:rsidR="00745A21" w:rsidRPr="001A6C7C" w:rsidRDefault="00745A21" w:rsidP="00745A21">
      <w:pPr>
        <w:pStyle w:val="Paragraphedeliste"/>
        <w:numPr>
          <w:ilvl w:val="0"/>
          <w:numId w:val="0"/>
        </w:numPr>
        <w:spacing w:after="0"/>
        <w:ind w:left="360"/>
        <w:rPr>
          <w:lang w:val="en-CA"/>
        </w:rPr>
      </w:pPr>
    </w:p>
    <w:p w14:paraId="77880F8C" w14:textId="77777777" w:rsidR="00745A21" w:rsidRPr="001A6C7C" w:rsidRDefault="007624C1" w:rsidP="00745A21">
      <w:pPr>
        <w:jc w:val="both"/>
        <w:rPr>
          <w:lang w:val="en-CA"/>
        </w:rPr>
      </w:pPr>
      <w:r w:rsidRPr="00181BA7">
        <w:rPr>
          <w:b/>
          <w:bCs/>
          <w:lang w:val="en-CA"/>
        </w:rPr>
        <w:t>PROHIBITS</w:t>
      </w:r>
      <w:r w:rsidRPr="00181BA7">
        <w:rPr>
          <w:lang w:val="en-CA"/>
        </w:rPr>
        <w:t xml:space="preserve"> respondent Mohamed Kada Mesli from engaging in any direct or indirect activity related to securities transactions involving any form of investment covered by the </w:t>
      </w:r>
      <w:r w:rsidRPr="00181BA7">
        <w:rPr>
          <w:i/>
          <w:iCs/>
          <w:lang w:val="en-CA"/>
        </w:rPr>
        <w:t>Securities Act</w:t>
      </w:r>
      <w:r w:rsidRPr="00181BA7">
        <w:rPr>
          <w:lang w:val="en-CA"/>
        </w:rPr>
        <w:t>;</w:t>
      </w:r>
    </w:p>
    <w:p w14:paraId="39C95DCE" w14:textId="77777777" w:rsidR="00745A21" w:rsidRPr="001A6C7C" w:rsidRDefault="00745A21" w:rsidP="00745A21">
      <w:pPr>
        <w:pStyle w:val="Paragraphedeliste"/>
        <w:numPr>
          <w:ilvl w:val="0"/>
          <w:numId w:val="0"/>
        </w:numPr>
        <w:spacing w:after="0"/>
        <w:ind w:left="360"/>
        <w:rPr>
          <w:lang w:val="en-CA"/>
        </w:rPr>
      </w:pPr>
    </w:p>
    <w:p w14:paraId="7D2069B2" w14:textId="77777777" w:rsidR="00745A21" w:rsidRPr="001A6C7C" w:rsidRDefault="007624C1" w:rsidP="00745A21">
      <w:pPr>
        <w:jc w:val="both"/>
        <w:rPr>
          <w:lang w:val="en-CA"/>
        </w:rPr>
      </w:pPr>
      <w:r w:rsidRPr="00181BA7">
        <w:rPr>
          <w:b/>
          <w:bCs/>
          <w:lang w:val="en-CA"/>
        </w:rPr>
        <w:t xml:space="preserve">PROHIBITS </w:t>
      </w:r>
      <w:r w:rsidRPr="00181BA7">
        <w:rPr>
          <w:lang w:val="en-CA"/>
        </w:rPr>
        <w:t xml:space="preserve">respondent Mohamed Kada Mesli from engaging in any activity in respect of any direct or indirect transaction involving derivative instruments covered by the </w:t>
      </w:r>
      <w:r w:rsidRPr="00181BA7">
        <w:rPr>
          <w:i/>
          <w:iCs/>
          <w:lang w:val="en-CA"/>
        </w:rPr>
        <w:t>Derivatives Act</w:t>
      </w:r>
      <w:r w:rsidRPr="00181BA7">
        <w:rPr>
          <w:lang w:val="en-CA"/>
        </w:rPr>
        <w:t>;</w:t>
      </w:r>
    </w:p>
    <w:p w14:paraId="5F83C4E7" w14:textId="77777777" w:rsidR="00745A21" w:rsidRPr="001A6C7C" w:rsidRDefault="00745A21" w:rsidP="00745A21">
      <w:pPr>
        <w:pStyle w:val="Paragraphedeliste"/>
        <w:numPr>
          <w:ilvl w:val="0"/>
          <w:numId w:val="0"/>
        </w:numPr>
        <w:spacing w:after="0"/>
        <w:ind w:left="360"/>
        <w:rPr>
          <w:lang w:val="en-CA"/>
        </w:rPr>
      </w:pPr>
    </w:p>
    <w:p w14:paraId="33AA65A4" w14:textId="77777777" w:rsidR="005A3FDF" w:rsidRPr="001A6C7C" w:rsidRDefault="005A3FDF" w:rsidP="00745A21">
      <w:pPr>
        <w:jc w:val="both"/>
        <w:rPr>
          <w:b/>
          <w:bCs/>
          <w:u w:val="single"/>
          <w:lang w:val="en-CA"/>
        </w:rPr>
      </w:pPr>
    </w:p>
    <w:p w14:paraId="2B0A0C83" w14:textId="77777777" w:rsidR="00745A21" w:rsidRPr="001A6C7C" w:rsidRDefault="00745A21" w:rsidP="00745A21">
      <w:pPr>
        <w:jc w:val="both"/>
        <w:rPr>
          <w:b/>
          <w:bCs/>
          <w:u w:val="single"/>
          <w:lang w:val="en-CA"/>
        </w:rPr>
      </w:pPr>
      <w:r w:rsidRPr="00181BA7">
        <w:rPr>
          <w:b/>
          <w:bCs/>
          <w:u w:val="single"/>
          <w:lang w:val="en-CA"/>
        </w:rPr>
        <w:t>Freeze Orders</w:t>
      </w:r>
    </w:p>
    <w:p w14:paraId="3B8EBF74" w14:textId="77777777" w:rsidR="00745A21" w:rsidRPr="001A6C7C" w:rsidRDefault="00745A21" w:rsidP="00745A21">
      <w:pPr>
        <w:pStyle w:val="Paragraphedeliste"/>
        <w:numPr>
          <w:ilvl w:val="0"/>
          <w:numId w:val="0"/>
        </w:numPr>
        <w:spacing w:after="0"/>
        <w:ind w:left="360"/>
        <w:rPr>
          <w:lang w:val="en-CA"/>
        </w:rPr>
      </w:pPr>
    </w:p>
    <w:p w14:paraId="6E539204" w14:textId="4BE40A24" w:rsidR="00745A21" w:rsidRPr="001A6C7C" w:rsidRDefault="00745A21" w:rsidP="00745A21">
      <w:pPr>
        <w:jc w:val="both"/>
        <w:rPr>
          <w:lang w:val="en-CA"/>
        </w:rPr>
      </w:pPr>
      <w:r w:rsidRPr="00181BA7">
        <w:rPr>
          <w:b/>
          <w:bCs/>
          <w:lang w:val="en-CA"/>
        </w:rPr>
        <w:t>ORDERS</w:t>
      </w:r>
      <w:r w:rsidRPr="00181BA7">
        <w:rPr>
          <w:lang w:val="en-CA"/>
        </w:rPr>
        <w:t xml:space="preserve"> respondent Ramy Kamaneh and the impleaded parties SDIT Inc. and SDÉT Inc., not to withdraw or dispose, directly or indirectly, of funds, securities or other property in their possession or funds, securities or other property in the possession of another person with care, custody or control thereof on behalf of Ramy Kamaneh, SDIT Inc. or SDÉT Inc., specifically in the following bank accounts and brokerage accounts: </w:t>
      </w:r>
    </w:p>
    <w:p w14:paraId="17158B3B" w14:textId="77777777" w:rsidR="00745A21" w:rsidRPr="001A6C7C" w:rsidRDefault="00745A21" w:rsidP="00745A21">
      <w:pPr>
        <w:pStyle w:val="Paragraphedeliste"/>
        <w:numPr>
          <w:ilvl w:val="0"/>
          <w:numId w:val="0"/>
        </w:numPr>
        <w:spacing w:after="0"/>
        <w:ind w:left="360"/>
        <w:rPr>
          <w:lang w:val="en-CA"/>
        </w:rPr>
      </w:pPr>
    </w:p>
    <w:p w14:paraId="308B1FF1" w14:textId="77777777" w:rsidR="00745A21" w:rsidRPr="001A6C7C" w:rsidRDefault="00745A21" w:rsidP="00745A21">
      <w:pPr>
        <w:pStyle w:val="Paragraphedeliste"/>
        <w:numPr>
          <w:ilvl w:val="0"/>
          <w:numId w:val="0"/>
        </w:numPr>
        <w:spacing w:after="0"/>
        <w:ind w:left="360"/>
        <w:rPr>
          <w:lang w:val="en-CA"/>
        </w:rPr>
      </w:pPr>
    </w:p>
    <w:tbl>
      <w:tblPr>
        <w:tblW w:w="779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8"/>
        <w:gridCol w:w="1797"/>
        <w:gridCol w:w="3437"/>
      </w:tblGrid>
      <w:tr w:rsidR="00745A21" w:rsidRPr="00181BA7" w14:paraId="592B7B67" w14:textId="77777777" w:rsidTr="00505DED">
        <w:tc>
          <w:tcPr>
            <w:tcW w:w="2558" w:type="dxa"/>
            <w:shd w:val="clear" w:color="auto" w:fill="auto"/>
            <w:noWrap/>
            <w:tcMar>
              <w:top w:w="0" w:type="dxa"/>
              <w:left w:w="70" w:type="dxa"/>
              <w:bottom w:w="0" w:type="dxa"/>
              <w:right w:w="70" w:type="dxa"/>
            </w:tcMar>
            <w:vAlign w:val="center"/>
            <w:hideMark/>
          </w:tcPr>
          <w:p w14:paraId="64551B4B" w14:textId="77777777" w:rsidR="00745A21" w:rsidRPr="00181BA7" w:rsidRDefault="00745A21" w:rsidP="00745A21">
            <w:pPr>
              <w:spacing w:line="276" w:lineRule="auto"/>
              <w:jc w:val="both"/>
              <w:rPr>
                <w:rFonts w:cs="Arial"/>
                <w:b/>
                <w:bCs/>
                <w:color w:val="000000"/>
              </w:rPr>
            </w:pPr>
            <w:r w:rsidRPr="00181BA7">
              <w:rPr>
                <w:rFonts w:cs="Arial"/>
                <w:b/>
                <w:bCs/>
                <w:color w:val="000000"/>
                <w:lang w:val="en-CA"/>
              </w:rPr>
              <w:t xml:space="preserve">Account no. </w:t>
            </w:r>
          </w:p>
        </w:tc>
        <w:tc>
          <w:tcPr>
            <w:tcW w:w="1797" w:type="dxa"/>
            <w:shd w:val="clear" w:color="auto" w:fill="auto"/>
            <w:noWrap/>
            <w:tcMar>
              <w:top w:w="0" w:type="dxa"/>
              <w:left w:w="70" w:type="dxa"/>
              <w:bottom w:w="0" w:type="dxa"/>
              <w:right w:w="70" w:type="dxa"/>
            </w:tcMar>
            <w:vAlign w:val="center"/>
            <w:hideMark/>
          </w:tcPr>
          <w:p w14:paraId="3004F5AC" w14:textId="77777777" w:rsidR="00745A21" w:rsidRPr="00181BA7" w:rsidRDefault="00745A21" w:rsidP="00745A21">
            <w:pPr>
              <w:spacing w:line="276" w:lineRule="auto"/>
              <w:jc w:val="both"/>
              <w:rPr>
                <w:rFonts w:cs="Arial"/>
                <w:b/>
                <w:bCs/>
                <w:color w:val="000000"/>
              </w:rPr>
            </w:pPr>
            <w:r w:rsidRPr="00181BA7">
              <w:rPr>
                <w:rFonts w:cs="Arial"/>
                <w:b/>
                <w:bCs/>
                <w:color w:val="000000"/>
                <w:lang w:val="en-CA"/>
              </w:rPr>
              <w:t>Branch</w:t>
            </w:r>
          </w:p>
        </w:tc>
        <w:tc>
          <w:tcPr>
            <w:tcW w:w="3437" w:type="dxa"/>
            <w:shd w:val="clear" w:color="auto" w:fill="auto"/>
            <w:noWrap/>
            <w:tcMar>
              <w:top w:w="0" w:type="dxa"/>
              <w:left w:w="70" w:type="dxa"/>
              <w:bottom w:w="0" w:type="dxa"/>
              <w:right w:w="70" w:type="dxa"/>
            </w:tcMar>
            <w:vAlign w:val="center"/>
            <w:hideMark/>
          </w:tcPr>
          <w:p w14:paraId="495190C4" w14:textId="77777777" w:rsidR="00745A21" w:rsidRPr="00181BA7" w:rsidRDefault="00745A21" w:rsidP="00745A21">
            <w:pPr>
              <w:spacing w:line="276" w:lineRule="auto"/>
              <w:jc w:val="both"/>
              <w:rPr>
                <w:rFonts w:cs="Arial"/>
                <w:b/>
                <w:bCs/>
                <w:color w:val="000000"/>
              </w:rPr>
            </w:pPr>
            <w:r w:rsidRPr="00181BA7">
              <w:rPr>
                <w:rFonts w:cs="Arial"/>
                <w:b/>
                <w:bCs/>
                <w:color w:val="000000"/>
                <w:lang w:val="en-CA"/>
              </w:rPr>
              <w:t>Holder</w:t>
            </w:r>
          </w:p>
        </w:tc>
      </w:tr>
      <w:tr w:rsidR="00745A21" w:rsidRPr="00181BA7" w14:paraId="698C6064" w14:textId="77777777" w:rsidTr="00505DED">
        <w:tc>
          <w:tcPr>
            <w:tcW w:w="2558" w:type="dxa"/>
            <w:shd w:val="clear" w:color="auto" w:fill="auto"/>
            <w:noWrap/>
            <w:tcMar>
              <w:top w:w="0" w:type="dxa"/>
              <w:left w:w="70" w:type="dxa"/>
              <w:bottom w:w="0" w:type="dxa"/>
              <w:right w:w="70" w:type="dxa"/>
            </w:tcMar>
            <w:vAlign w:val="center"/>
            <w:hideMark/>
          </w:tcPr>
          <w:p w14:paraId="742A1434" w14:textId="675779D4"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0D55FD6A" w14:textId="77777777" w:rsidR="00745A21" w:rsidRPr="00181BA7" w:rsidRDefault="00745A21" w:rsidP="00745A21">
            <w:pPr>
              <w:spacing w:line="276" w:lineRule="auto"/>
              <w:jc w:val="both"/>
              <w:rPr>
                <w:rFonts w:cs="Arial"/>
                <w:color w:val="000000"/>
              </w:rPr>
            </w:pPr>
            <w:r w:rsidRPr="00181BA7">
              <w:rPr>
                <w:rFonts w:cs="Arial"/>
                <w:color w:val="000000"/>
                <w:lang w:val="en-CA"/>
              </w:rPr>
              <w:t>04350</w:t>
            </w:r>
          </w:p>
        </w:tc>
        <w:tc>
          <w:tcPr>
            <w:tcW w:w="3437" w:type="dxa"/>
            <w:shd w:val="clear" w:color="auto" w:fill="auto"/>
            <w:noWrap/>
            <w:tcMar>
              <w:top w:w="0" w:type="dxa"/>
              <w:left w:w="70" w:type="dxa"/>
              <w:bottom w:w="0" w:type="dxa"/>
              <w:right w:w="70" w:type="dxa"/>
            </w:tcMar>
            <w:vAlign w:val="center"/>
            <w:hideMark/>
          </w:tcPr>
          <w:p w14:paraId="36E77BFD"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2E3B200C" w14:textId="77777777" w:rsidTr="00505DED">
        <w:tc>
          <w:tcPr>
            <w:tcW w:w="2558" w:type="dxa"/>
            <w:shd w:val="clear" w:color="auto" w:fill="auto"/>
            <w:noWrap/>
            <w:tcMar>
              <w:top w:w="0" w:type="dxa"/>
              <w:left w:w="70" w:type="dxa"/>
              <w:bottom w:w="0" w:type="dxa"/>
              <w:right w:w="70" w:type="dxa"/>
            </w:tcMar>
            <w:vAlign w:val="center"/>
            <w:hideMark/>
          </w:tcPr>
          <w:p w14:paraId="495AC11B" w14:textId="21E9B13B"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39AF0E69" w14:textId="77777777" w:rsidR="00745A21" w:rsidRPr="00181BA7" w:rsidRDefault="00745A21" w:rsidP="00745A21">
            <w:pPr>
              <w:spacing w:line="276" w:lineRule="auto"/>
              <w:jc w:val="both"/>
              <w:rPr>
                <w:rFonts w:cs="Arial"/>
                <w:color w:val="000000"/>
              </w:rPr>
            </w:pPr>
            <w:r w:rsidRPr="00181BA7">
              <w:rPr>
                <w:rFonts w:cs="Arial"/>
                <w:color w:val="000000"/>
                <w:lang w:val="en-CA"/>
              </w:rPr>
              <w:t>04350</w:t>
            </w:r>
          </w:p>
        </w:tc>
        <w:tc>
          <w:tcPr>
            <w:tcW w:w="3437" w:type="dxa"/>
            <w:shd w:val="clear" w:color="auto" w:fill="auto"/>
            <w:noWrap/>
            <w:tcMar>
              <w:top w:w="0" w:type="dxa"/>
              <w:left w:w="70" w:type="dxa"/>
              <w:bottom w:w="0" w:type="dxa"/>
              <w:right w:w="70" w:type="dxa"/>
            </w:tcMar>
            <w:vAlign w:val="center"/>
            <w:hideMark/>
          </w:tcPr>
          <w:p w14:paraId="0BC8B7AD"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240902B5" w14:textId="77777777" w:rsidTr="00505DED">
        <w:tc>
          <w:tcPr>
            <w:tcW w:w="2558" w:type="dxa"/>
            <w:shd w:val="clear" w:color="auto" w:fill="auto"/>
            <w:noWrap/>
            <w:tcMar>
              <w:top w:w="0" w:type="dxa"/>
              <w:left w:w="70" w:type="dxa"/>
              <w:bottom w:w="0" w:type="dxa"/>
              <w:right w:w="70" w:type="dxa"/>
            </w:tcMar>
            <w:vAlign w:val="center"/>
            <w:hideMark/>
          </w:tcPr>
          <w:p w14:paraId="2D4928AE" w14:textId="1D40D78A"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6AAA5727"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23DE58FF"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6BFC88E2" w14:textId="77777777" w:rsidTr="00505DED">
        <w:tc>
          <w:tcPr>
            <w:tcW w:w="2558" w:type="dxa"/>
            <w:shd w:val="clear" w:color="auto" w:fill="auto"/>
            <w:noWrap/>
            <w:tcMar>
              <w:top w:w="0" w:type="dxa"/>
              <w:left w:w="70" w:type="dxa"/>
              <w:bottom w:w="0" w:type="dxa"/>
              <w:right w:w="70" w:type="dxa"/>
            </w:tcMar>
            <w:vAlign w:val="center"/>
            <w:hideMark/>
          </w:tcPr>
          <w:p w14:paraId="08B9ABF4" w14:textId="5B9977F6" w:rsidR="00745A21" w:rsidRPr="00181BA7" w:rsidRDefault="00F408E6" w:rsidP="00745A21">
            <w:pPr>
              <w:spacing w:line="276" w:lineRule="auto"/>
              <w:jc w:val="both"/>
              <w:rPr>
                <w:rFonts w:cs="Arial"/>
                <w:color w:val="000000"/>
              </w:rPr>
            </w:pPr>
            <w:r>
              <w:rPr>
                <w:rFonts w:cs="Arial"/>
                <w:color w:val="000000"/>
              </w:rPr>
              <w:lastRenderedPageBreak/>
              <w:t>[...]</w:t>
            </w:r>
          </w:p>
        </w:tc>
        <w:tc>
          <w:tcPr>
            <w:tcW w:w="1797" w:type="dxa"/>
            <w:shd w:val="clear" w:color="auto" w:fill="auto"/>
            <w:noWrap/>
            <w:tcMar>
              <w:top w:w="0" w:type="dxa"/>
              <w:left w:w="70" w:type="dxa"/>
              <w:bottom w:w="0" w:type="dxa"/>
              <w:right w:w="70" w:type="dxa"/>
            </w:tcMar>
            <w:vAlign w:val="center"/>
            <w:hideMark/>
          </w:tcPr>
          <w:p w14:paraId="56066D15"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4F93965F"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099F549D" w14:textId="77777777" w:rsidTr="00505DED">
        <w:tc>
          <w:tcPr>
            <w:tcW w:w="2558" w:type="dxa"/>
            <w:shd w:val="clear" w:color="auto" w:fill="auto"/>
            <w:noWrap/>
            <w:tcMar>
              <w:top w:w="0" w:type="dxa"/>
              <w:left w:w="70" w:type="dxa"/>
              <w:bottom w:w="0" w:type="dxa"/>
              <w:right w:w="70" w:type="dxa"/>
            </w:tcMar>
            <w:vAlign w:val="center"/>
            <w:hideMark/>
          </w:tcPr>
          <w:p w14:paraId="521C4627" w14:textId="299C065D"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21BC3058"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4B976234"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59E96A1C" w14:textId="77777777" w:rsidTr="00505DED">
        <w:tc>
          <w:tcPr>
            <w:tcW w:w="2558" w:type="dxa"/>
            <w:shd w:val="clear" w:color="auto" w:fill="auto"/>
            <w:noWrap/>
            <w:tcMar>
              <w:top w:w="0" w:type="dxa"/>
              <w:left w:w="70" w:type="dxa"/>
              <w:bottom w:w="0" w:type="dxa"/>
              <w:right w:w="70" w:type="dxa"/>
            </w:tcMar>
            <w:vAlign w:val="center"/>
            <w:hideMark/>
          </w:tcPr>
          <w:p w14:paraId="407DB7D8" w14:textId="61ACEA23"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3202A4C6"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2A780876"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16181D00" w14:textId="77777777" w:rsidTr="00505DED">
        <w:tc>
          <w:tcPr>
            <w:tcW w:w="2558" w:type="dxa"/>
            <w:shd w:val="clear" w:color="auto" w:fill="auto"/>
            <w:noWrap/>
            <w:tcMar>
              <w:top w:w="0" w:type="dxa"/>
              <w:left w:w="70" w:type="dxa"/>
              <w:bottom w:w="0" w:type="dxa"/>
              <w:right w:w="70" w:type="dxa"/>
            </w:tcMar>
            <w:vAlign w:val="center"/>
            <w:hideMark/>
          </w:tcPr>
          <w:p w14:paraId="6A98ACCE" w14:textId="419F1E13"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7E2A459B"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36BD454B"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2AF1600D" w14:textId="77777777" w:rsidTr="00505DED">
        <w:tc>
          <w:tcPr>
            <w:tcW w:w="2558" w:type="dxa"/>
            <w:shd w:val="clear" w:color="auto" w:fill="auto"/>
            <w:noWrap/>
            <w:tcMar>
              <w:top w:w="0" w:type="dxa"/>
              <w:left w:w="70" w:type="dxa"/>
              <w:bottom w:w="0" w:type="dxa"/>
              <w:right w:w="70" w:type="dxa"/>
            </w:tcMar>
            <w:vAlign w:val="center"/>
            <w:hideMark/>
          </w:tcPr>
          <w:p w14:paraId="361D38CE" w14:textId="1051A52F"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1A190C55"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4DFAD605"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38FFB02F" w14:textId="77777777" w:rsidTr="00505DED">
        <w:tc>
          <w:tcPr>
            <w:tcW w:w="2558" w:type="dxa"/>
            <w:shd w:val="clear" w:color="auto" w:fill="auto"/>
            <w:noWrap/>
            <w:tcMar>
              <w:top w:w="0" w:type="dxa"/>
              <w:left w:w="70" w:type="dxa"/>
              <w:bottom w:w="0" w:type="dxa"/>
              <w:right w:w="70" w:type="dxa"/>
            </w:tcMar>
            <w:vAlign w:val="center"/>
            <w:hideMark/>
          </w:tcPr>
          <w:p w14:paraId="08FE8B39" w14:textId="273AAD3B"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282FBB89"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4A3A4897"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0BD52E71" w14:textId="77777777" w:rsidTr="00505DED">
        <w:tc>
          <w:tcPr>
            <w:tcW w:w="2558" w:type="dxa"/>
            <w:shd w:val="clear" w:color="auto" w:fill="auto"/>
            <w:noWrap/>
            <w:tcMar>
              <w:top w:w="0" w:type="dxa"/>
              <w:left w:w="70" w:type="dxa"/>
              <w:bottom w:w="0" w:type="dxa"/>
              <w:right w:w="70" w:type="dxa"/>
            </w:tcMar>
            <w:vAlign w:val="center"/>
            <w:hideMark/>
          </w:tcPr>
          <w:p w14:paraId="4416C10F" w14:textId="111469E8"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37F928F4" w14:textId="77777777" w:rsidR="00745A21" w:rsidRPr="00181BA7" w:rsidRDefault="00745A21" w:rsidP="00745A21">
            <w:pPr>
              <w:spacing w:line="276" w:lineRule="auto"/>
              <w:jc w:val="both"/>
              <w:rPr>
                <w:rFonts w:cs="Arial"/>
                <w:color w:val="000000"/>
              </w:rPr>
            </w:pPr>
            <w:r w:rsidRPr="00181BA7">
              <w:rPr>
                <w:rFonts w:cs="Arial"/>
                <w:color w:val="000000"/>
                <w:lang w:val="en-CA"/>
              </w:rPr>
              <w:t>N/A</w:t>
            </w:r>
          </w:p>
        </w:tc>
        <w:tc>
          <w:tcPr>
            <w:tcW w:w="3437" w:type="dxa"/>
            <w:shd w:val="clear" w:color="auto" w:fill="auto"/>
            <w:noWrap/>
            <w:tcMar>
              <w:top w:w="0" w:type="dxa"/>
              <w:left w:w="70" w:type="dxa"/>
              <w:bottom w:w="0" w:type="dxa"/>
              <w:right w:w="70" w:type="dxa"/>
            </w:tcMar>
            <w:vAlign w:val="center"/>
            <w:hideMark/>
          </w:tcPr>
          <w:p w14:paraId="6CA4DD92"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3A962A2F" w14:textId="77777777" w:rsidTr="00505DED">
        <w:tc>
          <w:tcPr>
            <w:tcW w:w="2558" w:type="dxa"/>
            <w:shd w:val="clear" w:color="auto" w:fill="auto"/>
            <w:noWrap/>
            <w:tcMar>
              <w:top w:w="0" w:type="dxa"/>
              <w:left w:w="70" w:type="dxa"/>
              <w:bottom w:w="0" w:type="dxa"/>
              <w:right w:w="70" w:type="dxa"/>
            </w:tcMar>
            <w:vAlign w:val="center"/>
            <w:hideMark/>
          </w:tcPr>
          <w:p w14:paraId="0C635708" w14:textId="572FA8F8"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5A0E874D"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7A69740E"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0BAE9706" w14:textId="77777777" w:rsidTr="00505DED">
        <w:tc>
          <w:tcPr>
            <w:tcW w:w="2558" w:type="dxa"/>
            <w:shd w:val="clear" w:color="auto" w:fill="auto"/>
            <w:noWrap/>
            <w:tcMar>
              <w:top w:w="0" w:type="dxa"/>
              <w:left w:w="70" w:type="dxa"/>
              <w:bottom w:w="0" w:type="dxa"/>
              <w:right w:w="70" w:type="dxa"/>
            </w:tcMar>
            <w:vAlign w:val="center"/>
            <w:hideMark/>
          </w:tcPr>
          <w:p w14:paraId="2DDD1289" w14:textId="5A721B11" w:rsidR="00745A21" w:rsidRPr="00181BA7" w:rsidRDefault="00F408E6" w:rsidP="00745A21">
            <w:pPr>
              <w:spacing w:line="276" w:lineRule="auto"/>
              <w:jc w:val="both"/>
              <w:rPr>
                <w:rFonts w:cs="Arial"/>
                <w:color w:val="000000"/>
              </w:rPr>
            </w:pPr>
            <w:r>
              <w:rPr>
                <w:rFonts w:cs="Arial"/>
                <w:color w:val="000000"/>
              </w:rPr>
              <w:t>[...]</w:t>
            </w:r>
          </w:p>
        </w:tc>
        <w:tc>
          <w:tcPr>
            <w:tcW w:w="1797" w:type="dxa"/>
            <w:shd w:val="clear" w:color="auto" w:fill="auto"/>
            <w:noWrap/>
            <w:tcMar>
              <w:top w:w="0" w:type="dxa"/>
              <w:left w:w="70" w:type="dxa"/>
              <w:bottom w:w="0" w:type="dxa"/>
              <w:right w:w="70" w:type="dxa"/>
            </w:tcMar>
            <w:vAlign w:val="center"/>
            <w:hideMark/>
          </w:tcPr>
          <w:p w14:paraId="151CD3DC"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0DF85A58" w14:textId="77777777" w:rsidR="00745A21" w:rsidRPr="00181BA7" w:rsidRDefault="00745A21" w:rsidP="00745A21">
            <w:pPr>
              <w:spacing w:line="276" w:lineRule="auto"/>
              <w:jc w:val="both"/>
              <w:rPr>
                <w:rFonts w:cs="Arial"/>
                <w:color w:val="000000"/>
              </w:rPr>
            </w:pPr>
            <w:r w:rsidRPr="00181BA7">
              <w:rPr>
                <w:rFonts w:cs="Arial"/>
                <w:color w:val="000000"/>
              </w:rPr>
              <w:t>Ramy Kamaneh</w:t>
            </w:r>
          </w:p>
        </w:tc>
      </w:tr>
      <w:tr w:rsidR="00745A21" w:rsidRPr="00181BA7" w14:paraId="0A6ED985" w14:textId="77777777" w:rsidTr="00505DED">
        <w:tc>
          <w:tcPr>
            <w:tcW w:w="2558" w:type="dxa"/>
            <w:shd w:val="clear" w:color="auto" w:fill="auto"/>
            <w:noWrap/>
            <w:tcMar>
              <w:top w:w="0" w:type="dxa"/>
              <w:left w:w="70" w:type="dxa"/>
              <w:bottom w:w="0" w:type="dxa"/>
              <w:right w:w="70" w:type="dxa"/>
            </w:tcMar>
            <w:vAlign w:val="center"/>
            <w:hideMark/>
          </w:tcPr>
          <w:p w14:paraId="43E4655F" w14:textId="08614E32" w:rsidR="00745A21" w:rsidRPr="00181BA7" w:rsidRDefault="00745A21" w:rsidP="00745A21">
            <w:pPr>
              <w:spacing w:line="276" w:lineRule="auto"/>
              <w:jc w:val="both"/>
              <w:rPr>
                <w:rFonts w:cs="Arial"/>
                <w:color w:val="000000"/>
              </w:rPr>
            </w:pPr>
            <w:r w:rsidRPr="00181BA7">
              <w:rPr>
                <w:rFonts w:cs="Arial"/>
                <w:color w:val="000000"/>
              </w:rPr>
              <w:t>0152412</w:t>
            </w:r>
          </w:p>
        </w:tc>
        <w:tc>
          <w:tcPr>
            <w:tcW w:w="1797" w:type="dxa"/>
            <w:shd w:val="clear" w:color="auto" w:fill="auto"/>
            <w:noWrap/>
            <w:tcMar>
              <w:top w:w="0" w:type="dxa"/>
              <w:left w:w="70" w:type="dxa"/>
              <w:bottom w:w="0" w:type="dxa"/>
              <w:right w:w="70" w:type="dxa"/>
            </w:tcMar>
            <w:vAlign w:val="center"/>
            <w:hideMark/>
          </w:tcPr>
          <w:p w14:paraId="2C11BD16"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3F8FCB16" w14:textId="77777777" w:rsidR="00745A21" w:rsidRPr="00181BA7" w:rsidRDefault="00745A21" w:rsidP="00745A21">
            <w:pPr>
              <w:spacing w:line="276" w:lineRule="auto"/>
              <w:jc w:val="both"/>
              <w:rPr>
                <w:rFonts w:cs="Arial"/>
                <w:color w:val="000000"/>
              </w:rPr>
            </w:pPr>
            <w:r w:rsidRPr="00181BA7">
              <w:rPr>
                <w:rFonts w:cs="Arial"/>
                <w:color w:val="000000"/>
              </w:rPr>
              <w:t>SDÉT inc.</w:t>
            </w:r>
          </w:p>
        </w:tc>
      </w:tr>
      <w:tr w:rsidR="00745A21" w:rsidRPr="00181BA7" w14:paraId="572FCADF" w14:textId="77777777" w:rsidTr="00505DED">
        <w:tc>
          <w:tcPr>
            <w:tcW w:w="2558" w:type="dxa"/>
            <w:shd w:val="clear" w:color="auto" w:fill="auto"/>
            <w:noWrap/>
            <w:tcMar>
              <w:top w:w="0" w:type="dxa"/>
              <w:left w:w="70" w:type="dxa"/>
              <w:bottom w:w="0" w:type="dxa"/>
              <w:right w:w="70" w:type="dxa"/>
            </w:tcMar>
            <w:vAlign w:val="center"/>
            <w:hideMark/>
          </w:tcPr>
          <w:p w14:paraId="599B8494" w14:textId="4A3D733E" w:rsidR="00745A21" w:rsidRPr="00181BA7" w:rsidRDefault="00745A21" w:rsidP="00745A21">
            <w:pPr>
              <w:spacing w:line="276" w:lineRule="auto"/>
              <w:jc w:val="both"/>
              <w:rPr>
                <w:rFonts w:cs="Arial"/>
                <w:color w:val="000000"/>
              </w:rPr>
            </w:pPr>
            <w:r w:rsidRPr="00181BA7">
              <w:rPr>
                <w:rFonts w:cs="Arial"/>
                <w:color w:val="000000"/>
              </w:rPr>
              <w:t>0038210</w:t>
            </w:r>
          </w:p>
        </w:tc>
        <w:tc>
          <w:tcPr>
            <w:tcW w:w="1797" w:type="dxa"/>
            <w:shd w:val="clear" w:color="auto" w:fill="auto"/>
            <w:noWrap/>
            <w:tcMar>
              <w:top w:w="0" w:type="dxa"/>
              <w:left w:w="70" w:type="dxa"/>
              <w:bottom w:w="0" w:type="dxa"/>
              <w:right w:w="70" w:type="dxa"/>
            </w:tcMar>
            <w:vAlign w:val="center"/>
            <w:hideMark/>
          </w:tcPr>
          <w:p w14:paraId="3E3A039F"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52A9CD24" w14:textId="77777777" w:rsidR="00745A21" w:rsidRPr="00181BA7" w:rsidRDefault="00745A21" w:rsidP="00745A21">
            <w:pPr>
              <w:spacing w:line="276" w:lineRule="auto"/>
              <w:jc w:val="both"/>
              <w:rPr>
                <w:rFonts w:cs="Arial"/>
                <w:color w:val="000000"/>
              </w:rPr>
            </w:pPr>
            <w:r w:rsidRPr="00181BA7">
              <w:rPr>
                <w:rFonts w:cs="Arial"/>
                <w:color w:val="000000"/>
              </w:rPr>
              <w:t>SDÉT inc.</w:t>
            </w:r>
          </w:p>
        </w:tc>
      </w:tr>
      <w:tr w:rsidR="00745A21" w:rsidRPr="00181BA7" w14:paraId="091DDAEA" w14:textId="77777777" w:rsidTr="00505DED">
        <w:tc>
          <w:tcPr>
            <w:tcW w:w="2558" w:type="dxa"/>
            <w:shd w:val="clear" w:color="auto" w:fill="auto"/>
            <w:noWrap/>
            <w:tcMar>
              <w:top w:w="0" w:type="dxa"/>
              <w:left w:w="70" w:type="dxa"/>
              <w:bottom w:w="0" w:type="dxa"/>
              <w:right w:w="70" w:type="dxa"/>
            </w:tcMar>
            <w:vAlign w:val="center"/>
            <w:hideMark/>
          </w:tcPr>
          <w:p w14:paraId="5F86C352" w14:textId="6141B602" w:rsidR="00745A21" w:rsidRPr="00181BA7" w:rsidRDefault="00745A21" w:rsidP="00745A21">
            <w:pPr>
              <w:spacing w:line="276" w:lineRule="auto"/>
              <w:jc w:val="both"/>
              <w:rPr>
                <w:rFonts w:cs="Arial"/>
                <w:color w:val="000000"/>
              </w:rPr>
            </w:pPr>
            <w:r w:rsidRPr="00181BA7">
              <w:rPr>
                <w:rFonts w:cs="Arial"/>
                <w:color w:val="000000"/>
              </w:rPr>
              <w:t>0055417</w:t>
            </w:r>
          </w:p>
        </w:tc>
        <w:tc>
          <w:tcPr>
            <w:tcW w:w="1797" w:type="dxa"/>
            <w:shd w:val="clear" w:color="auto" w:fill="auto"/>
            <w:noWrap/>
            <w:tcMar>
              <w:top w:w="0" w:type="dxa"/>
              <w:left w:w="70" w:type="dxa"/>
              <w:bottom w:w="0" w:type="dxa"/>
              <w:right w:w="70" w:type="dxa"/>
            </w:tcMar>
            <w:vAlign w:val="center"/>
            <w:hideMark/>
          </w:tcPr>
          <w:p w14:paraId="500019B9"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2EE7AE7E" w14:textId="77777777" w:rsidR="00745A21" w:rsidRPr="00181BA7" w:rsidRDefault="00745A21" w:rsidP="00745A21">
            <w:pPr>
              <w:spacing w:line="276" w:lineRule="auto"/>
              <w:jc w:val="both"/>
              <w:rPr>
                <w:rFonts w:cs="Arial"/>
                <w:color w:val="000000"/>
              </w:rPr>
            </w:pPr>
            <w:r w:rsidRPr="00181BA7">
              <w:rPr>
                <w:rFonts w:cs="Arial"/>
                <w:color w:val="000000"/>
              </w:rPr>
              <w:t>SDÉT inc.</w:t>
            </w:r>
          </w:p>
        </w:tc>
      </w:tr>
      <w:tr w:rsidR="00745A21" w:rsidRPr="00181BA7" w14:paraId="7FBDD210" w14:textId="77777777" w:rsidTr="00505DED">
        <w:tc>
          <w:tcPr>
            <w:tcW w:w="2558" w:type="dxa"/>
            <w:shd w:val="clear" w:color="auto" w:fill="auto"/>
            <w:noWrap/>
            <w:tcMar>
              <w:top w:w="0" w:type="dxa"/>
              <w:left w:w="70" w:type="dxa"/>
              <w:bottom w:w="0" w:type="dxa"/>
              <w:right w:w="70" w:type="dxa"/>
            </w:tcMar>
            <w:vAlign w:val="center"/>
            <w:hideMark/>
          </w:tcPr>
          <w:p w14:paraId="5963ECE4" w14:textId="7A542415" w:rsidR="00745A21" w:rsidRPr="00181BA7" w:rsidRDefault="00745A21" w:rsidP="00745A21">
            <w:pPr>
              <w:spacing w:line="276" w:lineRule="auto"/>
              <w:jc w:val="both"/>
              <w:rPr>
                <w:rFonts w:cs="Arial"/>
                <w:color w:val="000000"/>
              </w:rPr>
            </w:pPr>
            <w:r w:rsidRPr="00181BA7">
              <w:rPr>
                <w:rFonts w:cs="Arial"/>
                <w:color w:val="000000"/>
              </w:rPr>
              <w:t>0147915</w:t>
            </w:r>
          </w:p>
        </w:tc>
        <w:tc>
          <w:tcPr>
            <w:tcW w:w="1797" w:type="dxa"/>
            <w:shd w:val="clear" w:color="auto" w:fill="auto"/>
            <w:noWrap/>
            <w:tcMar>
              <w:top w:w="0" w:type="dxa"/>
              <w:left w:w="70" w:type="dxa"/>
              <w:bottom w:w="0" w:type="dxa"/>
              <w:right w:w="70" w:type="dxa"/>
            </w:tcMar>
            <w:vAlign w:val="center"/>
            <w:hideMark/>
          </w:tcPr>
          <w:p w14:paraId="6983D545"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0199AE3C" w14:textId="77777777" w:rsidR="00745A21" w:rsidRPr="00181BA7" w:rsidRDefault="00745A21" w:rsidP="00745A21">
            <w:pPr>
              <w:spacing w:line="276" w:lineRule="auto"/>
              <w:jc w:val="both"/>
              <w:rPr>
                <w:rFonts w:cs="Arial"/>
                <w:color w:val="000000"/>
              </w:rPr>
            </w:pPr>
            <w:r w:rsidRPr="00181BA7">
              <w:rPr>
                <w:rFonts w:cs="Arial"/>
                <w:color w:val="000000"/>
              </w:rPr>
              <w:t>SDIT inc.</w:t>
            </w:r>
          </w:p>
        </w:tc>
      </w:tr>
      <w:tr w:rsidR="00745A21" w:rsidRPr="00181BA7" w14:paraId="5EFF5079" w14:textId="77777777" w:rsidTr="00505DED">
        <w:tc>
          <w:tcPr>
            <w:tcW w:w="2558" w:type="dxa"/>
            <w:shd w:val="clear" w:color="auto" w:fill="auto"/>
            <w:noWrap/>
            <w:tcMar>
              <w:top w:w="0" w:type="dxa"/>
              <w:left w:w="70" w:type="dxa"/>
              <w:bottom w:w="0" w:type="dxa"/>
              <w:right w:w="70" w:type="dxa"/>
            </w:tcMar>
            <w:vAlign w:val="center"/>
            <w:hideMark/>
          </w:tcPr>
          <w:p w14:paraId="3030BEB4" w14:textId="04F64493" w:rsidR="00745A21" w:rsidRPr="00181BA7" w:rsidRDefault="00745A21" w:rsidP="00745A21">
            <w:pPr>
              <w:spacing w:line="276" w:lineRule="auto"/>
              <w:jc w:val="both"/>
              <w:rPr>
                <w:rFonts w:cs="Arial"/>
                <w:color w:val="000000"/>
              </w:rPr>
            </w:pPr>
            <w:r w:rsidRPr="00181BA7">
              <w:rPr>
                <w:rFonts w:cs="Arial"/>
                <w:color w:val="000000"/>
              </w:rPr>
              <w:t>0053112</w:t>
            </w:r>
          </w:p>
        </w:tc>
        <w:tc>
          <w:tcPr>
            <w:tcW w:w="1797" w:type="dxa"/>
            <w:shd w:val="clear" w:color="auto" w:fill="auto"/>
            <w:noWrap/>
            <w:tcMar>
              <w:top w:w="0" w:type="dxa"/>
              <w:left w:w="70" w:type="dxa"/>
              <w:bottom w:w="0" w:type="dxa"/>
              <w:right w:w="70" w:type="dxa"/>
            </w:tcMar>
            <w:vAlign w:val="center"/>
            <w:hideMark/>
          </w:tcPr>
          <w:p w14:paraId="5910CD64" w14:textId="77777777" w:rsidR="00745A21" w:rsidRPr="00181BA7" w:rsidRDefault="00745A21" w:rsidP="00745A21">
            <w:pPr>
              <w:spacing w:line="276" w:lineRule="auto"/>
              <w:jc w:val="both"/>
              <w:rPr>
                <w:rFonts w:cs="Arial"/>
                <w:color w:val="000000"/>
              </w:rPr>
            </w:pPr>
            <w:r w:rsidRPr="00181BA7">
              <w:rPr>
                <w:rFonts w:cs="Arial"/>
                <w:color w:val="000000"/>
                <w:lang w:val="en-CA"/>
              </w:rPr>
              <w:t>00471</w:t>
            </w:r>
          </w:p>
        </w:tc>
        <w:tc>
          <w:tcPr>
            <w:tcW w:w="3437" w:type="dxa"/>
            <w:shd w:val="clear" w:color="auto" w:fill="auto"/>
            <w:noWrap/>
            <w:tcMar>
              <w:top w:w="0" w:type="dxa"/>
              <w:left w:w="70" w:type="dxa"/>
              <w:bottom w:w="0" w:type="dxa"/>
              <w:right w:w="70" w:type="dxa"/>
            </w:tcMar>
            <w:vAlign w:val="center"/>
            <w:hideMark/>
          </w:tcPr>
          <w:p w14:paraId="74A45289" w14:textId="77777777" w:rsidR="00745A21" w:rsidRPr="00181BA7" w:rsidRDefault="00745A21" w:rsidP="00745A21">
            <w:pPr>
              <w:spacing w:line="276" w:lineRule="auto"/>
              <w:jc w:val="both"/>
              <w:rPr>
                <w:rFonts w:cs="Arial"/>
                <w:color w:val="000000"/>
              </w:rPr>
            </w:pPr>
            <w:r w:rsidRPr="00181BA7">
              <w:rPr>
                <w:rFonts w:cs="Arial"/>
                <w:color w:val="000000"/>
              </w:rPr>
              <w:t>SDIT inc.</w:t>
            </w:r>
          </w:p>
        </w:tc>
      </w:tr>
    </w:tbl>
    <w:p w14:paraId="03BF11CB" w14:textId="77777777" w:rsidR="00745A21" w:rsidRPr="00181BA7" w:rsidRDefault="00745A21" w:rsidP="00745A21">
      <w:pPr>
        <w:pStyle w:val="Paragraphedeliste"/>
        <w:numPr>
          <w:ilvl w:val="0"/>
          <w:numId w:val="0"/>
        </w:numPr>
        <w:spacing w:after="0"/>
        <w:ind w:left="360"/>
        <w:rPr>
          <w:b/>
          <w:bCs/>
        </w:rPr>
      </w:pPr>
    </w:p>
    <w:p w14:paraId="541A586F" w14:textId="77777777" w:rsidR="00745A21" w:rsidRPr="00181BA7" w:rsidRDefault="00745A21" w:rsidP="00745A21">
      <w:pPr>
        <w:pStyle w:val="Paragraphedeliste"/>
        <w:numPr>
          <w:ilvl w:val="0"/>
          <w:numId w:val="0"/>
        </w:numPr>
        <w:spacing w:after="0"/>
        <w:ind w:left="360"/>
        <w:rPr>
          <w:b/>
          <w:bCs/>
        </w:rPr>
      </w:pPr>
    </w:p>
    <w:p w14:paraId="11BF834D" w14:textId="45D7505E" w:rsidR="00745A21" w:rsidRPr="001A6C7C" w:rsidRDefault="00745A21" w:rsidP="00745A21">
      <w:pPr>
        <w:jc w:val="both"/>
        <w:rPr>
          <w:lang w:val="en-CA"/>
        </w:rPr>
      </w:pPr>
      <w:r w:rsidRPr="00181BA7">
        <w:rPr>
          <w:b/>
          <w:bCs/>
          <w:lang w:val="en-CA"/>
        </w:rPr>
        <w:t>ORDERS</w:t>
      </w:r>
      <w:r w:rsidRPr="00181BA7">
        <w:rPr>
          <w:lang w:val="en-CA"/>
        </w:rPr>
        <w:t xml:space="preserve"> the respondent Ramy Kamaneh and impleaded party Doua’a Ismail, to not assign, encumber, alter, destroy and/or dispose, directly or indirectly, of the property with a building constructed on it bearing the civic number </w:t>
      </w:r>
      <w:r w:rsidR="00F408E6">
        <w:rPr>
          <w:lang w:val="en-CA"/>
        </w:rPr>
        <w:t>[...]</w:t>
      </w:r>
      <w:r w:rsidRPr="00181BA7">
        <w:rPr>
          <w:lang w:val="en-CA"/>
        </w:rPr>
        <w:t xml:space="preserve">, Montréal (Île-Bizard), Province of Québec, </w:t>
      </w:r>
      <w:r w:rsidR="00F408E6">
        <w:rPr>
          <w:lang w:val="en-CA"/>
        </w:rPr>
        <w:t>[...]</w:t>
      </w:r>
      <w:r w:rsidRPr="00181BA7">
        <w:rPr>
          <w:lang w:val="en-CA"/>
        </w:rPr>
        <w:t xml:space="preserve">, known and designated as lot number </w:t>
      </w:r>
      <w:r w:rsidR="00F408E6">
        <w:rPr>
          <w:lang w:val="en-CA"/>
        </w:rPr>
        <w:t>[...]</w:t>
      </w:r>
      <w:r w:rsidRPr="00181BA7">
        <w:rPr>
          <w:lang w:val="en-CA"/>
        </w:rPr>
        <w:t xml:space="preserve"> (</w:t>
      </w:r>
      <w:r w:rsidR="00F408E6">
        <w:rPr>
          <w:lang w:val="en-CA"/>
        </w:rPr>
        <w:t>[...]</w:t>
      </w:r>
      <w:r w:rsidRPr="00181BA7">
        <w:rPr>
          <w:lang w:val="en-CA"/>
        </w:rPr>
        <w:t xml:space="preserve">) of the Cadastre du Québec, in the land district of Montréal; </w:t>
      </w:r>
    </w:p>
    <w:p w14:paraId="7B1CE6CD" w14:textId="77777777" w:rsidR="00745A21" w:rsidRPr="001A6C7C" w:rsidRDefault="00745A21" w:rsidP="00745A21">
      <w:pPr>
        <w:pStyle w:val="Paragraphedeliste"/>
        <w:numPr>
          <w:ilvl w:val="0"/>
          <w:numId w:val="0"/>
        </w:numPr>
        <w:spacing w:after="0"/>
        <w:ind w:left="360"/>
        <w:rPr>
          <w:lang w:val="en-CA"/>
        </w:rPr>
      </w:pPr>
    </w:p>
    <w:p w14:paraId="1ECF51C4" w14:textId="07DE283A" w:rsidR="00745A21" w:rsidRPr="001A6C7C" w:rsidRDefault="007624C1" w:rsidP="00745A21">
      <w:pPr>
        <w:jc w:val="both"/>
        <w:rPr>
          <w:lang w:val="en-CA"/>
        </w:rPr>
      </w:pPr>
      <w:r w:rsidRPr="00181BA7">
        <w:rPr>
          <w:b/>
          <w:bCs/>
          <w:lang w:val="en-CA"/>
        </w:rPr>
        <w:t xml:space="preserve">ORDERS </w:t>
      </w:r>
      <w:r w:rsidRPr="00181BA7">
        <w:rPr>
          <w:lang w:val="en-CA"/>
        </w:rPr>
        <w:t xml:space="preserve">the Officer of the Bureau de la publicité des droits, in the land district of Montréal, to proceed with publication of the freeze order and of this decision concerning the property with a building constructed on it bearing the civic number </w:t>
      </w:r>
      <w:r w:rsidR="00F408E6">
        <w:rPr>
          <w:lang w:val="en-CA"/>
        </w:rPr>
        <w:t>[...]</w:t>
      </w:r>
      <w:r w:rsidRPr="00181BA7">
        <w:rPr>
          <w:lang w:val="en-CA"/>
        </w:rPr>
        <w:t xml:space="preserve">, Montréal (Île-Bizard), province of Québec, </w:t>
      </w:r>
      <w:r w:rsidR="00F408E6">
        <w:rPr>
          <w:lang w:val="en-CA"/>
        </w:rPr>
        <w:t>[...]</w:t>
      </w:r>
      <w:r w:rsidRPr="00181BA7">
        <w:rPr>
          <w:lang w:val="en-CA"/>
        </w:rPr>
        <w:t xml:space="preserve">, known and designated as lot number </w:t>
      </w:r>
      <w:r w:rsidR="00F408E6">
        <w:rPr>
          <w:lang w:val="en-CA"/>
        </w:rPr>
        <w:t>[...]</w:t>
      </w:r>
      <w:r w:rsidRPr="00181BA7">
        <w:rPr>
          <w:lang w:val="en-CA"/>
        </w:rPr>
        <w:t xml:space="preserve"> (</w:t>
      </w:r>
      <w:r w:rsidR="00F408E6">
        <w:rPr>
          <w:lang w:val="en-CA"/>
        </w:rPr>
        <w:t>[...]</w:t>
      </w:r>
      <w:r w:rsidRPr="00181BA7">
        <w:rPr>
          <w:lang w:val="en-CA"/>
        </w:rPr>
        <w:t>) of the Cadastre of Québec, in the land district of Montréal;</w:t>
      </w:r>
    </w:p>
    <w:p w14:paraId="12809975" w14:textId="77777777" w:rsidR="00745A21" w:rsidRPr="001A6C7C" w:rsidRDefault="00745A21" w:rsidP="00745A21">
      <w:pPr>
        <w:jc w:val="both"/>
        <w:rPr>
          <w:rFonts w:cs="Arial"/>
          <w:lang w:val="en-CA"/>
        </w:rPr>
      </w:pPr>
    </w:p>
    <w:p w14:paraId="6A8BDB64" w14:textId="77777777" w:rsidR="00745A21" w:rsidRPr="001A6C7C" w:rsidRDefault="00745A21" w:rsidP="00745A21">
      <w:pPr>
        <w:jc w:val="both"/>
        <w:rPr>
          <w:lang w:val="en-CA"/>
        </w:rPr>
      </w:pPr>
      <w:r w:rsidRPr="00181BA7">
        <w:rPr>
          <w:b/>
          <w:bCs/>
          <w:lang w:val="en-CA"/>
        </w:rPr>
        <w:t>ORDERS</w:t>
      </w:r>
      <w:r w:rsidRPr="00181BA7">
        <w:rPr>
          <w:lang w:val="en-CA"/>
        </w:rPr>
        <w:t xml:space="preserve"> the impleaded party Toronto Dominion Bank Inc., having a branch at 3720, boulevard des Sources, in the City of Dollard-des-Ormeaux, Province of Québec, H9B 1Z9, not to dispose, directly or indirectly, of any funds, securities or other property in its custody or control on behalf of respondent Ramy Kamaneh and impleaded parties SDIT Inc. and SDÉT Inc., particularly in the following bank accounts: </w:t>
      </w:r>
    </w:p>
    <w:p w14:paraId="126C8CE2" w14:textId="77777777" w:rsidR="00745A21" w:rsidRPr="001A6C7C" w:rsidRDefault="00745A21" w:rsidP="00745A21">
      <w:pPr>
        <w:pStyle w:val="Paragraphedeliste"/>
        <w:numPr>
          <w:ilvl w:val="0"/>
          <w:numId w:val="0"/>
        </w:numPr>
        <w:spacing w:after="0"/>
        <w:ind w:left="360"/>
        <w:rPr>
          <w:lang w:val="en-CA"/>
        </w:rPr>
      </w:pP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1843"/>
        <w:gridCol w:w="3402"/>
      </w:tblGrid>
      <w:tr w:rsidR="00745A21" w:rsidRPr="00181BA7" w14:paraId="43651585" w14:textId="77777777" w:rsidTr="00505DED">
        <w:tc>
          <w:tcPr>
            <w:tcW w:w="2551" w:type="dxa"/>
            <w:shd w:val="clear" w:color="auto" w:fill="auto"/>
            <w:noWrap/>
            <w:tcMar>
              <w:top w:w="0" w:type="dxa"/>
              <w:left w:w="70" w:type="dxa"/>
              <w:bottom w:w="0" w:type="dxa"/>
              <w:right w:w="70" w:type="dxa"/>
            </w:tcMar>
            <w:vAlign w:val="center"/>
            <w:hideMark/>
          </w:tcPr>
          <w:p w14:paraId="69656FBF" w14:textId="77777777" w:rsidR="00745A21" w:rsidRPr="00181BA7" w:rsidRDefault="00745A21" w:rsidP="00745A21">
            <w:pPr>
              <w:spacing w:line="276" w:lineRule="auto"/>
              <w:jc w:val="both"/>
              <w:rPr>
                <w:b/>
                <w:bCs/>
                <w:color w:val="000000"/>
              </w:rPr>
            </w:pPr>
            <w:r w:rsidRPr="00181BA7">
              <w:rPr>
                <w:b/>
                <w:bCs/>
                <w:color w:val="000000"/>
                <w:lang w:val="en-CA"/>
              </w:rPr>
              <w:t xml:space="preserve">Account no. </w:t>
            </w:r>
          </w:p>
        </w:tc>
        <w:tc>
          <w:tcPr>
            <w:tcW w:w="1843" w:type="dxa"/>
            <w:shd w:val="clear" w:color="auto" w:fill="auto"/>
            <w:noWrap/>
            <w:tcMar>
              <w:top w:w="0" w:type="dxa"/>
              <w:left w:w="70" w:type="dxa"/>
              <w:bottom w:w="0" w:type="dxa"/>
              <w:right w:w="70" w:type="dxa"/>
            </w:tcMar>
            <w:vAlign w:val="center"/>
            <w:hideMark/>
          </w:tcPr>
          <w:p w14:paraId="737CF4AF" w14:textId="77777777" w:rsidR="00745A21" w:rsidRPr="00181BA7" w:rsidRDefault="00745A21" w:rsidP="00745A21">
            <w:pPr>
              <w:spacing w:line="276" w:lineRule="auto"/>
              <w:jc w:val="both"/>
              <w:rPr>
                <w:b/>
                <w:bCs/>
                <w:color w:val="000000"/>
              </w:rPr>
            </w:pPr>
            <w:r w:rsidRPr="00181BA7">
              <w:rPr>
                <w:b/>
                <w:bCs/>
                <w:color w:val="000000"/>
                <w:lang w:val="en-CA"/>
              </w:rPr>
              <w:t>Branch</w:t>
            </w:r>
          </w:p>
        </w:tc>
        <w:tc>
          <w:tcPr>
            <w:tcW w:w="3402" w:type="dxa"/>
            <w:shd w:val="clear" w:color="auto" w:fill="auto"/>
            <w:noWrap/>
            <w:tcMar>
              <w:top w:w="0" w:type="dxa"/>
              <w:left w:w="70" w:type="dxa"/>
              <w:bottom w:w="0" w:type="dxa"/>
              <w:right w:w="70" w:type="dxa"/>
            </w:tcMar>
            <w:vAlign w:val="center"/>
            <w:hideMark/>
          </w:tcPr>
          <w:p w14:paraId="1BC3D8E9" w14:textId="77777777" w:rsidR="00745A21" w:rsidRPr="00181BA7" w:rsidRDefault="00745A21" w:rsidP="00745A21">
            <w:pPr>
              <w:spacing w:line="276" w:lineRule="auto"/>
              <w:jc w:val="both"/>
              <w:rPr>
                <w:b/>
                <w:bCs/>
                <w:color w:val="000000"/>
              </w:rPr>
            </w:pPr>
            <w:r w:rsidRPr="00181BA7">
              <w:rPr>
                <w:b/>
                <w:bCs/>
                <w:color w:val="000000"/>
                <w:lang w:val="en-CA"/>
              </w:rPr>
              <w:t>Holder</w:t>
            </w:r>
          </w:p>
        </w:tc>
      </w:tr>
      <w:tr w:rsidR="00745A21" w:rsidRPr="00181BA7" w14:paraId="581B1C0E" w14:textId="77777777" w:rsidTr="00505DED">
        <w:tc>
          <w:tcPr>
            <w:tcW w:w="2551" w:type="dxa"/>
            <w:shd w:val="clear" w:color="auto" w:fill="auto"/>
            <w:noWrap/>
            <w:tcMar>
              <w:top w:w="0" w:type="dxa"/>
              <w:left w:w="70" w:type="dxa"/>
              <w:bottom w:w="0" w:type="dxa"/>
              <w:right w:w="70" w:type="dxa"/>
            </w:tcMar>
            <w:vAlign w:val="center"/>
            <w:hideMark/>
          </w:tcPr>
          <w:p w14:paraId="17F775F9" w14:textId="70B9FBC1" w:rsidR="00745A21" w:rsidRPr="00181BA7" w:rsidRDefault="00F408E6" w:rsidP="00745A21">
            <w:pPr>
              <w:spacing w:line="276" w:lineRule="auto"/>
              <w:jc w:val="both"/>
              <w:rPr>
                <w:color w:val="000000"/>
              </w:rPr>
            </w:pPr>
            <w:r>
              <w:rPr>
                <w:color w:val="000000"/>
              </w:rPr>
              <w:t>[...]</w:t>
            </w:r>
          </w:p>
        </w:tc>
        <w:tc>
          <w:tcPr>
            <w:tcW w:w="1843" w:type="dxa"/>
            <w:shd w:val="clear" w:color="auto" w:fill="auto"/>
            <w:noWrap/>
            <w:tcMar>
              <w:top w:w="0" w:type="dxa"/>
              <w:left w:w="70" w:type="dxa"/>
              <w:bottom w:w="0" w:type="dxa"/>
              <w:right w:w="70" w:type="dxa"/>
            </w:tcMar>
            <w:vAlign w:val="center"/>
            <w:hideMark/>
          </w:tcPr>
          <w:p w14:paraId="0B757F18" w14:textId="77777777" w:rsidR="00745A21" w:rsidRPr="00181BA7" w:rsidRDefault="00745A21" w:rsidP="00745A21">
            <w:pPr>
              <w:spacing w:line="276" w:lineRule="auto"/>
              <w:jc w:val="both"/>
              <w:rPr>
                <w:color w:val="000000"/>
              </w:rPr>
            </w:pPr>
            <w:r w:rsidRPr="00181BA7">
              <w:rPr>
                <w:color w:val="000000"/>
              </w:rPr>
              <w:t>04350</w:t>
            </w:r>
          </w:p>
        </w:tc>
        <w:tc>
          <w:tcPr>
            <w:tcW w:w="3402" w:type="dxa"/>
            <w:shd w:val="clear" w:color="auto" w:fill="auto"/>
            <w:noWrap/>
            <w:tcMar>
              <w:top w:w="0" w:type="dxa"/>
              <w:left w:w="70" w:type="dxa"/>
              <w:bottom w:w="0" w:type="dxa"/>
              <w:right w:w="70" w:type="dxa"/>
            </w:tcMar>
            <w:vAlign w:val="center"/>
            <w:hideMark/>
          </w:tcPr>
          <w:p w14:paraId="35996096"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4A27A78A" w14:textId="77777777" w:rsidTr="00505DED">
        <w:tc>
          <w:tcPr>
            <w:tcW w:w="2551" w:type="dxa"/>
            <w:shd w:val="clear" w:color="auto" w:fill="auto"/>
            <w:noWrap/>
            <w:tcMar>
              <w:top w:w="0" w:type="dxa"/>
              <w:left w:w="70" w:type="dxa"/>
              <w:bottom w:w="0" w:type="dxa"/>
              <w:right w:w="70" w:type="dxa"/>
            </w:tcMar>
            <w:vAlign w:val="center"/>
            <w:hideMark/>
          </w:tcPr>
          <w:p w14:paraId="23101C74" w14:textId="29FC0E48" w:rsidR="00745A21" w:rsidRPr="00181BA7" w:rsidRDefault="00F408E6" w:rsidP="00745A21">
            <w:pPr>
              <w:spacing w:line="276" w:lineRule="auto"/>
              <w:jc w:val="both"/>
              <w:rPr>
                <w:color w:val="000000"/>
              </w:rPr>
            </w:pPr>
            <w:r>
              <w:rPr>
                <w:color w:val="000000"/>
              </w:rPr>
              <w:t>[...]</w:t>
            </w:r>
          </w:p>
        </w:tc>
        <w:tc>
          <w:tcPr>
            <w:tcW w:w="1843" w:type="dxa"/>
            <w:shd w:val="clear" w:color="auto" w:fill="auto"/>
            <w:noWrap/>
            <w:tcMar>
              <w:top w:w="0" w:type="dxa"/>
              <w:left w:w="70" w:type="dxa"/>
              <w:bottom w:w="0" w:type="dxa"/>
              <w:right w:w="70" w:type="dxa"/>
            </w:tcMar>
            <w:vAlign w:val="center"/>
            <w:hideMark/>
          </w:tcPr>
          <w:p w14:paraId="3C20600A" w14:textId="77777777" w:rsidR="00745A21" w:rsidRPr="00181BA7" w:rsidRDefault="00745A21" w:rsidP="00745A21">
            <w:pPr>
              <w:spacing w:line="276" w:lineRule="auto"/>
              <w:jc w:val="both"/>
              <w:rPr>
                <w:color w:val="000000"/>
              </w:rPr>
            </w:pPr>
            <w:r w:rsidRPr="00181BA7">
              <w:rPr>
                <w:color w:val="000000"/>
              </w:rPr>
              <w:t>04350</w:t>
            </w:r>
          </w:p>
        </w:tc>
        <w:tc>
          <w:tcPr>
            <w:tcW w:w="3402" w:type="dxa"/>
            <w:shd w:val="clear" w:color="auto" w:fill="auto"/>
            <w:noWrap/>
            <w:tcMar>
              <w:top w:w="0" w:type="dxa"/>
              <w:left w:w="70" w:type="dxa"/>
              <w:bottom w:w="0" w:type="dxa"/>
              <w:right w:w="70" w:type="dxa"/>
            </w:tcMar>
            <w:vAlign w:val="center"/>
            <w:hideMark/>
          </w:tcPr>
          <w:p w14:paraId="41112790" w14:textId="77777777" w:rsidR="00745A21" w:rsidRPr="00181BA7" w:rsidRDefault="00745A21" w:rsidP="00745A21">
            <w:pPr>
              <w:spacing w:line="276" w:lineRule="auto"/>
              <w:jc w:val="both"/>
              <w:rPr>
                <w:color w:val="000000"/>
              </w:rPr>
            </w:pPr>
            <w:r w:rsidRPr="00181BA7">
              <w:rPr>
                <w:color w:val="000000"/>
              </w:rPr>
              <w:t>Ramy Kamaneh</w:t>
            </w:r>
          </w:p>
        </w:tc>
      </w:tr>
    </w:tbl>
    <w:p w14:paraId="6E532602" w14:textId="77777777" w:rsidR="00745A21" w:rsidRPr="00181BA7" w:rsidRDefault="00745A21" w:rsidP="00745A21">
      <w:pPr>
        <w:pStyle w:val="Paragraphedeliste"/>
        <w:numPr>
          <w:ilvl w:val="0"/>
          <w:numId w:val="0"/>
        </w:numPr>
        <w:spacing w:after="0"/>
        <w:ind w:left="360"/>
      </w:pPr>
    </w:p>
    <w:p w14:paraId="06E60282" w14:textId="77777777" w:rsidR="00745A21" w:rsidRPr="00181BA7" w:rsidRDefault="00745A21" w:rsidP="00745A21">
      <w:pPr>
        <w:pStyle w:val="Paragraphedeliste"/>
        <w:numPr>
          <w:ilvl w:val="0"/>
          <w:numId w:val="0"/>
        </w:numPr>
        <w:spacing w:after="0"/>
        <w:ind w:left="360"/>
      </w:pPr>
    </w:p>
    <w:p w14:paraId="40FAD85E" w14:textId="77777777" w:rsidR="00745A21" w:rsidRPr="001A6C7C" w:rsidRDefault="00745A21" w:rsidP="00745A21">
      <w:pPr>
        <w:jc w:val="both"/>
        <w:rPr>
          <w:lang w:val="en-CA"/>
        </w:rPr>
      </w:pPr>
      <w:r w:rsidRPr="00181BA7">
        <w:rPr>
          <w:b/>
          <w:bCs/>
          <w:lang w:val="en-CA"/>
        </w:rPr>
        <w:t>ORDERS</w:t>
      </w:r>
      <w:r w:rsidRPr="00181BA7">
        <w:rPr>
          <w:lang w:val="en-CA"/>
        </w:rPr>
        <w:t xml:space="preserve"> the impleaded party TD Waterhouse Canada Inc., having a place of business at 7250, rue Mile End, 6</w:t>
      </w:r>
      <w:r w:rsidRPr="00181BA7">
        <w:rPr>
          <w:vertAlign w:val="superscript"/>
          <w:lang w:val="en-CA"/>
        </w:rPr>
        <w:t>th</w:t>
      </w:r>
      <w:r w:rsidRPr="00181BA7">
        <w:rPr>
          <w:lang w:val="en-CA"/>
        </w:rPr>
        <w:t xml:space="preserve"> floor, in the City of Montréal, Province of Québec, H2R 3A4, to </w:t>
      </w:r>
      <w:r w:rsidRPr="00181BA7">
        <w:rPr>
          <w:lang w:val="en-CA"/>
        </w:rPr>
        <w:lastRenderedPageBreak/>
        <w:t xml:space="preserve">not dispose, directly or indirectly, of any funds, securities or other property that it holds on deposit or for which it has custody or control on behalf of respondent Ramy Kamaneh and impleaded parties SDIT Inc. and SDÉT Inc., particularly in the following brokerage accounts: </w:t>
      </w:r>
    </w:p>
    <w:p w14:paraId="724B6F41" w14:textId="77777777" w:rsidR="00745A21" w:rsidRPr="001A6C7C" w:rsidRDefault="00745A21" w:rsidP="00745A21">
      <w:pPr>
        <w:pStyle w:val="Paragraphedeliste"/>
        <w:numPr>
          <w:ilvl w:val="0"/>
          <w:numId w:val="0"/>
        </w:numPr>
        <w:spacing w:after="0"/>
        <w:ind w:left="360"/>
        <w:rPr>
          <w:lang w:val="en-CA"/>
        </w:rPr>
      </w:pPr>
    </w:p>
    <w:tbl>
      <w:tblPr>
        <w:tblW w:w="7787"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08"/>
        <w:gridCol w:w="2028"/>
        <w:gridCol w:w="3251"/>
      </w:tblGrid>
      <w:tr w:rsidR="00745A21" w:rsidRPr="00181BA7" w14:paraId="6E1303EE" w14:textId="77777777" w:rsidTr="00505DED">
        <w:tc>
          <w:tcPr>
            <w:tcW w:w="2508" w:type="dxa"/>
            <w:shd w:val="clear" w:color="auto" w:fill="auto"/>
            <w:noWrap/>
            <w:tcMar>
              <w:top w:w="0" w:type="dxa"/>
              <w:left w:w="70" w:type="dxa"/>
              <w:bottom w:w="0" w:type="dxa"/>
              <w:right w:w="70" w:type="dxa"/>
            </w:tcMar>
            <w:vAlign w:val="center"/>
          </w:tcPr>
          <w:p w14:paraId="52F7FA09" w14:textId="77777777" w:rsidR="00745A21" w:rsidRPr="00181BA7" w:rsidRDefault="00745A21" w:rsidP="00745A21">
            <w:pPr>
              <w:spacing w:line="276" w:lineRule="auto"/>
              <w:jc w:val="both"/>
              <w:rPr>
                <w:color w:val="000000"/>
              </w:rPr>
            </w:pPr>
            <w:r w:rsidRPr="00181BA7">
              <w:rPr>
                <w:b/>
                <w:bCs/>
                <w:color w:val="000000"/>
                <w:lang w:val="en-CA"/>
              </w:rPr>
              <w:t>Account no.</w:t>
            </w:r>
          </w:p>
        </w:tc>
        <w:tc>
          <w:tcPr>
            <w:tcW w:w="2028" w:type="dxa"/>
            <w:shd w:val="clear" w:color="auto" w:fill="auto"/>
            <w:noWrap/>
            <w:tcMar>
              <w:top w:w="0" w:type="dxa"/>
              <w:left w:w="70" w:type="dxa"/>
              <w:bottom w:w="0" w:type="dxa"/>
              <w:right w:w="70" w:type="dxa"/>
            </w:tcMar>
            <w:vAlign w:val="center"/>
          </w:tcPr>
          <w:p w14:paraId="0E401AFE" w14:textId="77777777" w:rsidR="00745A21" w:rsidRPr="00181BA7" w:rsidRDefault="00745A21" w:rsidP="00745A21">
            <w:pPr>
              <w:spacing w:line="276" w:lineRule="auto"/>
              <w:jc w:val="both"/>
              <w:rPr>
                <w:color w:val="000000"/>
              </w:rPr>
            </w:pPr>
            <w:r w:rsidRPr="00181BA7">
              <w:rPr>
                <w:b/>
                <w:bCs/>
                <w:color w:val="000000"/>
                <w:lang w:val="en-CA"/>
              </w:rPr>
              <w:t>Branch</w:t>
            </w:r>
          </w:p>
        </w:tc>
        <w:tc>
          <w:tcPr>
            <w:tcW w:w="3251" w:type="dxa"/>
            <w:shd w:val="clear" w:color="auto" w:fill="auto"/>
            <w:noWrap/>
            <w:tcMar>
              <w:top w:w="0" w:type="dxa"/>
              <w:left w:w="70" w:type="dxa"/>
              <w:bottom w:w="0" w:type="dxa"/>
              <w:right w:w="70" w:type="dxa"/>
            </w:tcMar>
            <w:vAlign w:val="center"/>
          </w:tcPr>
          <w:p w14:paraId="4C582F15" w14:textId="77777777" w:rsidR="00745A21" w:rsidRPr="00181BA7" w:rsidRDefault="00745A21" w:rsidP="00745A21">
            <w:pPr>
              <w:spacing w:line="276" w:lineRule="auto"/>
              <w:jc w:val="both"/>
              <w:rPr>
                <w:color w:val="000000"/>
              </w:rPr>
            </w:pPr>
            <w:r w:rsidRPr="00181BA7">
              <w:rPr>
                <w:b/>
                <w:bCs/>
                <w:color w:val="000000"/>
                <w:lang w:val="en-CA"/>
              </w:rPr>
              <w:t>Holder</w:t>
            </w:r>
          </w:p>
        </w:tc>
      </w:tr>
      <w:tr w:rsidR="00745A21" w:rsidRPr="00181BA7" w14:paraId="6F717514" w14:textId="77777777" w:rsidTr="00505DED">
        <w:tc>
          <w:tcPr>
            <w:tcW w:w="2508" w:type="dxa"/>
            <w:shd w:val="clear" w:color="auto" w:fill="auto"/>
            <w:noWrap/>
            <w:tcMar>
              <w:top w:w="0" w:type="dxa"/>
              <w:left w:w="70" w:type="dxa"/>
              <w:bottom w:w="0" w:type="dxa"/>
              <w:right w:w="70" w:type="dxa"/>
            </w:tcMar>
            <w:vAlign w:val="center"/>
            <w:hideMark/>
          </w:tcPr>
          <w:p w14:paraId="6A8AB05A" w14:textId="45BC9AAD"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659C664D"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3C0D909C"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3CF35CFC" w14:textId="77777777" w:rsidTr="00505DED">
        <w:tc>
          <w:tcPr>
            <w:tcW w:w="2508" w:type="dxa"/>
            <w:shd w:val="clear" w:color="auto" w:fill="auto"/>
            <w:noWrap/>
            <w:tcMar>
              <w:top w:w="0" w:type="dxa"/>
              <w:left w:w="70" w:type="dxa"/>
              <w:bottom w:w="0" w:type="dxa"/>
              <w:right w:w="70" w:type="dxa"/>
            </w:tcMar>
            <w:vAlign w:val="center"/>
            <w:hideMark/>
          </w:tcPr>
          <w:p w14:paraId="6EA57A3F" w14:textId="6F86B35D"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5D4FB800"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5652AE3E"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6679F189" w14:textId="77777777" w:rsidTr="00505DED">
        <w:tc>
          <w:tcPr>
            <w:tcW w:w="2508" w:type="dxa"/>
            <w:shd w:val="clear" w:color="auto" w:fill="auto"/>
            <w:noWrap/>
            <w:tcMar>
              <w:top w:w="0" w:type="dxa"/>
              <w:left w:w="70" w:type="dxa"/>
              <w:bottom w:w="0" w:type="dxa"/>
              <w:right w:w="70" w:type="dxa"/>
            </w:tcMar>
            <w:vAlign w:val="center"/>
            <w:hideMark/>
          </w:tcPr>
          <w:p w14:paraId="5F430EEE" w14:textId="1D9BF2CB"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2AA0A311"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6F9C9E83"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1FFBDBFC" w14:textId="77777777" w:rsidTr="00505DED">
        <w:tc>
          <w:tcPr>
            <w:tcW w:w="2508" w:type="dxa"/>
            <w:shd w:val="clear" w:color="auto" w:fill="auto"/>
            <w:noWrap/>
            <w:tcMar>
              <w:top w:w="0" w:type="dxa"/>
              <w:left w:w="70" w:type="dxa"/>
              <w:bottom w:w="0" w:type="dxa"/>
              <w:right w:w="70" w:type="dxa"/>
            </w:tcMar>
            <w:vAlign w:val="center"/>
            <w:hideMark/>
          </w:tcPr>
          <w:p w14:paraId="6F340EFA" w14:textId="02BE20E7"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3B2F707A"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25FAC247"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051538E0" w14:textId="77777777" w:rsidTr="00505DED">
        <w:tc>
          <w:tcPr>
            <w:tcW w:w="2508" w:type="dxa"/>
            <w:shd w:val="clear" w:color="auto" w:fill="auto"/>
            <w:noWrap/>
            <w:tcMar>
              <w:top w:w="0" w:type="dxa"/>
              <w:left w:w="70" w:type="dxa"/>
              <w:bottom w:w="0" w:type="dxa"/>
              <w:right w:w="70" w:type="dxa"/>
            </w:tcMar>
            <w:vAlign w:val="center"/>
            <w:hideMark/>
          </w:tcPr>
          <w:p w14:paraId="1C33233F" w14:textId="5300F883"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70DBF369"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411606F2"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427DCD47" w14:textId="77777777" w:rsidTr="00505DED">
        <w:tc>
          <w:tcPr>
            <w:tcW w:w="2508" w:type="dxa"/>
            <w:shd w:val="clear" w:color="auto" w:fill="auto"/>
            <w:noWrap/>
            <w:tcMar>
              <w:top w:w="0" w:type="dxa"/>
              <w:left w:w="70" w:type="dxa"/>
              <w:bottom w:w="0" w:type="dxa"/>
              <w:right w:w="70" w:type="dxa"/>
            </w:tcMar>
            <w:vAlign w:val="center"/>
            <w:hideMark/>
          </w:tcPr>
          <w:p w14:paraId="1A339D61" w14:textId="674A9514"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492947F6"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4FBA8B46"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5203EBB2" w14:textId="77777777" w:rsidTr="00505DED">
        <w:tc>
          <w:tcPr>
            <w:tcW w:w="2508" w:type="dxa"/>
            <w:shd w:val="clear" w:color="auto" w:fill="auto"/>
            <w:noWrap/>
            <w:tcMar>
              <w:top w:w="0" w:type="dxa"/>
              <w:left w:w="70" w:type="dxa"/>
              <w:bottom w:w="0" w:type="dxa"/>
              <w:right w:w="70" w:type="dxa"/>
            </w:tcMar>
            <w:vAlign w:val="center"/>
            <w:hideMark/>
          </w:tcPr>
          <w:p w14:paraId="6F38F641" w14:textId="334608CB"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774C172B"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3D21BAB1"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2874004D" w14:textId="77777777" w:rsidTr="00505DED">
        <w:tc>
          <w:tcPr>
            <w:tcW w:w="2508" w:type="dxa"/>
            <w:shd w:val="clear" w:color="auto" w:fill="auto"/>
            <w:noWrap/>
            <w:tcMar>
              <w:top w:w="0" w:type="dxa"/>
              <w:left w:w="70" w:type="dxa"/>
              <w:bottom w:w="0" w:type="dxa"/>
              <w:right w:w="70" w:type="dxa"/>
            </w:tcMar>
            <w:vAlign w:val="center"/>
            <w:hideMark/>
          </w:tcPr>
          <w:p w14:paraId="7B75EBDE" w14:textId="20CC1623" w:rsidR="00745A21" w:rsidRPr="00181BA7" w:rsidRDefault="00F408E6" w:rsidP="00745A21">
            <w:pPr>
              <w:spacing w:line="276" w:lineRule="auto"/>
              <w:jc w:val="both"/>
              <w:rPr>
                <w:color w:val="000000"/>
              </w:rPr>
            </w:pPr>
            <w:r>
              <w:rPr>
                <w:color w:val="000000"/>
              </w:rPr>
              <w:t>[...]</w:t>
            </w:r>
          </w:p>
        </w:tc>
        <w:tc>
          <w:tcPr>
            <w:tcW w:w="2028" w:type="dxa"/>
            <w:shd w:val="clear" w:color="auto" w:fill="auto"/>
            <w:noWrap/>
            <w:tcMar>
              <w:top w:w="0" w:type="dxa"/>
              <w:left w:w="70" w:type="dxa"/>
              <w:bottom w:w="0" w:type="dxa"/>
              <w:right w:w="70" w:type="dxa"/>
            </w:tcMar>
            <w:vAlign w:val="center"/>
            <w:hideMark/>
          </w:tcPr>
          <w:p w14:paraId="75E6AC8A" w14:textId="77777777" w:rsidR="00745A21" w:rsidRPr="00181BA7" w:rsidRDefault="00745A21" w:rsidP="00745A21">
            <w:pPr>
              <w:spacing w:line="276" w:lineRule="auto"/>
              <w:jc w:val="both"/>
              <w:rPr>
                <w:color w:val="000000"/>
              </w:rPr>
            </w:pPr>
            <w:r w:rsidRPr="00181BA7">
              <w:rPr>
                <w:color w:val="000000"/>
                <w:lang w:val="en-CA"/>
              </w:rPr>
              <w:t>N/A</w:t>
            </w:r>
          </w:p>
        </w:tc>
        <w:tc>
          <w:tcPr>
            <w:tcW w:w="3251" w:type="dxa"/>
            <w:shd w:val="clear" w:color="auto" w:fill="auto"/>
            <w:noWrap/>
            <w:tcMar>
              <w:top w:w="0" w:type="dxa"/>
              <w:left w:w="70" w:type="dxa"/>
              <w:bottom w:w="0" w:type="dxa"/>
              <w:right w:w="70" w:type="dxa"/>
            </w:tcMar>
            <w:vAlign w:val="center"/>
            <w:hideMark/>
          </w:tcPr>
          <w:p w14:paraId="2D7624F1" w14:textId="77777777" w:rsidR="00745A21" w:rsidRPr="00181BA7" w:rsidRDefault="00745A21" w:rsidP="00745A21">
            <w:pPr>
              <w:spacing w:line="276" w:lineRule="auto"/>
              <w:jc w:val="both"/>
              <w:rPr>
                <w:color w:val="000000"/>
              </w:rPr>
            </w:pPr>
            <w:r w:rsidRPr="00181BA7">
              <w:rPr>
                <w:color w:val="000000"/>
              </w:rPr>
              <w:t>Ramy Kamaneh</w:t>
            </w:r>
          </w:p>
        </w:tc>
      </w:tr>
    </w:tbl>
    <w:p w14:paraId="053C6025" w14:textId="77777777" w:rsidR="00745A21" w:rsidRPr="00181BA7" w:rsidRDefault="00745A21" w:rsidP="00745A21">
      <w:pPr>
        <w:pStyle w:val="Paragraphedeliste"/>
        <w:numPr>
          <w:ilvl w:val="0"/>
          <w:numId w:val="0"/>
        </w:numPr>
        <w:spacing w:after="0"/>
        <w:ind w:left="360"/>
      </w:pPr>
    </w:p>
    <w:p w14:paraId="78411A91" w14:textId="77777777" w:rsidR="00745A21" w:rsidRPr="00181BA7" w:rsidRDefault="00745A21" w:rsidP="00745A21">
      <w:pPr>
        <w:pStyle w:val="Paragraphedeliste"/>
        <w:numPr>
          <w:ilvl w:val="0"/>
          <w:numId w:val="0"/>
        </w:numPr>
        <w:spacing w:after="0"/>
        <w:ind w:left="360"/>
      </w:pPr>
    </w:p>
    <w:p w14:paraId="74A5368A" w14:textId="77777777" w:rsidR="00745A21" w:rsidRPr="001A6C7C" w:rsidRDefault="00745A21" w:rsidP="00745A21">
      <w:pPr>
        <w:jc w:val="both"/>
        <w:rPr>
          <w:lang w:val="en-CA"/>
        </w:rPr>
      </w:pPr>
      <w:r w:rsidRPr="00181BA7">
        <w:rPr>
          <w:b/>
          <w:bCs/>
          <w:lang w:val="en-CA"/>
        </w:rPr>
        <w:t>ORDERS</w:t>
      </w:r>
      <w:r w:rsidRPr="00181BA7">
        <w:rPr>
          <w:lang w:val="en-CA"/>
        </w:rPr>
        <w:t xml:space="preserve"> impleaded party Scotiabank, having a branch at 3828, boulevard de la Côte-Vertu, in the City of Montréal (Saint-Laurent), Province of Québec, H4R 1P8, not to dispose of, directly or indirectly, any funds, securities or other property that it holds on deposit or for which it has custody or control on behalf of respondent Ramy Kamaneh and the impleaded parties SDIT Inc. and SDÉT Inc., particularly in the following bank accounts: </w:t>
      </w:r>
    </w:p>
    <w:p w14:paraId="012A54BB" w14:textId="77777777" w:rsidR="00745A21" w:rsidRPr="001A6C7C" w:rsidRDefault="00745A21" w:rsidP="00745A21">
      <w:pPr>
        <w:pStyle w:val="Paragraphedeliste"/>
        <w:numPr>
          <w:ilvl w:val="0"/>
          <w:numId w:val="0"/>
        </w:numPr>
        <w:spacing w:after="0"/>
        <w:ind w:left="360"/>
        <w:rPr>
          <w:lang w:val="en-CA"/>
        </w:rPr>
      </w:pPr>
    </w:p>
    <w:tbl>
      <w:tblPr>
        <w:tblW w:w="7787"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1984"/>
        <w:gridCol w:w="3251"/>
      </w:tblGrid>
      <w:tr w:rsidR="00745A21" w:rsidRPr="00181BA7" w14:paraId="49B590A7" w14:textId="77777777" w:rsidTr="00505DED">
        <w:tc>
          <w:tcPr>
            <w:tcW w:w="2552" w:type="dxa"/>
            <w:shd w:val="clear" w:color="auto" w:fill="auto"/>
            <w:noWrap/>
            <w:tcMar>
              <w:top w:w="0" w:type="dxa"/>
              <w:left w:w="70" w:type="dxa"/>
              <w:bottom w:w="0" w:type="dxa"/>
              <w:right w:w="70" w:type="dxa"/>
            </w:tcMar>
            <w:vAlign w:val="center"/>
          </w:tcPr>
          <w:p w14:paraId="50014281" w14:textId="77777777" w:rsidR="00745A21" w:rsidRPr="00181BA7" w:rsidRDefault="00745A21" w:rsidP="00745A21">
            <w:pPr>
              <w:spacing w:line="276" w:lineRule="auto"/>
              <w:jc w:val="both"/>
              <w:rPr>
                <w:color w:val="000000"/>
              </w:rPr>
            </w:pPr>
            <w:r w:rsidRPr="00181BA7">
              <w:rPr>
                <w:b/>
                <w:bCs/>
                <w:color w:val="000000"/>
                <w:lang w:val="en-CA"/>
              </w:rPr>
              <w:t>Account no.</w:t>
            </w:r>
          </w:p>
        </w:tc>
        <w:tc>
          <w:tcPr>
            <w:tcW w:w="1984" w:type="dxa"/>
            <w:shd w:val="clear" w:color="auto" w:fill="auto"/>
            <w:noWrap/>
            <w:tcMar>
              <w:top w:w="0" w:type="dxa"/>
              <w:left w:w="70" w:type="dxa"/>
              <w:bottom w:w="0" w:type="dxa"/>
              <w:right w:w="70" w:type="dxa"/>
            </w:tcMar>
            <w:vAlign w:val="center"/>
          </w:tcPr>
          <w:p w14:paraId="5B612E06" w14:textId="77777777" w:rsidR="00745A21" w:rsidRPr="00181BA7" w:rsidRDefault="00745A21" w:rsidP="00745A21">
            <w:pPr>
              <w:spacing w:line="276" w:lineRule="auto"/>
              <w:jc w:val="both"/>
              <w:rPr>
                <w:color w:val="000000"/>
              </w:rPr>
            </w:pPr>
            <w:r w:rsidRPr="00181BA7">
              <w:rPr>
                <w:b/>
                <w:bCs/>
                <w:color w:val="000000"/>
                <w:lang w:val="en-CA"/>
              </w:rPr>
              <w:t>Branch</w:t>
            </w:r>
          </w:p>
        </w:tc>
        <w:tc>
          <w:tcPr>
            <w:tcW w:w="3251" w:type="dxa"/>
            <w:shd w:val="clear" w:color="auto" w:fill="auto"/>
            <w:noWrap/>
            <w:tcMar>
              <w:top w:w="0" w:type="dxa"/>
              <w:left w:w="70" w:type="dxa"/>
              <w:bottom w:w="0" w:type="dxa"/>
              <w:right w:w="70" w:type="dxa"/>
            </w:tcMar>
            <w:vAlign w:val="center"/>
          </w:tcPr>
          <w:p w14:paraId="3A2F7558" w14:textId="77777777" w:rsidR="00745A21" w:rsidRPr="00181BA7" w:rsidRDefault="00745A21" w:rsidP="00745A21">
            <w:pPr>
              <w:spacing w:line="276" w:lineRule="auto"/>
              <w:jc w:val="both"/>
              <w:rPr>
                <w:color w:val="000000"/>
              </w:rPr>
            </w:pPr>
            <w:r w:rsidRPr="00181BA7">
              <w:rPr>
                <w:b/>
                <w:bCs/>
                <w:color w:val="000000"/>
                <w:lang w:val="en-CA"/>
              </w:rPr>
              <w:t>Holder</w:t>
            </w:r>
          </w:p>
        </w:tc>
      </w:tr>
      <w:tr w:rsidR="00745A21" w:rsidRPr="00181BA7" w14:paraId="06C589A1" w14:textId="77777777" w:rsidTr="00505DED">
        <w:tc>
          <w:tcPr>
            <w:tcW w:w="2552" w:type="dxa"/>
            <w:shd w:val="clear" w:color="auto" w:fill="auto"/>
            <w:noWrap/>
            <w:tcMar>
              <w:top w:w="0" w:type="dxa"/>
              <w:left w:w="70" w:type="dxa"/>
              <w:bottom w:w="0" w:type="dxa"/>
              <w:right w:w="70" w:type="dxa"/>
            </w:tcMar>
            <w:vAlign w:val="center"/>
            <w:hideMark/>
          </w:tcPr>
          <w:p w14:paraId="557B2EC8" w14:textId="5079EDA4" w:rsidR="00745A21" w:rsidRPr="00181BA7" w:rsidRDefault="00F408E6" w:rsidP="00745A21">
            <w:pPr>
              <w:spacing w:line="276" w:lineRule="auto"/>
              <w:jc w:val="both"/>
              <w:rPr>
                <w:color w:val="000000"/>
              </w:rPr>
            </w:pPr>
            <w:r>
              <w:rPr>
                <w:color w:val="000000"/>
              </w:rPr>
              <w:t>[...]</w:t>
            </w:r>
          </w:p>
        </w:tc>
        <w:tc>
          <w:tcPr>
            <w:tcW w:w="1984" w:type="dxa"/>
            <w:shd w:val="clear" w:color="auto" w:fill="auto"/>
            <w:noWrap/>
            <w:tcMar>
              <w:top w:w="0" w:type="dxa"/>
              <w:left w:w="70" w:type="dxa"/>
              <w:bottom w:w="0" w:type="dxa"/>
              <w:right w:w="70" w:type="dxa"/>
            </w:tcMar>
            <w:vAlign w:val="center"/>
            <w:hideMark/>
          </w:tcPr>
          <w:p w14:paraId="71BE9FDF"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39081976"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42DC6B94" w14:textId="77777777" w:rsidTr="00505DED">
        <w:tc>
          <w:tcPr>
            <w:tcW w:w="2552" w:type="dxa"/>
            <w:shd w:val="clear" w:color="auto" w:fill="auto"/>
            <w:noWrap/>
            <w:tcMar>
              <w:top w:w="0" w:type="dxa"/>
              <w:left w:w="70" w:type="dxa"/>
              <w:bottom w:w="0" w:type="dxa"/>
              <w:right w:w="70" w:type="dxa"/>
            </w:tcMar>
            <w:vAlign w:val="center"/>
            <w:hideMark/>
          </w:tcPr>
          <w:p w14:paraId="633D9D15" w14:textId="709E9DDE" w:rsidR="00745A21" w:rsidRPr="00181BA7" w:rsidRDefault="00F408E6" w:rsidP="00745A21">
            <w:pPr>
              <w:spacing w:line="276" w:lineRule="auto"/>
              <w:jc w:val="both"/>
              <w:rPr>
                <w:color w:val="000000"/>
              </w:rPr>
            </w:pPr>
            <w:r>
              <w:rPr>
                <w:color w:val="000000"/>
              </w:rPr>
              <w:t>[...]</w:t>
            </w:r>
          </w:p>
        </w:tc>
        <w:tc>
          <w:tcPr>
            <w:tcW w:w="1984" w:type="dxa"/>
            <w:shd w:val="clear" w:color="auto" w:fill="auto"/>
            <w:noWrap/>
            <w:tcMar>
              <w:top w:w="0" w:type="dxa"/>
              <w:left w:w="70" w:type="dxa"/>
              <w:bottom w:w="0" w:type="dxa"/>
              <w:right w:w="70" w:type="dxa"/>
            </w:tcMar>
            <w:vAlign w:val="center"/>
            <w:hideMark/>
          </w:tcPr>
          <w:p w14:paraId="4DC0264A"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5F89C1CB" w14:textId="77777777" w:rsidR="00745A21" w:rsidRPr="00181BA7" w:rsidRDefault="00745A21" w:rsidP="00745A21">
            <w:pPr>
              <w:spacing w:line="276" w:lineRule="auto"/>
              <w:jc w:val="both"/>
              <w:rPr>
                <w:color w:val="000000"/>
              </w:rPr>
            </w:pPr>
            <w:r w:rsidRPr="00181BA7">
              <w:rPr>
                <w:color w:val="000000"/>
              </w:rPr>
              <w:t>Ramy Kamaneh</w:t>
            </w:r>
          </w:p>
        </w:tc>
      </w:tr>
      <w:tr w:rsidR="00745A21" w:rsidRPr="00181BA7" w14:paraId="2B101971" w14:textId="77777777" w:rsidTr="00505DED">
        <w:tc>
          <w:tcPr>
            <w:tcW w:w="2552" w:type="dxa"/>
            <w:shd w:val="clear" w:color="auto" w:fill="auto"/>
            <w:noWrap/>
            <w:tcMar>
              <w:top w:w="0" w:type="dxa"/>
              <w:left w:w="70" w:type="dxa"/>
              <w:bottom w:w="0" w:type="dxa"/>
              <w:right w:w="70" w:type="dxa"/>
            </w:tcMar>
            <w:vAlign w:val="center"/>
            <w:hideMark/>
          </w:tcPr>
          <w:p w14:paraId="1D17D6A6" w14:textId="6430F6CF" w:rsidR="00745A21" w:rsidRPr="00181BA7" w:rsidRDefault="00745A21" w:rsidP="00745A21">
            <w:pPr>
              <w:spacing w:line="276" w:lineRule="auto"/>
              <w:jc w:val="both"/>
              <w:rPr>
                <w:color w:val="000000"/>
              </w:rPr>
            </w:pPr>
            <w:r w:rsidRPr="00181BA7">
              <w:rPr>
                <w:color w:val="000000"/>
              </w:rPr>
              <w:t>0152412</w:t>
            </w:r>
          </w:p>
        </w:tc>
        <w:tc>
          <w:tcPr>
            <w:tcW w:w="1984" w:type="dxa"/>
            <w:shd w:val="clear" w:color="auto" w:fill="auto"/>
            <w:noWrap/>
            <w:tcMar>
              <w:top w:w="0" w:type="dxa"/>
              <w:left w:w="70" w:type="dxa"/>
              <w:bottom w:w="0" w:type="dxa"/>
              <w:right w:w="70" w:type="dxa"/>
            </w:tcMar>
            <w:vAlign w:val="center"/>
            <w:hideMark/>
          </w:tcPr>
          <w:p w14:paraId="36925587"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26E7F0DD" w14:textId="77777777" w:rsidR="00745A21" w:rsidRPr="00181BA7" w:rsidRDefault="00745A21" w:rsidP="00745A21">
            <w:pPr>
              <w:spacing w:line="276" w:lineRule="auto"/>
              <w:jc w:val="both"/>
              <w:rPr>
                <w:color w:val="000000"/>
              </w:rPr>
            </w:pPr>
            <w:r w:rsidRPr="00181BA7">
              <w:rPr>
                <w:color w:val="000000"/>
              </w:rPr>
              <w:t>SDÉT inc.</w:t>
            </w:r>
          </w:p>
        </w:tc>
      </w:tr>
      <w:tr w:rsidR="00745A21" w:rsidRPr="00181BA7" w14:paraId="49850C80" w14:textId="77777777" w:rsidTr="00505DED">
        <w:tc>
          <w:tcPr>
            <w:tcW w:w="2552" w:type="dxa"/>
            <w:shd w:val="clear" w:color="auto" w:fill="auto"/>
            <w:noWrap/>
            <w:tcMar>
              <w:top w:w="0" w:type="dxa"/>
              <w:left w:w="70" w:type="dxa"/>
              <w:bottom w:w="0" w:type="dxa"/>
              <w:right w:w="70" w:type="dxa"/>
            </w:tcMar>
            <w:vAlign w:val="center"/>
            <w:hideMark/>
          </w:tcPr>
          <w:p w14:paraId="23ACBEA6" w14:textId="1A39661B" w:rsidR="00745A21" w:rsidRPr="00181BA7" w:rsidRDefault="00745A21" w:rsidP="00745A21">
            <w:pPr>
              <w:spacing w:line="276" w:lineRule="auto"/>
              <w:jc w:val="both"/>
              <w:rPr>
                <w:color w:val="000000"/>
              </w:rPr>
            </w:pPr>
            <w:r w:rsidRPr="00181BA7">
              <w:rPr>
                <w:color w:val="000000"/>
              </w:rPr>
              <w:t>0038210</w:t>
            </w:r>
          </w:p>
        </w:tc>
        <w:tc>
          <w:tcPr>
            <w:tcW w:w="1984" w:type="dxa"/>
            <w:shd w:val="clear" w:color="auto" w:fill="auto"/>
            <w:noWrap/>
            <w:tcMar>
              <w:top w:w="0" w:type="dxa"/>
              <w:left w:w="70" w:type="dxa"/>
              <w:bottom w:w="0" w:type="dxa"/>
              <w:right w:w="70" w:type="dxa"/>
            </w:tcMar>
            <w:vAlign w:val="center"/>
            <w:hideMark/>
          </w:tcPr>
          <w:p w14:paraId="351A9B6E"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58C99C7B" w14:textId="77777777" w:rsidR="00745A21" w:rsidRPr="00181BA7" w:rsidRDefault="00745A21" w:rsidP="00745A21">
            <w:pPr>
              <w:spacing w:line="276" w:lineRule="auto"/>
              <w:jc w:val="both"/>
              <w:rPr>
                <w:color w:val="000000"/>
              </w:rPr>
            </w:pPr>
            <w:r w:rsidRPr="00181BA7">
              <w:rPr>
                <w:color w:val="000000"/>
              </w:rPr>
              <w:t xml:space="preserve">SDÉT inc. </w:t>
            </w:r>
          </w:p>
        </w:tc>
      </w:tr>
      <w:tr w:rsidR="00745A21" w:rsidRPr="00181BA7" w14:paraId="510F102D" w14:textId="77777777" w:rsidTr="00505DED">
        <w:tc>
          <w:tcPr>
            <w:tcW w:w="2552" w:type="dxa"/>
            <w:shd w:val="clear" w:color="auto" w:fill="auto"/>
            <w:noWrap/>
            <w:tcMar>
              <w:top w:w="0" w:type="dxa"/>
              <w:left w:w="70" w:type="dxa"/>
              <w:bottom w:w="0" w:type="dxa"/>
              <w:right w:w="70" w:type="dxa"/>
            </w:tcMar>
            <w:vAlign w:val="center"/>
            <w:hideMark/>
          </w:tcPr>
          <w:p w14:paraId="103D60F8" w14:textId="3A8C694F" w:rsidR="00745A21" w:rsidRPr="00181BA7" w:rsidRDefault="00745A21" w:rsidP="00745A21">
            <w:pPr>
              <w:spacing w:line="276" w:lineRule="auto"/>
              <w:jc w:val="both"/>
              <w:rPr>
                <w:color w:val="000000"/>
              </w:rPr>
            </w:pPr>
            <w:r w:rsidRPr="00181BA7">
              <w:rPr>
                <w:color w:val="000000"/>
              </w:rPr>
              <w:t>0055417</w:t>
            </w:r>
          </w:p>
        </w:tc>
        <w:tc>
          <w:tcPr>
            <w:tcW w:w="1984" w:type="dxa"/>
            <w:shd w:val="clear" w:color="auto" w:fill="auto"/>
            <w:noWrap/>
            <w:tcMar>
              <w:top w:w="0" w:type="dxa"/>
              <w:left w:w="70" w:type="dxa"/>
              <w:bottom w:w="0" w:type="dxa"/>
              <w:right w:w="70" w:type="dxa"/>
            </w:tcMar>
            <w:vAlign w:val="center"/>
            <w:hideMark/>
          </w:tcPr>
          <w:p w14:paraId="1DBDD519"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16A4F31B" w14:textId="77777777" w:rsidR="00745A21" w:rsidRPr="00181BA7" w:rsidRDefault="00745A21" w:rsidP="00745A21">
            <w:pPr>
              <w:spacing w:line="276" w:lineRule="auto"/>
              <w:jc w:val="both"/>
              <w:rPr>
                <w:color w:val="000000"/>
              </w:rPr>
            </w:pPr>
            <w:r w:rsidRPr="00181BA7">
              <w:rPr>
                <w:color w:val="000000"/>
              </w:rPr>
              <w:t>SDÉT inc.</w:t>
            </w:r>
          </w:p>
        </w:tc>
      </w:tr>
      <w:tr w:rsidR="00745A21" w:rsidRPr="00181BA7" w14:paraId="09AEDC02" w14:textId="77777777" w:rsidTr="00505DED">
        <w:tc>
          <w:tcPr>
            <w:tcW w:w="2552" w:type="dxa"/>
            <w:shd w:val="clear" w:color="auto" w:fill="auto"/>
            <w:noWrap/>
            <w:tcMar>
              <w:top w:w="0" w:type="dxa"/>
              <w:left w:w="70" w:type="dxa"/>
              <w:bottom w:w="0" w:type="dxa"/>
              <w:right w:w="70" w:type="dxa"/>
            </w:tcMar>
            <w:vAlign w:val="center"/>
            <w:hideMark/>
          </w:tcPr>
          <w:p w14:paraId="49EC5F1F" w14:textId="594ECAB7" w:rsidR="00745A21" w:rsidRPr="00181BA7" w:rsidRDefault="00745A21" w:rsidP="00745A21">
            <w:pPr>
              <w:spacing w:line="276" w:lineRule="auto"/>
              <w:jc w:val="both"/>
              <w:rPr>
                <w:color w:val="000000"/>
              </w:rPr>
            </w:pPr>
            <w:r w:rsidRPr="00181BA7">
              <w:rPr>
                <w:color w:val="000000"/>
              </w:rPr>
              <w:t>0147915</w:t>
            </w:r>
          </w:p>
        </w:tc>
        <w:tc>
          <w:tcPr>
            <w:tcW w:w="1984" w:type="dxa"/>
            <w:shd w:val="clear" w:color="auto" w:fill="auto"/>
            <w:noWrap/>
            <w:tcMar>
              <w:top w:w="0" w:type="dxa"/>
              <w:left w:w="70" w:type="dxa"/>
              <w:bottom w:w="0" w:type="dxa"/>
              <w:right w:w="70" w:type="dxa"/>
            </w:tcMar>
            <w:vAlign w:val="center"/>
            <w:hideMark/>
          </w:tcPr>
          <w:p w14:paraId="0C09FAC3"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75E5BDCA" w14:textId="77777777" w:rsidR="00745A21" w:rsidRPr="00181BA7" w:rsidRDefault="00745A21" w:rsidP="00745A21">
            <w:pPr>
              <w:spacing w:line="276" w:lineRule="auto"/>
              <w:jc w:val="both"/>
              <w:rPr>
                <w:color w:val="000000"/>
              </w:rPr>
            </w:pPr>
            <w:r w:rsidRPr="00181BA7">
              <w:rPr>
                <w:color w:val="000000"/>
              </w:rPr>
              <w:t>SDIT inc.</w:t>
            </w:r>
          </w:p>
        </w:tc>
      </w:tr>
      <w:tr w:rsidR="00745A21" w:rsidRPr="00181BA7" w14:paraId="2F5F1DDA" w14:textId="77777777" w:rsidTr="00505DED">
        <w:tc>
          <w:tcPr>
            <w:tcW w:w="2552" w:type="dxa"/>
            <w:shd w:val="clear" w:color="auto" w:fill="auto"/>
            <w:noWrap/>
            <w:tcMar>
              <w:top w:w="0" w:type="dxa"/>
              <w:left w:w="70" w:type="dxa"/>
              <w:bottom w:w="0" w:type="dxa"/>
              <w:right w:w="70" w:type="dxa"/>
            </w:tcMar>
            <w:vAlign w:val="center"/>
            <w:hideMark/>
          </w:tcPr>
          <w:p w14:paraId="143AE251" w14:textId="4350039E" w:rsidR="00745A21" w:rsidRPr="00181BA7" w:rsidRDefault="00745A21" w:rsidP="00745A21">
            <w:pPr>
              <w:spacing w:line="276" w:lineRule="auto"/>
              <w:jc w:val="both"/>
              <w:rPr>
                <w:color w:val="000000"/>
              </w:rPr>
            </w:pPr>
            <w:r w:rsidRPr="00181BA7">
              <w:rPr>
                <w:color w:val="000000"/>
              </w:rPr>
              <w:t>0053112</w:t>
            </w:r>
          </w:p>
        </w:tc>
        <w:tc>
          <w:tcPr>
            <w:tcW w:w="1984" w:type="dxa"/>
            <w:shd w:val="clear" w:color="auto" w:fill="auto"/>
            <w:noWrap/>
            <w:tcMar>
              <w:top w:w="0" w:type="dxa"/>
              <w:left w:w="70" w:type="dxa"/>
              <w:bottom w:w="0" w:type="dxa"/>
              <w:right w:w="70" w:type="dxa"/>
            </w:tcMar>
            <w:vAlign w:val="center"/>
            <w:hideMark/>
          </w:tcPr>
          <w:p w14:paraId="3208E9A2" w14:textId="77777777" w:rsidR="00745A21" w:rsidRPr="00181BA7" w:rsidRDefault="00745A21" w:rsidP="00745A21">
            <w:pPr>
              <w:spacing w:line="276" w:lineRule="auto"/>
              <w:jc w:val="both"/>
              <w:rPr>
                <w:color w:val="000000"/>
              </w:rPr>
            </w:pPr>
            <w:r w:rsidRPr="00181BA7">
              <w:rPr>
                <w:color w:val="000000"/>
              </w:rPr>
              <w:t>00471</w:t>
            </w:r>
          </w:p>
        </w:tc>
        <w:tc>
          <w:tcPr>
            <w:tcW w:w="3251" w:type="dxa"/>
            <w:shd w:val="clear" w:color="auto" w:fill="auto"/>
            <w:noWrap/>
            <w:tcMar>
              <w:top w:w="0" w:type="dxa"/>
              <w:left w:w="70" w:type="dxa"/>
              <w:bottom w:w="0" w:type="dxa"/>
              <w:right w:w="70" w:type="dxa"/>
            </w:tcMar>
            <w:vAlign w:val="center"/>
            <w:hideMark/>
          </w:tcPr>
          <w:p w14:paraId="1AF7CC23" w14:textId="77777777" w:rsidR="00745A21" w:rsidRPr="00181BA7" w:rsidRDefault="00745A21" w:rsidP="00745A21">
            <w:pPr>
              <w:spacing w:line="276" w:lineRule="auto"/>
              <w:jc w:val="both"/>
              <w:rPr>
                <w:color w:val="000000"/>
              </w:rPr>
            </w:pPr>
            <w:r w:rsidRPr="00181BA7">
              <w:rPr>
                <w:color w:val="000000"/>
              </w:rPr>
              <w:t>SDIT inc.</w:t>
            </w:r>
          </w:p>
        </w:tc>
      </w:tr>
    </w:tbl>
    <w:p w14:paraId="6F090471" w14:textId="77777777" w:rsidR="00745A21" w:rsidRPr="00181BA7" w:rsidRDefault="00745A21" w:rsidP="00745A21">
      <w:pPr>
        <w:pStyle w:val="Paragraphedeliste"/>
        <w:numPr>
          <w:ilvl w:val="0"/>
          <w:numId w:val="0"/>
        </w:numPr>
        <w:spacing w:after="0"/>
        <w:ind w:left="360"/>
        <w:rPr>
          <w:b/>
          <w:bCs/>
        </w:rPr>
      </w:pPr>
    </w:p>
    <w:p w14:paraId="47FC517F" w14:textId="77777777" w:rsidR="00745A21" w:rsidRPr="00181BA7" w:rsidRDefault="00745A21" w:rsidP="00745A21">
      <w:pPr>
        <w:pStyle w:val="Paragraphedeliste"/>
        <w:numPr>
          <w:ilvl w:val="0"/>
          <w:numId w:val="0"/>
        </w:numPr>
        <w:spacing w:after="0"/>
        <w:ind w:left="360"/>
        <w:rPr>
          <w:b/>
          <w:bCs/>
        </w:rPr>
      </w:pPr>
    </w:p>
    <w:p w14:paraId="35CF4516" w14:textId="77777777" w:rsidR="00745A21" w:rsidRPr="001A6C7C" w:rsidRDefault="00745A21" w:rsidP="00745A21">
      <w:pPr>
        <w:jc w:val="both"/>
        <w:rPr>
          <w:lang w:val="en-CA"/>
        </w:rPr>
      </w:pPr>
      <w:r w:rsidRPr="00181BA7">
        <w:rPr>
          <w:b/>
          <w:bCs/>
          <w:lang w:val="en-CA"/>
        </w:rPr>
        <w:t>ORDERS</w:t>
      </w:r>
      <w:r w:rsidRPr="00181BA7">
        <w:rPr>
          <w:lang w:val="en-CA"/>
        </w:rPr>
        <w:t xml:space="preserve"> respondent Mohamed Kada Mesli, 7350341 Canada Inc. and Auriga ERP Consulting not to withdraw or dispose of, directly or indirectly, funds, securities or other property in its possession or funds, securities or other property in the possession of another person holding on deposit or having custody or control thereof on behalf of Respondent Mohamed Kada Mesli and 7350341 Canada Inc. and Auriga ERP, particularly in the following bank accounts and brokerage accounts: </w:t>
      </w:r>
    </w:p>
    <w:p w14:paraId="6B9A2F90" w14:textId="77777777" w:rsidR="00745A21" w:rsidRPr="001A6C7C" w:rsidRDefault="00745A21" w:rsidP="00745A21">
      <w:pPr>
        <w:jc w:val="both"/>
        <w:rPr>
          <w:lang w:val="en-CA"/>
        </w:rPr>
      </w:pP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1985"/>
        <w:gridCol w:w="3260"/>
      </w:tblGrid>
      <w:tr w:rsidR="00745A21" w:rsidRPr="00181BA7" w14:paraId="2DBF94B1" w14:textId="77777777" w:rsidTr="00505DED">
        <w:tc>
          <w:tcPr>
            <w:tcW w:w="2551" w:type="dxa"/>
            <w:shd w:val="clear" w:color="auto" w:fill="auto"/>
            <w:noWrap/>
            <w:tcMar>
              <w:top w:w="0" w:type="dxa"/>
              <w:left w:w="70" w:type="dxa"/>
              <w:bottom w:w="0" w:type="dxa"/>
              <w:right w:w="70" w:type="dxa"/>
            </w:tcMar>
            <w:vAlign w:val="center"/>
            <w:hideMark/>
          </w:tcPr>
          <w:p w14:paraId="151F8799" w14:textId="77777777" w:rsidR="00745A21" w:rsidRPr="00181BA7" w:rsidRDefault="00745A21" w:rsidP="00745A21">
            <w:pPr>
              <w:spacing w:line="276" w:lineRule="auto"/>
              <w:jc w:val="both"/>
              <w:rPr>
                <w:b/>
                <w:bCs/>
                <w:color w:val="000000"/>
              </w:rPr>
            </w:pPr>
            <w:r w:rsidRPr="00181BA7">
              <w:rPr>
                <w:b/>
                <w:bCs/>
                <w:color w:val="000000"/>
                <w:lang w:val="en-CA"/>
              </w:rPr>
              <w:lastRenderedPageBreak/>
              <w:t xml:space="preserve">Account no. </w:t>
            </w:r>
          </w:p>
        </w:tc>
        <w:tc>
          <w:tcPr>
            <w:tcW w:w="1985" w:type="dxa"/>
            <w:shd w:val="clear" w:color="auto" w:fill="auto"/>
            <w:noWrap/>
            <w:tcMar>
              <w:top w:w="0" w:type="dxa"/>
              <w:left w:w="70" w:type="dxa"/>
              <w:bottom w:w="0" w:type="dxa"/>
              <w:right w:w="70" w:type="dxa"/>
            </w:tcMar>
            <w:vAlign w:val="center"/>
            <w:hideMark/>
          </w:tcPr>
          <w:p w14:paraId="75A1BBCA" w14:textId="77777777" w:rsidR="00745A21" w:rsidRPr="00181BA7" w:rsidRDefault="00745A21" w:rsidP="00745A21">
            <w:pPr>
              <w:spacing w:line="276" w:lineRule="auto"/>
              <w:jc w:val="both"/>
              <w:rPr>
                <w:b/>
                <w:bCs/>
                <w:color w:val="000000"/>
              </w:rPr>
            </w:pPr>
            <w:r w:rsidRPr="00181BA7">
              <w:rPr>
                <w:b/>
                <w:bCs/>
                <w:color w:val="000000"/>
                <w:lang w:val="en-CA"/>
              </w:rPr>
              <w:t>Branch</w:t>
            </w:r>
          </w:p>
        </w:tc>
        <w:tc>
          <w:tcPr>
            <w:tcW w:w="3260" w:type="dxa"/>
            <w:shd w:val="clear" w:color="auto" w:fill="auto"/>
            <w:noWrap/>
            <w:tcMar>
              <w:top w:w="0" w:type="dxa"/>
              <w:left w:w="70" w:type="dxa"/>
              <w:bottom w:w="0" w:type="dxa"/>
              <w:right w:w="70" w:type="dxa"/>
            </w:tcMar>
            <w:vAlign w:val="center"/>
            <w:hideMark/>
          </w:tcPr>
          <w:p w14:paraId="58AE31F6" w14:textId="77777777" w:rsidR="00745A21" w:rsidRPr="00181BA7" w:rsidRDefault="00745A21" w:rsidP="00745A21">
            <w:pPr>
              <w:spacing w:line="276" w:lineRule="auto"/>
              <w:jc w:val="both"/>
              <w:rPr>
                <w:b/>
                <w:bCs/>
                <w:color w:val="000000"/>
              </w:rPr>
            </w:pPr>
            <w:r w:rsidRPr="00181BA7">
              <w:rPr>
                <w:b/>
                <w:bCs/>
                <w:color w:val="000000"/>
                <w:lang w:val="en-CA"/>
              </w:rPr>
              <w:t>Holder</w:t>
            </w:r>
          </w:p>
        </w:tc>
      </w:tr>
      <w:tr w:rsidR="00745A21" w:rsidRPr="00181BA7" w14:paraId="5339A625" w14:textId="77777777" w:rsidTr="00505DED">
        <w:tc>
          <w:tcPr>
            <w:tcW w:w="2551" w:type="dxa"/>
            <w:shd w:val="clear" w:color="auto" w:fill="auto"/>
            <w:noWrap/>
            <w:tcMar>
              <w:top w:w="0" w:type="dxa"/>
              <w:left w:w="70" w:type="dxa"/>
              <w:bottom w:w="0" w:type="dxa"/>
              <w:right w:w="70" w:type="dxa"/>
            </w:tcMar>
            <w:vAlign w:val="center"/>
            <w:hideMark/>
          </w:tcPr>
          <w:p w14:paraId="29B81A7A" w14:textId="101B4011"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16DC7B70"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2378253F"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1C4C1D48" w14:textId="77777777" w:rsidTr="00505DED">
        <w:tc>
          <w:tcPr>
            <w:tcW w:w="2551" w:type="dxa"/>
            <w:shd w:val="clear" w:color="auto" w:fill="auto"/>
            <w:noWrap/>
            <w:tcMar>
              <w:top w:w="0" w:type="dxa"/>
              <w:left w:w="70" w:type="dxa"/>
              <w:bottom w:w="0" w:type="dxa"/>
              <w:right w:w="70" w:type="dxa"/>
            </w:tcMar>
            <w:vAlign w:val="center"/>
            <w:hideMark/>
          </w:tcPr>
          <w:p w14:paraId="65A7C57C" w14:textId="00758DBE"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70502366"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4D6AFBD6"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5CE63EA0" w14:textId="77777777" w:rsidTr="00505DED">
        <w:tc>
          <w:tcPr>
            <w:tcW w:w="2551" w:type="dxa"/>
            <w:shd w:val="clear" w:color="auto" w:fill="auto"/>
            <w:noWrap/>
            <w:tcMar>
              <w:top w:w="0" w:type="dxa"/>
              <w:left w:w="70" w:type="dxa"/>
              <w:bottom w:w="0" w:type="dxa"/>
              <w:right w:w="70" w:type="dxa"/>
            </w:tcMar>
            <w:vAlign w:val="center"/>
            <w:hideMark/>
          </w:tcPr>
          <w:p w14:paraId="2F0C1325" w14:textId="38CB6307"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7D4750EC"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33F86FD0"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63284DB" w14:textId="77777777" w:rsidTr="00505DED">
        <w:tc>
          <w:tcPr>
            <w:tcW w:w="2551" w:type="dxa"/>
            <w:shd w:val="clear" w:color="auto" w:fill="auto"/>
            <w:noWrap/>
            <w:tcMar>
              <w:top w:w="0" w:type="dxa"/>
              <w:left w:w="70" w:type="dxa"/>
              <w:bottom w:w="0" w:type="dxa"/>
              <w:right w:w="70" w:type="dxa"/>
            </w:tcMar>
            <w:vAlign w:val="center"/>
            <w:hideMark/>
          </w:tcPr>
          <w:p w14:paraId="07FD6595" w14:textId="6DA2D570"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1F2EB65C"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5E16A7DC"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D7C5A9F" w14:textId="77777777" w:rsidTr="00505DED">
        <w:tc>
          <w:tcPr>
            <w:tcW w:w="2551" w:type="dxa"/>
            <w:shd w:val="clear" w:color="auto" w:fill="auto"/>
            <w:noWrap/>
            <w:tcMar>
              <w:top w:w="0" w:type="dxa"/>
              <w:left w:w="70" w:type="dxa"/>
              <w:bottom w:w="0" w:type="dxa"/>
              <w:right w:w="70" w:type="dxa"/>
            </w:tcMar>
            <w:vAlign w:val="center"/>
            <w:hideMark/>
          </w:tcPr>
          <w:p w14:paraId="7B1F888B" w14:textId="1AE32373"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03C6252D"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638CD961"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1971F823" w14:textId="77777777" w:rsidTr="00505DED">
        <w:tc>
          <w:tcPr>
            <w:tcW w:w="2551" w:type="dxa"/>
            <w:shd w:val="clear" w:color="auto" w:fill="auto"/>
            <w:noWrap/>
            <w:tcMar>
              <w:top w:w="0" w:type="dxa"/>
              <w:left w:w="70" w:type="dxa"/>
              <w:bottom w:w="0" w:type="dxa"/>
              <w:right w:w="70" w:type="dxa"/>
            </w:tcMar>
            <w:vAlign w:val="center"/>
            <w:hideMark/>
          </w:tcPr>
          <w:p w14:paraId="16AD4D52" w14:textId="16D3ACB3" w:rsidR="00745A21" w:rsidRPr="00181BA7" w:rsidRDefault="00F408E6" w:rsidP="00745A21">
            <w:pPr>
              <w:spacing w:line="276" w:lineRule="auto"/>
              <w:jc w:val="both"/>
              <w:rPr>
                <w:color w:val="000000"/>
              </w:rPr>
            </w:pPr>
            <w:r>
              <w:rPr>
                <w:color w:val="000000"/>
              </w:rPr>
              <w:t>[...]</w:t>
            </w:r>
            <w:r w:rsidRPr="00181BA7">
              <w:rPr>
                <w:color w:val="000000"/>
              </w:rPr>
              <w:t xml:space="preserve"> </w:t>
            </w:r>
            <w:r w:rsidR="00745A21" w:rsidRPr="00181BA7">
              <w:rPr>
                <w:color w:val="000000"/>
              </w:rPr>
              <w:t>(CAD)</w:t>
            </w:r>
          </w:p>
        </w:tc>
        <w:tc>
          <w:tcPr>
            <w:tcW w:w="1985" w:type="dxa"/>
            <w:shd w:val="clear" w:color="auto" w:fill="auto"/>
            <w:noWrap/>
            <w:tcMar>
              <w:top w:w="0" w:type="dxa"/>
              <w:left w:w="70" w:type="dxa"/>
              <w:bottom w:w="0" w:type="dxa"/>
              <w:right w:w="70" w:type="dxa"/>
            </w:tcMar>
            <w:vAlign w:val="center"/>
            <w:hideMark/>
          </w:tcPr>
          <w:p w14:paraId="117C082D"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5E526177"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2B8B9CE" w14:textId="77777777" w:rsidTr="00505DED">
        <w:tc>
          <w:tcPr>
            <w:tcW w:w="2551" w:type="dxa"/>
            <w:shd w:val="clear" w:color="auto" w:fill="auto"/>
            <w:noWrap/>
            <w:tcMar>
              <w:top w:w="0" w:type="dxa"/>
              <w:left w:w="70" w:type="dxa"/>
              <w:bottom w:w="0" w:type="dxa"/>
              <w:right w:w="70" w:type="dxa"/>
            </w:tcMar>
            <w:vAlign w:val="center"/>
            <w:hideMark/>
          </w:tcPr>
          <w:p w14:paraId="44490B64" w14:textId="5195122A" w:rsidR="00745A21" w:rsidRPr="00181BA7" w:rsidRDefault="00F408E6" w:rsidP="00745A21">
            <w:pPr>
              <w:spacing w:line="276" w:lineRule="auto"/>
              <w:jc w:val="both"/>
              <w:rPr>
                <w:color w:val="000000"/>
              </w:rPr>
            </w:pPr>
            <w:r>
              <w:rPr>
                <w:color w:val="000000"/>
              </w:rPr>
              <w:t>[...]</w:t>
            </w:r>
            <w:r w:rsidRPr="00181BA7">
              <w:rPr>
                <w:color w:val="000000"/>
              </w:rPr>
              <w:t xml:space="preserve"> </w:t>
            </w:r>
            <w:r w:rsidR="00745A21" w:rsidRPr="00181BA7">
              <w:rPr>
                <w:color w:val="000000"/>
              </w:rPr>
              <w:t>(USD)</w:t>
            </w:r>
          </w:p>
        </w:tc>
        <w:tc>
          <w:tcPr>
            <w:tcW w:w="1985" w:type="dxa"/>
            <w:shd w:val="clear" w:color="auto" w:fill="auto"/>
            <w:noWrap/>
            <w:tcMar>
              <w:top w:w="0" w:type="dxa"/>
              <w:left w:w="70" w:type="dxa"/>
              <w:bottom w:w="0" w:type="dxa"/>
              <w:right w:w="70" w:type="dxa"/>
            </w:tcMar>
            <w:vAlign w:val="center"/>
            <w:hideMark/>
          </w:tcPr>
          <w:p w14:paraId="4146C967"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53A95899"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08DF132" w14:textId="77777777" w:rsidTr="00505DED">
        <w:tc>
          <w:tcPr>
            <w:tcW w:w="2551" w:type="dxa"/>
            <w:shd w:val="clear" w:color="auto" w:fill="auto"/>
            <w:noWrap/>
            <w:tcMar>
              <w:top w:w="0" w:type="dxa"/>
              <w:left w:w="70" w:type="dxa"/>
              <w:bottom w:w="0" w:type="dxa"/>
              <w:right w:w="70" w:type="dxa"/>
            </w:tcMar>
            <w:vAlign w:val="center"/>
          </w:tcPr>
          <w:p w14:paraId="23BCCD9C" w14:textId="5EE6A581"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tcPr>
          <w:p w14:paraId="1D288EE0"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tcPr>
          <w:p w14:paraId="37FDD981"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3130003" w14:textId="77777777" w:rsidTr="00505DED">
        <w:tc>
          <w:tcPr>
            <w:tcW w:w="2551" w:type="dxa"/>
            <w:shd w:val="clear" w:color="auto" w:fill="auto"/>
            <w:noWrap/>
            <w:tcMar>
              <w:top w:w="0" w:type="dxa"/>
              <w:left w:w="70" w:type="dxa"/>
              <w:bottom w:w="0" w:type="dxa"/>
              <w:right w:w="70" w:type="dxa"/>
            </w:tcMar>
            <w:vAlign w:val="center"/>
            <w:hideMark/>
          </w:tcPr>
          <w:p w14:paraId="006AE203" w14:textId="77777777" w:rsidR="00745A21" w:rsidRPr="00181BA7" w:rsidRDefault="00745A21" w:rsidP="00745A21">
            <w:pPr>
              <w:spacing w:line="276" w:lineRule="auto"/>
              <w:jc w:val="both"/>
              <w:rPr>
                <w:color w:val="000000"/>
              </w:rPr>
            </w:pPr>
            <w:r w:rsidRPr="00181BA7">
              <w:rPr>
                <w:color w:val="000000"/>
              </w:rPr>
              <w:t>1040120</w:t>
            </w:r>
          </w:p>
        </w:tc>
        <w:tc>
          <w:tcPr>
            <w:tcW w:w="1985" w:type="dxa"/>
            <w:shd w:val="clear" w:color="auto" w:fill="auto"/>
            <w:noWrap/>
            <w:tcMar>
              <w:top w:w="0" w:type="dxa"/>
              <w:left w:w="70" w:type="dxa"/>
              <w:bottom w:w="0" w:type="dxa"/>
              <w:right w:w="70" w:type="dxa"/>
            </w:tcMar>
            <w:vAlign w:val="center"/>
            <w:hideMark/>
          </w:tcPr>
          <w:p w14:paraId="1F6D2E36"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3A928C09" w14:textId="77777777" w:rsidR="00745A21" w:rsidRPr="00181BA7" w:rsidRDefault="00745A21" w:rsidP="00745A21">
            <w:pPr>
              <w:spacing w:line="276" w:lineRule="auto"/>
              <w:jc w:val="both"/>
              <w:rPr>
                <w:color w:val="000000"/>
              </w:rPr>
            </w:pPr>
            <w:r w:rsidRPr="00181BA7">
              <w:rPr>
                <w:color w:val="000000"/>
              </w:rPr>
              <w:t>7350341 Canada inc.</w:t>
            </w:r>
          </w:p>
        </w:tc>
      </w:tr>
      <w:tr w:rsidR="00745A21" w:rsidRPr="00181BA7" w14:paraId="06383B9B" w14:textId="77777777" w:rsidTr="00505DED">
        <w:tc>
          <w:tcPr>
            <w:tcW w:w="2551" w:type="dxa"/>
            <w:shd w:val="clear" w:color="auto" w:fill="auto"/>
            <w:noWrap/>
            <w:tcMar>
              <w:top w:w="0" w:type="dxa"/>
              <w:left w:w="70" w:type="dxa"/>
              <w:bottom w:w="0" w:type="dxa"/>
              <w:right w:w="70" w:type="dxa"/>
            </w:tcMar>
            <w:vAlign w:val="center"/>
            <w:hideMark/>
          </w:tcPr>
          <w:p w14:paraId="2AF440DE" w14:textId="77777777" w:rsidR="00745A21" w:rsidRPr="00181BA7" w:rsidRDefault="00745A21" w:rsidP="00745A21">
            <w:pPr>
              <w:spacing w:line="276" w:lineRule="auto"/>
              <w:jc w:val="both"/>
              <w:rPr>
                <w:color w:val="000000"/>
              </w:rPr>
            </w:pPr>
            <w:r w:rsidRPr="00181BA7">
              <w:rPr>
                <w:color w:val="000000"/>
              </w:rPr>
              <w:t>4006987</w:t>
            </w:r>
          </w:p>
        </w:tc>
        <w:tc>
          <w:tcPr>
            <w:tcW w:w="1985" w:type="dxa"/>
            <w:shd w:val="clear" w:color="auto" w:fill="auto"/>
            <w:noWrap/>
            <w:tcMar>
              <w:top w:w="0" w:type="dxa"/>
              <w:left w:w="70" w:type="dxa"/>
              <w:bottom w:w="0" w:type="dxa"/>
              <w:right w:w="70" w:type="dxa"/>
            </w:tcMar>
            <w:vAlign w:val="center"/>
            <w:hideMark/>
          </w:tcPr>
          <w:p w14:paraId="77694CF4"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1DBA1159" w14:textId="77777777" w:rsidR="00745A21" w:rsidRPr="00181BA7" w:rsidRDefault="00745A21" w:rsidP="00745A21">
            <w:pPr>
              <w:spacing w:line="276" w:lineRule="auto"/>
              <w:jc w:val="both"/>
              <w:rPr>
                <w:color w:val="000000"/>
              </w:rPr>
            </w:pPr>
            <w:r w:rsidRPr="00181BA7">
              <w:rPr>
                <w:color w:val="000000"/>
              </w:rPr>
              <w:t>7350341 Canada inc.</w:t>
            </w:r>
          </w:p>
        </w:tc>
      </w:tr>
      <w:tr w:rsidR="00745A21" w:rsidRPr="00181BA7" w14:paraId="23DC2E50" w14:textId="77777777" w:rsidTr="00505DED">
        <w:tc>
          <w:tcPr>
            <w:tcW w:w="2551" w:type="dxa"/>
            <w:shd w:val="clear" w:color="auto" w:fill="auto"/>
            <w:noWrap/>
            <w:tcMar>
              <w:top w:w="0" w:type="dxa"/>
              <w:left w:w="70" w:type="dxa"/>
              <w:bottom w:w="0" w:type="dxa"/>
              <w:right w:w="70" w:type="dxa"/>
            </w:tcMar>
            <w:vAlign w:val="center"/>
            <w:hideMark/>
          </w:tcPr>
          <w:p w14:paraId="36536C98" w14:textId="77777777" w:rsidR="00745A21" w:rsidRPr="00181BA7" w:rsidRDefault="00745A21" w:rsidP="00745A21">
            <w:pPr>
              <w:spacing w:line="276" w:lineRule="auto"/>
              <w:jc w:val="both"/>
              <w:rPr>
                <w:color w:val="000000"/>
              </w:rPr>
            </w:pPr>
            <w:r w:rsidRPr="00181BA7">
              <w:rPr>
                <w:color w:val="000000"/>
              </w:rPr>
              <w:t>1049006</w:t>
            </w:r>
          </w:p>
        </w:tc>
        <w:tc>
          <w:tcPr>
            <w:tcW w:w="1985" w:type="dxa"/>
            <w:shd w:val="clear" w:color="auto" w:fill="auto"/>
            <w:noWrap/>
            <w:tcMar>
              <w:top w:w="0" w:type="dxa"/>
              <w:left w:w="70" w:type="dxa"/>
              <w:bottom w:w="0" w:type="dxa"/>
              <w:right w:w="70" w:type="dxa"/>
            </w:tcMar>
            <w:vAlign w:val="center"/>
            <w:hideMark/>
          </w:tcPr>
          <w:p w14:paraId="3979E168"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13C912A0" w14:textId="77777777" w:rsidR="00745A21" w:rsidRPr="00181BA7" w:rsidRDefault="00745A21" w:rsidP="00745A21">
            <w:pPr>
              <w:spacing w:line="276" w:lineRule="auto"/>
              <w:jc w:val="both"/>
              <w:rPr>
                <w:color w:val="000000"/>
              </w:rPr>
            </w:pPr>
            <w:r w:rsidRPr="00181BA7">
              <w:rPr>
                <w:color w:val="000000"/>
              </w:rPr>
              <w:t>Auriga ERP Consulting inc.</w:t>
            </w:r>
          </w:p>
        </w:tc>
      </w:tr>
      <w:tr w:rsidR="00745A21" w:rsidRPr="00181BA7" w14:paraId="7BD457AA" w14:textId="77777777" w:rsidTr="00505DED">
        <w:tc>
          <w:tcPr>
            <w:tcW w:w="2551" w:type="dxa"/>
            <w:shd w:val="clear" w:color="auto" w:fill="auto"/>
            <w:noWrap/>
            <w:tcMar>
              <w:top w:w="0" w:type="dxa"/>
              <w:left w:w="70" w:type="dxa"/>
              <w:bottom w:w="0" w:type="dxa"/>
              <w:right w:w="70" w:type="dxa"/>
            </w:tcMar>
            <w:vAlign w:val="center"/>
            <w:hideMark/>
          </w:tcPr>
          <w:p w14:paraId="50E970A7" w14:textId="77777777" w:rsidR="00745A21" w:rsidRPr="00181BA7" w:rsidRDefault="00745A21" w:rsidP="00745A21">
            <w:pPr>
              <w:spacing w:line="276" w:lineRule="auto"/>
              <w:jc w:val="both"/>
              <w:rPr>
                <w:color w:val="000000"/>
              </w:rPr>
            </w:pPr>
            <w:r w:rsidRPr="00181BA7">
              <w:rPr>
                <w:color w:val="000000"/>
              </w:rPr>
              <w:t>4002028</w:t>
            </w:r>
          </w:p>
        </w:tc>
        <w:tc>
          <w:tcPr>
            <w:tcW w:w="1985" w:type="dxa"/>
            <w:shd w:val="clear" w:color="auto" w:fill="auto"/>
            <w:noWrap/>
            <w:tcMar>
              <w:top w:w="0" w:type="dxa"/>
              <w:left w:w="70" w:type="dxa"/>
              <w:bottom w:w="0" w:type="dxa"/>
              <w:right w:w="70" w:type="dxa"/>
            </w:tcMar>
            <w:vAlign w:val="center"/>
            <w:hideMark/>
          </w:tcPr>
          <w:p w14:paraId="26939C59" w14:textId="77777777" w:rsidR="00745A21" w:rsidRPr="00181BA7" w:rsidRDefault="00745A21" w:rsidP="00745A21">
            <w:pPr>
              <w:spacing w:line="276" w:lineRule="auto"/>
              <w:jc w:val="both"/>
              <w:rPr>
                <w:color w:val="000000"/>
              </w:rPr>
            </w:pPr>
            <w:r w:rsidRPr="00181BA7">
              <w:rPr>
                <w:color w:val="000000"/>
              </w:rPr>
              <w:t>04541</w:t>
            </w:r>
          </w:p>
        </w:tc>
        <w:tc>
          <w:tcPr>
            <w:tcW w:w="3260" w:type="dxa"/>
            <w:shd w:val="clear" w:color="auto" w:fill="auto"/>
            <w:noWrap/>
            <w:tcMar>
              <w:top w:w="0" w:type="dxa"/>
              <w:left w:w="70" w:type="dxa"/>
              <w:bottom w:w="0" w:type="dxa"/>
              <w:right w:w="70" w:type="dxa"/>
            </w:tcMar>
            <w:vAlign w:val="center"/>
            <w:hideMark/>
          </w:tcPr>
          <w:p w14:paraId="07E1C878" w14:textId="77777777" w:rsidR="00745A21" w:rsidRPr="00181BA7" w:rsidRDefault="00745A21" w:rsidP="00745A21">
            <w:pPr>
              <w:spacing w:line="276" w:lineRule="auto"/>
              <w:jc w:val="both"/>
              <w:rPr>
                <w:color w:val="000000"/>
              </w:rPr>
            </w:pPr>
            <w:r w:rsidRPr="00181BA7">
              <w:rPr>
                <w:color w:val="000000"/>
              </w:rPr>
              <w:t>Auriga ERP Consulting inc.</w:t>
            </w:r>
          </w:p>
        </w:tc>
      </w:tr>
    </w:tbl>
    <w:p w14:paraId="1C341E2E" w14:textId="77777777" w:rsidR="00745A21" w:rsidRPr="00181BA7" w:rsidRDefault="00745A21" w:rsidP="00745A21">
      <w:pPr>
        <w:jc w:val="both"/>
        <w:rPr>
          <w:b/>
          <w:bCs/>
        </w:rPr>
      </w:pPr>
    </w:p>
    <w:p w14:paraId="16768349" w14:textId="40ED1522" w:rsidR="00745A21" w:rsidRPr="001A6C7C" w:rsidRDefault="00745A21" w:rsidP="00745A21">
      <w:pPr>
        <w:jc w:val="both"/>
        <w:rPr>
          <w:lang w:val="en-CA"/>
        </w:rPr>
      </w:pPr>
      <w:r w:rsidRPr="00181BA7">
        <w:rPr>
          <w:b/>
          <w:bCs/>
          <w:lang w:val="en-CA"/>
        </w:rPr>
        <w:t>ORDERS</w:t>
      </w:r>
      <w:r w:rsidRPr="00181BA7">
        <w:rPr>
          <w:lang w:val="en-CA"/>
        </w:rPr>
        <w:t xml:space="preserve"> impleaded party Nour El-Chafei not to withdraw or dispose of, directly or indirectly, funds, securities or other property in bank accounts numbered </w:t>
      </w:r>
      <w:r w:rsidR="00F408E6">
        <w:rPr>
          <w:color w:val="000000"/>
          <w:lang w:val="en-CA"/>
        </w:rPr>
        <w:t>[...]</w:t>
      </w:r>
      <w:r w:rsidR="00F408E6" w:rsidRPr="00181BA7">
        <w:rPr>
          <w:color w:val="000000"/>
          <w:lang w:val="en-CA"/>
        </w:rPr>
        <w:t xml:space="preserve"> </w:t>
      </w:r>
      <w:r w:rsidRPr="00181BA7">
        <w:rPr>
          <w:color w:val="000000"/>
          <w:lang w:val="en-CA"/>
        </w:rPr>
        <w:t xml:space="preserve">and </w:t>
      </w:r>
      <w:r w:rsidR="00F408E6">
        <w:rPr>
          <w:color w:val="000000"/>
          <w:lang w:val="en-CA"/>
        </w:rPr>
        <w:t>[...]</w:t>
      </w:r>
      <w:r w:rsidR="00F408E6" w:rsidRPr="00181BA7">
        <w:rPr>
          <w:lang w:val="en-CA"/>
        </w:rPr>
        <w:t xml:space="preserve"> </w:t>
      </w:r>
      <w:r w:rsidRPr="00181BA7">
        <w:rPr>
          <w:lang w:val="en-CA"/>
        </w:rPr>
        <w:t>with the Royal Bank of Canada having a branch at 3131, boulevard de la Côte Vertu, local F-1, in the City of Montréal (Saint-Laurent), Province of Québec, H4R 1P8;</w:t>
      </w:r>
    </w:p>
    <w:p w14:paraId="5B974050" w14:textId="77777777" w:rsidR="00745A21" w:rsidRPr="001A6C7C" w:rsidRDefault="00745A21" w:rsidP="00745A21">
      <w:pPr>
        <w:jc w:val="both"/>
        <w:rPr>
          <w:b/>
          <w:bCs/>
          <w:lang w:val="en-CA"/>
        </w:rPr>
      </w:pPr>
    </w:p>
    <w:p w14:paraId="548B3120" w14:textId="588ECB4C" w:rsidR="00745A21" w:rsidRPr="001A6C7C" w:rsidRDefault="00745A21" w:rsidP="00745A21">
      <w:pPr>
        <w:jc w:val="both"/>
        <w:rPr>
          <w:lang w:val="en-CA"/>
        </w:rPr>
      </w:pPr>
      <w:r w:rsidRPr="00181BA7">
        <w:rPr>
          <w:b/>
          <w:bCs/>
          <w:lang w:val="en-CA"/>
        </w:rPr>
        <w:t>ORDERS</w:t>
      </w:r>
      <w:r w:rsidRPr="00181BA7">
        <w:rPr>
          <w:lang w:val="en-CA"/>
        </w:rPr>
        <w:t xml:space="preserve"> Respondent Mohamed Kada Mesli not to, directly or indirectly, assign, encumber, alter, destroy and/or dispose of the building with built upon it bearing civic number </w:t>
      </w:r>
      <w:r w:rsidR="00F408E6">
        <w:rPr>
          <w:lang w:val="en-CA"/>
        </w:rPr>
        <w:t>[...]</w:t>
      </w:r>
      <w:r w:rsidRPr="00181BA7">
        <w:rPr>
          <w:lang w:val="en-CA"/>
        </w:rPr>
        <w:t xml:space="preserve">, in the city of Montréal (Saint-Laurent), Province of Québec, </w:t>
      </w:r>
      <w:r w:rsidR="00F408E6">
        <w:rPr>
          <w:lang w:val="en-CA"/>
        </w:rPr>
        <w:t>[...]</w:t>
      </w:r>
      <w:r w:rsidRPr="00181BA7">
        <w:rPr>
          <w:lang w:val="en-CA"/>
        </w:rPr>
        <w:t xml:space="preserve">, known and designated as lot number </w:t>
      </w:r>
      <w:r w:rsidR="00F408E6">
        <w:rPr>
          <w:lang w:val="en-CA"/>
        </w:rPr>
        <w:t>[...]</w:t>
      </w:r>
      <w:r w:rsidRPr="00181BA7">
        <w:rPr>
          <w:lang w:val="en-CA"/>
        </w:rPr>
        <w:t xml:space="preserve"> (</w:t>
      </w:r>
      <w:r w:rsidR="00F408E6">
        <w:rPr>
          <w:lang w:val="en-CA"/>
        </w:rPr>
        <w:t>[...]</w:t>
      </w:r>
      <w:r w:rsidRPr="00181BA7">
        <w:rPr>
          <w:lang w:val="en-CA"/>
        </w:rPr>
        <w:t xml:space="preserve">) of the Cadastre du Québec, in the Montréal Land District; </w:t>
      </w:r>
    </w:p>
    <w:p w14:paraId="7AE88053" w14:textId="77777777" w:rsidR="00745A21" w:rsidRPr="001A6C7C" w:rsidRDefault="00745A21" w:rsidP="00745A21">
      <w:pPr>
        <w:jc w:val="both"/>
        <w:rPr>
          <w:b/>
          <w:lang w:val="en-CA"/>
        </w:rPr>
      </w:pPr>
    </w:p>
    <w:p w14:paraId="448FD8FA" w14:textId="317E842C" w:rsidR="00745A21" w:rsidRPr="001A6C7C" w:rsidRDefault="00505DED" w:rsidP="00745A21">
      <w:pPr>
        <w:jc w:val="both"/>
        <w:rPr>
          <w:lang w:val="en-CA"/>
        </w:rPr>
      </w:pPr>
      <w:r w:rsidRPr="00181BA7">
        <w:rPr>
          <w:b/>
          <w:bCs/>
          <w:lang w:val="en-CA"/>
        </w:rPr>
        <w:t xml:space="preserve">ORDERS </w:t>
      </w:r>
      <w:r w:rsidRPr="00181BA7">
        <w:rPr>
          <w:lang w:val="en-CA"/>
        </w:rPr>
        <w:t xml:space="preserve">the Officer of the Bureau de la publicité des droits, in the land district of Montréal, to proceed with publication of the freeze order and of this decision concerning the property with a building constructed on it bearing the civic number </w:t>
      </w:r>
      <w:r w:rsidR="00F408E6">
        <w:rPr>
          <w:lang w:val="en-CA"/>
        </w:rPr>
        <w:t>[...]</w:t>
      </w:r>
      <w:r w:rsidRPr="00181BA7">
        <w:rPr>
          <w:lang w:val="en-CA"/>
        </w:rPr>
        <w:t xml:space="preserve">, Montréal (Île-Bizard), Province of Québec, </w:t>
      </w:r>
      <w:r w:rsidR="00F408E6">
        <w:rPr>
          <w:lang w:val="en-CA"/>
        </w:rPr>
        <w:t>[...]</w:t>
      </w:r>
      <w:r w:rsidRPr="00181BA7">
        <w:rPr>
          <w:lang w:val="en-CA"/>
        </w:rPr>
        <w:t xml:space="preserve">, known and designated as lot number </w:t>
      </w:r>
      <w:r w:rsidR="00F408E6">
        <w:rPr>
          <w:lang w:val="en-CA"/>
        </w:rPr>
        <w:t>[...]</w:t>
      </w:r>
      <w:r w:rsidRPr="00181BA7">
        <w:rPr>
          <w:lang w:val="en-CA"/>
        </w:rPr>
        <w:t xml:space="preserve"> (</w:t>
      </w:r>
      <w:r w:rsidR="00F408E6">
        <w:rPr>
          <w:lang w:val="en-CA"/>
        </w:rPr>
        <w:t>[...]</w:t>
      </w:r>
      <w:r w:rsidRPr="00181BA7">
        <w:rPr>
          <w:lang w:val="en-CA"/>
        </w:rPr>
        <w:t>) of the Cadastre of Québec, in the land district of Montréal;</w:t>
      </w:r>
    </w:p>
    <w:p w14:paraId="5D83CD27" w14:textId="77777777" w:rsidR="00745A21" w:rsidRPr="001A6C7C" w:rsidRDefault="00745A21" w:rsidP="00745A21">
      <w:pPr>
        <w:jc w:val="both"/>
        <w:rPr>
          <w:b/>
          <w:bCs/>
          <w:lang w:val="en-CA"/>
        </w:rPr>
      </w:pPr>
    </w:p>
    <w:p w14:paraId="2462454F" w14:textId="77777777" w:rsidR="00745A21" w:rsidRPr="001A6C7C" w:rsidRDefault="00745A21" w:rsidP="00745A21">
      <w:pPr>
        <w:jc w:val="both"/>
        <w:rPr>
          <w:lang w:val="en-CA"/>
        </w:rPr>
      </w:pPr>
      <w:r w:rsidRPr="00181BA7">
        <w:rPr>
          <w:b/>
          <w:bCs/>
          <w:lang w:val="en-CA"/>
        </w:rPr>
        <w:t>ORDERS</w:t>
      </w:r>
      <w:r w:rsidRPr="00181BA7">
        <w:rPr>
          <w:lang w:val="en-CA"/>
        </w:rPr>
        <w:t xml:space="preserve"> the impleaded party Royal Bank of Canada, having a branch at 3131, boulevard de la Côte-Vertu, local F-1, in the City of Montréal (Saint-Laurent), Province of Québec, H4R 1P8, not to dispose, directly or indirectly, of any funds, securities or other property in its care or for which it has custody or control on behalf of respondent Mohamed Kada Mesli, 7350341 Canada Inc. and Auriga ERP Consulting Inc., particularly the following bank accounts: </w:t>
      </w:r>
    </w:p>
    <w:p w14:paraId="6909B001" w14:textId="77777777" w:rsidR="00745A21" w:rsidRPr="001A6C7C" w:rsidRDefault="00745A21" w:rsidP="00745A21">
      <w:pPr>
        <w:pStyle w:val="Paragraphedeliste"/>
        <w:numPr>
          <w:ilvl w:val="0"/>
          <w:numId w:val="0"/>
        </w:numPr>
        <w:spacing w:after="0"/>
        <w:ind w:left="360"/>
        <w:rPr>
          <w:lang w:val="en-CA"/>
        </w:rPr>
      </w:pP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1985"/>
        <w:gridCol w:w="3260"/>
      </w:tblGrid>
      <w:tr w:rsidR="00745A21" w:rsidRPr="00181BA7" w14:paraId="2564FA05" w14:textId="77777777" w:rsidTr="00505DED">
        <w:tc>
          <w:tcPr>
            <w:tcW w:w="2551" w:type="dxa"/>
            <w:shd w:val="clear" w:color="auto" w:fill="auto"/>
            <w:noWrap/>
            <w:tcMar>
              <w:top w:w="0" w:type="dxa"/>
              <w:left w:w="70" w:type="dxa"/>
              <w:bottom w:w="0" w:type="dxa"/>
              <w:right w:w="70" w:type="dxa"/>
            </w:tcMar>
            <w:vAlign w:val="center"/>
            <w:hideMark/>
          </w:tcPr>
          <w:p w14:paraId="33B1FB11" w14:textId="77777777" w:rsidR="00745A21" w:rsidRPr="00181BA7" w:rsidRDefault="00745A21" w:rsidP="00745A21">
            <w:pPr>
              <w:spacing w:line="276" w:lineRule="auto"/>
              <w:jc w:val="both"/>
              <w:rPr>
                <w:b/>
                <w:bCs/>
                <w:color w:val="000000"/>
              </w:rPr>
            </w:pPr>
            <w:r w:rsidRPr="00181BA7">
              <w:rPr>
                <w:b/>
                <w:bCs/>
                <w:color w:val="000000"/>
                <w:lang w:val="en-CA"/>
              </w:rPr>
              <w:t xml:space="preserve">Account no. </w:t>
            </w:r>
          </w:p>
        </w:tc>
        <w:tc>
          <w:tcPr>
            <w:tcW w:w="1985" w:type="dxa"/>
            <w:shd w:val="clear" w:color="auto" w:fill="auto"/>
            <w:noWrap/>
            <w:tcMar>
              <w:top w:w="0" w:type="dxa"/>
              <w:left w:w="70" w:type="dxa"/>
              <w:bottom w:w="0" w:type="dxa"/>
              <w:right w:w="70" w:type="dxa"/>
            </w:tcMar>
            <w:vAlign w:val="center"/>
            <w:hideMark/>
          </w:tcPr>
          <w:p w14:paraId="4DF999CF" w14:textId="77777777" w:rsidR="00745A21" w:rsidRPr="00181BA7" w:rsidRDefault="00745A21" w:rsidP="00745A21">
            <w:pPr>
              <w:spacing w:line="276" w:lineRule="auto"/>
              <w:jc w:val="both"/>
              <w:rPr>
                <w:b/>
                <w:bCs/>
                <w:color w:val="000000"/>
              </w:rPr>
            </w:pPr>
            <w:r w:rsidRPr="00181BA7">
              <w:rPr>
                <w:b/>
                <w:bCs/>
                <w:color w:val="000000"/>
                <w:lang w:val="en-CA"/>
              </w:rPr>
              <w:t>Branch</w:t>
            </w:r>
          </w:p>
        </w:tc>
        <w:tc>
          <w:tcPr>
            <w:tcW w:w="3260" w:type="dxa"/>
            <w:shd w:val="clear" w:color="auto" w:fill="auto"/>
            <w:noWrap/>
            <w:tcMar>
              <w:top w:w="0" w:type="dxa"/>
              <w:left w:w="70" w:type="dxa"/>
              <w:bottom w:w="0" w:type="dxa"/>
              <w:right w:w="70" w:type="dxa"/>
            </w:tcMar>
            <w:vAlign w:val="center"/>
            <w:hideMark/>
          </w:tcPr>
          <w:p w14:paraId="7B8E83D8" w14:textId="77777777" w:rsidR="00745A21" w:rsidRPr="00181BA7" w:rsidRDefault="00745A21" w:rsidP="00745A21">
            <w:pPr>
              <w:spacing w:line="276" w:lineRule="auto"/>
              <w:jc w:val="both"/>
              <w:rPr>
                <w:b/>
                <w:bCs/>
                <w:color w:val="000000"/>
              </w:rPr>
            </w:pPr>
            <w:r w:rsidRPr="00181BA7">
              <w:rPr>
                <w:b/>
                <w:bCs/>
                <w:color w:val="000000"/>
                <w:lang w:val="en-CA"/>
              </w:rPr>
              <w:t>Holder</w:t>
            </w:r>
          </w:p>
        </w:tc>
      </w:tr>
      <w:tr w:rsidR="00745A21" w:rsidRPr="00181BA7" w14:paraId="75D62FB9" w14:textId="77777777" w:rsidTr="00505DED">
        <w:tc>
          <w:tcPr>
            <w:tcW w:w="2551" w:type="dxa"/>
            <w:shd w:val="clear" w:color="auto" w:fill="auto"/>
            <w:noWrap/>
            <w:tcMar>
              <w:top w:w="0" w:type="dxa"/>
              <w:left w:w="70" w:type="dxa"/>
              <w:bottom w:w="0" w:type="dxa"/>
              <w:right w:w="70" w:type="dxa"/>
            </w:tcMar>
            <w:vAlign w:val="center"/>
            <w:hideMark/>
          </w:tcPr>
          <w:p w14:paraId="2DD851BB" w14:textId="5DA15257"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5EC44A73"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2B68FD9D"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1D008CB0" w14:textId="77777777" w:rsidTr="00505DED">
        <w:tc>
          <w:tcPr>
            <w:tcW w:w="2551" w:type="dxa"/>
            <w:shd w:val="clear" w:color="auto" w:fill="auto"/>
            <w:noWrap/>
            <w:tcMar>
              <w:top w:w="0" w:type="dxa"/>
              <w:left w:w="70" w:type="dxa"/>
              <w:bottom w:w="0" w:type="dxa"/>
              <w:right w:w="70" w:type="dxa"/>
            </w:tcMar>
            <w:vAlign w:val="center"/>
            <w:hideMark/>
          </w:tcPr>
          <w:p w14:paraId="34F1B52F" w14:textId="10E0C2F4" w:rsidR="00745A21" w:rsidRPr="00181BA7" w:rsidRDefault="00F408E6" w:rsidP="00745A21">
            <w:pPr>
              <w:spacing w:line="276" w:lineRule="auto"/>
              <w:jc w:val="both"/>
              <w:rPr>
                <w:color w:val="000000"/>
              </w:rPr>
            </w:pPr>
            <w:r>
              <w:rPr>
                <w:color w:val="000000"/>
              </w:rPr>
              <w:lastRenderedPageBreak/>
              <w:t>[...]</w:t>
            </w:r>
          </w:p>
        </w:tc>
        <w:tc>
          <w:tcPr>
            <w:tcW w:w="1985" w:type="dxa"/>
            <w:shd w:val="clear" w:color="auto" w:fill="auto"/>
            <w:noWrap/>
            <w:tcMar>
              <w:top w:w="0" w:type="dxa"/>
              <w:left w:w="70" w:type="dxa"/>
              <w:bottom w:w="0" w:type="dxa"/>
              <w:right w:w="70" w:type="dxa"/>
            </w:tcMar>
            <w:vAlign w:val="center"/>
            <w:hideMark/>
          </w:tcPr>
          <w:p w14:paraId="37C091FC"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71AD3614"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6EC00336" w14:textId="77777777" w:rsidTr="00505DED">
        <w:tc>
          <w:tcPr>
            <w:tcW w:w="2551" w:type="dxa"/>
            <w:shd w:val="clear" w:color="auto" w:fill="auto"/>
            <w:noWrap/>
            <w:tcMar>
              <w:top w:w="0" w:type="dxa"/>
              <w:left w:w="70" w:type="dxa"/>
              <w:bottom w:w="0" w:type="dxa"/>
              <w:right w:w="70" w:type="dxa"/>
            </w:tcMar>
            <w:vAlign w:val="center"/>
            <w:hideMark/>
          </w:tcPr>
          <w:p w14:paraId="3921F34F" w14:textId="19A3BAF9"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66800074"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579E4B6A"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5F1010FE" w14:textId="77777777" w:rsidTr="00505DED">
        <w:tc>
          <w:tcPr>
            <w:tcW w:w="2551" w:type="dxa"/>
            <w:shd w:val="clear" w:color="auto" w:fill="auto"/>
            <w:noWrap/>
            <w:tcMar>
              <w:top w:w="0" w:type="dxa"/>
              <w:left w:w="70" w:type="dxa"/>
              <w:bottom w:w="0" w:type="dxa"/>
              <w:right w:w="70" w:type="dxa"/>
            </w:tcMar>
            <w:vAlign w:val="center"/>
            <w:hideMark/>
          </w:tcPr>
          <w:p w14:paraId="5748296C" w14:textId="39489C01"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066A095A"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2CF57180"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32FAF079" w14:textId="77777777" w:rsidTr="00505DED">
        <w:tc>
          <w:tcPr>
            <w:tcW w:w="2551" w:type="dxa"/>
            <w:shd w:val="clear" w:color="auto" w:fill="auto"/>
            <w:noWrap/>
            <w:tcMar>
              <w:top w:w="0" w:type="dxa"/>
              <w:left w:w="70" w:type="dxa"/>
              <w:bottom w:w="0" w:type="dxa"/>
              <w:right w:w="70" w:type="dxa"/>
            </w:tcMar>
            <w:vAlign w:val="center"/>
            <w:hideMark/>
          </w:tcPr>
          <w:p w14:paraId="0668C3C8" w14:textId="77777777" w:rsidR="00745A21" w:rsidRPr="00181BA7" w:rsidRDefault="00745A21" w:rsidP="00745A21">
            <w:pPr>
              <w:spacing w:line="276" w:lineRule="auto"/>
              <w:jc w:val="both"/>
              <w:rPr>
                <w:color w:val="000000"/>
              </w:rPr>
            </w:pPr>
            <w:r w:rsidRPr="00181BA7">
              <w:rPr>
                <w:color w:val="000000"/>
              </w:rPr>
              <w:t>1040120</w:t>
            </w:r>
          </w:p>
        </w:tc>
        <w:tc>
          <w:tcPr>
            <w:tcW w:w="1985" w:type="dxa"/>
            <w:shd w:val="clear" w:color="auto" w:fill="auto"/>
            <w:noWrap/>
            <w:tcMar>
              <w:top w:w="0" w:type="dxa"/>
              <w:left w:w="70" w:type="dxa"/>
              <w:bottom w:w="0" w:type="dxa"/>
              <w:right w:w="70" w:type="dxa"/>
            </w:tcMar>
            <w:vAlign w:val="center"/>
            <w:hideMark/>
          </w:tcPr>
          <w:p w14:paraId="7C2B8B85"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2D94728A" w14:textId="77777777" w:rsidR="00745A21" w:rsidRPr="00181BA7" w:rsidRDefault="00745A21" w:rsidP="00745A21">
            <w:pPr>
              <w:spacing w:line="276" w:lineRule="auto"/>
              <w:jc w:val="both"/>
              <w:rPr>
                <w:color w:val="000000"/>
              </w:rPr>
            </w:pPr>
            <w:r w:rsidRPr="00181BA7">
              <w:rPr>
                <w:color w:val="000000"/>
              </w:rPr>
              <w:t>7350341 Canada inc.</w:t>
            </w:r>
          </w:p>
        </w:tc>
      </w:tr>
      <w:tr w:rsidR="00745A21" w:rsidRPr="00181BA7" w14:paraId="459E369A" w14:textId="77777777" w:rsidTr="00505DED">
        <w:tc>
          <w:tcPr>
            <w:tcW w:w="2551" w:type="dxa"/>
            <w:shd w:val="clear" w:color="auto" w:fill="auto"/>
            <w:noWrap/>
            <w:tcMar>
              <w:top w:w="0" w:type="dxa"/>
              <w:left w:w="70" w:type="dxa"/>
              <w:bottom w:w="0" w:type="dxa"/>
              <w:right w:w="70" w:type="dxa"/>
            </w:tcMar>
            <w:vAlign w:val="center"/>
            <w:hideMark/>
          </w:tcPr>
          <w:p w14:paraId="5FE831B7" w14:textId="77777777" w:rsidR="00745A21" w:rsidRPr="00181BA7" w:rsidRDefault="00745A21" w:rsidP="00745A21">
            <w:pPr>
              <w:spacing w:line="276" w:lineRule="auto"/>
              <w:jc w:val="both"/>
              <w:rPr>
                <w:color w:val="000000"/>
              </w:rPr>
            </w:pPr>
            <w:r w:rsidRPr="00181BA7">
              <w:rPr>
                <w:color w:val="000000"/>
              </w:rPr>
              <w:t>4006987</w:t>
            </w:r>
          </w:p>
        </w:tc>
        <w:tc>
          <w:tcPr>
            <w:tcW w:w="1985" w:type="dxa"/>
            <w:shd w:val="clear" w:color="auto" w:fill="auto"/>
            <w:noWrap/>
            <w:tcMar>
              <w:top w:w="0" w:type="dxa"/>
              <w:left w:w="70" w:type="dxa"/>
              <w:bottom w:w="0" w:type="dxa"/>
              <w:right w:w="70" w:type="dxa"/>
            </w:tcMar>
            <w:vAlign w:val="center"/>
            <w:hideMark/>
          </w:tcPr>
          <w:p w14:paraId="69C81890"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3C633969" w14:textId="77777777" w:rsidR="00745A21" w:rsidRPr="00181BA7" w:rsidRDefault="00745A21" w:rsidP="00745A21">
            <w:pPr>
              <w:spacing w:line="276" w:lineRule="auto"/>
              <w:jc w:val="both"/>
              <w:rPr>
                <w:color w:val="000000"/>
              </w:rPr>
            </w:pPr>
            <w:r w:rsidRPr="00181BA7">
              <w:rPr>
                <w:color w:val="000000"/>
              </w:rPr>
              <w:t>7350341 Canada inc.</w:t>
            </w:r>
          </w:p>
        </w:tc>
      </w:tr>
      <w:tr w:rsidR="00745A21" w:rsidRPr="00181BA7" w14:paraId="19561611" w14:textId="77777777" w:rsidTr="00505DED">
        <w:tc>
          <w:tcPr>
            <w:tcW w:w="2551" w:type="dxa"/>
            <w:shd w:val="clear" w:color="auto" w:fill="auto"/>
            <w:noWrap/>
            <w:tcMar>
              <w:top w:w="0" w:type="dxa"/>
              <w:left w:w="70" w:type="dxa"/>
              <w:bottom w:w="0" w:type="dxa"/>
              <w:right w:w="70" w:type="dxa"/>
            </w:tcMar>
            <w:vAlign w:val="center"/>
            <w:hideMark/>
          </w:tcPr>
          <w:p w14:paraId="61A19A65" w14:textId="77777777" w:rsidR="00745A21" w:rsidRPr="00181BA7" w:rsidRDefault="00745A21" w:rsidP="00745A21">
            <w:pPr>
              <w:spacing w:line="276" w:lineRule="auto"/>
              <w:jc w:val="both"/>
              <w:rPr>
                <w:color w:val="000000"/>
              </w:rPr>
            </w:pPr>
            <w:r w:rsidRPr="00181BA7">
              <w:rPr>
                <w:color w:val="000000"/>
              </w:rPr>
              <w:t>1049006</w:t>
            </w:r>
          </w:p>
        </w:tc>
        <w:tc>
          <w:tcPr>
            <w:tcW w:w="1985" w:type="dxa"/>
            <w:shd w:val="clear" w:color="auto" w:fill="auto"/>
            <w:noWrap/>
            <w:tcMar>
              <w:top w:w="0" w:type="dxa"/>
              <w:left w:w="70" w:type="dxa"/>
              <w:bottom w:w="0" w:type="dxa"/>
              <w:right w:w="70" w:type="dxa"/>
            </w:tcMar>
            <w:vAlign w:val="center"/>
            <w:hideMark/>
          </w:tcPr>
          <w:p w14:paraId="0FACF67A" w14:textId="77777777" w:rsidR="00745A21" w:rsidRPr="00181BA7" w:rsidRDefault="00745A21" w:rsidP="00745A21">
            <w:pPr>
              <w:spacing w:line="276" w:lineRule="auto"/>
              <w:jc w:val="both"/>
              <w:rPr>
                <w:color w:val="000000"/>
              </w:rPr>
            </w:pPr>
            <w:r w:rsidRPr="00181BA7">
              <w:rPr>
                <w:color w:val="000000"/>
              </w:rPr>
              <w:t>03051</w:t>
            </w:r>
          </w:p>
        </w:tc>
        <w:tc>
          <w:tcPr>
            <w:tcW w:w="3260" w:type="dxa"/>
            <w:shd w:val="clear" w:color="auto" w:fill="auto"/>
            <w:noWrap/>
            <w:tcMar>
              <w:top w:w="0" w:type="dxa"/>
              <w:left w:w="70" w:type="dxa"/>
              <w:bottom w:w="0" w:type="dxa"/>
              <w:right w:w="70" w:type="dxa"/>
            </w:tcMar>
            <w:vAlign w:val="center"/>
            <w:hideMark/>
          </w:tcPr>
          <w:p w14:paraId="79785B5E" w14:textId="77777777" w:rsidR="00745A21" w:rsidRPr="00181BA7" w:rsidRDefault="00745A21" w:rsidP="00745A21">
            <w:pPr>
              <w:spacing w:line="276" w:lineRule="auto"/>
              <w:jc w:val="both"/>
              <w:rPr>
                <w:color w:val="000000"/>
              </w:rPr>
            </w:pPr>
            <w:r w:rsidRPr="00181BA7">
              <w:rPr>
                <w:color w:val="000000"/>
              </w:rPr>
              <w:t>Auriga ERP Consulting</w:t>
            </w:r>
          </w:p>
        </w:tc>
      </w:tr>
    </w:tbl>
    <w:p w14:paraId="169959D4" w14:textId="77777777" w:rsidR="00745A21" w:rsidRPr="00181BA7" w:rsidRDefault="00745A21" w:rsidP="00745A21">
      <w:pPr>
        <w:jc w:val="both"/>
        <w:rPr>
          <w:b/>
          <w:bCs/>
        </w:rPr>
      </w:pPr>
    </w:p>
    <w:p w14:paraId="1417D0B7" w14:textId="77777777" w:rsidR="00745A21" w:rsidRPr="001A6C7C" w:rsidRDefault="00745A21" w:rsidP="00745A21">
      <w:pPr>
        <w:jc w:val="both"/>
        <w:rPr>
          <w:lang w:val="en-CA"/>
        </w:rPr>
      </w:pPr>
      <w:r w:rsidRPr="00181BA7">
        <w:rPr>
          <w:b/>
          <w:bCs/>
          <w:lang w:val="en-CA"/>
        </w:rPr>
        <w:t>ORDERS</w:t>
      </w:r>
      <w:r w:rsidRPr="00181BA7">
        <w:rPr>
          <w:lang w:val="en-CA"/>
        </w:rPr>
        <w:t xml:space="preserve"> the impleaded party Royal Bank of Canada, having a branch at 4119 Jean-Talon Street East, in the City of Montréal (Saint-Léonard), Province of Québec, H1S 1J5, not to dispose, directly or indirectly, of any funds, securities or other property that it has in its care or for which it has custody or control on behalf of respondent Mohamed Kada Mesli, 7350341 Canada Inc. and Auriga ERP Consulting Inc., in particular in the following bank account: </w:t>
      </w:r>
    </w:p>
    <w:p w14:paraId="70AEC6E2" w14:textId="77777777" w:rsidR="00745A21" w:rsidRPr="001A6C7C" w:rsidRDefault="00745A21" w:rsidP="00745A21">
      <w:pPr>
        <w:pStyle w:val="Paragraphedeliste"/>
        <w:numPr>
          <w:ilvl w:val="0"/>
          <w:numId w:val="0"/>
        </w:numPr>
        <w:spacing w:after="0"/>
        <w:ind w:left="360"/>
        <w:rPr>
          <w:lang w:val="en-CA"/>
        </w:rPr>
      </w:pP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94"/>
        <w:gridCol w:w="2042"/>
        <w:gridCol w:w="3260"/>
      </w:tblGrid>
      <w:tr w:rsidR="00745A21" w:rsidRPr="00181BA7" w14:paraId="4521D780" w14:textId="77777777" w:rsidTr="00505DED">
        <w:tc>
          <w:tcPr>
            <w:tcW w:w="2494" w:type="dxa"/>
            <w:shd w:val="clear" w:color="auto" w:fill="F2F2F2"/>
            <w:noWrap/>
            <w:tcMar>
              <w:top w:w="0" w:type="dxa"/>
              <w:left w:w="70" w:type="dxa"/>
              <w:bottom w:w="0" w:type="dxa"/>
              <w:right w:w="70" w:type="dxa"/>
            </w:tcMar>
            <w:vAlign w:val="center"/>
          </w:tcPr>
          <w:p w14:paraId="7C10B419" w14:textId="77777777" w:rsidR="00745A21" w:rsidRPr="00181BA7" w:rsidRDefault="00745A21" w:rsidP="00745A21">
            <w:pPr>
              <w:spacing w:line="360" w:lineRule="auto"/>
              <w:jc w:val="both"/>
              <w:rPr>
                <w:color w:val="000000"/>
              </w:rPr>
            </w:pPr>
            <w:r w:rsidRPr="00181BA7">
              <w:rPr>
                <w:b/>
                <w:bCs/>
                <w:color w:val="000000"/>
                <w:lang w:val="en-CA"/>
              </w:rPr>
              <w:t xml:space="preserve">Account no. </w:t>
            </w:r>
          </w:p>
        </w:tc>
        <w:tc>
          <w:tcPr>
            <w:tcW w:w="2042" w:type="dxa"/>
            <w:shd w:val="clear" w:color="auto" w:fill="F2F2F2"/>
            <w:noWrap/>
            <w:tcMar>
              <w:top w:w="0" w:type="dxa"/>
              <w:left w:w="70" w:type="dxa"/>
              <w:bottom w:w="0" w:type="dxa"/>
              <w:right w:w="70" w:type="dxa"/>
            </w:tcMar>
            <w:vAlign w:val="center"/>
          </w:tcPr>
          <w:p w14:paraId="27DA27C8" w14:textId="77777777" w:rsidR="00745A21" w:rsidRPr="00181BA7" w:rsidRDefault="00745A21" w:rsidP="00745A21">
            <w:pPr>
              <w:spacing w:line="360" w:lineRule="auto"/>
              <w:jc w:val="both"/>
              <w:rPr>
                <w:color w:val="000000"/>
              </w:rPr>
            </w:pPr>
            <w:r w:rsidRPr="00181BA7">
              <w:rPr>
                <w:b/>
                <w:bCs/>
                <w:color w:val="000000"/>
                <w:lang w:val="en-CA"/>
              </w:rPr>
              <w:t>Branch</w:t>
            </w:r>
          </w:p>
        </w:tc>
        <w:tc>
          <w:tcPr>
            <w:tcW w:w="3260" w:type="dxa"/>
            <w:shd w:val="clear" w:color="auto" w:fill="F2F2F2"/>
            <w:noWrap/>
            <w:tcMar>
              <w:top w:w="0" w:type="dxa"/>
              <w:left w:w="70" w:type="dxa"/>
              <w:bottom w:w="0" w:type="dxa"/>
              <w:right w:w="70" w:type="dxa"/>
            </w:tcMar>
            <w:vAlign w:val="center"/>
          </w:tcPr>
          <w:p w14:paraId="7734F181" w14:textId="77777777" w:rsidR="00745A21" w:rsidRPr="00181BA7" w:rsidRDefault="00745A21" w:rsidP="00745A21">
            <w:pPr>
              <w:spacing w:line="360" w:lineRule="auto"/>
              <w:jc w:val="both"/>
              <w:rPr>
                <w:color w:val="000000"/>
              </w:rPr>
            </w:pPr>
            <w:r w:rsidRPr="00181BA7">
              <w:rPr>
                <w:b/>
                <w:bCs/>
                <w:color w:val="000000"/>
                <w:lang w:val="en-CA"/>
              </w:rPr>
              <w:t>Holder</w:t>
            </w:r>
          </w:p>
        </w:tc>
      </w:tr>
      <w:tr w:rsidR="00745A21" w:rsidRPr="00181BA7" w14:paraId="7594B6F3" w14:textId="77777777" w:rsidTr="00505DED">
        <w:tc>
          <w:tcPr>
            <w:tcW w:w="2494" w:type="dxa"/>
            <w:shd w:val="clear" w:color="auto" w:fill="auto"/>
            <w:noWrap/>
            <w:tcMar>
              <w:top w:w="0" w:type="dxa"/>
              <w:left w:w="70" w:type="dxa"/>
              <w:bottom w:w="0" w:type="dxa"/>
              <w:right w:w="70" w:type="dxa"/>
            </w:tcMar>
            <w:vAlign w:val="center"/>
            <w:hideMark/>
          </w:tcPr>
          <w:p w14:paraId="3E552A3C" w14:textId="77777777" w:rsidR="00745A21" w:rsidRPr="00181BA7" w:rsidRDefault="00745A21" w:rsidP="00745A21">
            <w:pPr>
              <w:spacing w:line="360" w:lineRule="auto"/>
              <w:jc w:val="both"/>
              <w:rPr>
                <w:color w:val="000000"/>
              </w:rPr>
            </w:pPr>
            <w:r w:rsidRPr="00181BA7">
              <w:rPr>
                <w:color w:val="000000"/>
              </w:rPr>
              <w:t>4002028</w:t>
            </w:r>
          </w:p>
        </w:tc>
        <w:tc>
          <w:tcPr>
            <w:tcW w:w="2042" w:type="dxa"/>
            <w:shd w:val="clear" w:color="auto" w:fill="auto"/>
            <w:noWrap/>
            <w:tcMar>
              <w:top w:w="0" w:type="dxa"/>
              <w:left w:w="70" w:type="dxa"/>
              <w:bottom w:w="0" w:type="dxa"/>
              <w:right w:w="70" w:type="dxa"/>
            </w:tcMar>
            <w:vAlign w:val="center"/>
            <w:hideMark/>
          </w:tcPr>
          <w:p w14:paraId="64420661" w14:textId="77777777" w:rsidR="00745A21" w:rsidRPr="00181BA7" w:rsidRDefault="00745A21" w:rsidP="00745A21">
            <w:pPr>
              <w:spacing w:line="360" w:lineRule="auto"/>
              <w:jc w:val="both"/>
              <w:rPr>
                <w:color w:val="000000"/>
              </w:rPr>
            </w:pPr>
            <w:r w:rsidRPr="00181BA7">
              <w:rPr>
                <w:color w:val="000000"/>
              </w:rPr>
              <w:t>04541</w:t>
            </w:r>
          </w:p>
        </w:tc>
        <w:tc>
          <w:tcPr>
            <w:tcW w:w="3260" w:type="dxa"/>
            <w:shd w:val="clear" w:color="auto" w:fill="auto"/>
            <w:noWrap/>
            <w:tcMar>
              <w:top w:w="0" w:type="dxa"/>
              <w:left w:w="70" w:type="dxa"/>
              <w:bottom w:w="0" w:type="dxa"/>
              <w:right w:w="70" w:type="dxa"/>
            </w:tcMar>
            <w:vAlign w:val="center"/>
            <w:hideMark/>
          </w:tcPr>
          <w:p w14:paraId="53FB951F" w14:textId="77777777" w:rsidR="00745A21" w:rsidRPr="00181BA7" w:rsidRDefault="00745A21" w:rsidP="00745A21">
            <w:pPr>
              <w:spacing w:line="360" w:lineRule="auto"/>
              <w:jc w:val="both"/>
              <w:rPr>
                <w:color w:val="000000"/>
              </w:rPr>
            </w:pPr>
            <w:r w:rsidRPr="00181BA7">
              <w:rPr>
                <w:color w:val="000000"/>
              </w:rPr>
              <w:t>Auriga ERP Consulting inc.</w:t>
            </w:r>
          </w:p>
        </w:tc>
      </w:tr>
    </w:tbl>
    <w:p w14:paraId="653B8FAC" w14:textId="77777777" w:rsidR="00745A21" w:rsidRPr="00181BA7" w:rsidRDefault="00745A21" w:rsidP="00745A21">
      <w:pPr>
        <w:jc w:val="both"/>
        <w:rPr>
          <w:b/>
          <w:bCs/>
        </w:rPr>
      </w:pPr>
    </w:p>
    <w:p w14:paraId="39039C04" w14:textId="77777777" w:rsidR="00745A21" w:rsidRPr="001A6C7C" w:rsidRDefault="00745A21" w:rsidP="00745A21">
      <w:pPr>
        <w:jc w:val="both"/>
        <w:rPr>
          <w:lang w:val="en-CA"/>
        </w:rPr>
      </w:pPr>
      <w:r w:rsidRPr="00181BA7">
        <w:rPr>
          <w:b/>
          <w:bCs/>
          <w:lang w:val="en-CA"/>
        </w:rPr>
        <w:t xml:space="preserve">ORDERS </w:t>
      </w:r>
      <w:r w:rsidRPr="00181BA7">
        <w:rPr>
          <w:lang w:val="en-CA"/>
        </w:rPr>
        <w:t>the impleaded party RBC Placements en Direct Inc., having a branch at 1, Place Ville-Marie, ground floor, in the city of Montréal, Province of Québec, H3B 3Y1, not to dispose, directly or indirectly, of funds, securities or other property in its custody or control on behalf of respondent Mohamed Kada Mesli, 7350341 Canada Inc. and Auriga ERP Consulting Inc., in particular in the following brokerage accounts:</w:t>
      </w:r>
    </w:p>
    <w:p w14:paraId="5A8519D2" w14:textId="77777777" w:rsidR="00745A21" w:rsidRPr="001A6C7C" w:rsidRDefault="00745A21" w:rsidP="00745A21">
      <w:pPr>
        <w:pStyle w:val="Paragraphedeliste"/>
        <w:numPr>
          <w:ilvl w:val="0"/>
          <w:numId w:val="0"/>
        </w:numPr>
        <w:spacing w:after="0"/>
        <w:ind w:left="360"/>
        <w:rPr>
          <w:lang w:val="en-CA"/>
        </w:rPr>
      </w:pP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1"/>
        <w:gridCol w:w="1985"/>
        <w:gridCol w:w="3260"/>
      </w:tblGrid>
      <w:tr w:rsidR="00745A21" w:rsidRPr="00181BA7" w14:paraId="499C9DFE" w14:textId="77777777" w:rsidTr="00505DED">
        <w:tc>
          <w:tcPr>
            <w:tcW w:w="2551" w:type="dxa"/>
            <w:shd w:val="clear" w:color="auto" w:fill="auto"/>
            <w:noWrap/>
            <w:tcMar>
              <w:top w:w="0" w:type="dxa"/>
              <w:left w:w="70" w:type="dxa"/>
              <w:bottom w:w="0" w:type="dxa"/>
              <w:right w:w="70" w:type="dxa"/>
            </w:tcMar>
            <w:vAlign w:val="center"/>
          </w:tcPr>
          <w:p w14:paraId="3F3C7B5C" w14:textId="77777777" w:rsidR="00745A21" w:rsidRPr="00181BA7" w:rsidRDefault="00745A21" w:rsidP="00745A21">
            <w:pPr>
              <w:spacing w:line="276" w:lineRule="auto"/>
              <w:jc w:val="both"/>
              <w:rPr>
                <w:color w:val="000000"/>
              </w:rPr>
            </w:pPr>
            <w:r w:rsidRPr="00181BA7">
              <w:rPr>
                <w:b/>
                <w:bCs/>
                <w:color w:val="000000"/>
                <w:lang w:val="en-CA"/>
              </w:rPr>
              <w:t xml:space="preserve">Account no. </w:t>
            </w:r>
          </w:p>
        </w:tc>
        <w:tc>
          <w:tcPr>
            <w:tcW w:w="1985" w:type="dxa"/>
            <w:shd w:val="clear" w:color="auto" w:fill="auto"/>
            <w:noWrap/>
            <w:tcMar>
              <w:top w:w="0" w:type="dxa"/>
              <w:left w:w="70" w:type="dxa"/>
              <w:bottom w:w="0" w:type="dxa"/>
              <w:right w:w="70" w:type="dxa"/>
            </w:tcMar>
            <w:vAlign w:val="center"/>
          </w:tcPr>
          <w:p w14:paraId="0E554BBF" w14:textId="77777777" w:rsidR="00745A21" w:rsidRPr="00181BA7" w:rsidRDefault="00745A21" w:rsidP="00745A21">
            <w:pPr>
              <w:spacing w:line="276" w:lineRule="auto"/>
              <w:jc w:val="both"/>
              <w:rPr>
                <w:color w:val="000000"/>
              </w:rPr>
            </w:pPr>
            <w:r w:rsidRPr="00181BA7">
              <w:rPr>
                <w:b/>
                <w:bCs/>
                <w:color w:val="000000"/>
                <w:lang w:val="en-CA"/>
              </w:rPr>
              <w:t>Branch</w:t>
            </w:r>
          </w:p>
        </w:tc>
        <w:tc>
          <w:tcPr>
            <w:tcW w:w="3260" w:type="dxa"/>
            <w:shd w:val="clear" w:color="auto" w:fill="auto"/>
            <w:noWrap/>
            <w:tcMar>
              <w:top w:w="0" w:type="dxa"/>
              <w:left w:w="70" w:type="dxa"/>
              <w:bottom w:w="0" w:type="dxa"/>
              <w:right w:w="70" w:type="dxa"/>
            </w:tcMar>
            <w:vAlign w:val="center"/>
          </w:tcPr>
          <w:p w14:paraId="79479143" w14:textId="77777777" w:rsidR="00745A21" w:rsidRPr="00181BA7" w:rsidRDefault="00745A21" w:rsidP="00745A21">
            <w:pPr>
              <w:spacing w:line="276" w:lineRule="auto"/>
              <w:jc w:val="both"/>
              <w:rPr>
                <w:color w:val="000000"/>
              </w:rPr>
            </w:pPr>
            <w:r w:rsidRPr="00181BA7">
              <w:rPr>
                <w:b/>
                <w:bCs/>
                <w:color w:val="000000"/>
                <w:lang w:val="en-CA"/>
              </w:rPr>
              <w:t>Holder</w:t>
            </w:r>
          </w:p>
        </w:tc>
      </w:tr>
      <w:tr w:rsidR="00745A21" w:rsidRPr="00181BA7" w14:paraId="3858D3C2" w14:textId="77777777" w:rsidTr="00505DED">
        <w:tc>
          <w:tcPr>
            <w:tcW w:w="2551" w:type="dxa"/>
            <w:shd w:val="clear" w:color="auto" w:fill="auto"/>
            <w:noWrap/>
            <w:tcMar>
              <w:top w:w="0" w:type="dxa"/>
              <w:left w:w="70" w:type="dxa"/>
              <w:bottom w:w="0" w:type="dxa"/>
              <w:right w:w="70" w:type="dxa"/>
            </w:tcMar>
            <w:vAlign w:val="center"/>
            <w:hideMark/>
          </w:tcPr>
          <w:p w14:paraId="1865ED6C" w14:textId="31959906"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hideMark/>
          </w:tcPr>
          <w:p w14:paraId="1951FB0A"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791867F3"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3B2BBBB4" w14:textId="77777777" w:rsidTr="00505DED">
        <w:tc>
          <w:tcPr>
            <w:tcW w:w="2551" w:type="dxa"/>
            <w:shd w:val="clear" w:color="auto" w:fill="auto"/>
            <w:noWrap/>
            <w:tcMar>
              <w:top w:w="0" w:type="dxa"/>
              <w:left w:w="70" w:type="dxa"/>
              <w:bottom w:w="0" w:type="dxa"/>
              <w:right w:w="70" w:type="dxa"/>
            </w:tcMar>
            <w:vAlign w:val="center"/>
            <w:hideMark/>
          </w:tcPr>
          <w:p w14:paraId="42C08455" w14:textId="531C39AB" w:rsidR="00745A21" w:rsidRPr="00181BA7" w:rsidRDefault="00F408E6" w:rsidP="00745A21">
            <w:pPr>
              <w:spacing w:line="276" w:lineRule="auto"/>
              <w:jc w:val="both"/>
              <w:rPr>
                <w:color w:val="000000"/>
              </w:rPr>
            </w:pPr>
            <w:r>
              <w:rPr>
                <w:color w:val="000000"/>
              </w:rPr>
              <w:t>[...]</w:t>
            </w:r>
            <w:r w:rsidRPr="00181BA7">
              <w:rPr>
                <w:color w:val="000000"/>
              </w:rPr>
              <w:t xml:space="preserve"> </w:t>
            </w:r>
            <w:r w:rsidR="00745A21" w:rsidRPr="00181BA7">
              <w:rPr>
                <w:color w:val="000000"/>
              </w:rPr>
              <w:t>(CAN)</w:t>
            </w:r>
          </w:p>
        </w:tc>
        <w:tc>
          <w:tcPr>
            <w:tcW w:w="1985" w:type="dxa"/>
            <w:shd w:val="clear" w:color="auto" w:fill="auto"/>
            <w:noWrap/>
            <w:tcMar>
              <w:top w:w="0" w:type="dxa"/>
              <w:left w:w="70" w:type="dxa"/>
              <w:bottom w:w="0" w:type="dxa"/>
              <w:right w:w="70" w:type="dxa"/>
            </w:tcMar>
            <w:vAlign w:val="center"/>
            <w:hideMark/>
          </w:tcPr>
          <w:p w14:paraId="6EA175F6"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43374A57"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451400CC" w14:textId="77777777" w:rsidTr="00505DED">
        <w:tc>
          <w:tcPr>
            <w:tcW w:w="2551" w:type="dxa"/>
            <w:shd w:val="clear" w:color="auto" w:fill="auto"/>
            <w:noWrap/>
            <w:tcMar>
              <w:top w:w="0" w:type="dxa"/>
              <w:left w:w="70" w:type="dxa"/>
              <w:bottom w:w="0" w:type="dxa"/>
              <w:right w:w="70" w:type="dxa"/>
            </w:tcMar>
            <w:vAlign w:val="center"/>
            <w:hideMark/>
          </w:tcPr>
          <w:p w14:paraId="17CCC8E7" w14:textId="7CDD41B0" w:rsidR="00745A21" w:rsidRPr="00181BA7" w:rsidRDefault="00F408E6" w:rsidP="00745A21">
            <w:pPr>
              <w:spacing w:line="276" w:lineRule="auto"/>
              <w:jc w:val="both"/>
              <w:rPr>
                <w:color w:val="000000"/>
              </w:rPr>
            </w:pPr>
            <w:r>
              <w:rPr>
                <w:color w:val="000000"/>
              </w:rPr>
              <w:t>[...]</w:t>
            </w:r>
            <w:r w:rsidRPr="00181BA7">
              <w:rPr>
                <w:color w:val="000000"/>
              </w:rPr>
              <w:t xml:space="preserve"> </w:t>
            </w:r>
            <w:r w:rsidR="00745A21" w:rsidRPr="00181BA7">
              <w:rPr>
                <w:color w:val="000000"/>
              </w:rPr>
              <w:t>(US)</w:t>
            </w:r>
          </w:p>
        </w:tc>
        <w:tc>
          <w:tcPr>
            <w:tcW w:w="1985" w:type="dxa"/>
            <w:shd w:val="clear" w:color="auto" w:fill="auto"/>
            <w:noWrap/>
            <w:tcMar>
              <w:top w:w="0" w:type="dxa"/>
              <w:left w:w="70" w:type="dxa"/>
              <w:bottom w:w="0" w:type="dxa"/>
              <w:right w:w="70" w:type="dxa"/>
            </w:tcMar>
            <w:vAlign w:val="center"/>
            <w:hideMark/>
          </w:tcPr>
          <w:p w14:paraId="2643F799"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hideMark/>
          </w:tcPr>
          <w:p w14:paraId="187E6C78" w14:textId="77777777" w:rsidR="00745A21" w:rsidRPr="00181BA7" w:rsidRDefault="00745A21" w:rsidP="00745A21">
            <w:pPr>
              <w:spacing w:line="276" w:lineRule="auto"/>
              <w:jc w:val="both"/>
              <w:rPr>
                <w:color w:val="000000"/>
              </w:rPr>
            </w:pPr>
            <w:r w:rsidRPr="00181BA7">
              <w:rPr>
                <w:color w:val="000000"/>
              </w:rPr>
              <w:t>Mohamed Kada Mesli</w:t>
            </w:r>
          </w:p>
        </w:tc>
      </w:tr>
      <w:tr w:rsidR="00745A21" w:rsidRPr="00181BA7" w14:paraId="269F6F8E" w14:textId="77777777" w:rsidTr="00505DED">
        <w:tc>
          <w:tcPr>
            <w:tcW w:w="2551" w:type="dxa"/>
            <w:shd w:val="clear" w:color="auto" w:fill="auto"/>
            <w:noWrap/>
            <w:tcMar>
              <w:top w:w="0" w:type="dxa"/>
              <w:left w:w="70" w:type="dxa"/>
              <w:bottom w:w="0" w:type="dxa"/>
              <w:right w:w="70" w:type="dxa"/>
            </w:tcMar>
            <w:vAlign w:val="center"/>
          </w:tcPr>
          <w:p w14:paraId="2B6F7DB5" w14:textId="4F2E04B5" w:rsidR="00745A21" w:rsidRPr="00181BA7" w:rsidRDefault="00F408E6" w:rsidP="00745A21">
            <w:pPr>
              <w:spacing w:line="276" w:lineRule="auto"/>
              <w:jc w:val="both"/>
              <w:rPr>
                <w:color w:val="000000"/>
              </w:rPr>
            </w:pPr>
            <w:r>
              <w:rPr>
                <w:color w:val="000000"/>
              </w:rPr>
              <w:t>[...]</w:t>
            </w:r>
          </w:p>
        </w:tc>
        <w:tc>
          <w:tcPr>
            <w:tcW w:w="1985" w:type="dxa"/>
            <w:shd w:val="clear" w:color="auto" w:fill="auto"/>
            <w:noWrap/>
            <w:tcMar>
              <w:top w:w="0" w:type="dxa"/>
              <w:left w:w="70" w:type="dxa"/>
              <w:bottom w:w="0" w:type="dxa"/>
              <w:right w:w="70" w:type="dxa"/>
            </w:tcMar>
            <w:vAlign w:val="center"/>
          </w:tcPr>
          <w:p w14:paraId="6F365C4C" w14:textId="77777777" w:rsidR="00745A21" w:rsidRPr="00181BA7" w:rsidRDefault="00745A21" w:rsidP="00745A21">
            <w:pPr>
              <w:spacing w:line="276" w:lineRule="auto"/>
              <w:jc w:val="both"/>
              <w:rPr>
                <w:color w:val="000000"/>
              </w:rPr>
            </w:pPr>
            <w:r w:rsidRPr="00181BA7">
              <w:rPr>
                <w:color w:val="000000"/>
                <w:lang w:val="en-CA"/>
              </w:rPr>
              <w:t>N/A</w:t>
            </w:r>
          </w:p>
        </w:tc>
        <w:tc>
          <w:tcPr>
            <w:tcW w:w="3260" w:type="dxa"/>
            <w:shd w:val="clear" w:color="auto" w:fill="auto"/>
            <w:noWrap/>
            <w:tcMar>
              <w:top w:w="0" w:type="dxa"/>
              <w:left w:w="70" w:type="dxa"/>
              <w:bottom w:w="0" w:type="dxa"/>
              <w:right w:w="70" w:type="dxa"/>
            </w:tcMar>
            <w:vAlign w:val="center"/>
          </w:tcPr>
          <w:p w14:paraId="137FBDC2" w14:textId="77777777" w:rsidR="00745A21" w:rsidRPr="00181BA7" w:rsidRDefault="00745A21" w:rsidP="00745A21">
            <w:pPr>
              <w:spacing w:line="276" w:lineRule="auto"/>
              <w:jc w:val="both"/>
              <w:rPr>
                <w:color w:val="000000"/>
              </w:rPr>
            </w:pPr>
            <w:r w:rsidRPr="00181BA7">
              <w:rPr>
                <w:color w:val="000000"/>
              </w:rPr>
              <w:t>Mohamed Kada Mesli</w:t>
            </w:r>
          </w:p>
        </w:tc>
      </w:tr>
    </w:tbl>
    <w:p w14:paraId="4D875747" w14:textId="77777777" w:rsidR="00745A21" w:rsidRPr="00181BA7" w:rsidRDefault="00745A21" w:rsidP="00745A21">
      <w:pPr>
        <w:jc w:val="both"/>
        <w:rPr>
          <w:rFonts w:cs="Arial"/>
        </w:rPr>
      </w:pPr>
    </w:p>
    <w:p w14:paraId="5C2C1D93" w14:textId="77777777" w:rsidR="00745A21" w:rsidRPr="001A6C7C" w:rsidRDefault="00561AD8" w:rsidP="00745A21">
      <w:pPr>
        <w:jc w:val="both"/>
        <w:rPr>
          <w:rFonts w:cs="Arial"/>
          <w:lang w:val="en-CA"/>
        </w:rPr>
      </w:pPr>
      <w:r w:rsidRPr="00181BA7">
        <w:rPr>
          <w:rFonts w:cs="Arial"/>
          <w:b/>
          <w:bCs/>
          <w:lang w:val="en-CA"/>
        </w:rPr>
        <w:t xml:space="preserve">DECLARES </w:t>
      </w:r>
      <w:r w:rsidRPr="00181BA7">
        <w:rPr>
          <w:rFonts w:cs="Arial"/>
          <w:lang w:val="en-CA"/>
        </w:rPr>
        <w:t>that, given the risk to the integrity of financial markets and the public, and the urgency of the situation, this decision comes into force, without a prior hearing, subject to providing the parties with opportunity to file a notice of contestation with the Tribunal within 15 days;</w:t>
      </w:r>
    </w:p>
    <w:p w14:paraId="237787FD" w14:textId="77777777" w:rsidR="00944202" w:rsidRPr="001A6C7C" w:rsidRDefault="003755E5" w:rsidP="00944202">
      <w:pPr>
        <w:pStyle w:val="Paragraphe"/>
        <w:numPr>
          <w:ilvl w:val="0"/>
          <w:numId w:val="0"/>
        </w:numPr>
        <w:spacing w:after="0"/>
        <w:rPr>
          <w:rFonts w:cs="Arial"/>
          <w:color w:val="000000"/>
          <w:shd w:val="clear" w:color="auto" w:fill="FFFFFF"/>
          <w:lang w:val="en-CA"/>
        </w:rPr>
      </w:pPr>
      <w:r w:rsidRPr="00181BA7">
        <w:rPr>
          <w:rFonts w:cs="Arial"/>
          <w:b/>
          <w:bCs/>
          <w:color w:val="000000"/>
          <w:lang w:val="en-CA"/>
        </w:rPr>
        <w:t>ORDERS</w:t>
      </w:r>
      <w:r w:rsidRPr="00181BA7">
        <w:rPr>
          <w:rFonts w:cs="Arial"/>
          <w:color w:val="000000"/>
          <w:shd w:val="clear" w:color="auto" w:fill="FFFFFF"/>
          <w:lang w:val="en-CA"/>
        </w:rPr>
        <w:t> the Authority to notify the parties of this decision.</w:t>
      </w:r>
    </w:p>
    <w:p w14:paraId="3BA8CADA" w14:textId="77777777" w:rsidR="00DD4EB5" w:rsidRPr="001A6C7C" w:rsidRDefault="00DD4EB5" w:rsidP="00944202">
      <w:pPr>
        <w:spacing w:before="120"/>
        <w:jc w:val="both"/>
        <w:rPr>
          <w:lang w:val="en-CA"/>
        </w:rPr>
      </w:pPr>
      <w:r w:rsidRPr="00181BA7">
        <w:rPr>
          <w:lang w:val="en-CA"/>
        </w:rPr>
        <w:t xml:space="preserve">Pursuant to paragraph 3 of section 115.1 of the </w:t>
      </w:r>
      <w:r w:rsidRPr="00181BA7">
        <w:rPr>
          <w:i/>
          <w:iCs/>
          <w:lang w:val="en-CA"/>
        </w:rPr>
        <w:t>Act respecting the regulation of the financial sector</w:t>
      </w:r>
      <w:r w:rsidRPr="00181BA7">
        <w:rPr>
          <w:lang w:val="en-CA"/>
        </w:rPr>
        <w:t>, the parties have fifteen (15) days following this decision to file a notice of contestation with the Tribunal. The relevant form is available on the Tribunal’s website.</w:t>
      </w:r>
    </w:p>
    <w:p w14:paraId="557AF425" w14:textId="77777777" w:rsidR="00DD4EB5" w:rsidRPr="001A6C7C" w:rsidRDefault="00DD4EB5" w:rsidP="00745A21">
      <w:pPr>
        <w:spacing w:before="120" w:after="120"/>
        <w:jc w:val="both"/>
        <w:rPr>
          <w:lang w:val="en-CA"/>
        </w:rPr>
      </w:pPr>
      <w:r w:rsidRPr="00181BA7">
        <w:rPr>
          <w:lang w:val="en-CA"/>
        </w:rPr>
        <w:lastRenderedPageBreak/>
        <w:t>Every party has the right to be represented by counsel. However, legal persons and entities who are not juridical persons are required to obtain representation by counsel before the Tribunal.</w:t>
      </w:r>
    </w:p>
    <w:p w14:paraId="68F51F4F" w14:textId="77777777" w:rsidR="000D2FD5" w:rsidRPr="001A6C7C" w:rsidRDefault="004E47AA" w:rsidP="00944202">
      <w:pPr>
        <w:spacing w:before="120"/>
        <w:jc w:val="both"/>
        <w:rPr>
          <w:rFonts w:cs="Arial"/>
          <w:szCs w:val="24"/>
          <w:lang w:val="en-CA"/>
        </w:rPr>
      </w:pPr>
      <w:r w:rsidRPr="00181BA7">
        <w:rPr>
          <w:szCs w:val="24"/>
          <w:lang w:val="en-CA"/>
        </w:rPr>
        <w:t xml:space="preserve">Pursuant to s. 250 of the </w:t>
      </w:r>
      <w:r w:rsidRPr="00181BA7">
        <w:rPr>
          <w:i/>
          <w:iCs/>
          <w:szCs w:val="24"/>
          <w:lang w:val="en-CA"/>
        </w:rPr>
        <w:t xml:space="preserve">Securities Act </w:t>
      </w:r>
      <w:r w:rsidRPr="00181BA7">
        <w:rPr>
          <w:lang w:val="en-CA"/>
        </w:rPr>
        <w:t xml:space="preserve">and s. 120 of the </w:t>
      </w:r>
      <w:r w:rsidRPr="00181BA7">
        <w:rPr>
          <w:i/>
          <w:iCs/>
          <w:lang w:val="en-CA"/>
        </w:rPr>
        <w:t>Derivatives Act</w:t>
      </w:r>
      <w:r w:rsidRPr="00181BA7">
        <w:rPr>
          <w:lang w:val="en-CA"/>
        </w:rPr>
        <w:t>,</w:t>
      </w:r>
      <w:r w:rsidRPr="00181BA7">
        <w:rPr>
          <w:szCs w:val="24"/>
          <w:lang w:val="en-CA"/>
        </w:rPr>
        <w:t xml:space="preserve"> the freeze orders take effect on </w:t>
      </w:r>
      <w:r w:rsidRPr="00181BA7">
        <w:rPr>
          <w:b/>
          <w:bCs/>
          <w:szCs w:val="24"/>
          <w:lang w:val="en-CA"/>
        </w:rPr>
        <w:t>April 18, 2022</w:t>
      </w:r>
      <w:r w:rsidRPr="00181BA7">
        <w:rPr>
          <w:szCs w:val="24"/>
          <w:lang w:val="en-CA"/>
        </w:rPr>
        <w:t xml:space="preserve">, and remain in effect for a period of 12 months ending on </w:t>
      </w:r>
      <w:r w:rsidRPr="00181BA7">
        <w:rPr>
          <w:b/>
          <w:bCs/>
          <w:szCs w:val="24"/>
          <w:lang w:val="en-CA"/>
        </w:rPr>
        <w:t>April 17, 2023</w:t>
      </w:r>
      <w:r w:rsidRPr="00181BA7">
        <w:rPr>
          <w:szCs w:val="24"/>
          <w:lang w:val="en-CA"/>
        </w:rPr>
        <w:t xml:space="preserve">, unless amended or repealed prior to the expiration of that term. </w:t>
      </w:r>
    </w:p>
    <w:p w14:paraId="1EBEFACF" w14:textId="77777777" w:rsidR="003755E5" w:rsidRPr="001A6C7C" w:rsidRDefault="00DD4EB5" w:rsidP="00944202">
      <w:pPr>
        <w:spacing w:before="120"/>
        <w:jc w:val="both"/>
        <w:rPr>
          <w:rFonts w:cs="Arial"/>
          <w:szCs w:val="24"/>
          <w:lang w:val="en-CA"/>
        </w:rPr>
      </w:pPr>
      <w:r w:rsidRPr="00181BA7">
        <w:rPr>
          <w:rFonts w:cs="Arial"/>
          <w:szCs w:val="24"/>
          <w:lang w:val="en-CA"/>
        </w:rPr>
        <w:t>Other conclusions take effect on the date of the decision, unless otherwise provided, and remain in effect until amended or repealed.</w:t>
      </w:r>
    </w:p>
    <w:p w14:paraId="1FA89A43" w14:textId="77777777" w:rsidR="003755E5" w:rsidRPr="001A6C7C" w:rsidRDefault="003755E5" w:rsidP="00EA5071">
      <w:pPr>
        <w:pStyle w:val="Paragraphe"/>
        <w:numPr>
          <w:ilvl w:val="0"/>
          <w:numId w:val="0"/>
        </w:numPr>
        <w:rPr>
          <w:lang w:val="en-CA"/>
        </w:rPr>
      </w:pPr>
    </w:p>
    <w:p w14:paraId="2232C59F" w14:textId="77777777" w:rsidR="00B7648B" w:rsidRPr="001A6C7C" w:rsidRDefault="00B7648B" w:rsidP="00EA5071">
      <w:pPr>
        <w:pStyle w:val="Paragraphe"/>
        <w:numPr>
          <w:ilvl w:val="0"/>
          <w:numId w:val="0"/>
        </w:numPr>
        <w:rPr>
          <w:lang w:val="en-CA"/>
        </w:rPr>
      </w:pPr>
    </w:p>
    <w:tbl>
      <w:tblPr>
        <w:tblW w:w="9568" w:type="dxa"/>
        <w:tblInd w:w="-70" w:type="dxa"/>
        <w:tblLayout w:type="fixed"/>
        <w:tblCellMar>
          <w:left w:w="0" w:type="dxa"/>
          <w:right w:w="0" w:type="dxa"/>
        </w:tblCellMar>
        <w:tblLook w:val="0000" w:firstRow="0" w:lastRow="0" w:firstColumn="0" w:lastColumn="0" w:noHBand="0" w:noVBand="0"/>
      </w:tblPr>
      <w:tblGrid>
        <w:gridCol w:w="6"/>
        <w:gridCol w:w="2062"/>
        <w:gridCol w:w="2767"/>
        <w:gridCol w:w="4670"/>
        <w:gridCol w:w="63"/>
      </w:tblGrid>
      <w:tr w:rsidR="0002722E" w:rsidRPr="00BD4329" w14:paraId="73E7BFB4" w14:textId="77777777" w:rsidTr="0002722E">
        <w:trPr>
          <w:gridBefore w:val="1"/>
          <w:gridAfter w:val="1"/>
          <w:wBefore w:w="6" w:type="dxa"/>
          <w:wAfter w:w="63" w:type="dxa"/>
          <w:cantSplit/>
        </w:trPr>
        <w:tc>
          <w:tcPr>
            <w:tcW w:w="4829" w:type="dxa"/>
            <w:gridSpan w:val="2"/>
          </w:tcPr>
          <w:p w14:paraId="10D430F8" w14:textId="77777777" w:rsidR="0002722E" w:rsidRPr="001A6C7C" w:rsidRDefault="0002722E">
            <w:pPr>
              <w:rPr>
                <w:lang w:val="en-CA"/>
              </w:rPr>
            </w:pPr>
          </w:p>
          <w:p w14:paraId="37674328" w14:textId="77777777" w:rsidR="004638B4" w:rsidRPr="001A6C7C" w:rsidRDefault="004638B4">
            <w:pPr>
              <w:rPr>
                <w:lang w:val="en-CA"/>
              </w:rPr>
            </w:pPr>
          </w:p>
        </w:tc>
        <w:tc>
          <w:tcPr>
            <w:tcW w:w="4670" w:type="dxa"/>
          </w:tcPr>
          <w:p w14:paraId="0F881DB1" w14:textId="77777777" w:rsidR="0002722E" w:rsidRPr="001A6C7C" w:rsidRDefault="0002722E" w:rsidP="0002722E">
            <w:pPr>
              <w:pStyle w:val="zSoquijdatSignature3Juge"/>
              <w:rPr>
                <w:b/>
                <w:lang w:val="en-CA"/>
              </w:rPr>
            </w:pPr>
          </w:p>
        </w:tc>
      </w:tr>
      <w:tr w:rsidR="0002722E" w:rsidRPr="00BD4329" w14:paraId="00AE890C" w14:textId="77777777" w:rsidTr="0002722E">
        <w:trPr>
          <w:gridBefore w:val="1"/>
          <w:gridAfter w:val="1"/>
          <w:wBefore w:w="6" w:type="dxa"/>
          <w:wAfter w:w="63" w:type="dxa"/>
          <w:cantSplit/>
        </w:trPr>
        <w:tc>
          <w:tcPr>
            <w:tcW w:w="4829" w:type="dxa"/>
            <w:gridSpan w:val="2"/>
          </w:tcPr>
          <w:p w14:paraId="1CB24345" w14:textId="77777777" w:rsidR="0002722E" w:rsidRPr="001A6C7C" w:rsidRDefault="0002722E">
            <w:pPr>
              <w:rPr>
                <w:lang w:val="en-CA"/>
              </w:rPr>
            </w:pPr>
          </w:p>
        </w:tc>
        <w:tc>
          <w:tcPr>
            <w:tcW w:w="4670" w:type="dxa"/>
            <w:tcBorders>
              <w:bottom w:val="single" w:sz="6" w:space="0" w:color="auto"/>
            </w:tcBorders>
          </w:tcPr>
          <w:p w14:paraId="7DCB70AD" w14:textId="77777777" w:rsidR="0002722E" w:rsidRPr="001A6C7C" w:rsidRDefault="0002722E" w:rsidP="0002722E">
            <w:pPr>
              <w:pStyle w:val="zSoquijdatSignature3Juge"/>
              <w:rPr>
                <w:b/>
                <w:lang w:val="en-CA"/>
              </w:rPr>
            </w:pPr>
          </w:p>
        </w:tc>
      </w:tr>
      <w:tr w:rsidR="00B4030F" w:rsidRPr="00181BA7" w14:paraId="6829EE00" w14:textId="77777777" w:rsidTr="0002722E">
        <w:trPr>
          <w:gridBefore w:val="1"/>
          <w:gridAfter w:val="1"/>
          <w:wBefore w:w="6" w:type="dxa"/>
          <w:wAfter w:w="63" w:type="dxa"/>
          <w:cantSplit/>
        </w:trPr>
        <w:tc>
          <w:tcPr>
            <w:tcW w:w="4829" w:type="dxa"/>
            <w:gridSpan w:val="2"/>
          </w:tcPr>
          <w:p w14:paraId="42CC4FED" w14:textId="77777777" w:rsidR="00B4030F" w:rsidRPr="001A6C7C" w:rsidRDefault="00B4030F" w:rsidP="00561AD8">
            <w:pPr>
              <w:jc w:val="center"/>
              <w:rPr>
                <w:lang w:val="en-CA"/>
              </w:rPr>
            </w:pPr>
          </w:p>
        </w:tc>
        <w:tc>
          <w:tcPr>
            <w:tcW w:w="4670" w:type="dxa"/>
          </w:tcPr>
          <w:p w14:paraId="33230447" w14:textId="77777777" w:rsidR="00561AD8" w:rsidRPr="00181BA7" w:rsidRDefault="00070D64" w:rsidP="00561AD8">
            <w:pPr>
              <w:pStyle w:val="zSoquijdatSignature3Juge"/>
              <w:jc w:val="center"/>
              <w:rPr>
                <w:b/>
              </w:rPr>
            </w:pPr>
            <w:r w:rsidRPr="001A6C7C">
              <w:rPr>
                <w:b/>
                <w:bCs/>
              </w:rPr>
              <w:t>Mtre. Jean-Pierre Cristel</w:t>
            </w:r>
          </w:p>
          <w:p w14:paraId="6167DA2D" w14:textId="77777777" w:rsidR="00B4030F" w:rsidRPr="00181BA7" w:rsidRDefault="00561AD8" w:rsidP="00561AD8">
            <w:pPr>
              <w:pStyle w:val="zSoquijdatSignature3Juge"/>
              <w:jc w:val="center"/>
            </w:pPr>
            <w:r w:rsidRPr="001A6C7C">
              <w:rPr>
                <w:b/>
                <w:bCs/>
              </w:rPr>
              <w:t>Administrative Judge</w:t>
            </w:r>
          </w:p>
        </w:tc>
      </w:tr>
      <w:tr w:rsidR="00B4030F" w:rsidRPr="00181BA7" w14:paraId="13016F77" w14:textId="77777777" w:rsidTr="0002722E">
        <w:trPr>
          <w:gridBefore w:val="1"/>
          <w:gridAfter w:val="1"/>
          <w:wBefore w:w="6" w:type="dxa"/>
          <w:wAfter w:w="63" w:type="dxa"/>
          <w:cantSplit/>
        </w:trPr>
        <w:tc>
          <w:tcPr>
            <w:tcW w:w="4829" w:type="dxa"/>
            <w:gridSpan w:val="2"/>
          </w:tcPr>
          <w:p w14:paraId="2B9C674B" w14:textId="77777777" w:rsidR="00B4030F" w:rsidRPr="00181BA7" w:rsidRDefault="00B4030F"/>
        </w:tc>
        <w:tc>
          <w:tcPr>
            <w:tcW w:w="4670" w:type="dxa"/>
          </w:tcPr>
          <w:p w14:paraId="2A33744D" w14:textId="77777777" w:rsidR="00B4030F" w:rsidRPr="00181BA7" w:rsidRDefault="00B4030F">
            <w:pPr>
              <w:pStyle w:val="zSoquijdatSignature3Juge"/>
            </w:pPr>
          </w:p>
        </w:tc>
      </w:tr>
      <w:tr w:rsidR="0002722E" w:rsidRPr="00181BA7" w14:paraId="4B107FF9" w14:textId="77777777" w:rsidTr="0002722E">
        <w:tblPrEx>
          <w:tblCellMar>
            <w:left w:w="70" w:type="dxa"/>
            <w:right w:w="70" w:type="dxa"/>
          </w:tblCellMar>
        </w:tblPrEx>
        <w:tc>
          <w:tcPr>
            <w:tcW w:w="9568" w:type="dxa"/>
            <w:gridSpan w:val="5"/>
          </w:tcPr>
          <w:p w14:paraId="391DD244" w14:textId="77777777" w:rsidR="0002722E" w:rsidRPr="00181BA7" w:rsidRDefault="0002722E" w:rsidP="00505DED"/>
          <w:p w14:paraId="481850B8" w14:textId="77777777" w:rsidR="00CD1581" w:rsidRPr="00181BA7" w:rsidRDefault="00CD1581" w:rsidP="00505DED"/>
          <w:p w14:paraId="67DD90C3" w14:textId="77777777" w:rsidR="00CD1581" w:rsidRPr="00181BA7" w:rsidRDefault="00CD1581" w:rsidP="00505DED"/>
          <w:p w14:paraId="3A077496" w14:textId="77777777" w:rsidR="00CD1581" w:rsidRPr="00181BA7" w:rsidRDefault="00CD1581" w:rsidP="00505DED"/>
        </w:tc>
      </w:tr>
      <w:tr w:rsidR="00070D64" w:rsidRPr="00181BA7" w14:paraId="4F12F976" w14:textId="77777777" w:rsidTr="0002722E">
        <w:tblPrEx>
          <w:tblCellMar>
            <w:left w:w="70" w:type="dxa"/>
            <w:right w:w="70" w:type="dxa"/>
          </w:tblCellMar>
        </w:tblPrEx>
        <w:tc>
          <w:tcPr>
            <w:tcW w:w="9568" w:type="dxa"/>
            <w:gridSpan w:val="5"/>
          </w:tcPr>
          <w:p w14:paraId="530A595C" w14:textId="77777777" w:rsidR="00070D64" w:rsidRPr="00181BA7" w:rsidRDefault="00070D64" w:rsidP="00505DED"/>
        </w:tc>
      </w:tr>
      <w:tr w:rsidR="00070D64" w:rsidRPr="00181BA7" w14:paraId="5A668EBB" w14:textId="77777777" w:rsidTr="0002722E">
        <w:tblPrEx>
          <w:tblCellMar>
            <w:left w:w="70" w:type="dxa"/>
            <w:right w:w="70" w:type="dxa"/>
          </w:tblCellMar>
        </w:tblPrEx>
        <w:tc>
          <w:tcPr>
            <w:tcW w:w="9568" w:type="dxa"/>
            <w:gridSpan w:val="5"/>
          </w:tcPr>
          <w:p w14:paraId="25F8F1F2" w14:textId="77777777" w:rsidR="00070D64" w:rsidRPr="00181BA7" w:rsidRDefault="002D7B9E" w:rsidP="00561AD8">
            <w:pPr>
              <w:pStyle w:val="zSoquijdatNomProcureurDem"/>
            </w:pPr>
            <w:r w:rsidRPr="001A6C7C">
              <w:t>M</w:t>
            </w:r>
            <w:r w:rsidRPr="001A6C7C">
              <w:rPr>
                <w:vertAlign w:val="superscript"/>
              </w:rPr>
              <w:t>e</w:t>
            </w:r>
            <w:r w:rsidRPr="001A6C7C">
              <w:t xml:space="preserve"> Jean-Benoît Hébert and M</w:t>
            </w:r>
            <w:r w:rsidRPr="001A6C7C">
              <w:rPr>
                <w:vertAlign w:val="superscript"/>
              </w:rPr>
              <w:t xml:space="preserve">e </w:t>
            </w:r>
            <w:r w:rsidRPr="001A6C7C">
              <w:t>Isabelle Bouvier</w:t>
            </w:r>
          </w:p>
        </w:tc>
      </w:tr>
      <w:tr w:rsidR="00070D64" w:rsidRPr="00181BA7" w14:paraId="2CA1684D" w14:textId="77777777" w:rsidTr="0002722E">
        <w:tblPrEx>
          <w:tblCellMar>
            <w:left w:w="70" w:type="dxa"/>
            <w:right w:w="70" w:type="dxa"/>
          </w:tblCellMar>
        </w:tblPrEx>
        <w:tc>
          <w:tcPr>
            <w:tcW w:w="9568" w:type="dxa"/>
            <w:gridSpan w:val="5"/>
          </w:tcPr>
          <w:p w14:paraId="2B7E7028" w14:textId="77777777" w:rsidR="00070D64" w:rsidRPr="00181BA7" w:rsidRDefault="00070D64" w:rsidP="002D7B9E">
            <w:pPr>
              <w:pStyle w:val="zSoquijdatCabinetProcureurDem"/>
            </w:pPr>
            <w:r w:rsidRPr="001A6C7C">
              <w:t>(Legal Services, Autorité des marchés financiers)</w:t>
            </w:r>
          </w:p>
        </w:tc>
      </w:tr>
      <w:tr w:rsidR="00070D64" w:rsidRPr="00181BA7" w14:paraId="5E7EB942" w14:textId="77777777" w:rsidTr="0002722E">
        <w:tblPrEx>
          <w:tblCellMar>
            <w:left w:w="70" w:type="dxa"/>
            <w:right w:w="70" w:type="dxa"/>
          </w:tblCellMar>
        </w:tblPrEx>
        <w:tc>
          <w:tcPr>
            <w:tcW w:w="9568" w:type="dxa"/>
            <w:gridSpan w:val="5"/>
          </w:tcPr>
          <w:p w14:paraId="472B2D89" w14:textId="77777777" w:rsidR="00070D64" w:rsidRPr="00181BA7" w:rsidRDefault="0002722E" w:rsidP="005B3528">
            <w:pPr>
              <w:pStyle w:val="zSoquijlblProcureurDem"/>
            </w:pPr>
            <w:r w:rsidRPr="00181BA7">
              <w:rPr>
                <w:lang w:val="en-CA"/>
              </w:rPr>
              <w:t>For the Authority</w:t>
            </w:r>
          </w:p>
        </w:tc>
      </w:tr>
      <w:tr w:rsidR="00070D64" w:rsidRPr="00181BA7" w14:paraId="1C8ACB54" w14:textId="77777777" w:rsidTr="0002722E">
        <w:tblPrEx>
          <w:tblCellMar>
            <w:left w:w="70" w:type="dxa"/>
            <w:right w:w="70" w:type="dxa"/>
          </w:tblCellMar>
        </w:tblPrEx>
        <w:tc>
          <w:tcPr>
            <w:tcW w:w="9568" w:type="dxa"/>
            <w:gridSpan w:val="5"/>
          </w:tcPr>
          <w:p w14:paraId="3E9606AC" w14:textId="77777777" w:rsidR="00070D64" w:rsidRPr="00181BA7" w:rsidRDefault="00070D64" w:rsidP="00505DED"/>
        </w:tc>
      </w:tr>
      <w:tr w:rsidR="00070D64" w:rsidRPr="00181BA7" w14:paraId="0D10476B" w14:textId="77777777" w:rsidTr="0002722E">
        <w:tblPrEx>
          <w:tblCellMar>
            <w:left w:w="70" w:type="dxa"/>
            <w:right w:w="70" w:type="dxa"/>
          </w:tblCellMar>
        </w:tblPrEx>
        <w:tc>
          <w:tcPr>
            <w:tcW w:w="9568" w:type="dxa"/>
            <w:gridSpan w:val="5"/>
          </w:tcPr>
          <w:p w14:paraId="13A71D00" w14:textId="77777777" w:rsidR="00070D64" w:rsidRPr="00181BA7" w:rsidRDefault="00070D64" w:rsidP="00505DED">
            <w:pPr>
              <w:pStyle w:val="zSoquijlblProcureurDef"/>
            </w:pPr>
          </w:p>
        </w:tc>
      </w:tr>
      <w:tr w:rsidR="00070D64" w:rsidRPr="00181BA7" w14:paraId="38D17796" w14:textId="77777777" w:rsidTr="0002722E">
        <w:tblPrEx>
          <w:tblCellMar>
            <w:left w:w="70" w:type="dxa"/>
            <w:right w:w="70" w:type="dxa"/>
          </w:tblCellMar>
        </w:tblPrEx>
        <w:tc>
          <w:tcPr>
            <w:tcW w:w="2068" w:type="dxa"/>
            <w:gridSpan w:val="2"/>
          </w:tcPr>
          <w:p w14:paraId="4490931C" w14:textId="77777777" w:rsidR="00070D64" w:rsidRPr="00181BA7" w:rsidRDefault="00070D64" w:rsidP="00505DED">
            <w:pPr>
              <w:pStyle w:val="zSoquijlblDateAudience"/>
            </w:pPr>
            <w:r w:rsidRPr="00181BA7">
              <w:rPr>
                <w:lang w:val="en-CA"/>
              </w:rPr>
              <w:t>Hearing date:</w:t>
            </w:r>
          </w:p>
        </w:tc>
        <w:tc>
          <w:tcPr>
            <w:tcW w:w="7500" w:type="dxa"/>
            <w:gridSpan w:val="3"/>
          </w:tcPr>
          <w:p w14:paraId="79687EB2" w14:textId="77777777" w:rsidR="00070D64" w:rsidRPr="00181BA7" w:rsidRDefault="00561AD8" w:rsidP="00505DED">
            <w:pPr>
              <w:pStyle w:val="zSoquijdatDateAudience"/>
            </w:pPr>
            <w:r w:rsidRPr="00181BA7">
              <w:rPr>
                <w:lang w:val="en-CA"/>
              </w:rPr>
              <w:t>April 12, 2022</w:t>
            </w:r>
          </w:p>
        </w:tc>
      </w:tr>
    </w:tbl>
    <w:p w14:paraId="56E59852" w14:textId="77777777" w:rsidR="00070D64" w:rsidRDefault="00070D64" w:rsidP="002523F4"/>
    <w:sectPr w:rsidR="00070D6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6B64" w14:textId="77777777" w:rsidR="002102E4" w:rsidRDefault="002102E4">
      <w:r>
        <w:separator/>
      </w:r>
    </w:p>
  </w:endnote>
  <w:endnote w:type="continuationSeparator" w:id="0">
    <w:p w14:paraId="6DF1FADE" w14:textId="77777777" w:rsidR="002102E4" w:rsidRDefault="002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A499" w14:textId="77777777" w:rsidR="00F408E6" w:rsidRPr="00181BA7" w:rsidRDefault="00F408E6">
    <w:pPr>
      <w:framePr w:wrap="around" w:vAnchor="text" w:hAnchor="margin" w:xAlign="right" w:y="1"/>
    </w:pPr>
    <w:r w:rsidRPr="00181BA7">
      <w:rPr>
        <w:lang w:val="en-CA"/>
      </w:rPr>
      <w:fldChar w:fldCharType="begin"/>
    </w:r>
    <w:r w:rsidRPr="00181BA7">
      <w:rPr>
        <w:lang w:val="en-CA"/>
      </w:rPr>
      <w:instrText xml:space="preserve">PAGE  </w:instrText>
    </w:r>
    <w:r w:rsidRPr="00181BA7">
      <w:rPr>
        <w:lang w:val="en-CA"/>
      </w:rPr>
      <w:fldChar w:fldCharType="separate"/>
    </w:r>
    <w:r>
      <w:rPr>
        <w:noProof/>
        <w:lang w:val="en-CA"/>
      </w:rPr>
      <w:t>3</w:t>
    </w:r>
    <w:r w:rsidRPr="00181BA7">
      <w:rPr>
        <w:lang w:val="en-CA"/>
      </w:rPr>
      <w:fldChar w:fldCharType="end"/>
    </w:r>
  </w:p>
  <w:p w14:paraId="134362EB" w14:textId="77777777" w:rsidR="00F408E6" w:rsidRPr="00181BA7" w:rsidRDefault="00F408E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6DBD" w14:textId="77777777" w:rsidR="00F408E6" w:rsidRDefault="00F408E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C53C" w14:textId="77777777" w:rsidR="00F408E6" w:rsidRDefault="00F40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8736" w14:textId="77777777" w:rsidR="002102E4" w:rsidRDefault="002102E4">
      <w:r>
        <w:separator/>
      </w:r>
    </w:p>
  </w:footnote>
  <w:footnote w:type="continuationSeparator" w:id="0">
    <w:p w14:paraId="59595212" w14:textId="77777777" w:rsidR="002102E4" w:rsidRDefault="002102E4">
      <w:r>
        <w:continuationSeparator/>
      </w:r>
    </w:p>
  </w:footnote>
  <w:footnote w:id="1">
    <w:p w14:paraId="2284A40A" w14:textId="77777777" w:rsidR="00F408E6" w:rsidRPr="008318D8" w:rsidRDefault="00F408E6" w:rsidP="005D41AE">
      <w:pPr>
        <w:pStyle w:val="Notedebasdepage"/>
        <w:rPr>
          <w:lang w:val="en-CA"/>
        </w:rPr>
      </w:pPr>
      <w:r w:rsidRPr="00181BA7">
        <w:rPr>
          <w:rStyle w:val="Appelnotedebasdep"/>
          <w:lang w:val="en-CA"/>
        </w:rPr>
        <w:footnoteRef/>
      </w:r>
      <w:r w:rsidRPr="00181BA7">
        <w:rPr>
          <w:lang w:val="en-CA"/>
        </w:rPr>
        <w:t xml:space="preserve"> </w:t>
      </w:r>
      <w:r w:rsidRPr="00181BA7">
        <w:rPr>
          <w:lang w:val="en-CA"/>
        </w:rPr>
        <w:tab/>
        <w:t>CQLR, c. V-1.1.</w:t>
      </w:r>
    </w:p>
  </w:footnote>
  <w:footnote w:id="2">
    <w:p w14:paraId="5595C5E9" w14:textId="77777777" w:rsidR="00F408E6" w:rsidRPr="008318D8" w:rsidRDefault="00F408E6" w:rsidP="005D41AE">
      <w:pPr>
        <w:pStyle w:val="Notedebasdepage"/>
        <w:rPr>
          <w:lang w:val="en-CA"/>
        </w:rPr>
      </w:pPr>
      <w:r w:rsidRPr="00181BA7">
        <w:rPr>
          <w:rStyle w:val="Appelnotedebasdep"/>
          <w:lang w:val="en-CA"/>
        </w:rPr>
        <w:footnoteRef/>
      </w:r>
      <w:r w:rsidRPr="00181BA7">
        <w:rPr>
          <w:lang w:val="en-CA"/>
        </w:rPr>
        <w:t xml:space="preserve"> </w:t>
      </w:r>
      <w:r w:rsidRPr="00181BA7">
        <w:rPr>
          <w:lang w:val="en-CA"/>
        </w:rPr>
        <w:tab/>
        <w:t>CQLR, c. I-14.01.</w:t>
      </w:r>
    </w:p>
  </w:footnote>
  <w:footnote w:id="3">
    <w:p w14:paraId="6DD650E9" w14:textId="77777777" w:rsidR="00F408E6" w:rsidRPr="008318D8" w:rsidRDefault="00F408E6" w:rsidP="005D41AE">
      <w:pPr>
        <w:pStyle w:val="Notedebasdepage"/>
        <w:rPr>
          <w:lang w:val="en-CA"/>
        </w:rPr>
      </w:pPr>
      <w:r w:rsidRPr="00181BA7">
        <w:rPr>
          <w:rStyle w:val="Appelnotedebasdep"/>
          <w:lang w:val="en-CA"/>
        </w:rPr>
        <w:footnoteRef/>
      </w:r>
      <w:r w:rsidRPr="00181BA7">
        <w:rPr>
          <w:lang w:val="en-CA"/>
        </w:rPr>
        <w:t xml:space="preserve"> </w:t>
      </w:r>
      <w:r w:rsidRPr="00181BA7">
        <w:rPr>
          <w:lang w:val="en-CA"/>
        </w:rPr>
        <w:tab/>
        <w:t>CQLR, c. E-6.1.</w:t>
      </w:r>
    </w:p>
  </w:footnote>
  <w:footnote w:id="4">
    <w:p w14:paraId="51EAEF9B"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w:t>
      </w:r>
    </w:p>
  </w:footnote>
  <w:footnote w:id="5">
    <w:p w14:paraId="3CF6FBFA"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D-5.</w:t>
      </w:r>
    </w:p>
  </w:footnote>
  <w:footnote w:id="6">
    <w:p w14:paraId="6A2D8A86"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D-4:</w:t>
      </w:r>
    </w:p>
  </w:footnote>
  <w:footnote w:id="7">
    <w:p w14:paraId="70281550"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D-6.</w:t>
      </w:r>
    </w:p>
  </w:footnote>
  <w:footnote w:id="8">
    <w:p w14:paraId="4CC687B6"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D-7.</w:t>
      </w:r>
    </w:p>
  </w:footnote>
  <w:footnote w:id="9">
    <w:p w14:paraId="77512F73" w14:textId="77777777" w:rsidR="00F408E6" w:rsidRPr="008318D8" w:rsidRDefault="00F408E6" w:rsidP="0002722E">
      <w:pPr>
        <w:pStyle w:val="Notedebasdepage"/>
        <w:rPr>
          <w:lang w:val="en-CA"/>
        </w:rPr>
      </w:pPr>
      <w:r w:rsidRPr="00181BA7">
        <w:rPr>
          <w:rStyle w:val="Appelnotedebasdep"/>
          <w:lang w:val="en-CA"/>
        </w:rPr>
        <w:footnoteRef/>
      </w:r>
      <w:r w:rsidRPr="00181BA7">
        <w:rPr>
          <w:lang w:val="en-CA"/>
        </w:rPr>
        <w:t xml:space="preserve"> </w:t>
      </w:r>
      <w:r w:rsidRPr="00181BA7">
        <w:rPr>
          <w:lang w:val="en-CA"/>
        </w:rPr>
        <w:tab/>
        <w:t>CQLR, c. E-6.1, r. 1.</w:t>
      </w:r>
    </w:p>
  </w:footnote>
  <w:footnote w:id="10">
    <w:p w14:paraId="009642E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The Authority’s application was amended during the hearing on April 12, 2022 by replacing paragraph 193 of the figure USD 2,346,536.00 with USD 2,298,196.00.</w:t>
      </w:r>
    </w:p>
  </w:footnote>
  <w:footnote w:id="11">
    <w:p w14:paraId="1F91F9D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These three issuers are listed on the OTC Markets Group (“OTC Markets”) in the United States and are commonly referred to in the English-speaking world as “penny stocks.”</w:t>
      </w:r>
    </w:p>
  </w:footnote>
  <w:footnote w:id="12">
    <w:p w14:paraId="3E2A064B" w14:textId="77777777" w:rsidR="00F408E6" w:rsidRPr="008318D8" w:rsidRDefault="00F408E6" w:rsidP="00FA3C17">
      <w:pPr>
        <w:pStyle w:val="Notedebasdepage"/>
        <w:rPr>
          <w:color w:val="FF0000"/>
          <w:lang w:val="en-CA"/>
        </w:rPr>
      </w:pPr>
      <w:r w:rsidRPr="00181BA7">
        <w:rPr>
          <w:rStyle w:val="Appelnotedebasdep"/>
          <w:lang w:val="en-CA"/>
        </w:rPr>
        <w:footnoteRef/>
      </w:r>
      <w:r w:rsidRPr="00181BA7">
        <w:rPr>
          <w:lang w:val="en-CA"/>
        </w:rPr>
        <w:t xml:space="preserve"> </w:t>
      </w:r>
      <w:r w:rsidRPr="00181BA7">
        <w:rPr>
          <w:lang w:val="en-CA"/>
        </w:rPr>
        <w:tab/>
      </w:r>
      <w:r w:rsidRPr="00181BA7">
        <w:rPr>
          <w:i/>
          <w:iCs/>
          <w:lang w:val="en-CA"/>
        </w:rPr>
        <w:t>Act respecting the regulation of the financial sector</w:t>
      </w:r>
      <w:r w:rsidRPr="00181BA7">
        <w:rPr>
          <w:lang w:val="en-CA"/>
        </w:rPr>
        <w:t xml:space="preserve">, </w:t>
      </w:r>
      <w:r w:rsidRPr="00181BA7">
        <w:rPr>
          <w:i/>
          <w:iCs/>
          <w:lang w:val="en-CA"/>
        </w:rPr>
        <w:t>supra,</w:t>
      </w:r>
      <w:r w:rsidRPr="00181BA7">
        <w:rPr>
          <w:lang w:val="en-CA"/>
        </w:rPr>
        <w:t xml:space="preserve"> note </w:t>
      </w:r>
      <w:r w:rsidRPr="00181BA7">
        <w:rPr>
          <w:lang w:val="en-CA"/>
        </w:rPr>
        <w:fldChar w:fldCharType="begin"/>
      </w:r>
      <w:r w:rsidRPr="00181BA7">
        <w:rPr>
          <w:lang w:val="en-CA"/>
        </w:rPr>
        <w:instrText xml:space="preserve"> NOTEREF _Ref44422125 \h </w:instrText>
      </w:r>
      <w:r w:rsidRPr="00181BA7">
        <w:rPr>
          <w:lang w:val="en-CA"/>
        </w:rPr>
      </w:r>
      <w:r w:rsidRPr="00181BA7">
        <w:rPr>
          <w:lang w:val="en-CA"/>
        </w:rPr>
        <w:fldChar w:fldCharType="separate"/>
      </w:r>
      <w:r w:rsidRPr="00181BA7">
        <w:rPr>
          <w:lang w:val="en-CA"/>
        </w:rPr>
        <w:t>3</w:t>
      </w:r>
      <w:r w:rsidRPr="00181BA7">
        <w:rPr>
          <w:lang w:val="en-CA"/>
        </w:rPr>
        <w:fldChar w:fldCharType="end"/>
      </w:r>
      <w:r w:rsidRPr="00181BA7">
        <w:rPr>
          <w:lang w:val="en-CA"/>
        </w:rPr>
        <w:t xml:space="preserve">, s. 115.1. </w:t>
      </w:r>
    </w:p>
  </w:footnote>
  <w:footnote w:id="13">
    <w:p w14:paraId="6D404D2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D-28.</w:t>
      </w:r>
    </w:p>
  </w:footnote>
  <w:footnote w:id="14">
    <w:p w14:paraId="56DC30C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D-3, page 90, lines 24 and 25.</w:t>
      </w:r>
    </w:p>
  </w:footnote>
  <w:footnote w:id="15">
    <w:p w14:paraId="5848F05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D-30.</w:t>
      </w:r>
    </w:p>
  </w:footnote>
  <w:footnote w:id="16">
    <w:p w14:paraId="0138A7C7"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D-8 and D-40 to D-49.</w:t>
      </w:r>
    </w:p>
  </w:footnote>
  <w:footnote w:id="17">
    <w:p w14:paraId="758927ED" w14:textId="77777777" w:rsidR="00F408E6" w:rsidRPr="008318D8" w:rsidRDefault="00F408E6" w:rsidP="006807C4">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D-64, D-65 and D-66.</w:t>
      </w:r>
    </w:p>
  </w:footnote>
  <w:footnote w:id="18">
    <w:p w14:paraId="29CD9680" w14:textId="77777777" w:rsidR="00F408E6" w:rsidRPr="008318D8" w:rsidRDefault="00F408E6" w:rsidP="006807C4">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D-8, D-41, D-42 and D-67 to D-70.</w:t>
      </w:r>
    </w:p>
  </w:footnote>
  <w:footnote w:id="19">
    <w:p w14:paraId="4F1384F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D-35, D-35-1, D-36, D-36-1, D-37 and D-37-1 to D-37-7.</w:t>
      </w:r>
    </w:p>
  </w:footnote>
  <w:footnote w:id="20">
    <w:p w14:paraId="3AE1CB9B"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D-33.</w:t>
      </w:r>
    </w:p>
  </w:footnote>
  <w:footnote w:id="21">
    <w:p w14:paraId="034CD028"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D-33-1.</w:t>
      </w:r>
    </w:p>
  </w:footnote>
  <w:footnote w:id="22">
    <w:p w14:paraId="34DA2FA7" w14:textId="77777777" w:rsidR="00F408E6" w:rsidRPr="008318D8" w:rsidRDefault="00F408E6" w:rsidP="008C5A8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D-109, D-110 and D-122.</w:t>
      </w:r>
    </w:p>
  </w:footnote>
  <w:footnote w:id="23">
    <w:p w14:paraId="3162D816"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D-31.</w:t>
      </w:r>
    </w:p>
  </w:footnote>
  <w:footnote w:id="24">
    <w:p w14:paraId="38089A3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D-107.</w:t>
      </w:r>
    </w:p>
  </w:footnote>
  <w:footnote w:id="25">
    <w:p w14:paraId="3D11CC42"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D-109 and D-110.</w:t>
      </w:r>
    </w:p>
  </w:footnote>
  <w:footnote w:id="26">
    <w:p w14:paraId="6ED5DF5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D-123.</w:t>
      </w:r>
    </w:p>
  </w:footnote>
  <w:footnote w:id="27">
    <w:p w14:paraId="1DE6AF08" w14:textId="77777777" w:rsidR="00F408E6" w:rsidRPr="008318D8" w:rsidRDefault="00F408E6" w:rsidP="00DA7B31">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D-88.</w:t>
      </w:r>
    </w:p>
  </w:footnote>
  <w:footnote w:id="28">
    <w:p w14:paraId="35D57AE2" w14:textId="77777777" w:rsidR="00F408E6" w:rsidRPr="008318D8" w:rsidRDefault="00F408E6" w:rsidP="00DA7B31">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D-89.</w:t>
      </w:r>
    </w:p>
  </w:footnote>
  <w:footnote w:id="29">
    <w:p w14:paraId="59D7F3B0"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D-62. Between March 29 and September 27, 2021, respondent Ramy Kamaneh reportedly purchased a total of 94,201,395 shares of MJWL at an average price of USD 0.00566, for a total cost of USD 524,648. The Tribunal notes that the evidence adduced by the Authority also shows that on October 30, 2020, this respondent entered a consumer proposal in bankruptcy proceedings and reported liabilities of $248,544 and assets of $1,507 (Exhibit D-2) at the time.</w:t>
      </w:r>
    </w:p>
  </w:footnote>
  <w:footnote w:id="30">
    <w:p w14:paraId="4CAC7AA2"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D-52.</w:t>
      </w:r>
    </w:p>
  </w:footnote>
  <w:footnote w:id="31">
    <w:p w14:paraId="0FE96E9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D-11.</w:t>
      </w:r>
    </w:p>
  </w:footnote>
  <w:footnote w:id="32">
    <w:p w14:paraId="0943A917"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D-57.</w:t>
      </w:r>
    </w:p>
  </w:footnote>
  <w:footnote w:id="33">
    <w:p w14:paraId="03BA86D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D-58, D-58-1 to D-58-22, D-71 and D-116.</w:t>
      </w:r>
    </w:p>
  </w:footnote>
  <w:footnote w:id="34">
    <w:p w14:paraId="25D485E8"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D-59.</w:t>
      </w:r>
    </w:p>
  </w:footnote>
  <w:footnote w:id="35">
    <w:p w14:paraId="6521E2E8"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Exhibit D-52. </w:t>
      </w:r>
    </w:p>
  </w:footnote>
  <w:footnote w:id="36">
    <w:p w14:paraId="600ABF0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D-52 (between January 13, 2020 and April 29, 2021, the closing MJWL share price fluctuated between USD 0.000001 and USD 0.00485).</w:t>
      </w:r>
    </w:p>
  </w:footnote>
  <w:footnote w:id="37">
    <w:p w14:paraId="174EC30A"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 </w:t>
      </w:r>
      <w:r w:rsidRPr="00181BA7">
        <w:rPr>
          <w:lang w:val="en-CA"/>
        </w:rPr>
        <w:fldChar w:fldCharType="begin"/>
      </w:r>
      <w:r w:rsidRPr="00181BA7">
        <w:rPr>
          <w:lang w:val="en-CA"/>
        </w:rPr>
        <w:instrText xml:space="preserve"> REF _Ref101166830 \r \h </w:instrText>
      </w:r>
      <w:r w:rsidRPr="00181BA7">
        <w:rPr>
          <w:lang w:val="en-CA"/>
        </w:rPr>
      </w:r>
      <w:r w:rsidRPr="00181BA7">
        <w:rPr>
          <w:lang w:val="en-CA"/>
        </w:rPr>
        <w:fldChar w:fldCharType="separate"/>
      </w:r>
      <w:r w:rsidRPr="00181BA7">
        <w:rPr>
          <w:lang w:val="en-CA"/>
        </w:rPr>
        <w:t>[23]</w:t>
      </w:r>
      <w:r w:rsidRPr="00181BA7">
        <w:rPr>
          <w:lang w:val="en-CA"/>
        </w:rPr>
        <w:fldChar w:fldCharType="end"/>
      </w:r>
      <w:r w:rsidRPr="00181BA7">
        <w:rPr>
          <w:lang w:val="en-CA"/>
        </w:rPr>
        <w:t xml:space="preserve"> of this decision as well as exhibits D-35, D-35-1, D-36, D-36-1, D-37, and D-37-1 to D-37-7.</w:t>
      </w:r>
    </w:p>
  </w:footnote>
  <w:footnote w:id="38">
    <w:p w14:paraId="439D0E28"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 </w:t>
      </w:r>
      <w:r w:rsidRPr="00181BA7">
        <w:rPr>
          <w:lang w:val="en-CA"/>
        </w:rPr>
        <w:fldChar w:fldCharType="begin"/>
      </w:r>
      <w:r w:rsidRPr="00181BA7">
        <w:rPr>
          <w:lang w:val="en-CA"/>
        </w:rPr>
        <w:instrText xml:space="preserve"> REF _Ref101166842 \r \h </w:instrText>
      </w:r>
      <w:r w:rsidRPr="00181BA7">
        <w:rPr>
          <w:lang w:val="en-CA"/>
        </w:rPr>
      </w:r>
      <w:r w:rsidRPr="00181BA7">
        <w:rPr>
          <w:lang w:val="en-CA"/>
        </w:rPr>
        <w:fldChar w:fldCharType="separate"/>
      </w:r>
      <w:r w:rsidRPr="00181BA7">
        <w:rPr>
          <w:lang w:val="en-CA"/>
        </w:rPr>
        <w:t>[21]</w:t>
      </w:r>
      <w:r w:rsidRPr="00181BA7">
        <w:rPr>
          <w:lang w:val="en-CA"/>
        </w:rPr>
        <w:fldChar w:fldCharType="end"/>
      </w:r>
      <w:r w:rsidRPr="00181BA7">
        <w:rPr>
          <w:lang w:val="en-CA"/>
        </w:rPr>
        <w:t xml:space="preserve"> of this decision and Exhibits D-8 and D-40 to D-49.</w:t>
      </w:r>
    </w:p>
  </w:footnote>
  <w:footnote w:id="39">
    <w:p w14:paraId="7B34DEDB"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D-63.</w:t>
      </w:r>
    </w:p>
  </w:footnote>
  <w:footnote w:id="40">
    <w:p w14:paraId="36567EF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 </w:t>
      </w:r>
      <w:r w:rsidRPr="00181BA7">
        <w:rPr>
          <w:lang w:val="en-CA"/>
        </w:rPr>
        <w:fldChar w:fldCharType="begin"/>
      </w:r>
      <w:r w:rsidRPr="00181BA7">
        <w:rPr>
          <w:lang w:val="en-CA"/>
        </w:rPr>
        <w:instrText xml:space="preserve"> REF _Ref101166851 \r \h </w:instrText>
      </w:r>
      <w:r w:rsidRPr="00181BA7">
        <w:rPr>
          <w:lang w:val="en-CA"/>
        </w:rPr>
      </w:r>
      <w:r w:rsidRPr="00181BA7">
        <w:rPr>
          <w:lang w:val="en-CA"/>
        </w:rPr>
        <w:fldChar w:fldCharType="separate"/>
      </w:r>
      <w:r w:rsidRPr="00181BA7">
        <w:rPr>
          <w:lang w:val="en-CA"/>
        </w:rPr>
        <w:t>[26]</w:t>
      </w:r>
      <w:r w:rsidRPr="00181BA7">
        <w:rPr>
          <w:lang w:val="en-CA"/>
        </w:rPr>
        <w:fldChar w:fldCharType="end"/>
      </w:r>
      <w:r w:rsidRPr="00181BA7">
        <w:rPr>
          <w:lang w:val="en-CA"/>
        </w:rPr>
        <w:t xml:space="preserve"> of this decision as well as Exhibits D-109 and D-110.</w:t>
      </w:r>
    </w:p>
  </w:footnote>
  <w:footnote w:id="41">
    <w:p w14:paraId="2F51392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D-17.</w:t>
      </w:r>
    </w:p>
  </w:footnote>
  <w:footnote w:id="42">
    <w:p w14:paraId="5A0B215A"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D-10.</w:t>
      </w:r>
    </w:p>
  </w:footnote>
  <w:footnote w:id="43">
    <w:p w14:paraId="780B67C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 and D-81</w:t>
      </w:r>
    </w:p>
  </w:footnote>
  <w:footnote w:id="44">
    <w:p w14:paraId="68989D85"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 and D-81.</w:t>
      </w:r>
    </w:p>
  </w:footnote>
  <w:footnote w:id="45">
    <w:p w14:paraId="41DFF6EB"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 and D-81 as well as D-77.</w:t>
      </w:r>
    </w:p>
  </w:footnote>
  <w:footnote w:id="46">
    <w:p w14:paraId="48107C06"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D-72.</w:t>
      </w:r>
    </w:p>
  </w:footnote>
  <w:footnote w:id="47">
    <w:p w14:paraId="3B72C62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paragraphs </w:t>
      </w:r>
      <w:r w:rsidRPr="00181BA7">
        <w:rPr>
          <w:lang w:val="en-CA"/>
        </w:rPr>
        <w:fldChar w:fldCharType="begin"/>
      </w:r>
      <w:r w:rsidRPr="00181BA7">
        <w:rPr>
          <w:lang w:val="en-CA"/>
        </w:rPr>
        <w:instrText xml:space="preserve"> REF _Ref101166851 \r \h </w:instrText>
      </w:r>
      <w:r w:rsidRPr="00181BA7">
        <w:rPr>
          <w:lang w:val="en-CA"/>
        </w:rPr>
      </w:r>
      <w:r w:rsidRPr="00181BA7">
        <w:rPr>
          <w:lang w:val="en-CA"/>
        </w:rPr>
        <w:fldChar w:fldCharType="separate"/>
      </w:r>
      <w:r w:rsidRPr="00181BA7">
        <w:rPr>
          <w:lang w:val="en-CA"/>
        </w:rPr>
        <w:t>[26]</w:t>
      </w:r>
      <w:r w:rsidRPr="00181BA7">
        <w:rPr>
          <w:lang w:val="en-CA"/>
        </w:rPr>
        <w:fldChar w:fldCharType="end"/>
      </w:r>
      <w:r w:rsidRPr="00181BA7">
        <w:rPr>
          <w:lang w:val="en-CA"/>
        </w:rPr>
        <w:t xml:space="preserve"> and </w:t>
      </w:r>
      <w:r w:rsidRPr="00181BA7">
        <w:rPr>
          <w:lang w:val="en-CA"/>
        </w:rPr>
        <w:fldChar w:fldCharType="begin"/>
      </w:r>
      <w:r w:rsidRPr="00181BA7">
        <w:rPr>
          <w:lang w:val="en-CA"/>
        </w:rPr>
        <w:instrText xml:space="preserve"> REF _Ref101167024 \r \h </w:instrText>
      </w:r>
      <w:r w:rsidRPr="00181BA7">
        <w:rPr>
          <w:lang w:val="en-CA"/>
        </w:rPr>
      </w:r>
      <w:r w:rsidRPr="00181BA7">
        <w:rPr>
          <w:lang w:val="en-CA"/>
        </w:rPr>
        <w:fldChar w:fldCharType="separate"/>
      </w:r>
      <w:r w:rsidRPr="00181BA7">
        <w:rPr>
          <w:lang w:val="en-CA"/>
        </w:rPr>
        <w:t>[32]</w:t>
      </w:r>
      <w:r w:rsidRPr="00181BA7">
        <w:rPr>
          <w:lang w:val="en-CA"/>
        </w:rPr>
        <w:fldChar w:fldCharType="end"/>
      </w:r>
      <w:r w:rsidRPr="00181BA7">
        <w:rPr>
          <w:lang w:val="en-CA"/>
        </w:rPr>
        <w:t xml:space="preserve"> of this decision as well as Exhibits D-109 and D-110.</w:t>
      </w:r>
    </w:p>
  </w:footnote>
  <w:footnote w:id="48">
    <w:p w14:paraId="3D297793" w14:textId="77777777" w:rsidR="00F408E6" w:rsidRPr="008318D8" w:rsidRDefault="00F408E6" w:rsidP="00653CF1">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D-17.</w:t>
      </w:r>
    </w:p>
  </w:footnote>
  <w:footnote w:id="49">
    <w:p w14:paraId="7ADD2A5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D-83.</w:t>
      </w:r>
    </w:p>
  </w:footnote>
  <w:footnote w:id="50">
    <w:p w14:paraId="11ADAFE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D-84.</w:t>
      </w:r>
    </w:p>
  </w:footnote>
  <w:footnote w:id="51">
    <w:p w14:paraId="4F414326"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D-76 and D-76-1 to D-76-11.</w:t>
      </w:r>
    </w:p>
  </w:footnote>
  <w:footnote w:id="52">
    <w:p w14:paraId="15B9DEAD" w14:textId="77777777" w:rsidR="00F408E6" w:rsidRPr="008318D8" w:rsidRDefault="00F408E6" w:rsidP="00AA49AC">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D-79.</w:t>
      </w:r>
    </w:p>
  </w:footnote>
  <w:footnote w:id="53">
    <w:p w14:paraId="16A04C78" w14:textId="77777777" w:rsidR="00F408E6" w:rsidRPr="008318D8" w:rsidRDefault="00F408E6" w:rsidP="00AA49AC">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Exhibit D-72. </w:t>
      </w:r>
    </w:p>
  </w:footnote>
  <w:footnote w:id="54">
    <w:p w14:paraId="1EA26539" w14:textId="77777777" w:rsidR="00F408E6" w:rsidRPr="008318D8" w:rsidRDefault="00F408E6" w:rsidP="00AA49AC">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D-72 (between January 6, 2020 and July 25, 2021, the market closing price of ICOA shares fluctuated between USD 0.000001 and USD 0.002465).</w:t>
      </w:r>
    </w:p>
  </w:footnote>
  <w:footnote w:id="55">
    <w:p w14:paraId="5711F613" w14:textId="77777777" w:rsidR="00F408E6" w:rsidRPr="008318D8" w:rsidRDefault="00F408E6" w:rsidP="002A0100">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 </w:t>
      </w:r>
      <w:r w:rsidRPr="00181BA7">
        <w:rPr>
          <w:lang w:val="en-CA"/>
        </w:rPr>
        <w:fldChar w:fldCharType="begin"/>
      </w:r>
      <w:r w:rsidRPr="00181BA7">
        <w:rPr>
          <w:lang w:val="en-CA"/>
        </w:rPr>
        <w:instrText xml:space="preserve"> REF _Ref101167041 \r \h </w:instrText>
      </w:r>
      <w:r w:rsidRPr="00181BA7">
        <w:rPr>
          <w:lang w:val="en-CA"/>
        </w:rPr>
      </w:r>
      <w:r w:rsidRPr="00181BA7">
        <w:rPr>
          <w:lang w:val="en-CA"/>
        </w:rPr>
        <w:fldChar w:fldCharType="separate"/>
      </w:r>
      <w:r w:rsidRPr="00181BA7">
        <w:rPr>
          <w:lang w:val="en-CA"/>
        </w:rPr>
        <w:t>[22]</w:t>
      </w:r>
      <w:r w:rsidRPr="00181BA7">
        <w:rPr>
          <w:lang w:val="en-CA"/>
        </w:rPr>
        <w:fldChar w:fldCharType="end"/>
      </w:r>
      <w:r w:rsidRPr="00181BA7">
        <w:rPr>
          <w:lang w:val="en-CA"/>
        </w:rPr>
        <w:t xml:space="preserve"> of this decision as well as Exhibits D-8, D-41, D-42 and D-67 to D-70.</w:t>
      </w:r>
    </w:p>
  </w:footnote>
  <w:footnote w:id="56">
    <w:p w14:paraId="671A23D9"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D-82.</w:t>
      </w:r>
    </w:p>
  </w:footnote>
  <w:footnote w:id="57">
    <w:p w14:paraId="70DE19B7"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w:t>
      </w:r>
    </w:p>
  </w:footnote>
  <w:footnote w:id="58">
    <w:p w14:paraId="138D722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Exhibit D-85. As of 31 October 2021, respondent Ramy Kamaneh still held 17,050,000 shares of ICOA (Exhibit D-86). </w:t>
      </w:r>
    </w:p>
  </w:footnote>
  <w:footnote w:id="59">
    <w:p w14:paraId="3461E304" w14:textId="77777777" w:rsidR="00F408E6" w:rsidRPr="008318D8" w:rsidRDefault="00F408E6" w:rsidP="003730EE">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Exhibits D-10 and D-98. </w:t>
      </w:r>
    </w:p>
  </w:footnote>
  <w:footnote w:id="60">
    <w:p w14:paraId="2A4EF2E9"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D-94.</w:t>
      </w:r>
    </w:p>
  </w:footnote>
  <w:footnote w:id="61">
    <w:p w14:paraId="31C9A20C" w14:textId="529B6ACB"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D-95 to D-95-3.</w:t>
      </w:r>
    </w:p>
  </w:footnote>
  <w:footnote w:id="62">
    <w:p w14:paraId="1F5A7230"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paragraphs </w:t>
      </w:r>
      <w:r w:rsidRPr="00181BA7">
        <w:rPr>
          <w:lang w:val="en-CA"/>
        </w:rPr>
        <w:fldChar w:fldCharType="begin"/>
      </w:r>
      <w:r w:rsidRPr="00181BA7">
        <w:rPr>
          <w:lang w:val="en-CA"/>
        </w:rPr>
        <w:instrText xml:space="preserve"> REF _Ref101166842 \r \h </w:instrText>
      </w:r>
      <w:r w:rsidRPr="00181BA7">
        <w:rPr>
          <w:lang w:val="en-CA"/>
        </w:rPr>
      </w:r>
      <w:r w:rsidRPr="00181BA7">
        <w:rPr>
          <w:lang w:val="en-CA"/>
        </w:rPr>
        <w:fldChar w:fldCharType="separate"/>
      </w:r>
      <w:r w:rsidRPr="00181BA7">
        <w:rPr>
          <w:lang w:val="en-CA"/>
        </w:rPr>
        <w:t>[21]</w:t>
      </w:r>
      <w:r w:rsidRPr="00181BA7">
        <w:rPr>
          <w:lang w:val="en-CA"/>
        </w:rPr>
        <w:fldChar w:fldCharType="end"/>
      </w:r>
      <w:r w:rsidRPr="00181BA7">
        <w:rPr>
          <w:lang w:val="en-CA"/>
        </w:rPr>
        <w:t xml:space="preserve">, </w:t>
      </w:r>
      <w:r w:rsidRPr="00181BA7">
        <w:rPr>
          <w:lang w:val="en-CA"/>
        </w:rPr>
        <w:fldChar w:fldCharType="begin"/>
      </w:r>
      <w:r w:rsidRPr="00181BA7">
        <w:rPr>
          <w:lang w:val="en-CA"/>
        </w:rPr>
        <w:instrText xml:space="preserve"> REF _Ref101166830 \r \h </w:instrText>
      </w:r>
      <w:r w:rsidRPr="00181BA7">
        <w:rPr>
          <w:lang w:val="en-CA"/>
        </w:rPr>
      </w:r>
      <w:r w:rsidRPr="00181BA7">
        <w:rPr>
          <w:lang w:val="en-CA"/>
        </w:rPr>
        <w:fldChar w:fldCharType="separate"/>
      </w:r>
      <w:r w:rsidRPr="00181BA7">
        <w:rPr>
          <w:lang w:val="en-CA"/>
        </w:rPr>
        <w:t>[23]</w:t>
      </w:r>
      <w:r w:rsidRPr="00181BA7">
        <w:rPr>
          <w:lang w:val="en-CA"/>
        </w:rPr>
        <w:fldChar w:fldCharType="end"/>
      </w:r>
      <w:r w:rsidRPr="00181BA7">
        <w:rPr>
          <w:lang w:val="en-CA"/>
        </w:rPr>
        <w:t xml:space="preserve"> and </w:t>
      </w:r>
      <w:r w:rsidRPr="00181BA7">
        <w:rPr>
          <w:lang w:val="en-CA"/>
        </w:rPr>
        <w:fldChar w:fldCharType="begin"/>
      </w:r>
      <w:r w:rsidRPr="00181BA7">
        <w:rPr>
          <w:lang w:val="en-CA"/>
        </w:rPr>
        <w:instrText xml:space="preserve"> REF _Ref101167024 \r \h </w:instrText>
      </w:r>
      <w:r w:rsidRPr="00181BA7">
        <w:rPr>
          <w:lang w:val="en-CA"/>
        </w:rPr>
      </w:r>
      <w:r w:rsidRPr="00181BA7">
        <w:rPr>
          <w:lang w:val="en-CA"/>
        </w:rPr>
        <w:fldChar w:fldCharType="separate"/>
      </w:r>
      <w:r w:rsidRPr="00181BA7">
        <w:rPr>
          <w:lang w:val="en-CA"/>
        </w:rPr>
        <w:t>[32]</w:t>
      </w:r>
      <w:r w:rsidRPr="00181BA7">
        <w:rPr>
          <w:lang w:val="en-CA"/>
        </w:rPr>
        <w:fldChar w:fldCharType="end"/>
      </w:r>
      <w:r w:rsidRPr="00181BA7">
        <w:rPr>
          <w:lang w:val="en-CA"/>
        </w:rPr>
        <w:t xml:space="preserve"> of this decision.</w:t>
      </w:r>
    </w:p>
  </w:footnote>
  <w:footnote w:id="63">
    <w:p w14:paraId="6BDB6E61"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D-88.</w:t>
      </w:r>
    </w:p>
  </w:footnote>
  <w:footnote w:id="64">
    <w:p w14:paraId="5C26825D" w14:textId="77777777" w:rsidR="00F408E6" w:rsidRPr="008318D8" w:rsidRDefault="00F408E6" w:rsidP="00EC1E0D">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D-89.</w:t>
      </w:r>
    </w:p>
  </w:footnote>
  <w:footnote w:id="65">
    <w:p w14:paraId="4C63FED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D-97.</w:t>
      </w:r>
    </w:p>
  </w:footnote>
  <w:footnote w:id="66">
    <w:p w14:paraId="3333EB13" w14:textId="77777777" w:rsidR="00F408E6" w:rsidRPr="008318D8" w:rsidRDefault="00F408E6" w:rsidP="004352D0">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D-96.</w:t>
      </w:r>
    </w:p>
  </w:footnote>
  <w:footnote w:id="67">
    <w:p w14:paraId="69CE0C7F" w14:textId="77777777" w:rsidR="00F408E6" w:rsidRPr="008318D8" w:rsidRDefault="00F408E6" w:rsidP="004352D0">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Exhibit D-90. </w:t>
      </w:r>
    </w:p>
  </w:footnote>
  <w:footnote w:id="68">
    <w:p w14:paraId="20C240C0" w14:textId="77777777" w:rsidR="00F408E6" w:rsidRPr="008318D8" w:rsidRDefault="00F408E6" w:rsidP="004352D0">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D-90 (between January 3, 2020 and May 17, 2021, the closing price of AAPT stock fluctuated between USD 0.000001 and USD 0.0022).</w:t>
      </w:r>
    </w:p>
  </w:footnote>
  <w:footnote w:id="69">
    <w:p w14:paraId="573ACCB5"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D-100.</w:t>
      </w:r>
    </w:p>
  </w:footnote>
  <w:footnote w:id="70">
    <w:p w14:paraId="05CC161F"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D-99.</w:t>
      </w:r>
    </w:p>
  </w:footnote>
  <w:footnote w:id="71">
    <w:p w14:paraId="017958F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D-17 and D-101.</w:t>
      </w:r>
    </w:p>
  </w:footnote>
  <w:footnote w:id="72">
    <w:p w14:paraId="27579E7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D-17.</w:t>
      </w:r>
    </w:p>
  </w:footnote>
  <w:footnote w:id="73">
    <w:p w14:paraId="676698FD"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paragraphs </w:t>
      </w:r>
      <w:r w:rsidRPr="00181BA7">
        <w:rPr>
          <w:lang w:val="en-CA"/>
        </w:rPr>
        <w:fldChar w:fldCharType="begin"/>
      </w:r>
      <w:r w:rsidRPr="00181BA7">
        <w:rPr>
          <w:lang w:val="en-CA"/>
        </w:rPr>
        <w:instrText xml:space="preserve"> REF _Ref101166842 \r \h </w:instrText>
      </w:r>
      <w:r w:rsidRPr="00181BA7">
        <w:rPr>
          <w:lang w:val="en-CA"/>
        </w:rPr>
      </w:r>
      <w:r w:rsidRPr="00181BA7">
        <w:rPr>
          <w:lang w:val="en-CA"/>
        </w:rPr>
        <w:fldChar w:fldCharType="separate"/>
      </w:r>
      <w:r w:rsidRPr="00181BA7">
        <w:rPr>
          <w:lang w:val="en-CA"/>
        </w:rPr>
        <w:t>[21]</w:t>
      </w:r>
      <w:r w:rsidRPr="00181BA7">
        <w:rPr>
          <w:lang w:val="en-CA"/>
        </w:rPr>
        <w:fldChar w:fldCharType="end"/>
      </w:r>
      <w:r w:rsidRPr="00181BA7">
        <w:rPr>
          <w:lang w:val="en-CA"/>
        </w:rPr>
        <w:t xml:space="preserve">, </w:t>
      </w:r>
      <w:r w:rsidRPr="00181BA7">
        <w:rPr>
          <w:lang w:val="en-CA"/>
        </w:rPr>
        <w:fldChar w:fldCharType="begin"/>
      </w:r>
      <w:r w:rsidRPr="00181BA7">
        <w:rPr>
          <w:lang w:val="en-CA"/>
        </w:rPr>
        <w:instrText xml:space="preserve"> REF _Ref101167041 \r \h </w:instrText>
      </w:r>
      <w:r w:rsidRPr="00181BA7">
        <w:rPr>
          <w:lang w:val="en-CA"/>
        </w:rPr>
      </w:r>
      <w:r w:rsidRPr="00181BA7">
        <w:rPr>
          <w:lang w:val="en-CA"/>
        </w:rPr>
        <w:fldChar w:fldCharType="separate"/>
      </w:r>
      <w:r w:rsidRPr="00181BA7">
        <w:rPr>
          <w:lang w:val="en-CA"/>
        </w:rPr>
        <w:t>[22]</w:t>
      </w:r>
      <w:r w:rsidRPr="00181BA7">
        <w:rPr>
          <w:lang w:val="en-CA"/>
        </w:rPr>
        <w:fldChar w:fldCharType="end"/>
      </w:r>
      <w:r w:rsidRPr="00181BA7">
        <w:rPr>
          <w:lang w:val="en-CA"/>
        </w:rPr>
        <w:t xml:space="preserve"> and </w:t>
      </w:r>
      <w:r w:rsidRPr="00181BA7">
        <w:rPr>
          <w:lang w:val="en-CA"/>
        </w:rPr>
        <w:fldChar w:fldCharType="begin"/>
      </w:r>
      <w:r w:rsidRPr="00181BA7">
        <w:rPr>
          <w:lang w:val="en-CA"/>
        </w:rPr>
        <w:instrText xml:space="preserve"> REF _Ref101166830 \r \h </w:instrText>
      </w:r>
      <w:r w:rsidRPr="00181BA7">
        <w:rPr>
          <w:lang w:val="en-CA"/>
        </w:rPr>
      </w:r>
      <w:r w:rsidRPr="00181BA7">
        <w:rPr>
          <w:lang w:val="en-CA"/>
        </w:rPr>
        <w:fldChar w:fldCharType="separate"/>
      </w:r>
      <w:r w:rsidRPr="00181BA7">
        <w:rPr>
          <w:lang w:val="en-CA"/>
        </w:rPr>
        <w:t>[23]</w:t>
      </w:r>
      <w:r w:rsidRPr="00181BA7">
        <w:rPr>
          <w:lang w:val="en-CA"/>
        </w:rPr>
        <w:fldChar w:fldCharType="end"/>
      </w:r>
      <w:r w:rsidRPr="00181BA7">
        <w:rPr>
          <w:lang w:val="en-CA"/>
        </w:rPr>
        <w:t xml:space="preserve"> of this decision.</w:t>
      </w:r>
    </w:p>
  </w:footnote>
  <w:footnote w:id="74">
    <w:p w14:paraId="660806E0"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paragraphs </w:t>
      </w:r>
      <w:r w:rsidRPr="00181BA7">
        <w:rPr>
          <w:lang w:val="en-CA"/>
        </w:rPr>
        <w:fldChar w:fldCharType="begin"/>
      </w:r>
      <w:r w:rsidRPr="00181BA7">
        <w:rPr>
          <w:lang w:val="en-CA"/>
        </w:rPr>
        <w:instrText xml:space="preserve"> REF _Ref101167137 \r \h </w:instrText>
      </w:r>
      <w:r w:rsidRPr="00181BA7">
        <w:rPr>
          <w:lang w:val="en-CA"/>
        </w:rPr>
      </w:r>
      <w:r w:rsidRPr="00181BA7">
        <w:rPr>
          <w:lang w:val="en-CA"/>
        </w:rPr>
        <w:fldChar w:fldCharType="separate"/>
      </w:r>
      <w:r w:rsidRPr="00181BA7">
        <w:rPr>
          <w:lang w:val="en-CA"/>
        </w:rPr>
        <w:t>[24]</w:t>
      </w:r>
      <w:r w:rsidRPr="00181BA7">
        <w:rPr>
          <w:lang w:val="en-CA"/>
        </w:rPr>
        <w:fldChar w:fldCharType="end"/>
      </w:r>
      <w:r w:rsidRPr="00181BA7">
        <w:rPr>
          <w:lang w:val="en-CA"/>
        </w:rPr>
        <w:t xml:space="preserve"> and </w:t>
      </w:r>
      <w:r w:rsidRPr="00181BA7">
        <w:rPr>
          <w:lang w:val="en-CA"/>
        </w:rPr>
        <w:fldChar w:fldCharType="begin"/>
      </w:r>
      <w:r w:rsidRPr="00181BA7">
        <w:rPr>
          <w:lang w:val="en-CA"/>
        </w:rPr>
        <w:instrText xml:space="preserve"> REF _Ref101167139 \r \h </w:instrText>
      </w:r>
      <w:r w:rsidRPr="00181BA7">
        <w:rPr>
          <w:lang w:val="en-CA"/>
        </w:rPr>
      </w:r>
      <w:r w:rsidRPr="00181BA7">
        <w:rPr>
          <w:lang w:val="en-CA"/>
        </w:rPr>
        <w:fldChar w:fldCharType="separate"/>
      </w:r>
      <w:r w:rsidRPr="00181BA7">
        <w:rPr>
          <w:lang w:val="en-CA"/>
        </w:rPr>
        <w:t>[25]</w:t>
      </w:r>
      <w:r w:rsidRPr="00181BA7">
        <w:rPr>
          <w:lang w:val="en-CA"/>
        </w:rPr>
        <w:fldChar w:fldCharType="end"/>
      </w:r>
      <w:r w:rsidRPr="00181BA7">
        <w:rPr>
          <w:lang w:val="en-CA"/>
        </w:rPr>
        <w:t xml:space="preserve"> of this decision.</w:t>
      </w:r>
    </w:p>
  </w:footnote>
  <w:footnote w:id="75">
    <w:p w14:paraId="5CFCA32E"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See paragraph </w:t>
      </w:r>
      <w:r w:rsidRPr="00181BA7">
        <w:rPr>
          <w:lang w:val="en-CA"/>
        </w:rPr>
        <w:fldChar w:fldCharType="begin"/>
      </w:r>
      <w:r w:rsidRPr="00181BA7">
        <w:rPr>
          <w:lang w:val="en-CA"/>
        </w:rPr>
        <w:instrText xml:space="preserve"> REF _Ref101166851 \r \h </w:instrText>
      </w:r>
      <w:r w:rsidRPr="00181BA7">
        <w:rPr>
          <w:lang w:val="en-CA"/>
        </w:rPr>
      </w:r>
      <w:r w:rsidRPr="00181BA7">
        <w:rPr>
          <w:lang w:val="en-CA"/>
        </w:rPr>
        <w:fldChar w:fldCharType="separate"/>
      </w:r>
      <w:r w:rsidRPr="00181BA7">
        <w:rPr>
          <w:lang w:val="en-CA"/>
        </w:rPr>
        <w:t>[26]</w:t>
      </w:r>
      <w:r w:rsidRPr="00181BA7">
        <w:rPr>
          <w:lang w:val="en-CA"/>
        </w:rPr>
        <w:fldChar w:fldCharType="end"/>
      </w:r>
      <w:r w:rsidRPr="00181BA7">
        <w:rPr>
          <w:lang w:val="en-CA"/>
        </w:rPr>
        <w:t xml:space="preserve"> of this decision.</w:t>
      </w:r>
    </w:p>
  </w:footnote>
  <w:footnote w:id="76">
    <w:p w14:paraId="630CF373"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 xml:space="preserve">On May 27, 2021, MJWL issued a press release that mentioned Caduceus Software System (Exhibit D-116). </w:t>
      </w:r>
    </w:p>
  </w:footnote>
  <w:footnote w:id="77">
    <w:p w14:paraId="02E47785" w14:textId="77777777" w:rsidR="00F408E6" w:rsidRPr="008318D8" w:rsidRDefault="00F408E6" w:rsidP="00AA4652">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D-115.</w:t>
      </w:r>
    </w:p>
  </w:footnote>
  <w:footnote w:id="78">
    <w:p w14:paraId="11C9DCA5"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D-109, D-110 and D-114.</w:t>
      </w:r>
    </w:p>
  </w:footnote>
  <w:footnote w:id="79">
    <w:p w14:paraId="082269AF"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 D-8.</w:t>
      </w:r>
    </w:p>
  </w:footnote>
  <w:footnote w:id="80">
    <w:p w14:paraId="2B3D0A7C"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D-117, D-118, D-126 and D-127.</w:t>
      </w:r>
    </w:p>
  </w:footnote>
  <w:footnote w:id="81">
    <w:p w14:paraId="5FC7FB74" w14:textId="77777777" w:rsidR="00F408E6" w:rsidRPr="008318D8" w:rsidRDefault="00F408E6">
      <w:pPr>
        <w:pStyle w:val="Notedebasdepage"/>
        <w:rPr>
          <w:lang w:val="en-CA"/>
        </w:rPr>
      </w:pPr>
      <w:r w:rsidRPr="00181BA7">
        <w:rPr>
          <w:rStyle w:val="Appelnotedebasdep"/>
          <w:lang w:val="en-CA"/>
        </w:rPr>
        <w:footnoteRef/>
      </w:r>
      <w:r w:rsidRPr="00181BA7">
        <w:rPr>
          <w:lang w:val="en-CA"/>
        </w:rPr>
        <w:t xml:space="preserve"> </w:t>
      </w:r>
      <w:r w:rsidRPr="00181BA7">
        <w:rPr>
          <w:lang w:val="en-CA"/>
        </w:rPr>
        <w:tab/>
        <w:t>Exhibits D-107, D-109, D-110 and D-122.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A19A" w14:textId="77777777" w:rsidR="00F408E6" w:rsidRDefault="00F408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DB5A" w14:textId="567B7727" w:rsidR="00F408E6" w:rsidRPr="00181BA7" w:rsidRDefault="00F408E6">
    <w:pPr>
      <w:tabs>
        <w:tab w:val="center" w:pos="4709"/>
        <w:tab w:val="right" w:pos="9360"/>
      </w:tabs>
      <w:ind w:right="524"/>
    </w:pPr>
    <w:r w:rsidRPr="00181BA7">
      <w:rPr>
        <w:lang w:val="en-CA"/>
      </w:rPr>
      <w:t>2022-010-001</w:t>
    </w:r>
    <w:r w:rsidRPr="00181BA7">
      <w:rPr>
        <w:lang w:val="en-CA"/>
      </w:rPr>
      <w:tab/>
    </w:r>
    <w:r w:rsidRPr="00181BA7">
      <w:rPr>
        <w:lang w:val="en-CA"/>
      </w:rPr>
      <w:tab/>
      <w:t xml:space="preserve">PAGE: </w:t>
    </w:r>
    <w:r w:rsidRPr="00181BA7">
      <w:rPr>
        <w:lang w:val="en-CA"/>
      </w:rPr>
      <w:fldChar w:fldCharType="begin"/>
    </w:r>
    <w:r w:rsidRPr="00181BA7">
      <w:rPr>
        <w:lang w:val="en-CA"/>
      </w:rPr>
      <w:instrText xml:space="preserve"> PAGE </w:instrText>
    </w:r>
    <w:r w:rsidRPr="00181BA7">
      <w:rPr>
        <w:lang w:val="en-CA"/>
      </w:rPr>
      <w:fldChar w:fldCharType="separate"/>
    </w:r>
    <w:r w:rsidR="001E16C1">
      <w:rPr>
        <w:noProof/>
        <w:lang w:val="en-CA"/>
      </w:rPr>
      <w:t>21</w:t>
    </w:r>
    <w:r w:rsidRPr="00181BA7">
      <w:rPr>
        <w:lang w:val="en-CA"/>
      </w:rPr>
      <w:fldChar w:fldCharType="end"/>
    </w:r>
  </w:p>
  <w:p w14:paraId="3A691317" w14:textId="77777777" w:rsidR="00F408E6" w:rsidRPr="00181BA7" w:rsidRDefault="00F408E6">
    <w:pPr>
      <w:tabs>
        <w:tab w:val="center" w:pos="4709"/>
        <w:tab w:val="right" w:pos="9090"/>
      </w:tabs>
      <w:ind w:right="524"/>
    </w:pPr>
  </w:p>
  <w:p w14:paraId="6C0E3BE2" w14:textId="77777777" w:rsidR="00F408E6" w:rsidRPr="00181BA7" w:rsidRDefault="00F408E6">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86C5" w14:textId="77777777" w:rsidR="00F408E6" w:rsidRDefault="00F40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F2C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65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2C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47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8E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7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C5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1CC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8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2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6FFE"/>
    <w:multiLevelType w:val="hybridMultilevel"/>
    <w:tmpl w:val="76E26208"/>
    <w:lvl w:ilvl="0" w:tplc="0C0C000F">
      <w:start w:val="1"/>
      <w:numFmt w:val="decimal"/>
      <w:lvlText w:val="%1."/>
      <w:lvlJc w:val="left"/>
      <w:pPr>
        <w:ind w:left="360" w:hanging="360"/>
      </w:pPr>
    </w:lvl>
    <w:lvl w:ilvl="1" w:tplc="0C0C0017">
      <w:start w:val="1"/>
      <w:numFmt w:val="lowerLetter"/>
      <w:lvlText w:val="%2)"/>
      <w:lvlJc w:val="left"/>
      <w:pPr>
        <w:ind w:left="1080" w:hanging="360"/>
      </w:pPr>
    </w:lvl>
    <w:lvl w:ilvl="2" w:tplc="2D3A8488">
      <w:start w:val="1850"/>
      <w:numFmt w:val="bullet"/>
      <w:lvlText w:val="-"/>
      <w:lvlJc w:val="left"/>
      <w:pPr>
        <w:ind w:left="1980" w:hanging="360"/>
      </w:pPr>
      <w:rPr>
        <w:rFonts w:ascii="Arial" w:eastAsiaTheme="minorHAnsi" w:hAnsi="Arial" w:cs="Aria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07B72AE4"/>
    <w:multiLevelType w:val="hybridMultilevel"/>
    <w:tmpl w:val="C9E61B2E"/>
    <w:lvl w:ilvl="0" w:tplc="31389F90">
      <w:start w:val="1"/>
      <w:numFmt w:val="decimal"/>
      <w:pStyle w:val="Paragraphedeliste"/>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CA765BB"/>
    <w:multiLevelType w:val="hybridMultilevel"/>
    <w:tmpl w:val="0F405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08923E1"/>
    <w:multiLevelType w:val="hybridMultilevel"/>
    <w:tmpl w:val="726873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2D002F3"/>
    <w:multiLevelType w:val="hybridMultilevel"/>
    <w:tmpl w:val="BE929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083D80"/>
    <w:multiLevelType w:val="hybridMultilevel"/>
    <w:tmpl w:val="E5C68DF8"/>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8156A2"/>
    <w:multiLevelType w:val="hybridMultilevel"/>
    <w:tmpl w:val="ADB68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9C0DCC"/>
    <w:multiLevelType w:val="multilevel"/>
    <w:tmpl w:val="078E11EA"/>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2797C4B"/>
    <w:multiLevelType w:val="hybridMultilevel"/>
    <w:tmpl w:val="2A02E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843572"/>
    <w:multiLevelType w:val="hybridMultilevel"/>
    <w:tmpl w:val="06F41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B4C0E23"/>
    <w:multiLevelType w:val="hybridMultilevel"/>
    <w:tmpl w:val="0B760C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1730EBF"/>
    <w:multiLevelType w:val="hybridMultilevel"/>
    <w:tmpl w:val="C116E2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3A30182"/>
    <w:multiLevelType w:val="hybridMultilevel"/>
    <w:tmpl w:val="0D0AB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F670B7"/>
    <w:multiLevelType w:val="hybridMultilevel"/>
    <w:tmpl w:val="FB521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3"/>
  </w:num>
  <w:num w:numId="16">
    <w:abstractNumId w:val="11"/>
  </w:num>
  <w:num w:numId="17">
    <w:abstractNumId w:val="17"/>
  </w:num>
  <w:num w:numId="18">
    <w:abstractNumId w:val="17"/>
  </w:num>
  <w:num w:numId="19">
    <w:abstractNumId w:val="17"/>
  </w:num>
  <w:num w:numId="20">
    <w:abstractNumId w:val="10"/>
  </w:num>
  <w:num w:numId="21">
    <w:abstractNumId w:val="21"/>
  </w:num>
  <w:num w:numId="22">
    <w:abstractNumId w:val="20"/>
  </w:num>
  <w:num w:numId="23">
    <w:abstractNumId w:val="12"/>
  </w:num>
  <w:num w:numId="24">
    <w:abstractNumId w:val="13"/>
  </w:num>
  <w:num w:numId="25">
    <w:abstractNumId w:val="16"/>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45"/>
    <w:rsid w:val="00015AF0"/>
    <w:rsid w:val="00017E63"/>
    <w:rsid w:val="00023C94"/>
    <w:rsid w:val="00024B03"/>
    <w:rsid w:val="0002722E"/>
    <w:rsid w:val="000300EA"/>
    <w:rsid w:val="000510FE"/>
    <w:rsid w:val="00051C29"/>
    <w:rsid w:val="0005293D"/>
    <w:rsid w:val="00052F42"/>
    <w:rsid w:val="00064915"/>
    <w:rsid w:val="00065A33"/>
    <w:rsid w:val="00070D64"/>
    <w:rsid w:val="00077161"/>
    <w:rsid w:val="00081831"/>
    <w:rsid w:val="00081859"/>
    <w:rsid w:val="00083532"/>
    <w:rsid w:val="000951FB"/>
    <w:rsid w:val="000976EC"/>
    <w:rsid w:val="000A7378"/>
    <w:rsid w:val="000A7582"/>
    <w:rsid w:val="000C2FEA"/>
    <w:rsid w:val="000D0989"/>
    <w:rsid w:val="000D2FD5"/>
    <w:rsid w:val="000D4EFE"/>
    <w:rsid w:val="000E5610"/>
    <w:rsid w:val="0010326D"/>
    <w:rsid w:val="00105E97"/>
    <w:rsid w:val="0011280F"/>
    <w:rsid w:val="00124878"/>
    <w:rsid w:val="001415E2"/>
    <w:rsid w:val="00141C71"/>
    <w:rsid w:val="00152367"/>
    <w:rsid w:val="00153828"/>
    <w:rsid w:val="00154C9C"/>
    <w:rsid w:val="00156369"/>
    <w:rsid w:val="0016105D"/>
    <w:rsid w:val="00171BD5"/>
    <w:rsid w:val="00171F83"/>
    <w:rsid w:val="00181BA7"/>
    <w:rsid w:val="00182A6B"/>
    <w:rsid w:val="00190014"/>
    <w:rsid w:val="0019592A"/>
    <w:rsid w:val="00196BC4"/>
    <w:rsid w:val="001A5CF3"/>
    <w:rsid w:val="001A6C7C"/>
    <w:rsid w:val="001B00C0"/>
    <w:rsid w:val="001C6069"/>
    <w:rsid w:val="001D082D"/>
    <w:rsid w:val="001D27BB"/>
    <w:rsid w:val="001D374E"/>
    <w:rsid w:val="001E16C1"/>
    <w:rsid w:val="001F1AF8"/>
    <w:rsid w:val="001F4253"/>
    <w:rsid w:val="001F5DC5"/>
    <w:rsid w:val="00200983"/>
    <w:rsid w:val="002034D3"/>
    <w:rsid w:val="002102E4"/>
    <w:rsid w:val="00217C8B"/>
    <w:rsid w:val="002220D7"/>
    <w:rsid w:val="00227DD0"/>
    <w:rsid w:val="00232C1E"/>
    <w:rsid w:val="00237AEE"/>
    <w:rsid w:val="002433CD"/>
    <w:rsid w:val="002523F4"/>
    <w:rsid w:val="00263872"/>
    <w:rsid w:val="002652A8"/>
    <w:rsid w:val="0027278C"/>
    <w:rsid w:val="00277751"/>
    <w:rsid w:val="00283C13"/>
    <w:rsid w:val="00290CBE"/>
    <w:rsid w:val="00294524"/>
    <w:rsid w:val="002A0100"/>
    <w:rsid w:val="002A3098"/>
    <w:rsid w:val="002B0FA0"/>
    <w:rsid w:val="002B1F19"/>
    <w:rsid w:val="002D4E69"/>
    <w:rsid w:val="002D7B9E"/>
    <w:rsid w:val="002E46B3"/>
    <w:rsid w:val="002F27FA"/>
    <w:rsid w:val="002F34CB"/>
    <w:rsid w:val="002F52F5"/>
    <w:rsid w:val="003164D9"/>
    <w:rsid w:val="00321FEB"/>
    <w:rsid w:val="00337696"/>
    <w:rsid w:val="003438BA"/>
    <w:rsid w:val="00344099"/>
    <w:rsid w:val="00360F42"/>
    <w:rsid w:val="003730EE"/>
    <w:rsid w:val="00374872"/>
    <w:rsid w:val="003755E5"/>
    <w:rsid w:val="00376EF8"/>
    <w:rsid w:val="00377264"/>
    <w:rsid w:val="00387817"/>
    <w:rsid w:val="003A2E23"/>
    <w:rsid w:val="003B3A63"/>
    <w:rsid w:val="003B44CB"/>
    <w:rsid w:val="003B4D55"/>
    <w:rsid w:val="003B4DCE"/>
    <w:rsid w:val="003F05F5"/>
    <w:rsid w:val="003F19A6"/>
    <w:rsid w:val="003F713E"/>
    <w:rsid w:val="004000F0"/>
    <w:rsid w:val="00415DCB"/>
    <w:rsid w:val="00417C84"/>
    <w:rsid w:val="004231D9"/>
    <w:rsid w:val="00432F3E"/>
    <w:rsid w:val="00434B13"/>
    <w:rsid w:val="004352D0"/>
    <w:rsid w:val="00442194"/>
    <w:rsid w:val="00445069"/>
    <w:rsid w:val="00451D67"/>
    <w:rsid w:val="00454582"/>
    <w:rsid w:val="00460EB3"/>
    <w:rsid w:val="004638B4"/>
    <w:rsid w:val="00463A2A"/>
    <w:rsid w:val="0046775E"/>
    <w:rsid w:val="00470299"/>
    <w:rsid w:val="0047082E"/>
    <w:rsid w:val="0047532E"/>
    <w:rsid w:val="0048189B"/>
    <w:rsid w:val="00487550"/>
    <w:rsid w:val="00487F4A"/>
    <w:rsid w:val="004A1B32"/>
    <w:rsid w:val="004B4345"/>
    <w:rsid w:val="004B67CC"/>
    <w:rsid w:val="004D2C24"/>
    <w:rsid w:val="004D40F5"/>
    <w:rsid w:val="004D6285"/>
    <w:rsid w:val="004E47AA"/>
    <w:rsid w:val="004F00C8"/>
    <w:rsid w:val="004F2C1D"/>
    <w:rsid w:val="004F7C6A"/>
    <w:rsid w:val="005051D2"/>
    <w:rsid w:val="00505DED"/>
    <w:rsid w:val="00537E47"/>
    <w:rsid w:val="00553B1F"/>
    <w:rsid w:val="00555286"/>
    <w:rsid w:val="00561338"/>
    <w:rsid w:val="00561AD8"/>
    <w:rsid w:val="00563067"/>
    <w:rsid w:val="00564DE6"/>
    <w:rsid w:val="00571D19"/>
    <w:rsid w:val="00572F05"/>
    <w:rsid w:val="005765A9"/>
    <w:rsid w:val="00585FBC"/>
    <w:rsid w:val="005902EA"/>
    <w:rsid w:val="005A3FDF"/>
    <w:rsid w:val="005A6A7B"/>
    <w:rsid w:val="005B3528"/>
    <w:rsid w:val="005B3619"/>
    <w:rsid w:val="005B54A6"/>
    <w:rsid w:val="005D41AE"/>
    <w:rsid w:val="005E24E7"/>
    <w:rsid w:val="00612C34"/>
    <w:rsid w:val="00612EF9"/>
    <w:rsid w:val="006149C5"/>
    <w:rsid w:val="00616C5F"/>
    <w:rsid w:val="006253AA"/>
    <w:rsid w:val="00632CF2"/>
    <w:rsid w:val="00633CC6"/>
    <w:rsid w:val="00635B49"/>
    <w:rsid w:val="00644D27"/>
    <w:rsid w:val="00653CF1"/>
    <w:rsid w:val="00663118"/>
    <w:rsid w:val="006736C4"/>
    <w:rsid w:val="00677AC2"/>
    <w:rsid w:val="006807C4"/>
    <w:rsid w:val="00682781"/>
    <w:rsid w:val="00694E3E"/>
    <w:rsid w:val="00696B70"/>
    <w:rsid w:val="006A16FA"/>
    <w:rsid w:val="006A33A9"/>
    <w:rsid w:val="006C03AA"/>
    <w:rsid w:val="006C2080"/>
    <w:rsid w:val="006D1E0A"/>
    <w:rsid w:val="006D513A"/>
    <w:rsid w:val="006E3A38"/>
    <w:rsid w:val="006F35AB"/>
    <w:rsid w:val="007156AF"/>
    <w:rsid w:val="0071703F"/>
    <w:rsid w:val="00730283"/>
    <w:rsid w:val="00731059"/>
    <w:rsid w:val="007331D7"/>
    <w:rsid w:val="007416CE"/>
    <w:rsid w:val="007448FF"/>
    <w:rsid w:val="00745A21"/>
    <w:rsid w:val="00750166"/>
    <w:rsid w:val="00761561"/>
    <w:rsid w:val="00761717"/>
    <w:rsid w:val="007624C1"/>
    <w:rsid w:val="00767000"/>
    <w:rsid w:val="007830F9"/>
    <w:rsid w:val="00787508"/>
    <w:rsid w:val="007875B0"/>
    <w:rsid w:val="007A7C59"/>
    <w:rsid w:val="007B165B"/>
    <w:rsid w:val="007B1DF3"/>
    <w:rsid w:val="007B4F83"/>
    <w:rsid w:val="007B57CE"/>
    <w:rsid w:val="007C6C43"/>
    <w:rsid w:val="007E1368"/>
    <w:rsid w:val="007E37C9"/>
    <w:rsid w:val="00802218"/>
    <w:rsid w:val="008069BD"/>
    <w:rsid w:val="008073A2"/>
    <w:rsid w:val="008176FC"/>
    <w:rsid w:val="008255F9"/>
    <w:rsid w:val="00825D7D"/>
    <w:rsid w:val="00825FD1"/>
    <w:rsid w:val="00826B95"/>
    <w:rsid w:val="008318D8"/>
    <w:rsid w:val="0083607A"/>
    <w:rsid w:val="00841B72"/>
    <w:rsid w:val="00842670"/>
    <w:rsid w:val="00845E3F"/>
    <w:rsid w:val="00854757"/>
    <w:rsid w:val="00854FBE"/>
    <w:rsid w:val="00857FD6"/>
    <w:rsid w:val="0086017D"/>
    <w:rsid w:val="0086376B"/>
    <w:rsid w:val="00870BE7"/>
    <w:rsid w:val="008818C8"/>
    <w:rsid w:val="0089104F"/>
    <w:rsid w:val="008975ED"/>
    <w:rsid w:val="008B0126"/>
    <w:rsid w:val="008B0B0E"/>
    <w:rsid w:val="008B0BC5"/>
    <w:rsid w:val="008B306D"/>
    <w:rsid w:val="008B51AC"/>
    <w:rsid w:val="008C031F"/>
    <w:rsid w:val="008C1C63"/>
    <w:rsid w:val="008C539F"/>
    <w:rsid w:val="008C5A86"/>
    <w:rsid w:val="008D25C7"/>
    <w:rsid w:val="008D2D86"/>
    <w:rsid w:val="008D4EB3"/>
    <w:rsid w:val="008E066E"/>
    <w:rsid w:val="008F73CB"/>
    <w:rsid w:val="00915AC8"/>
    <w:rsid w:val="00916B10"/>
    <w:rsid w:val="00930949"/>
    <w:rsid w:val="0093756A"/>
    <w:rsid w:val="009404E1"/>
    <w:rsid w:val="00944202"/>
    <w:rsid w:val="009471D3"/>
    <w:rsid w:val="00955EA9"/>
    <w:rsid w:val="00961635"/>
    <w:rsid w:val="0096322E"/>
    <w:rsid w:val="00974723"/>
    <w:rsid w:val="00984066"/>
    <w:rsid w:val="00993B26"/>
    <w:rsid w:val="009963C2"/>
    <w:rsid w:val="009A035A"/>
    <w:rsid w:val="009B2EA1"/>
    <w:rsid w:val="009B3F2A"/>
    <w:rsid w:val="009B4DE7"/>
    <w:rsid w:val="009D0C1C"/>
    <w:rsid w:val="009E758E"/>
    <w:rsid w:val="009F25A5"/>
    <w:rsid w:val="009F6E18"/>
    <w:rsid w:val="00A031E8"/>
    <w:rsid w:val="00A12BDE"/>
    <w:rsid w:val="00A33A47"/>
    <w:rsid w:val="00A34D8C"/>
    <w:rsid w:val="00A45014"/>
    <w:rsid w:val="00A51D38"/>
    <w:rsid w:val="00A6417C"/>
    <w:rsid w:val="00A713FD"/>
    <w:rsid w:val="00A86504"/>
    <w:rsid w:val="00A900A7"/>
    <w:rsid w:val="00A92E6C"/>
    <w:rsid w:val="00AA4652"/>
    <w:rsid w:val="00AA49AC"/>
    <w:rsid w:val="00AB3C34"/>
    <w:rsid w:val="00AC0300"/>
    <w:rsid w:val="00AC1127"/>
    <w:rsid w:val="00AC6D8C"/>
    <w:rsid w:val="00AD333E"/>
    <w:rsid w:val="00AD45AE"/>
    <w:rsid w:val="00AE2C56"/>
    <w:rsid w:val="00AF4DD6"/>
    <w:rsid w:val="00AF6BAD"/>
    <w:rsid w:val="00B007BC"/>
    <w:rsid w:val="00B06C10"/>
    <w:rsid w:val="00B14989"/>
    <w:rsid w:val="00B14E95"/>
    <w:rsid w:val="00B17BAC"/>
    <w:rsid w:val="00B203AC"/>
    <w:rsid w:val="00B2060B"/>
    <w:rsid w:val="00B26186"/>
    <w:rsid w:val="00B31B7E"/>
    <w:rsid w:val="00B400AB"/>
    <w:rsid w:val="00B4030F"/>
    <w:rsid w:val="00B44D39"/>
    <w:rsid w:val="00B72FEF"/>
    <w:rsid w:val="00B7648B"/>
    <w:rsid w:val="00B8309A"/>
    <w:rsid w:val="00B84E9A"/>
    <w:rsid w:val="00B9160E"/>
    <w:rsid w:val="00BA3C47"/>
    <w:rsid w:val="00BB1A16"/>
    <w:rsid w:val="00BB2D39"/>
    <w:rsid w:val="00BC02D1"/>
    <w:rsid w:val="00BD4329"/>
    <w:rsid w:val="00BD73A1"/>
    <w:rsid w:val="00BE2763"/>
    <w:rsid w:val="00BE7934"/>
    <w:rsid w:val="00BE7978"/>
    <w:rsid w:val="00BF0352"/>
    <w:rsid w:val="00C0222E"/>
    <w:rsid w:val="00C0616D"/>
    <w:rsid w:val="00C17428"/>
    <w:rsid w:val="00C27E03"/>
    <w:rsid w:val="00C36790"/>
    <w:rsid w:val="00C374FC"/>
    <w:rsid w:val="00C606EB"/>
    <w:rsid w:val="00C65260"/>
    <w:rsid w:val="00C736A4"/>
    <w:rsid w:val="00C751A8"/>
    <w:rsid w:val="00C95612"/>
    <w:rsid w:val="00C9690D"/>
    <w:rsid w:val="00CB2940"/>
    <w:rsid w:val="00CB5B95"/>
    <w:rsid w:val="00CC7524"/>
    <w:rsid w:val="00CD1581"/>
    <w:rsid w:val="00CE0F11"/>
    <w:rsid w:val="00CE193F"/>
    <w:rsid w:val="00CF563F"/>
    <w:rsid w:val="00D12BC3"/>
    <w:rsid w:val="00D15548"/>
    <w:rsid w:val="00D15968"/>
    <w:rsid w:val="00D16C8B"/>
    <w:rsid w:val="00D201EF"/>
    <w:rsid w:val="00D2277C"/>
    <w:rsid w:val="00D31E26"/>
    <w:rsid w:val="00D33763"/>
    <w:rsid w:val="00D46B70"/>
    <w:rsid w:val="00D64524"/>
    <w:rsid w:val="00D64BAD"/>
    <w:rsid w:val="00D871B1"/>
    <w:rsid w:val="00D9369B"/>
    <w:rsid w:val="00DA4F32"/>
    <w:rsid w:val="00DA7B31"/>
    <w:rsid w:val="00DB167D"/>
    <w:rsid w:val="00DB1EE9"/>
    <w:rsid w:val="00DC5FE5"/>
    <w:rsid w:val="00DC664A"/>
    <w:rsid w:val="00DC7579"/>
    <w:rsid w:val="00DD3233"/>
    <w:rsid w:val="00DD3A53"/>
    <w:rsid w:val="00DD4EB5"/>
    <w:rsid w:val="00DE2A91"/>
    <w:rsid w:val="00DF294C"/>
    <w:rsid w:val="00E05188"/>
    <w:rsid w:val="00E06678"/>
    <w:rsid w:val="00E15FAE"/>
    <w:rsid w:val="00E17CDC"/>
    <w:rsid w:val="00E266D3"/>
    <w:rsid w:val="00E26745"/>
    <w:rsid w:val="00E26888"/>
    <w:rsid w:val="00E274E3"/>
    <w:rsid w:val="00E37216"/>
    <w:rsid w:val="00E379D0"/>
    <w:rsid w:val="00E4008D"/>
    <w:rsid w:val="00E53FF1"/>
    <w:rsid w:val="00E54E09"/>
    <w:rsid w:val="00E576FD"/>
    <w:rsid w:val="00E73E6C"/>
    <w:rsid w:val="00E807BF"/>
    <w:rsid w:val="00E81581"/>
    <w:rsid w:val="00E81BD8"/>
    <w:rsid w:val="00E81F35"/>
    <w:rsid w:val="00E82A86"/>
    <w:rsid w:val="00E846EE"/>
    <w:rsid w:val="00E935FC"/>
    <w:rsid w:val="00E940C0"/>
    <w:rsid w:val="00E97898"/>
    <w:rsid w:val="00EA1D85"/>
    <w:rsid w:val="00EA4B63"/>
    <w:rsid w:val="00EA5071"/>
    <w:rsid w:val="00EB1995"/>
    <w:rsid w:val="00EB39E3"/>
    <w:rsid w:val="00EC1E0D"/>
    <w:rsid w:val="00EC5721"/>
    <w:rsid w:val="00EC728D"/>
    <w:rsid w:val="00ED438F"/>
    <w:rsid w:val="00EE0C8B"/>
    <w:rsid w:val="00EF72F1"/>
    <w:rsid w:val="00F06BEC"/>
    <w:rsid w:val="00F06FA3"/>
    <w:rsid w:val="00F11270"/>
    <w:rsid w:val="00F215FF"/>
    <w:rsid w:val="00F33E65"/>
    <w:rsid w:val="00F37BB8"/>
    <w:rsid w:val="00F408E6"/>
    <w:rsid w:val="00F4225E"/>
    <w:rsid w:val="00F44D06"/>
    <w:rsid w:val="00F45AF5"/>
    <w:rsid w:val="00F50EFB"/>
    <w:rsid w:val="00F52D44"/>
    <w:rsid w:val="00F616F8"/>
    <w:rsid w:val="00F7277B"/>
    <w:rsid w:val="00F83D31"/>
    <w:rsid w:val="00F9531C"/>
    <w:rsid w:val="00F95F12"/>
    <w:rsid w:val="00FA00BA"/>
    <w:rsid w:val="00FA3C17"/>
    <w:rsid w:val="00FA48F2"/>
    <w:rsid w:val="00FB41E4"/>
    <w:rsid w:val="00FC5D9D"/>
    <w:rsid w:val="00FD4E45"/>
    <w:rsid w:val="00FE72C4"/>
    <w:rsid w:val="00FF0E55"/>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Paragraphe"/>
    <w:qFormat/>
    <w:rsid w:val="00825D7D"/>
    <w:pPr>
      <w:keepNext/>
      <w:spacing w:before="120" w:after="120"/>
      <w:outlineLvl w:val="0"/>
    </w:pPr>
    <w:rPr>
      <w:b/>
      <w:kern w:val="28"/>
    </w:rPr>
  </w:style>
  <w:style w:type="paragraph" w:styleId="Titre2">
    <w:name w:val="heading 2"/>
    <w:basedOn w:val="Paragraphe"/>
    <w:next w:val="Paragraphe"/>
    <w:qFormat/>
    <w:rsid w:val="00825D7D"/>
    <w:pPr>
      <w:numPr>
        <w:numId w:val="0"/>
      </w:numPr>
      <w:outlineLvl w:val="1"/>
    </w:pPr>
    <w:rPr>
      <w:b/>
    </w:rPr>
  </w:style>
  <w:style w:type="paragraph" w:styleId="Titre3">
    <w:name w:val="heading 3"/>
    <w:basedOn w:val="Normal"/>
    <w:next w:val="Paragraphe"/>
    <w:qFormat/>
    <w:rsid w:val="00D9369B"/>
    <w:pPr>
      <w:keepNext/>
      <w:spacing w:before="120" w:after="120"/>
      <w:outlineLvl w:val="2"/>
    </w:pPr>
    <w:rPr>
      <w:i/>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6322E"/>
    <w:pPr>
      <w:numPr>
        <w:numId w:val="2"/>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qForma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basedOn w:val="Policepardfaut"/>
    <w:rsid w:val="00BA3C47"/>
    <w:rPr>
      <w:vertAlign w:val="superscript"/>
    </w:rPr>
  </w:style>
  <w:style w:type="paragraph" w:customStyle="1" w:styleId="paragraphe0">
    <w:name w:val="paragraphe"/>
    <w:basedOn w:val="Normal"/>
    <w:rsid w:val="00415DCB"/>
    <w:pPr>
      <w:spacing w:before="100" w:beforeAutospacing="1" w:after="100" w:afterAutospacing="1"/>
    </w:pPr>
    <w:rPr>
      <w:rFonts w:ascii="Times New Roman" w:hAnsi="Times New Roman"/>
      <w:szCs w:val="24"/>
      <w:lang w:eastAsia="fr-CA"/>
    </w:rPr>
  </w:style>
  <w:style w:type="character" w:customStyle="1" w:styleId="ParagrapheCar">
    <w:name w:val="Paragraphe Car"/>
    <w:link w:val="Paragraphe"/>
    <w:locked/>
    <w:rsid w:val="00415DCB"/>
    <w:rPr>
      <w:rFonts w:ascii="Arial" w:hAnsi="Arial"/>
      <w:kern w:val="28"/>
      <w:sz w:val="24"/>
      <w:lang w:eastAsia="fr-FR"/>
    </w:rPr>
  </w:style>
  <w:style w:type="character" w:customStyle="1" w:styleId="NotedebasdepageCar">
    <w:name w:val="Note de bas de page Car"/>
    <w:link w:val="Notedebasdepage"/>
    <w:uiPriority w:val="99"/>
    <w:rsid w:val="00415DCB"/>
    <w:rPr>
      <w:rFonts w:ascii="Arial" w:hAnsi="Arial"/>
      <w:lang w:eastAsia="fr-FR"/>
    </w:rPr>
  </w:style>
  <w:style w:type="character" w:styleId="Textedelespacerserv">
    <w:name w:val="Placeholder Text"/>
    <w:basedOn w:val="Policepardfaut"/>
    <w:uiPriority w:val="99"/>
    <w:semiHidden/>
    <w:rsid w:val="000D2FD5"/>
    <w:rPr>
      <w:color w:val="808080"/>
    </w:rPr>
  </w:style>
  <w:style w:type="paragraph" w:styleId="Paragraphedeliste">
    <w:name w:val="List Paragraph"/>
    <w:basedOn w:val="Normal"/>
    <w:link w:val="ParagraphedelisteCar"/>
    <w:uiPriority w:val="34"/>
    <w:qFormat/>
    <w:rsid w:val="00745A21"/>
    <w:pPr>
      <w:numPr>
        <w:numId w:val="16"/>
      </w:numPr>
      <w:spacing w:after="240"/>
      <w:ind w:left="567" w:hanging="567"/>
      <w:jc w:val="both"/>
    </w:pPr>
    <w:rPr>
      <w:rFonts w:eastAsiaTheme="minorHAnsi" w:cs="Arial"/>
      <w:sz w:val="22"/>
      <w:szCs w:val="22"/>
      <w:lang w:eastAsia="en-US"/>
    </w:rPr>
  </w:style>
  <w:style w:type="character" w:customStyle="1" w:styleId="ParagraphedelisteCar">
    <w:name w:val="Paragraphe de liste Car"/>
    <w:basedOn w:val="Policepardfaut"/>
    <w:link w:val="Paragraphedeliste"/>
    <w:uiPriority w:val="34"/>
    <w:rsid w:val="00745A21"/>
    <w:rPr>
      <w:rFonts w:ascii="Arial" w:eastAsiaTheme="minorHAnsi" w:hAnsi="Arial" w:cs="Arial"/>
      <w:sz w:val="22"/>
      <w:szCs w:val="22"/>
      <w:lang w:eastAsia="en-US"/>
    </w:rPr>
  </w:style>
  <w:style w:type="character" w:customStyle="1" w:styleId="label-section">
    <w:name w:val="label-section"/>
    <w:basedOn w:val="Policepardfaut"/>
    <w:rsid w:val="00B14E95"/>
  </w:style>
  <w:style w:type="character" w:customStyle="1" w:styleId="subsection">
    <w:name w:val="subsection"/>
    <w:basedOn w:val="Policepardfaut"/>
    <w:rsid w:val="00B14E95"/>
  </w:style>
  <w:style w:type="character" w:styleId="Marquedecommentaire">
    <w:name w:val="annotation reference"/>
    <w:basedOn w:val="Policepardfaut"/>
    <w:uiPriority w:val="99"/>
    <w:semiHidden/>
    <w:unhideWhenUsed/>
    <w:rsid w:val="007E37C9"/>
  </w:style>
  <w:style w:type="paragraph" w:styleId="Commentaire">
    <w:name w:val="annotation text"/>
    <w:basedOn w:val="Normal"/>
    <w:link w:val="CommentaireCar"/>
    <w:semiHidden/>
    <w:unhideWhenUsed/>
    <w:rsid w:val="00633CC6"/>
    <w:rPr>
      <w:sz w:val="20"/>
    </w:rPr>
  </w:style>
  <w:style w:type="character" w:customStyle="1" w:styleId="CommentaireCar">
    <w:name w:val="Commentaire Car"/>
    <w:basedOn w:val="Policepardfaut"/>
    <w:link w:val="Commentaire"/>
    <w:semiHidden/>
    <w:rsid w:val="00633CC6"/>
    <w:rPr>
      <w:rFonts w:ascii="Arial" w:hAnsi="Arial"/>
      <w:lang w:eastAsia="fr-FR"/>
    </w:rPr>
  </w:style>
  <w:style w:type="paragraph" w:styleId="Objetducommentaire">
    <w:name w:val="annotation subject"/>
    <w:basedOn w:val="Commentaire"/>
    <w:next w:val="Commentaire"/>
    <w:link w:val="ObjetducommentaireCar"/>
    <w:semiHidden/>
    <w:unhideWhenUsed/>
    <w:rsid w:val="00633CC6"/>
    <w:rPr>
      <w:b/>
      <w:bCs/>
    </w:rPr>
  </w:style>
  <w:style w:type="character" w:customStyle="1" w:styleId="ObjetducommentaireCar">
    <w:name w:val="Objet du commentaire Car"/>
    <w:basedOn w:val="CommentaireCar"/>
    <w:link w:val="Objetducommentaire"/>
    <w:semiHidden/>
    <w:rsid w:val="00633CC6"/>
    <w:rPr>
      <w:rFonts w:ascii="Arial" w:hAnsi="Arial"/>
      <w:b/>
      <w:bCs/>
      <w:lang w:eastAsia="fr-FR"/>
    </w:rPr>
  </w:style>
  <w:style w:type="paragraph" w:styleId="Textedebulles">
    <w:name w:val="Balloon Text"/>
    <w:basedOn w:val="Normal"/>
    <w:link w:val="TextedebullesCar"/>
    <w:semiHidden/>
    <w:unhideWhenUsed/>
    <w:rsid w:val="00633CC6"/>
    <w:rPr>
      <w:rFonts w:ascii="Segoe UI" w:hAnsi="Segoe UI" w:cs="Segoe UI"/>
      <w:sz w:val="18"/>
      <w:szCs w:val="18"/>
    </w:rPr>
  </w:style>
  <w:style w:type="character" w:customStyle="1" w:styleId="TextedebullesCar">
    <w:name w:val="Texte de bulles Car"/>
    <w:basedOn w:val="Policepardfaut"/>
    <w:link w:val="Textedebulles"/>
    <w:semiHidden/>
    <w:rsid w:val="00633CC6"/>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326">
      <w:bodyDiv w:val="1"/>
      <w:marLeft w:val="0"/>
      <w:marRight w:val="0"/>
      <w:marTop w:val="0"/>
      <w:marBottom w:val="0"/>
      <w:divBdr>
        <w:top w:val="none" w:sz="0" w:space="0" w:color="auto"/>
        <w:left w:val="none" w:sz="0" w:space="0" w:color="auto"/>
        <w:bottom w:val="none" w:sz="0" w:space="0" w:color="auto"/>
        <w:right w:val="none" w:sz="0" w:space="0" w:color="auto"/>
      </w:divBdr>
    </w:div>
    <w:div w:id="420033762">
      <w:bodyDiv w:val="1"/>
      <w:marLeft w:val="0"/>
      <w:marRight w:val="0"/>
      <w:marTop w:val="0"/>
      <w:marBottom w:val="0"/>
      <w:divBdr>
        <w:top w:val="none" w:sz="0" w:space="0" w:color="auto"/>
        <w:left w:val="none" w:sz="0" w:space="0" w:color="auto"/>
        <w:bottom w:val="none" w:sz="0" w:space="0" w:color="auto"/>
        <w:right w:val="none" w:sz="0" w:space="0" w:color="auto"/>
      </w:divBdr>
      <w:divsChild>
        <w:div w:id="719016949">
          <w:marLeft w:val="30"/>
          <w:marRight w:val="0"/>
          <w:marTop w:val="0"/>
          <w:marBottom w:val="0"/>
          <w:divBdr>
            <w:top w:val="none" w:sz="0" w:space="0" w:color="auto"/>
            <w:left w:val="none" w:sz="0" w:space="0" w:color="auto"/>
            <w:bottom w:val="none" w:sz="0" w:space="0" w:color="auto"/>
            <w:right w:val="none" w:sz="0" w:space="0" w:color="auto"/>
          </w:divBdr>
        </w:div>
        <w:div w:id="1940984587">
          <w:marLeft w:val="30"/>
          <w:marRight w:val="0"/>
          <w:marTop w:val="0"/>
          <w:marBottom w:val="0"/>
          <w:divBdr>
            <w:top w:val="none" w:sz="0" w:space="0" w:color="auto"/>
            <w:left w:val="none" w:sz="0" w:space="0" w:color="auto"/>
            <w:bottom w:val="none" w:sz="0" w:space="0" w:color="auto"/>
            <w:right w:val="none" w:sz="0" w:space="0" w:color="auto"/>
          </w:divBdr>
        </w:div>
      </w:divsChild>
    </w:div>
    <w:div w:id="1075473415">
      <w:bodyDiv w:val="1"/>
      <w:marLeft w:val="0"/>
      <w:marRight w:val="0"/>
      <w:marTop w:val="0"/>
      <w:marBottom w:val="0"/>
      <w:divBdr>
        <w:top w:val="none" w:sz="0" w:space="0" w:color="auto"/>
        <w:left w:val="none" w:sz="0" w:space="0" w:color="auto"/>
        <w:bottom w:val="none" w:sz="0" w:space="0" w:color="auto"/>
        <w:right w:val="none" w:sz="0" w:space="0" w:color="auto"/>
      </w:divBdr>
      <w:divsChild>
        <w:div w:id="1948150436">
          <w:marLeft w:val="30"/>
          <w:marRight w:val="0"/>
          <w:marTop w:val="0"/>
          <w:marBottom w:val="0"/>
          <w:divBdr>
            <w:top w:val="none" w:sz="0" w:space="0" w:color="auto"/>
            <w:left w:val="none" w:sz="0" w:space="0" w:color="auto"/>
            <w:bottom w:val="none" w:sz="0" w:space="0" w:color="auto"/>
            <w:right w:val="none" w:sz="0" w:space="0" w:color="auto"/>
          </w:divBdr>
        </w:div>
        <w:div w:id="712072093">
          <w:marLeft w:val="30"/>
          <w:marRight w:val="0"/>
          <w:marTop w:val="0"/>
          <w:marBottom w:val="0"/>
          <w:divBdr>
            <w:top w:val="none" w:sz="0" w:space="0" w:color="auto"/>
            <w:left w:val="none" w:sz="0" w:space="0" w:color="auto"/>
            <w:bottom w:val="none" w:sz="0" w:space="0" w:color="auto"/>
            <w:right w:val="none" w:sz="0" w:space="0" w:color="auto"/>
          </w:divBdr>
        </w:div>
      </w:divsChild>
    </w:div>
    <w:div w:id="1324237588">
      <w:bodyDiv w:val="1"/>
      <w:marLeft w:val="0"/>
      <w:marRight w:val="0"/>
      <w:marTop w:val="0"/>
      <w:marBottom w:val="0"/>
      <w:divBdr>
        <w:top w:val="none" w:sz="0" w:space="0" w:color="auto"/>
        <w:left w:val="none" w:sz="0" w:space="0" w:color="auto"/>
        <w:bottom w:val="none" w:sz="0" w:space="0" w:color="auto"/>
        <w:right w:val="none" w:sz="0" w:space="0" w:color="auto"/>
      </w:divBdr>
      <w:divsChild>
        <w:div w:id="581987069">
          <w:marLeft w:val="30"/>
          <w:marRight w:val="0"/>
          <w:marTop w:val="0"/>
          <w:marBottom w:val="0"/>
          <w:divBdr>
            <w:top w:val="none" w:sz="0" w:space="0" w:color="auto"/>
            <w:left w:val="none" w:sz="0" w:space="0" w:color="auto"/>
            <w:bottom w:val="none" w:sz="0" w:space="0" w:color="auto"/>
            <w:right w:val="none" w:sz="0" w:space="0" w:color="auto"/>
          </w:divBdr>
        </w:div>
        <w:div w:id="406193111">
          <w:marLeft w:val="30"/>
          <w:marRight w:val="0"/>
          <w:marTop w:val="0"/>
          <w:marBottom w:val="0"/>
          <w:divBdr>
            <w:top w:val="none" w:sz="0" w:space="0" w:color="auto"/>
            <w:left w:val="none" w:sz="0" w:space="0" w:color="auto"/>
            <w:bottom w:val="none" w:sz="0" w:space="0" w:color="auto"/>
            <w:right w:val="none" w:sz="0" w:space="0" w:color="auto"/>
          </w:divBdr>
        </w:div>
        <w:div w:id="1288926982">
          <w:marLeft w:val="30"/>
          <w:marRight w:val="0"/>
          <w:marTop w:val="0"/>
          <w:marBottom w:val="0"/>
          <w:divBdr>
            <w:top w:val="none" w:sz="0" w:space="0" w:color="auto"/>
            <w:left w:val="none" w:sz="0" w:space="0" w:color="auto"/>
            <w:bottom w:val="none" w:sz="0" w:space="0" w:color="auto"/>
            <w:right w:val="none" w:sz="0" w:space="0" w:color="auto"/>
          </w:divBdr>
        </w:div>
      </w:divsChild>
    </w:div>
    <w:div w:id="1446923586">
      <w:bodyDiv w:val="1"/>
      <w:marLeft w:val="0"/>
      <w:marRight w:val="0"/>
      <w:marTop w:val="0"/>
      <w:marBottom w:val="0"/>
      <w:divBdr>
        <w:top w:val="none" w:sz="0" w:space="0" w:color="auto"/>
        <w:left w:val="none" w:sz="0" w:space="0" w:color="auto"/>
        <w:bottom w:val="none" w:sz="0" w:space="0" w:color="auto"/>
        <w:right w:val="none" w:sz="0" w:space="0" w:color="auto"/>
      </w:divBdr>
      <w:divsChild>
        <w:div w:id="169297602">
          <w:marLeft w:val="30"/>
          <w:marRight w:val="0"/>
          <w:marTop w:val="0"/>
          <w:marBottom w:val="0"/>
          <w:divBdr>
            <w:top w:val="none" w:sz="0" w:space="0" w:color="auto"/>
            <w:left w:val="none" w:sz="0" w:space="0" w:color="auto"/>
            <w:bottom w:val="none" w:sz="0" w:space="0" w:color="auto"/>
            <w:right w:val="none" w:sz="0" w:space="0" w:color="auto"/>
          </w:divBdr>
        </w:div>
        <w:div w:id="268506740">
          <w:marLeft w:val="30"/>
          <w:marRight w:val="0"/>
          <w:marTop w:val="0"/>
          <w:marBottom w:val="0"/>
          <w:divBdr>
            <w:top w:val="none" w:sz="0" w:space="0" w:color="auto"/>
            <w:left w:val="none" w:sz="0" w:space="0" w:color="auto"/>
            <w:bottom w:val="none" w:sz="0" w:space="0" w:color="auto"/>
            <w:right w:val="none" w:sz="0" w:space="0" w:color="auto"/>
          </w:divBdr>
        </w:div>
        <w:div w:id="1871990695">
          <w:marLeft w:val="30"/>
          <w:marRight w:val="0"/>
          <w:marTop w:val="0"/>
          <w:marBottom w:val="0"/>
          <w:divBdr>
            <w:top w:val="none" w:sz="0" w:space="0" w:color="auto"/>
            <w:left w:val="none" w:sz="0" w:space="0" w:color="auto"/>
            <w:bottom w:val="none" w:sz="0" w:space="0" w:color="auto"/>
            <w:right w:val="none" w:sz="0" w:space="0" w:color="auto"/>
          </w:divBdr>
        </w:div>
      </w:divsChild>
    </w:div>
    <w:div w:id="1550919188">
      <w:bodyDiv w:val="1"/>
      <w:marLeft w:val="0"/>
      <w:marRight w:val="0"/>
      <w:marTop w:val="0"/>
      <w:marBottom w:val="0"/>
      <w:divBdr>
        <w:top w:val="none" w:sz="0" w:space="0" w:color="auto"/>
        <w:left w:val="none" w:sz="0" w:space="0" w:color="auto"/>
        <w:bottom w:val="none" w:sz="0" w:space="0" w:color="auto"/>
        <w:right w:val="none" w:sz="0" w:space="0" w:color="auto"/>
      </w:divBdr>
    </w:div>
    <w:div w:id="1627422206">
      <w:bodyDiv w:val="1"/>
      <w:marLeft w:val="0"/>
      <w:marRight w:val="0"/>
      <w:marTop w:val="0"/>
      <w:marBottom w:val="0"/>
      <w:divBdr>
        <w:top w:val="none" w:sz="0" w:space="0" w:color="auto"/>
        <w:left w:val="none" w:sz="0" w:space="0" w:color="auto"/>
        <w:bottom w:val="none" w:sz="0" w:space="0" w:color="auto"/>
        <w:right w:val="none" w:sz="0" w:space="0" w:color="auto"/>
      </w:divBdr>
      <w:divsChild>
        <w:div w:id="753402094">
          <w:marLeft w:val="30"/>
          <w:marRight w:val="0"/>
          <w:marTop w:val="0"/>
          <w:marBottom w:val="0"/>
          <w:divBdr>
            <w:top w:val="none" w:sz="0" w:space="0" w:color="auto"/>
            <w:left w:val="none" w:sz="0" w:space="0" w:color="auto"/>
            <w:bottom w:val="none" w:sz="0" w:space="0" w:color="auto"/>
            <w:right w:val="none" w:sz="0" w:space="0" w:color="auto"/>
          </w:divBdr>
        </w:div>
        <w:div w:id="583538619">
          <w:marLeft w:val="30"/>
          <w:marRight w:val="0"/>
          <w:marTop w:val="0"/>
          <w:marBottom w:val="0"/>
          <w:divBdr>
            <w:top w:val="none" w:sz="0" w:space="0" w:color="auto"/>
            <w:left w:val="none" w:sz="0" w:space="0" w:color="auto"/>
            <w:bottom w:val="none" w:sz="0" w:space="0" w:color="auto"/>
            <w:right w:val="none" w:sz="0" w:space="0" w:color="auto"/>
          </w:divBdr>
        </w:div>
      </w:divsChild>
    </w:div>
    <w:div w:id="2084794453">
      <w:bodyDiv w:val="1"/>
      <w:marLeft w:val="0"/>
      <w:marRight w:val="0"/>
      <w:marTop w:val="0"/>
      <w:marBottom w:val="0"/>
      <w:divBdr>
        <w:top w:val="none" w:sz="0" w:space="0" w:color="auto"/>
        <w:left w:val="none" w:sz="0" w:space="0" w:color="auto"/>
        <w:bottom w:val="none" w:sz="0" w:space="0" w:color="auto"/>
        <w:right w:val="none" w:sz="0" w:space="0" w:color="auto"/>
      </w:divBdr>
      <w:divsChild>
        <w:div w:id="667906355">
          <w:marLeft w:val="30"/>
          <w:marRight w:val="0"/>
          <w:marTop w:val="0"/>
          <w:marBottom w:val="0"/>
          <w:divBdr>
            <w:top w:val="none" w:sz="0" w:space="0" w:color="auto"/>
            <w:left w:val="none" w:sz="0" w:space="0" w:color="auto"/>
            <w:bottom w:val="none" w:sz="0" w:space="0" w:color="auto"/>
            <w:right w:val="none" w:sz="0" w:space="0" w:color="auto"/>
          </w:divBdr>
        </w:div>
        <w:div w:id="1481072336">
          <w:marLeft w:val="30"/>
          <w:marRight w:val="0"/>
          <w:marTop w:val="0"/>
          <w:marBottom w:val="0"/>
          <w:divBdr>
            <w:top w:val="none" w:sz="0" w:space="0" w:color="auto"/>
            <w:left w:val="none" w:sz="0" w:space="0" w:color="auto"/>
            <w:bottom w:val="none" w:sz="0" w:space="0" w:color="auto"/>
            <w:right w:val="none" w:sz="0" w:space="0" w:color="auto"/>
          </w:divBdr>
        </w:div>
        <w:div w:id="1876386534">
          <w:marLeft w:val="30"/>
          <w:marRight w:val="0"/>
          <w:marTop w:val="0"/>
          <w:marBottom w:val="0"/>
          <w:divBdr>
            <w:top w:val="none" w:sz="0" w:space="0" w:color="auto"/>
            <w:left w:val="none" w:sz="0" w:space="0" w:color="auto"/>
            <w:bottom w:val="none" w:sz="0" w:space="0" w:color="auto"/>
            <w:right w:val="none" w:sz="0" w:space="0" w:color="auto"/>
          </w:divBdr>
        </w:div>
        <w:div w:id="962540873">
          <w:marLeft w:val="30"/>
          <w:marRight w:val="0"/>
          <w:marTop w:val="0"/>
          <w:marBottom w:val="0"/>
          <w:divBdr>
            <w:top w:val="none" w:sz="0" w:space="0" w:color="auto"/>
            <w:left w:val="none" w:sz="0" w:space="0" w:color="auto"/>
            <w:bottom w:val="none" w:sz="0" w:space="0" w:color="auto"/>
            <w:right w:val="none" w:sz="0" w:space="0" w:color="auto"/>
          </w:divBdr>
        </w:div>
        <w:div w:id="1270435263">
          <w:marLeft w:val="30"/>
          <w:marRight w:val="0"/>
          <w:marTop w:val="0"/>
          <w:marBottom w:val="0"/>
          <w:divBdr>
            <w:top w:val="none" w:sz="0" w:space="0" w:color="auto"/>
            <w:left w:val="none" w:sz="0" w:space="0" w:color="auto"/>
            <w:bottom w:val="none" w:sz="0" w:space="0" w:color="auto"/>
            <w:right w:val="none" w:sz="0" w:space="0" w:color="auto"/>
          </w:divBdr>
        </w:div>
        <w:div w:id="877359335">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FB6135DC64C3BBAF380B5BC754CD0"/>
        <w:category>
          <w:name w:val="Général"/>
          <w:gallery w:val="placeholder"/>
        </w:category>
        <w:types>
          <w:type w:val="bbPlcHdr"/>
        </w:types>
        <w:behaviors>
          <w:behavior w:val="content"/>
        </w:behaviors>
        <w:guid w:val="{7FB81CED-1301-4C67-A177-38EDD77910EA}"/>
      </w:docPartPr>
      <w:docPartBody>
        <w:p w:rsidR="000807EF" w:rsidRDefault="00F90CEC">
          <w:r w:rsidRPr="00EF7030">
            <w:rPr>
              <w:rStyle w:val="Textedelespacerserv"/>
            </w:rPr>
            <w:t>Dossier No</w:t>
          </w:r>
        </w:p>
      </w:docPartBody>
    </w:docPart>
    <w:docPart>
      <w:docPartPr>
        <w:name w:val="DE3EB9A635B14CABBE0DCB4B8C99047B"/>
        <w:category>
          <w:name w:val="Général"/>
          <w:gallery w:val="placeholder"/>
        </w:category>
        <w:types>
          <w:type w:val="bbPlcHdr"/>
        </w:types>
        <w:behaviors>
          <w:behavior w:val="content"/>
        </w:behaviors>
        <w:guid w:val="{129E4C86-3880-4BC2-BC04-798FC28F9A01}"/>
      </w:docPartPr>
      <w:docPartBody>
        <w:p w:rsidR="000807EF" w:rsidRDefault="00F90CEC">
          <w:r w:rsidRPr="00EF7030">
            <w:rPr>
              <w:rStyle w:val="Textedelespacerserv"/>
            </w:rPr>
            <w:t>Décision No</w:t>
          </w:r>
        </w:p>
      </w:docPartBody>
    </w:docPart>
    <w:docPart>
      <w:docPartPr>
        <w:name w:val="72D5FBCCE01A41058AE6F438362235DB"/>
        <w:category>
          <w:name w:val="Général"/>
          <w:gallery w:val="placeholder"/>
        </w:category>
        <w:types>
          <w:type w:val="bbPlcHdr"/>
        </w:types>
        <w:behaviors>
          <w:behavior w:val="content"/>
        </w:behaviors>
        <w:guid w:val="{97D01DA7-D824-4F8C-86BA-D3C9A919C8BD}"/>
      </w:docPartPr>
      <w:docPartBody>
        <w:p w:rsidR="000807EF" w:rsidRDefault="00F90CEC">
          <w:r w:rsidRPr="00EF7030">
            <w:rPr>
              <w:rStyle w:val="Textedelespacerserv"/>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C"/>
    <w:rsid w:val="000807EF"/>
    <w:rsid w:val="000E612C"/>
    <w:rsid w:val="00274928"/>
    <w:rsid w:val="00290182"/>
    <w:rsid w:val="002F08FF"/>
    <w:rsid w:val="003C353F"/>
    <w:rsid w:val="00436D26"/>
    <w:rsid w:val="004C11C7"/>
    <w:rsid w:val="005346A7"/>
    <w:rsid w:val="0065603D"/>
    <w:rsid w:val="006F2351"/>
    <w:rsid w:val="00752C7D"/>
    <w:rsid w:val="00791358"/>
    <w:rsid w:val="008975D1"/>
    <w:rsid w:val="008B58F8"/>
    <w:rsid w:val="00BA4DF7"/>
    <w:rsid w:val="00BC522E"/>
    <w:rsid w:val="00C121FA"/>
    <w:rsid w:val="00D60C0C"/>
    <w:rsid w:val="00E80E78"/>
    <w:rsid w:val="00EA74E9"/>
    <w:rsid w:val="00F90C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0C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34EC-9D01-4120-8347-9926154E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6855</Words>
  <Characters>37707</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2022-05-17T14:45:00Z</dcterms:created>
  <dcterms:modified xsi:type="dcterms:W3CDTF">2022-05-26T13:30:00Z</dcterms:modified>
  <cp:category/>
</cp:coreProperties>
</file>