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53418" w14:textId="77777777" w:rsidR="00DE2667" w:rsidRDefault="00DE2667" w:rsidP="00DE2667">
      <w:pPr>
        <w:pStyle w:val="02Section"/>
        <w:rPr>
          <w:lang w:val="en-CA"/>
        </w:rPr>
      </w:pPr>
      <w:bookmarkStart w:id="0" w:name="lt_pId002"/>
      <w:r>
        <w:rPr>
          <w:b w:val="0"/>
          <w:bCs/>
          <w:sz w:val="24"/>
          <w:szCs w:val="24"/>
          <w:lang w:val="en-CA"/>
        </w:rPr>
        <w:t>Translated from the original French</w:t>
      </w:r>
    </w:p>
    <w:p w14:paraId="0311746D" w14:textId="77777777" w:rsidR="00093AEF" w:rsidRPr="00002C36" w:rsidRDefault="0086584C" w:rsidP="00093AEF">
      <w:pPr>
        <w:pStyle w:val="02Section"/>
        <w:rPr>
          <w:lang w:val="en-CA"/>
        </w:rPr>
      </w:pPr>
      <w:bookmarkStart w:id="1" w:name="_GoBack"/>
      <w:bookmarkEnd w:id="1"/>
      <w:r w:rsidRPr="00002C36">
        <w:rPr>
          <w:lang w:val="en-CA"/>
        </w:rPr>
        <w:t>Social Affairs Section</w:t>
      </w:r>
      <w:bookmarkEnd w:id="0"/>
    </w:p>
    <w:p w14:paraId="4FAC27C1" w14:textId="77777777" w:rsidR="00093AEF" w:rsidRPr="00002C36" w:rsidRDefault="0086584C" w:rsidP="00093AEF">
      <w:pPr>
        <w:pStyle w:val="03Matiere"/>
        <w:rPr>
          <w:lang w:val="en-CA"/>
        </w:rPr>
      </w:pPr>
      <w:bookmarkStart w:id="2" w:name="lt_pId003"/>
      <w:r w:rsidRPr="00002C36">
        <w:rPr>
          <w:lang w:val="en-CA"/>
        </w:rPr>
        <w:t xml:space="preserve">Designated as a Review Board within the meaning of ss. 672.38 </w:t>
      </w:r>
      <w:r w:rsidRPr="00002C36">
        <w:rPr>
          <w:i/>
          <w:lang w:val="en-CA"/>
        </w:rPr>
        <w:t>et seq</w:t>
      </w:r>
      <w:r w:rsidRPr="00002C36">
        <w:rPr>
          <w:lang w:val="en-CA"/>
        </w:rPr>
        <w:t xml:space="preserve">. of the </w:t>
      </w:r>
      <w:r w:rsidRPr="00002C36">
        <w:rPr>
          <w:i/>
          <w:lang w:val="en-CA"/>
        </w:rPr>
        <w:t>Criminal Code</w:t>
      </w:r>
      <w:bookmarkEnd w:id="2"/>
    </w:p>
    <w:p w14:paraId="1A7DECC3" w14:textId="77777777" w:rsidR="00093AEF" w:rsidRPr="00002C36" w:rsidRDefault="00DE2667" w:rsidP="00093AEF">
      <w:pPr>
        <w:pStyle w:val="03Matiere"/>
        <w:rPr>
          <w:lang w:val="en-CA"/>
        </w:rPr>
      </w:pPr>
    </w:p>
    <w:p w14:paraId="6BF0B08E" w14:textId="77777777" w:rsidR="00093AEF" w:rsidRPr="0043390F" w:rsidRDefault="00DE2667" w:rsidP="00093AEF">
      <w:pPr>
        <w:pStyle w:val="03Matiere"/>
        <w:rPr>
          <w:lang w:val="en-CA"/>
        </w:rPr>
      </w:pPr>
    </w:p>
    <w:p w14:paraId="0BB22EE0" w14:textId="77777777" w:rsidR="00093AEF" w:rsidRPr="00DF101B" w:rsidRDefault="00450D51" w:rsidP="00093AEF">
      <w:pPr>
        <w:pStyle w:val="03Matiere"/>
        <w:rPr>
          <w:rStyle w:val="040PrefixeDate"/>
          <w:b w:val="0"/>
          <w:sz w:val="24"/>
          <w:lang w:val="en-CA"/>
        </w:rPr>
      </w:pPr>
      <w:bookmarkStart w:id="3" w:name="lt_pId004"/>
      <w:r w:rsidRPr="00DF101B">
        <w:rPr>
          <w:rStyle w:val="040PrefixeDate"/>
          <w:lang w:val="en-CA"/>
        </w:rPr>
        <w:t>Date</w:t>
      </w:r>
      <w:r w:rsidR="0086584C" w:rsidRPr="00DF101B">
        <w:rPr>
          <w:rStyle w:val="040PrefixeDate"/>
          <w:lang w:val="en-CA"/>
        </w:rPr>
        <w:t>:</w:t>
      </w:r>
      <w:r w:rsidR="0086584C" w:rsidRPr="00DF101B">
        <w:rPr>
          <w:rStyle w:val="040PrefixeDate"/>
          <w:b w:val="0"/>
          <w:sz w:val="24"/>
          <w:lang w:val="en-CA"/>
        </w:rPr>
        <w:t xml:space="preserve"> </w:t>
      </w:r>
      <w:bookmarkStart w:id="4" w:name="bmDate"/>
      <w:bookmarkEnd w:id="4"/>
      <w:r w:rsidRPr="00DF101B">
        <w:rPr>
          <w:rStyle w:val="040PrefixeDate"/>
          <w:b w:val="0"/>
          <w:sz w:val="24"/>
          <w:lang w:val="en-CA"/>
        </w:rPr>
        <w:t xml:space="preserve">October 7, </w:t>
      </w:r>
      <w:r w:rsidR="0086584C" w:rsidRPr="00DF101B">
        <w:rPr>
          <w:rStyle w:val="040PrefixeDate"/>
          <w:b w:val="0"/>
          <w:sz w:val="24"/>
          <w:lang w:val="en-CA"/>
        </w:rPr>
        <w:t>2020</w:t>
      </w:r>
      <w:bookmarkEnd w:id="3"/>
    </w:p>
    <w:p w14:paraId="4DBD0172" w14:textId="3AA1580F" w:rsidR="00093AEF" w:rsidRPr="00DF101B" w:rsidRDefault="00AD403F" w:rsidP="00093AEF">
      <w:pPr>
        <w:pStyle w:val="060CompositionFormation"/>
        <w:rPr>
          <w:lang w:val="en-CA"/>
        </w:rPr>
      </w:pPr>
      <w:bookmarkStart w:id="5" w:name="lt_pId005"/>
      <w:r w:rsidRPr="00DF101B">
        <w:rPr>
          <w:lang w:val="en-CA"/>
        </w:rPr>
        <w:t>Neutral citation</w:t>
      </w:r>
      <w:r w:rsidR="0086584C" w:rsidRPr="00DF101B">
        <w:rPr>
          <w:lang w:val="en-CA"/>
        </w:rPr>
        <w:t xml:space="preserve">: </w:t>
      </w:r>
      <w:bookmarkStart w:id="6" w:name="bmRefNeutre"/>
      <w:bookmarkEnd w:id="6"/>
      <w:r w:rsidR="0086584C" w:rsidRPr="00DF101B">
        <w:rPr>
          <w:b w:val="0"/>
          <w:sz w:val="24"/>
          <w:lang w:val="en-CA"/>
        </w:rPr>
        <w:t>2020 QCTAQ 09586</w:t>
      </w:r>
      <w:bookmarkEnd w:id="5"/>
    </w:p>
    <w:p w14:paraId="66ED437C" w14:textId="03893E38" w:rsidR="00093AEF" w:rsidRPr="00DF101B" w:rsidRDefault="00AD403F" w:rsidP="00093AEF">
      <w:pPr>
        <w:pStyle w:val="05Dossier"/>
        <w:rPr>
          <w:lang w:val="en-CA"/>
        </w:rPr>
      </w:pPr>
      <w:bookmarkStart w:id="7" w:name="lt_pId006"/>
      <w:r w:rsidRPr="00DF101B">
        <w:rPr>
          <w:rStyle w:val="050PrefixeDossier"/>
          <w:lang w:val="en-CA"/>
        </w:rPr>
        <w:t>File</w:t>
      </w:r>
      <w:r w:rsidR="0086584C" w:rsidRPr="00DF101B">
        <w:rPr>
          <w:rStyle w:val="050PrefixeDossier"/>
          <w:lang w:val="en-CA"/>
        </w:rPr>
        <w:t>:</w:t>
      </w:r>
      <w:r w:rsidR="0086584C" w:rsidRPr="00DF101B">
        <w:rPr>
          <w:lang w:val="en-CA"/>
        </w:rPr>
        <w:t xml:space="preserve"> SAS-Q-249109-2005</w:t>
      </w:r>
      <w:bookmarkEnd w:id="7"/>
    </w:p>
    <w:p w14:paraId="3742DA6B" w14:textId="77777777" w:rsidR="00093AEF" w:rsidRPr="00002C36" w:rsidRDefault="0086584C" w:rsidP="00093AEF">
      <w:pPr>
        <w:pStyle w:val="060CompositionFormation"/>
        <w:pBdr>
          <w:top w:val="single" w:sz="2" w:space="12" w:color="000000"/>
        </w:pBdr>
        <w:spacing w:before="240"/>
        <w:rPr>
          <w:lang w:val="en-CA"/>
        </w:rPr>
      </w:pPr>
      <w:bookmarkStart w:id="8" w:name="bmMembreTrib"/>
      <w:bookmarkStart w:id="9" w:name="lt_pId007"/>
      <w:bookmarkEnd w:id="8"/>
      <w:r w:rsidRPr="00002C36">
        <w:rPr>
          <w:lang w:val="en-CA"/>
        </w:rPr>
        <w:t>Presiding Administrative Judges:</w:t>
      </w:r>
      <w:bookmarkEnd w:id="9"/>
      <w:r w:rsidRPr="00002C36">
        <w:rPr>
          <w:lang w:val="en-CA"/>
        </w:rPr>
        <w:t xml:space="preserve"> </w:t>
      </w:r>
    </w:p>
    <w:p w14:paraId="1AC203B4" w14:textId="77777777" w:rsidR="00093AEF" w:rsidRPr="00002C36" w:rsidRDefault="0086584C" w:rsidP="00093AEF">
      <w:pPr>
        <w:pStyle w:val="06Membre"/>
        <w:rPr>
          <w:lang w:val="fr-CA"/>
        </w:rPr>
      </w:pPr>
      <w:bookmarkStart w:id="10" w:name="lt_pId008"/>
      <w:r w:rsidRPr="00002C36">
        <w:rPr>
          <w:lang w:val="fr-CA"/>
        </w:rPr>
        <w:t>PAULO GOUVEIA</w:t>
      </w:r>
      <w:bookmarkEnd w:id="10"/>
      <w:r w:rsidRPr="00002C36">
        <w:rPr>
          <w:lang w:val="fr-CA"/>
        </w:rPr>
        <w:t xml:space="preserve"> </w:t>
      </w:r>
    </w:p>
    <w:p w14:paraId="2014D926" w14:textId="77777777" w:rsidR="00093AEF" w:rsidRPr="00002C36" w:rsidRDefault="0086584C" w:rsidP="00093AEF">
      <w:pPr>
        <w:pStyle w:val="06Membre"/>
        <w:rPr>
          <w:lang w:val="fr-CA"/>
        </w:rPr>
      </w:pPr>
      <w:bookmarkStart w:id="11" w:name="lt_pId009"/>
      <w:r w:rsidRPr="00002C36">
        <w:rPr>
          <w:lang w:val="fr-CA"/>
        </w:rPr>
        <w:t>JEAN-ROSEMOND DIEUDONNÉ</w:t>
      </w:r>
      <w:bookmarkEnd w:id="11"/>
      <w:r w:rsidRPr="00002C36">
        <w:rPr>
          <w:lang w:val="fr-CA"/>
        </w:rPr>
        <w:t xml:space="preserve"> </w:t>
      </w:r>
    </w:p>
    <w:p w14:paraId="5ADB4897" w14:textId="77777777" w:rsidR="00093AEF" w:rsidRPr="0043390F" w:rsidRDefault="0086584C" w:rsidP="00093AEF">
      <w:pPr>
        <w:pStyle w:val="06Membre"/>
        <w:rPr>
          <w:lang w:val="fr-CA"/>
        </w:rPr>
      </w:pPr>
      <w:bookmarkStart w:id="12" w:name="lt_pId010"/>
      <w:r w:rsidRPr="00002C36">
        <w:rPr>
          <w:lang w:val="fr-CA"/>
        </w:rPr>
        <w:t>PIERRE TÉTREAULT</w:t>
      </w:r>
      <w:bookmarkEnd w:id="12"/>
      <w:r w:rsidRPr="0043390F">
        <w:rPr>
          <w:lang w:val="fr-CA"/>
        </w:rPr>
        <w:t xml:space="preserve"> </w:t>
      </w:r>
    </w:p>
    <w:p w14:paraId="297CB521" w14:textId="77777777" w:rsidR="00093AEF" w:rsidRPr="0043390F" w:rsidRDefault="00DE2667" w:rsidP="00093AEF">
      <w:pPr>
        <w:pStyle w:val="070DebutDivParties"/>
        <w:rPr>
          <w:color w:val="auto"/>
          <w:lang w:val="fr-CA"/>
        </w:rPr>
      </w:pPr>
    </w:p>
    <w:p w14:paraId="303D7886" w14:textId="46B97DD6" w:rsidR="00093AEF" w:rsidRPr="00002C36" w:rsidRDefault="00002C36" w:rsidP="00093AEF">
      <w:pPr>
        <w:pStyle w:val="071IdentificationPartie"/>
        <w:rPr>
          <w:lang w:val="en-CA"/>
        </w:rPr>
      </w:pPr>
      <w:bookmarkStart w:id="13" w:name="FinReqSignet"/>
      <w:bookmarkEnd w:id="13"/>
      <w:r>
        <w:rPr>
          <w:lang w:val="en-CA"/>
        </w:rPr>
        <w:t>K</w:t>
      </w:r>
      <w:r w:rsidRPr="00002C36">
        <w:rPr>
          <w:lang w:val="en-CA"/>
        </w:rPr>
        <w:t>.</w:t>
      </w:r>
      <w:r w:rsidR="0086584C" w:rsidRPr="00002C36">
        <w:rPr>
          <w:lang w:val="en-CA"/>
        </w:rPr>
        <w:t xml:space="preserve"> </w:t>
      </w:r>
      <w:bookmarkStart w:id="14" w:name="lt_pId012"/>
      <w:r w:rsidR="0086584C" w:rsidRPr="00002C36">
        <w:rPr>
          <w:lang w:val="en-CA"/>
        </w:rPr>
        <w:t>D</w:t>
      </w:r>
      <w:bookmarkEnd w:id="14"/>
      <w:r w:rsidRPr="00002C36">
        <w:rPr>
          <w:lang w:val="en-CA"/>
        </w:rPr>
        <w:t>.</w:t>
      </w:r>
      <w:r w:rsidR="0086584C" w:rsidRPr="00002C36">
        <w:rPr>
          <w:lang w:val="en-CA"/>
        </w:rPr>
        <w:br/>
      </w:r>
      <w:bookmarkStart w:id="15" w:name="lt_pId013"/>
      <w:r w:rsidR="0086584C" w:rsidRPr="00002C36">
        <w:rPr>
          <w:lang w:val="en-CA"/>
        </w:rPr>
        <w:t>Accused</w:t>
      </w:r>
      <w:bookmarkEnd w:id="15"/>
    </w:p>
    <w:p w14:paraId="414575BC" w14:textId="77777777" w:rsidR="00093AEF" w:rsidRPr="00002C36" w:rsidRDefault="0086584C" w:rsidP="00093AEF">
      <w:pPr>
        <w:pStyle w:val="071IdentificationPartie"/>
        <w:rPr>
          <w:lang w:val="en-CA"/>
        </w:rPr>
      </w:pPr>
      <w:bookmarkStart w:id="16" w:name="FinReq"/>
      <w:bookmarkStart w:id="17" w:name="lt_pId014"/>
      <w:bookmarkEnd w:id="16"/>
      <w:r w:rsidRPr="00002C36">
        <w:rPr>
          <w:lang w:val="en-CA"/>
        </w:rPr>
        <w:t>and</w:t>
      </w:r>
      <w:bookmarkEnd w:id="17"/>
    </w:p>
    <w:p w14:paraId="20C28AF6" w14:textId="77777777" w:rsidR="00093AEF" w:rsidRPr="00002C36" w:rsidRDefault="0086584C" w:rsidP="00093AEF">
      <w:pPr>
        <w:pStyle w:val="071IdentificationPartie"/>
        <w:rPr>
          <w:lang w:val="en-CA"/>
        </w:rPr>
      </w:pPr>
      <w:bookmarkStart w:id="18" w:name="PageMise"/>
      <w:bookmarkStart w:id="19" w:name="sApresC"/>
      <w:bookmarkStart w:id="20" w:name="FinIntiSignet"/>
      <w:bookmarkStart w:id="21" w:name="lt_pId015"/>
      <w:bookmarkEnd w:id="18"/>
      <w:bookmarkEnd w:id="19"/>
      <w:bookmarkEnd w:id="20"/>
      <w:r w:rsidRPr="00002C36">
        <w:rPr>
          <w:lang w:val="en-CA"/>
        </w:rPr>
        <w:t>PERSON IN CHARGE OF THE CIUSSS A (HOSPITAL A)</w:t>
      </w:r>
      <w:bookmarkEnd w:id="21"/>
    </w:p>
    <w:p w14:paraId="6259B4CA" w14:textId="77777777" w:rsidR="00093AEF" w:rsidRPr="00002C36" w:rsidRDefault="0086584C" w:rsidP="00093AEF">
      <w:pPr>
        <w:pStyle w:val="071IdentificationPartie"/>
        <w:rPr>
          <w:lang w:val="en-CA"/>
        </w:rPr>
      </w:pPr>
      <w:bookmarkStart w:id="22" w:name="FinInti"/>
      <w:bookmarkStart w:id="23" w:name="sAvant1Et"/>
      <w:bookmarkStart w:id="24" w:name="lt_pId016"/>
      <w:bookmarkEnd w:id="22"/>
      <w:bookmarkEnd w:id="23"/>
      <w:r w:rsidRPr="00002C36">
        <w:rPr>
          <w:lang w:val="en-CA"/>
        </w:rPr>
        <w:t>and</w:t>
      </w:r>
      <w:bookmarkEnd w:id="24"/>
    </w:p>
    <w:p w14:paraId="267996C8" w14:textId="77777777" w:rsidR="00093AEF" w:rsidRPr="0043390F" w:rsidRDefault="0086584C" w:rsidP="00093AEF">
      <w:pPr>
        <w:pStyle w:val="071IdentificationPartie"/>
        <w:rPr>
          <w:lang w:val="en-CA"/>
        </w:rPr>
      </w:pPr>
      <w:bookmarkStart w:id="25" w:name="PageIntervenant"/>
      <w:bookmarkStart w:id="26" w:name="FinInterSignet"/>
      <w:bookmarkStart w:id="27" w:name="lt_pId017"/>
      <w:bookmarkEnd w:id="25"/>
      <w:bookmarkEnd w:id="26"/>
      <w:r w:rsidRPr="00002C36">
        <w:rPr>
          <w:lang w:val="en-CA"/>
        </w:rPr>
        <w:t>DIRECTOR OF CRIMINAL AND PENAL PROSECUTIONS</w:t>
      </w:r>
      <w:bookmarkEnd w:id="27"/>
    </w:p>
    <w:p w14:paraId="219A31A1" w14:textId="77777777" w:rsidR="00093AEF" w:rsidRPr="0043390F" w:rsidRDefault="00DE2667" w:rsidP="00093AEF">
      <w:pPr>
        <w:pStyle w:val="071IdentificationPartie"/>
        <w:rPr>
          <w:lang w:val="en-CA"/>
        </w:rPr>
      </w:pPr>
      <w:bookmarkStart w:id="28" w:name="FinInter"/>
      <w:bookmarkStart w:id="29" w:name="FinPageTitre"/>
      <w:bookmarkEnd w:id="28"/>
      <w:bookmarkEnd w:id="29"/>
    </w:p>
    <w:p w14:paraId="336E9F18" w14:textId="77777777" w:rsidR="00093AEF" w:rsidRPr="0043390F" w:rsidRDefault="00DE2667" w:rsidP="00093AEF">
      <w:pPr>
        <w:pStyle w:val="070FinDivParties"/>
        <w:rPr>
          <w:color w:val="auto"/>
          <w:lang w:val="en-CA"/>
        </w:rPr>
      </w:pPr>
    </w:p>
    <w:p w14:paraId="35DA18A3" w14:textId="77777777" w:rsidR="00093AEF" w:rsidRPr="0043390F" w:rsidRDefault="00DE2667" w:rsidP="00093AEF">
      <w:pPr>
        <w:pStyle w:val="070FinDivParties"/>
        <w:rPr>
          <w:color w:val="auto"/>
          <w:lang w:val="en-CA"/>
        </w:rPr>
        <w:sectPr w:rsidR="00093AEF" w:rsidRPr="0043390F" w:rsidSect="00093AEF">
          <w:headerReference w:type="default" r:id="rId8"/>
          <w:headerReference w:type="first" r:id="rId9"/>
          <w:pgSz w:w="12240" w:h="15840" w:code="1"/>
          <w:pgMar w:top="2837" w:right="1080" w:bottom="2016" w:left="1440" w:header="1699" w:footer="706" w:gutter="0"/>
          <w:cols w:space="720"/>
          <w:titlePg/>
          <w:docGrid w:linePitch="326"/>
        </w:sectPr>
      </w:pPr>
      <w:bookmarkStart w:id="32" w:name="sEndLine"/>
      <w:bookmarkEnd w:id="32"/>
    </w:p>
    <w:p w14:paraId="0AEFF28B" w14:textId="77777777" w:rsidR="003B7EE5" w:rsidRPr="00002C36" w:rsidRDefault="0086584C" w:rsidP="00093AEF">
      <w:pPr>
        <w:pStyle w:val="10TypeDecision"/>
        <w:pBdr>
          <w:top w:val="single" w:sz="2" w:space="12" w:color="000000"/>
          <w:bottom w:val="single" w:sz="2" w:space="12" w:color="000000"/>
        </w:pBdr>
        <w:rPr>
          <w:lang w:val="en-CA"/>
        </w:rPr>
        <w:sectPr w:rsidR="003B7EE5" w:rsidRPr="00002C36">
          <w:headerReference w:type="default" r:id="rId10"/>
          <w:pgSz w:w="12240" w:h="15840" w:code="1"/>
          <w:pgMar w:top="2837" w:right="1080" w:bottom="2016" w:left="1440" w:header="1699" w:footer="720" w:gutter="0"/>
          <w:cols w:space="720"/>
        </w:sectPr>
      </w:pPr>
      <w:bookmarkStart w:id="34" w:name="lt_pId019"/>
      <w:r w:rsidRPr="00002C36">
        <w:rPr>
          <w:lang w:val="en-CA"/>
        </w:rPr>
        <w:lastRenderedPageBreak/>
        <w:t>REASONS FOR DISPOSITION</w:t>
      </w:r>
      <w:bookmarkEnd w:id="34"/>
      <w:r w:rsidRPr="00002C36">
        <w:rPr>
          <w:lang w:val="en-CA"/>
        </w:rPr>
        <w:br/>
      </w:r>
      <w:bookmarkStart w:id="35" w:name="lt_pId020"/>
      <w:r w:rsidRPr="00002C36">
        <w:rPr>
          <w:lang w:val="en-CA"/>
        </w:rPr>
        <w:t>REND</w:t>
      </w:r>
      <w:r w:rsidR="00B44E83" w:rsidRPr="00002C36">
        <w:rPr>
          <w:lang w:val="en-CA"/>
        </w:rPr>
        <w:t>ERED ON JULY 7,</w:t>
      </w:r>
      <w:r w:rsidRPr="00002C36">
        <w:rPr>
          <w:lang w:val="en-CA"/>
        </w:rPr>
        <w:t xml:space="preserve"> 202</w:t>
      </w:r>
      <w:bookmarkStart w:id="36" w:name="sDecision"/>
      <w:bookmarkEnd w:id="36"/>
      <w:r w:rsidRPr="00002C36">
        <w:rPr>
          <w:lang w:val="en-CA"/>
        </w:rPr>
        <w:t>0</w:t>
      </w:r>
      <w:bookmarkEnd w:id="35"/>
    </w:p>
    <w:p w14:paraId="3238835B" w14:textId="77777777" w:rsidR="00093AEF" w:rsidRPr="0043390F" w:rsidRDefault="00DE2667" w:rsidP="00093AEF">
      <w:pPr>
        <w:pStyle w:val="16Invisible2"/>
        <w:rPr>
          <w:color w:val="auto"/>
          <w:highlight w:val="yellow"/>
          <w:lang w:val="en-CA"/>
        </w:rPr>
      </w:pPr>
    </w:p>
    <w:p w14:paraId="3D141120" w14:textId="77777777" w:rsidR="00093AEF" w:rsidRPr="0043390F" w:rsidRDefault="00DE2667" w:rsidP="00093AEF">
      <w:pPr>
        <w:pStyle w:val="16Invisible2"/>
        <w:rPr>
          <w:color w:val="auto"/>
          <w:highlight w:val="yellow"/>
          <w:lang w:val="en-CA"/>
        </w:rPr>
        <w:sectPr w:rsidR="00093AEF" w:rsidRPr="0043390F">
          <w:type w:val="continuous"/>
          <w:pgSz w:w="12240" w:h="15840"/>
          <w:pgMar w:top="2837" w:right="1080" w:bottom="2016" w:left="1440" w:header="1699" w:footer="720" w:gutter="0"/>
          <w:cols w:space="720"/>
        </w:sectPr>
      </w:pPr>
    </w:p>
    <w:p w14:paraId="45E1D503" w14:textId="77777777" w:rsidR="00093AEF" w:rsidRPr="0043390F" w:rsidRDefault="00DE2667" w:rsidP="00093AEF">
      <w:pPr>
        <w:pStyle w:val="16Invisible2"/>
        <w:rPr>
          <w:color w:val="auto"/>
          <w:highlight w:val="yellow"/>
          <w:lang w:val="en-CA"/>
        </w:rPr>
        <w:sectPr w:rsidR="00093AEF" w:rsidRPr="0043390F">
          <w:type w:val="continuous"/>
          <w:pgSz w:w="12240" w:h="15840"/>
          <w:pgMar w:top="2837" w:right="1080" w:bottom="2016" w:left="1440" w:header="1699" w:footer="720" w:gutter="0"/>
          <w:cols w:space="720"/>
        </w:sectPr>
      </w:pPr>
    </w:p>
    <w:p w14:paraId="03B5AC82" w14:textId="7FEB2915" w:rsidR="000F29CA" w:rsidRPr="00002C36" w:rsidRDefault="00B44E83" w:rsidP="000F29CA">
      <w:pPr>
        <w:pStyle w:val="F02-Texte"/>
        <w:rPr>
          <w:lang w:val="en-CA"/>
        </w:rPr>
      </w:pPr>
      <w:bookmarkStart w:id="37" w:name="lt_pId021"/>
      <w:r w:rsidRPr="00002C36">
        <w:rPr>
          <w:rFonts w:cs="Arial"/>
          <w:szCs w:val="24"/>
          <w:lang w:val="en-CA"/>
        </w:rPr>
        <w:t xml:space="preserve">The </w:t>
      </w:r>
      <w:r w:rsidRPr="00002C36">
        <w:rPr>
          <w:rFonts w:cs="Arial"/>
          <w:bCs/>
          <w:szCs w:val="24"/>
          <w:lang w:val="en-CA"/>
        </w:rPr>
        <w:t>Social Affairs Section of the Tribunal administratif du Québec, designated as a Review Board for mental disorder</w:t>
      </w:r>
      <w:r w:rsidRPr="00002C36">
        <w:rPr>
          <w:rFonts w:cs="Arial"/>
          <w:szCs w:val="24"/>
          <w:lang w:val="en-CA"/>
        </w:rPr>
        <w:t xml:space="preserve"> (the </w:t>
      </w:r>
      <w:r w:rsidR="00002C36" w:rsidRPr="00002C36">
        <w:rPr>
          <w:rFonts w:cs="Arial"/>
          <w:szCs w:val="24"/>
          <w:lang w:val="en-CA"/>
        </w:rPr>
        <w:t>“</w:t>
      </w:r>
      <w:r w:rsidRPr="00002C36">
        <w:rPr>
          <w:rFonts w:cs="Arial"/>
          <w:szCs w:val="24"/>
          <w:lang w:val="en-CA"/>
        </w:rPr>
        <w:t>Board</w:t>
      </w:r>
      <w:r w:rsidR="00002C36" w:rsidRPr="00002C36">
        <w:rPr>
          <w:rFonts w:cs="Arial"/>
          <w:szCs w:val="24"/>
          <w:lang w:val="en-CA"/>
        </w:rPr>
        <w:t>”</w:t>
      </w:r>
      <w:r w:rsidRPr="00002C36">
        <w:rPr>
          <w:rFonts w:cs="Arial"/>
          <w:szCs w:val="24"/>
          <w:lang w:val="en-CA"/>
        </w:rPr>
        <w:t xml:space="preserve">) under the </w:t>
      </w:r>
      <w:r w:rsidRPr="00002C36">
        <w:rPr>
          <w:rFonts w:cs="Arial"/>
          <w:i/>
          <w:szCs w:val="24"/>
          <w:lang w:val="en-CA"/>
        </w:rPr>
        <w:t>Criminal Code</w:t>
      </w:r>
      <w:r w:rsidRPr="00002C36">
        <w:rPr>
          <w:rFonts w:cs="Arial"/>
          <w:szCs w:val="24"/>
          <w:lang w:val="en-CA"/>
        </w:rPr>
        <w:t>,</w:t>
      </w:r>
      <w:r w:rsidR="0047320A" w:rsidRPr="00002C36">
        <w:rPr>
          <w:rStyle w:val="Appelnotedebasdep"/>
          <w:rFonts w:cs="Arial"/>
          <w:szCs w:val="24"/>
        </w:rPr>
        <w:footnoteReference w:id="1"/>
      </w:r>
      <w:r w:rsidRPr="00002C36">
        <w:rPr>
          <w:rFonts w:cs="Arial"/>
          <w:szCs w:val="24"/>
          <w:lang w:val="en-CA"/>
        </w:rPr>
        <w:t xml:space="preserve"> is holding its first hearing for the accused</w:t>
      </w:r>
      <w:r w:rsidR="0086584C" w:rsidRPr="00002C36">
        <w:rPr>
          <w:rFonts w:cs="Arial"/>
          <w:szCs w:val="24"/>
          <w:lang w:val="en-CA"/>
        </w:rPr>
        <w:t>.</w:t>
      </w:r>
      <w:bookmarkEnd w:id="37"/>
      <w:r w:rsidR="0086584C" w:rsidRPr="00002C36">
        <w:rPr>
          <w:rFonts w:cs="Arial"/>
          <w:szCs w:val="24"/>
          <w:lang w:val="en-CA"/>
        </w:rPr>
        <w:t xml:space="preserve"> </w:t>
      </w:r>
    </w:p>
    <w:p w14:paraId="6BA7B796" w14:textId="77777777" w:rsidR="000F29CA" w:rsidRPr="00002C36" w:rsidRDefault="0086584C" w:rsidP="000F29CA">
      <w:pPr>
        <w:pStyle w:val="F08-Titre"/>
      </w:pPr>
      <w:bookmarkStart w:id="39" w:name="lt_pId022"/>
      <w:r w:rsidRPr="00002C36">
        <w:t>I.</w:t>
      </w:r>
      <w:bookmarkEnd w:id="39"/>
      <w:r w:rsidRPr="00002C36">
        <w:t xml:space="preserve"> </w:t>
      </w:r>
      <w:bookmarkStart w:id="40" w:name="lt_pId023"/>
      <w:r w:rsidRPr="00002C36">
        <w:t>THE BOARD’S MANDATE</w:t>
      </w:r>
      <w:bookmarkEnd w:id="40"/>
    </w:p>
    <w:p w14:paraId="1C3AF6D2" w14:textId="5A9765B8" w:rsidR="000F29CA" w:rsidRPr="00E360D6" w:rsidRDefault="00E360D6" w:rsidP="000F29CA">
      <w:pPr>
        <w:pStyle w:val="F02-Texte"/>
        <w:rPr>
          <w:lang w:val="en-CA"/>
        </w:rPr>
      </w:pPr>
      <w:r w:rsidRPr="00002C36">
        <w:rPr>
          <w:rFonts w:cs="Arial"/>
          <w:szCs w:val="24"/>
          <w:lang w:val="en-CA"/>
        </w:rPr>
        <w:t>On May 7, 2020, the accused</w:t>
      </w:r>
      <w:r w:rsidRPr="00E360D6">
        <w:rPr>
          <w:rFonts w:cs="Arial"/>
          <w:szCs w:val="24"/>
          <w:lang w:val="en-CA"/>
        </w:rPr>
        <w:t xml:space="preserve"> </w:t>
      </w:r>
      <w:proofErr w:type="gramStart"/>
      <w:r w:rsidRPr="00E360D6">
        <w:rPr>
          <w:rFonts w:cs="Arial"/>
          <w:szCs w:val="24"/>
          <w:lang w:val="en-CA"/>
        </w:rPr>
        <w:t>was found</w:t>
      </w:r>
      <w:proofErr w:type="gramEnd"/>
      <w:r w:rsidRPr="00E360D6">
        <w:rPr>
          <w:rFonts w:cs="Arial"/>
          <w:szCs w:val="24"/>
          <w:lang w:val="en-CA"/>
        </w:rPr>
        <w:t xml:space="preserve"> unfit to stand trial. The following charges remain pending before the Court:</w:t>
      </w:r>
    </w:p>
    <w:p w14:paraId="1D1B9D8C" w14:textId="0D730A5E" w:rsidR="000F29CA" w:rsidRPr="00DF101B" w:rsidRDefault="00DF101B" w:rsidP="000F29CA">
      <w:pPr>
        <w:pStyle w:val="F06-Tiret"/>
        <w:rPr>
          <w:lang w:val="en-CA"/>
        </w:rPr>
      </w:pPr>
      <w:r w:rsidRPr="00DF101B">
        <w:rPr>
          <w:lang w:val="en-CA"/>
        </w:rPr>
        <w:t xml:space="preserve">On or about February 8, 2020, </w:t>
      </w:r>
      <w:r w:rsidR="00D408C1">
        <w:rPr>
          <w:lang w:val="en-CA"/>
        </w:rPr>
        <w:t>assault against</w:t>
      </w:r>
      <w:r w:rsidRPr="00DF101B">
        <w:rPr>
          <w:lang w:val="en-CA"/>
        </w:rPr>
        <w:t xml:space="preserve"> E.D. while carrying a weapon;</w:t>
      </w:r>
    </w:p>
    <w:p w14:paraId="4777D3BC" w14:textId="0E2000A9" w:rsidR="000F29CA" w:rsidRPr="00DF101B" w:rsidRDefault="00DF101B" w:rsidP="000F29CA">
      <w:pPr>
        <w:pStyle w:val="F06-Tiret"/>
        <w:rPr>
          <w:lang w:val="en-CA"/>
        </w:rPr>
      </w:pPr>
      <w:r w:rsidRPr="00DF101B">
        <w:rPr>
          <w:lang w:val="en-CA"/>
        </w:rPr>
        <w:t xml:space="preserve">Between November 1, 2019, and February 5, 2020, </w:t>
      </w:r>
      <w:r w:rsidR="00D408C1">
        <w:rPr>
          <w:lang w:val="en-CA"/>
        </w:rPr>
        <w:t>assault against</w:t>
      </w:r>
      <w:r w:rsidRPr="00DF101B">
        <w:rPr>
          <w:lang w:val="en-CA"/>
        </w:rPr>
        <w:t xml:space="preserve"> E.D.;</w:t>
      </w:r>
    </w:p>
    <w:p w14:paraId="5B029EE6" w14:textId="4A2CF066" w:rsidR="000F29CA" w:rsidRPr="007C6E47" w:rsidRDefault="003C68AE" w:rsidP="000F29CA">
      <w:pPr>
        <w:pStyle w:val="F06-Tiret"/>
        <w:rPr>
          <w:lang w:val="en-CA"/>
        </w:rPr>
      </w:pPr>
      <w:r w:rsidRPr="007C6E47">
        <w:rPr>
          <w:lang w:val="en-CA"/>
        </w:rPr>
        <w:t xml:space="preserve">On or about February 1, 2020, </w:t>
      </w:r>
      <w:r w:rsidR="00D408C1" w:rsidRPr="007C6E47">
        <w:rPr>
          <w:lang w:val="en-CA"/>
        </w:rPr>
        <w:t xml:space="preserve">knowingly </w:t>
      </w:r>
      <w:r w:rsidR="007C6E47" w:rsidRPr="007C6E47">
        <w:rPr>
          <w:lang w:val="en-CA"/>
        </w:rPr>
        <w:t xml:space="preserve">uttering a threat </w:t>
      </w:r>
      <w:r w:rsidR="00D408C1" w:rsidRPr="007C6E47">
        <w:rPr>
          <w:lang w:val="en-CA"/>
        </w:rPr>
        <w:t xml:space="preserve">to cause death or bodily harm </w:t>
      </w:r>
      <w:r w:rsidR="007C6E47" w:rsidRPr="007C6E47">
        <w:rPr>
          <w:lang w:val="en-CA"/>
        </w:rPr>
        <w:t>to</w:t>
      </w:r>
      <w:r w:rsidR="00D408C1" w:rsidRPr="007C6E47">
        <w:rPr>
          <w:lang w:val="en-CA"/>
        </w:rPr>
        <w:t xml:space="preserve"> E.D.;</w:t>
      </w:r>
    </w:p>
    <w:p w14:paraId="0E96C1F6" w14:textId="4C227050" w:rsidR="000F29CA" w:rsidRPr="000E0A46" w:rsidRDefault="007C6E47" w:rsidP="000F29CA">
      <w:pPr>
        <w:pStyle w:val="F06-Tiret"/>
        <w:rPr>
          <w:lang w:val="en-CA"/>
        </w:rPr>
      </w:pPr>
      <w:r w:rsidRPr="000E0A46">
        <w:rPr>
          <w:lang w:val="en-CA"/>
        </w:rPr>
        <w:t>On or about February 8, 2020, wilfully obstructing J.S</w:t>
      </w:r>
      <w:r w:rsidR="00002C36">
        <w:rPr>
          <w:lang w:val="en-CA"/>
        </w:rPr>
        <w:t>.</w:t>
      </w:r>
      <w:r w:rsidRPr="000E0A46">
        <w:rPr>
          <w:lang w:val="en-CA"/>
        </w:rPr>
        <w:t>-P</w:t>
      </w:r>
      <w:r w:rsidR="00002C36">
        <w:rPr>
          <w:lang w:val="en-CA"/>
        </w:rPr>
        <w:t>.</w:t>
      </w:r>
      <w:r w:rsidRPr="000E0A46">
        <w:rPr>
          <w:lang w:val="en-CA"/>
        </w:rPr>
        <w:t xml:space="preserve"> </w:t>
      </w:r>
      <w:proofErr w:type="gramStart"/>
      <w:r w:rsidRPr="000E0A46">
        <w:rPr>
          <w:lang w:val="en-CA"/>
        </w:rPr>
        <w:t>and</w:t>
      </w:r>
      <w:proofErr w:type="gramEnd"/>
      <w:r w:rsidRPr="000E0A46">
        <w:rPr>
          <w:lang w:val="en-CA"/>
        </w:rPr>
        <w:t xml:space="preserve"> A.G., peace officers actin</w:t>
      </w:r>
      <w:r w:rsidR="009A25A2" w:rsidRPr="000E0A46">
        <w:rPr>
          <w:lang w:val="en-CA"/>
        </w:rPr>
        <w:t xml:space="preserve">g in the performance of their duties. </w:t>
      </w:r>
    </w:p>
    <w:p w14:paraId="489BBD21" w14:textId="3AD16B50" w:rsidR="000F29CA" w:rsidRPr="000E0A46" w:rsidRDefault="000E0A46" w:rsidP="000F29CA">
      <w:pPr>
        <w:pStyle w:val="F02-Texte"/>
        <w:rPr>
          <w:lang w:val="en-CA"/>
        </w:rPr>
      </w:pPr>
      <w:r w:rsidRPr="000E0A46">
        <w:rPr>
          <w:rFonts w:cs="Arial"/>
          <w:szCs w:val="24"/>
          <w:lang w:val="en-CA"/>
        </w:rPr>
        <w:t xml:space="preserve">The </w:t>
      </w:r>
      <w:r w:rsidR="00002C36">
        <w:rPr>
          <w:rFonts w:cs="Arial"/>
          <w:szCs w:val="24"/>
          <w:lang w:val="en-CA"/>
        </w:rPr>
        <w:t>Tribunal</w:t>
      </w:r>
      <w:r w:rsidRPr="000E0A46">
        <w:rPr>
          <w:rFonts w:cs="Arial"/>
          <w:szCs w:val="24"/>
          <w:lang w:val="en-CA"/>
        </w:rPr>
        <w:t>, in rendering its decision, ordered that the a</w:t>
      </w:r>
      <w:r>
        <w:rPr>
          <w:rFonts w:cs="Arial"/>
          <w:szCs w:val="24"/>
          <w:lang w:val="en-CA"/>
        </w:rPr>
        <w:t xml:space="preserve">ccused </w:t>
      </w:r>
      <w:proofErr w:type="gramStart"/>
      <w:r>
        <w:rPr>
          <w:rFonts w:cs="Arial"/>
          <w:szCs w:val="24"/>
          <w:lang w:val="en-CA"/>
        </w:rPr>
        <w:t>be detained</w:t>
      </w:r>
      <w:proofErr w:type="gramEnd"/>
      <w:r>
        <w:rPr>
          <w:rFonts w:cs="Arial"/>
          <w:szCs w:val="24"/>
          <w:lang w:val="en-CA"/>
        </w:rPr>
        <w:t xml:space="preserve"> in the </w:t>
      </w:r>
      <w:r w:rsidR="000A0F4B">
        <w:rPr>
          <w:rFonts w:cs="Arial"/>
          <w:szCs w:val="24"/>
          <w:lang w:val="en-CA"/>
        </w:rPr>
        <w:t xml:space="preserve">current </w:t>
      </w:r>
      <w:r>
        <w:rPr>
          <w:rFonts w:cs="Arial"/>
          <w:szCs w:val="24"/>
          <w:lang w:val="en-CA"/>
        </w:rPr>
        <w:t xml:space="preserve">hospital pending this hearing. </w:t>
      </w:r>
    </w:p>
    <w:p w14:paraId="19B36EC3" w14:textId="77777777" w:rsidR="000F29CA" w:rsidRPr="0043390F" w:rsidRDefault="0086584C" w:rsidP="000F29CA">
      <w:pPr>
        <w:pStyle w:val="F08-Titre"/>
      </w:pPr>
      <w:bookmarkStart w:id="41" w:name="lt_pId031"/>
      <w:r w:rsidRPr="000A0F4B">
        <w:t>II.</w:t>
      </w:r>
      <w:bookmarkEnd w:id="41"/>
      <w:r w:rsidRPr="000A0F4B">
        <w:t xml:space="preserve"> </w:t>
      </w:r>
      <w:bookmarkStart w:id="42" w:name="lt_pId032"/>
      <w:r w:rsidRPr="000A0F4B">
        <w:t>THE BOARD’S ROLE</w:t>
      </w:r>
      <w:bookmarkEnd w:id="42"/>
    </w:p>
    <w:p w14:paraId="13ACE52A" w14:textId="1D48078C" w:rsidR="000F29CA" w:rsidRPr="00543172" w:rsidRDefault="0086584C" w:rsidP="000F29CA">
      <w:pPr>
        <w:pStyle w:val="F02-Texte"/>
        <w:rPr>
          <w:lang w:val="en-CA"/>
        </w:rPr>
      </w:pPr>
      <w:bookmarkStart w:id="43" w:name="lt_pId033"/>
      <w:r w:rsidRPr="00543172">
        <w:rPr>
          <w:rFonts w:cs="Arial"/>
          <w:szCs w:val="24"/>
          <w:lang w:val="en-CA"/>
        </w:rPr>
        <w:t>The Board must first assess the accused’s mental condition to determine whether, at the time of the hearing, he has become fit to stand trial.</w:t>
      </w:r>
      <w:bookmarkEnd w:id="43"/>
      <w:r w:rsidRPr="00543172">
        <w:rPr>
          <w:rFonts w:cs="Arial"/>
          <w:szCs w:val="24"/>
          <w:lang w:val="en-CA"/>
        </w:rPr>
        <w:t xml:space="preserve"> </w:t>
      </w:r>
      <w:bookmarkStart w:id="44" w:name="lt_pId034"/>
      <w:r w:rsidRPr="00543172">
        <w:rPr>
          <w:rFonts w:cs="Arial"/>
          <w:szCs w:val="24"/>
          <w:lang w:val="en-CA"/>
        </w:rPr>
        <w:t xml:space="preserve">If the Board determines that he is fit, it </w:t>
      </w:r>
      <w:r w:rsidR="005D383D" w:rsidRPr="00543172">
        <w:rPr>
          <w:rFonts w:cs="Arial"/>
          <w:szCs w:val="24"/>
          <w:lang w:val="en-CA"/>
        </w:rPr>
        <w:t xml:space="preserve">must </w:t>
      </w:r>
      <w:r w:rsidRPr="00543172">
        <w:rPr>
          <w:rFonts w:cs="Arial"/>
          <w:szCs w:val="24"/>
          <w:lang w:val="en-CA"/>
        </w:rPr>
        <w:t xml:space="preserve">order that the accused </w:t>
      </w:r>
      <w:proofErr w:type="gramStart"/>
      <w:r w:rsidRPr="00543172">
        <w:rPr>
          <w:rFonts w:cs="Arial"/>
          <w:szCs w:val="24"/>
          <w:lang w:val="en-CA"/>
        </w:rPr>
        <w:t xml:space="preserve">be </w:t>
      </w:r>
      <w:r w:rsidR="00CC4A9D">
        <w:rPr>
          <w:rFonts w:cs="Arial"/>
          <w:szCs w:val="24"/>
          <w:lang w:val="en-CA"/>
        </w:rPr>
        <w:t>sent</w:t>
      </w:r>
      <w:proofErr w:type="gramEnd"/>
      <w:r w:rsidR="00CC4A9D" w:rsidRPr="00543172">
        <w:rPr>
          <w:rFonts w:cs="Arial"/>
          <w:szCs w:val="24"/>
          <w:lang w:val="en-CA"/>
        </w:rPr>
        <w:t xml:space="preserve"> </w:t>
      </w:r>
      <w:r w:rsidRPr="00543172">
        <w:rPr>
          <w:rFonts w:cs="Arial"/>
          <w:szCs w:val="24"/>
          <w:lang w:val="en-CA"/>
        </w:rPr>
        <w:t xml:space="preserve">back to court, and the court </w:t>
      </w:r>
      <w:r w:rsidR="005D383D" w:rsidRPr="00543172">
        <w:rPr>
          <w:rFonts w:cs="Arial"/>
          <w:szCs w:val="24"/>
          <w:lang w:val="en-CA"/>
        </w:rPr>
        <w:t xml:space="preserve">must </w:t>
      </w:r>
      <w:r w:rsidRPr="00543172">
        <w:rPr>
          <w:rFonts w:cs="Arial"/>
          <w:szCs w:val="24"/>
          <w:lang w:val="en-CA"/>
        </w:rPr>
        <w:t>make its determination as to his fitness to stand trial.</w:t>
      </w:r>
      <w:bookmarkEnd w:id="44"/>
    </w:p>
    <w:p w14:paraId="6AE04A2E" w14:textId="77777777" w:rsidR="000F29CA" w:rsidRPr="00597C32" w:rsidRDefault="0086584C" w:rsidP="000F29CA">
      <w:pPr>
        <w:pStyle w:val="F02-Texte"/>
        <w:rPr>
          <w:b/>
          <w:lang w:val="en-CA"/>
        </w:rPr>
      </w:pPr>
      <w:bookmarkStart w:id="45" w:name="lt_pId035"/>
      <w:r w:rsidRPr="00597C32">
        <w:rPr>
          <w:rFonts w:cs="Arial"/>
          <w:lang w:val="en-CA"/>
        </w:rPr>
        <w:lastRenderedPageBreak/>
        <w:t xml:space="preserve">Next, the Board must determine whether measures </w:t>
      </w:r>
      <w:proofErr w:type="gramStart"/>
      <w:r w:rsidRPr="00597C32">
        <w:rPr>
          <w:rFonts w:cs="Arial"/>
          <w:lang w:val="en-CA"/>
        </w:rPr>
        <w:t>should be taken</w:t>
      </w:r>
      <w:proofErr w:type="gramEnd"/>
      <w:r w:rsidRPr="00597C32">
        <w:rPr>
          <w:rFonts w:cs="Arial"/>
          <w:lang w:val="en-CA"/>
        </w:rPr>
        <w:t xml:space="preserve"> to ensure that the accused remains fit to stand trial and to control the significant threat to the safety of the public that he represents because of his mental condition, until the court rules on his fitness to stand trial.</w:t>
      </w:r>
      <w:bookmarkEnd w:id="45"/>
      <w:r w:rsidRPr="00597C32">
        <w:rPr>
          <w:rFonts w:cs="Arial"/>
          <w:lang w:val="en-CA"/>
        </w:rPr>
        <w:t xml:space="preserve"> </w:t>
      </w:r>
      <w:bookmarkStart w:id="46" w:name="lt_pId036"/>
      <w:r w:rsidRPr="00597C32">
        <w:rPr>
          <w:rFonts w:cs="Arial"/>
          <w:lang w:val="en-CA"/>
        </w:rPr>
        <w:t>It must make the disposition that is necessary and appropriate in the circumstances.</w:t>
      </w:r>
      <w:bookmarkEnd w:id="46"/>
      <w:r w:rsidRPr="00597C32">
        <w:rPr>
          <w:rFonts w:cs="Arial"/>
          <w:lang w:val="en-CA"/>
        </w:rPr>
        <w:t xml:space="preserve"> </w:t>
      </w:r>
    </w:p>
    <w:p w14:paraId="398AC351" w14:textId="3B48F8D0" w:rsidR="00D95B2E" w:rsidRPr="00B43D1F" w:rsidRDefault="00B43D1F" w:rsidP="000F29CA">
      <w:pPr>
        <w:pStyle w:val="F02-Texte"/>
        <w:rPr>
          <w:lang w:val="en-CA" w:eastAsia="fr-CA"/>
        </w:rPr>
      </w:pPr>
      <w:r w:rsidRPr="00B43D1F">
        <w:rPr>
          <w:rFonts w:cs="Arial"/>
          <w:lang w:val="en-CA"/>
        </w:rPr>
        <w:t xml:space="preserve">The Board may also find that the accused remains </w:t>
      </w:r>
      <w:r>
        <w:rPr>
          <w:rFonts w:cs="Arial"/>
          <w:lang w:val="en-CA"/>
        </w:rPr>
        <w:t>unfit.</w:t>
      </w:r>
      <w:r w:rsidR="00FD2A6E">
        <w:rPr>
          <w:rFonts w:cs="Arial"/>
          <w:lang w:val="en-CA"/>
        </w:rPr>
        <w:t xml:space="preserve"> If the Board determines that </w:t>
      </w:r>
      <w:r w:rsidR="00543172">
        <w:rPr>
          <w:rFonts w:cs="Arial"/>
          <w:lang w:val="en-CA"/>
        </w:rPr>
        <w:t>this is the case</w:t>
      </w:r>
      <w:r w:rsidR="00FD2A6E">
        <w:rPr>
          <w:rFonts w:cs="Arial"/>
          <w:lang w:val="en-CA"/>
        </w:rPr>
        <w:t xml:space="preserve">, it must determine whether the accused poses a significant threat to the safety of the public because of </w:t>
      </w:r>
      <w:r w:rsidR="00503CEE">
        <w:rPr>
          <w:rFonts w:cs="Arial"/>
          <w:lang w:val="en-CA"/>
        </w:rPr>
        <w:t xml:space="preserve">his mental condition, and, if necessary, decide which measures </w:t>
      </w:r>
      <w:proofErr w:type="gramStart"/>
      <w:r w:rsidR="00503CEE">
        <w:rPr>
          <w:rFonts w:cs="Arial"/>
          <w:lang w:val="en-CA"/>
        </w:rPr>
        <w:t>should be taken</w:t>
      </w:r>
      <w:proofErr w:type="gramEnd"/>
      <w:r w:rsidR="00503CEE">
        <w:rPr>
          <w:rFonts w:cs="Arial"/>
          <w:lang w:val="en-CA"/>
        </w:rPr>
        <w:t xml:space="preserve"> to control this threat and allow his reintegration into society. </w:t>
      </w:r>
    </w:p>
    <w:p w14:paraId="1B73D6F7" w14:textId="77777777" w:rsidR="000F29CA" w:rsidRPr="00597C32" w:rsidRDefault="0086584C" w:rsidP="00540898">
      <w:pPr>
        <w:pStyle w:val="F08-Titre"/>
        <w:rPr>
          <w:lang w:eastAsia="fr-CA"/>
        </w:rPr>
      </w:pPr>
      <w:bookmarkStart w:id="47" w:name="lt_pId039"/>
      <w:r w:rsidRPr="00597C32">
        <w:rPr>
          <w:lang w:eastAsia="fr-CA"/>
        </w:rPr>
        <w:t>HEARING</w:t>
      </w:r>
      <w:bookmarkEnd w:id="47"/>
    </w:p>
    <w:p w14:paraId="460A81B8" w14:textId="4E7FF8D5" w:rsidR="000F29CA" w:rsidRPr="00597C32" w:rsidRDefault="0086584C" w:rsidP="000F29CA">
      <w:pPr>
        <w:pStyle w:val="F02-Texte"/>
        <w:rPr>
          <w:rFonts w:cs="Arial"/>
          <w:szCs w:val="24"/>
          <w:lang w:val="en-CA" w:eastAsia="fr-CA"/>
        </w:rPr>
      </w:pPr>
      <w:bookmarkStart w:id="48" w:name="lt_pId040"/>
      <w:r w:rsidRPr="00597C32">
        <w:rPr>
          <w:rFonts w:cs="Arial"/>
          <w:szCs w:val="24"/>
          <w:lang w:val="en-CA" w:eastAsia="fr-CA"/>
        </w:rPr>
        <w:t xml:space="preserve">The hearing </w:t>
      </w:r>
      <w:proofErr w:type="gramStart"/>
      <w:r w:rsidRPr="00597C32">
        <w:rPr>
          <w:rFonts w:cs="Arial"/>
          <w:szCs w:val="24"/>
          <w:lang w:val="en-CA" w:eastAsia="fr-CA"/>
        </w:rPr>
        <w:t>was held</w:t>
      </w:r>
      <w:proofErr w:type="gramEnd"/>
      <w:r w:rsidRPr="00597C32">
        <w:rPr>
          <w:rFonts w:cs="Arial"/>
          <w:szCs w:val="24"/>
          <w:lang w:val="en-CA" w:eastAsia="fr-CA"/>
        </w:rPr>
        <w:t xml:space="preserve"> during the pandemic in such a way </w:t>
      </w:r>
      <w:r w:rsidR="00597C32">
        <w:rPr>
          <w:rFonts w:cs="Arial"/>
          <w:szCs w:val="24"/>
          <w:lang w:val="en-CA" w:eastAsia="fr-CA"/>
        </w:rPr>
        <w:t xml:space="preserve">as </w:t>
      </w:r>
      <w:r w:rsidRPr="00597C32">
        <w:rPr>
          <w:rFonts w:cs="Arial"/>
          <w:szCs w:val="24"/>
          <w:lang w:val="en-CA" w:eastAsia="fr-CA"/>
        </w:rPr>
        <w:t>to limit contact and the risks of spreading the COVID-19 virus.</w:t>
      </w:r>
      <w:bookmarkEnd w:id="48"/>
    </w:p>
    <w:p w14:paraId="1C1F4E55" w14:textId="7ED9C5C6" w:rsidR="000F29CA" w:rsidRPr="002538F8" w:rsidRDefault="002538F8" w:rsidP="000F29CA">
      <w:pPr>
        <w:pStyle w:val="F02-Texte"/>
        <w:rPr>
          <w:rFonts w:cs="Arial"/>
          <w:szCs w:val="24"/>
          <w:lang w:val="en-CA" w:eastAsia="fr-CA"/>
        </w:rPr>
      </w:pPr>
      <w:r w:rsidRPr="002538F8">
        <w:rPr>
          <w:rFonts w:cs="Arial"/>
          <w:szCs w:val="24"/>
          <w:lang w:val="en-CA" w:eastAsia="fr-CA"/>
        </w:rPr>
        <w:t>The accused, his counsel, his father, the attending physician, a</w:t>
      </w:r>
      <w:r>
        <w:rPr>
          <w:rFonts w:cs="Arial"/>
          <w:szCs w:val="24"/>
          <w:lang w:val="en-CA" w:eastAsia="fr-CA"/>
        </w:rPr>
        <w:t>nd counsel for the designated hospital attended the hearing via videoconference.</w:t>
      </w:r>
    </w:p>
    <w:p w14:paraId="780CC83A" w14:textId="6AA4D7C7" w:rsidR="000F29CA" w:rsidRPr="00DC5DA7" w:rsidRDefault="00DC5DA7" w:rsidP="000F29CA">
      <w:pPr>
        <w:pStyle w:val="F02-Texte"/>
        <w:rPr>
          <w:rFonts w:cs="Arial"/>
          <w:szCs w:val="24"/>
          <w:lang w:val="en-CA" w:eastAsia="fr-CA"/>
        </w:rPr>
      </w:pPr>
      <w:r w:rsidRPr="00DC5DA7">
        <w:rPr>
          <w:rFonts w:cs="Arial"/>
          <w:szCs w:val="24"/>
          <w:lang w:val="en-CA" w:eastAsia="fr-CA"/>
        </w:rPr>
        <w:t xml:space="preserve">The Board members attended in a room of the Tribunal administratif du Québec in </w:t>
      </w:r>
      <w:r w:rsidR="00AD353D">
        <w:rPr>
          <w:rFonts w:cs="Arial"/>
          <w:szCs w:val="24"/>
          <w:lang w:val="en-CA" w:eastAsia="fr-CA"/>
        </w:rPr>
        <w:t>c</w:t>
      </w:r>
      <w:r w:rsidRPr="00DC5DA7">
        <w:rPr>
          <w:rFonts w:cs="Arial"/>
          <w:szCs w:val="24"/>
          <w:lang w:val="en-CA" w:eastAsia="fr-CA"/>
        </w:rPr>
        <w:t xml:space="preserve">ity A. </w:t>
      </w:r>
    </w:p>
    <w:p w14:paraId="1D6A3F80" w14:textId="77777777" w:rsidR="000F29CA" w:rsidRPr="00DC5DA7" w:rsidRDefault="0086584C" w:rsidP="000F29CA">
      <w:pPr>
        <w:pStyle w:val="F08-Titre"/>
        <w:rPr>
          <w:lang w:val="en-CA" w:eastAsia="fr-CA"/>
        </w:rPr>
      </w:pPr>
      <w:bookmarkStart w:id="49" w:name="lt_pId043"/>
      <w:r w:rsidRPr="00597C32">
        <w:rPr>
          <w:lang w:val="en-CA" w:eastAsia="fr-CA"/>
        </w:rPr>
        <w:t>RESPECTIVE POSITIONS OF THE PARTIES</w:t>
      </w:r>
      <w:bookmarkEnd w:id="49"/>
      <w:r w:rsidRPr="00DC5DA7">
        <w:rPr>
          <w:lang w:val="en-CA" w:eastAsia="fr-CA"/>
        </w:rPr>
        <w:t xml:space="preserve"> </w:t>
      </w:r>
    </w:p>
    <w:p w14:paraId="1012D0AB" w14:textId="17D23AA0" w:rsidR="000F29CA" w:rsidRPr="00DC5DA7" w:rsidRDefault="00DC5DA7" w:rsidP="000F29CA">
      <w:pPr>
        <w:pStyle w:val="F02-Texte"/>
        <w:rPr>
          <w:lang w:val="en-CA" w:eastAsia="fr-CA"/>
        </w:rPr>
      </w:pPr>
      <w:r w:rsidRPr="00DC5DA7">
        <w:rPr>
          <w:lang w:val="en-CA" w:eastAsia="fr-CA"/>
        </w:rPr>
        <w:t xml:space="preserve">The attending physician recommends that the accused </w:t>
      </w:r>
      <w:proofErr w:type="gramStart"/>
      <w:r w:rsidRPr="00DC5DA7">
        <w:rPr>
          <w:lang w:val="en-CA" w:eastAsia="fr-CA"/>
        </w:rPr>
        <w:t xml:space="preserve">be </w:t>
      </w:r>
      <w:r>
        <w:rPr>
          <w:lang w:val="en-CA" w:eastAsia="fr-CA"/>
        </w:rPr>
        <w:t>declared</w:t>
      </w:r>
      <w:proofErr w:type="gramEnd"/>
      <w:r>
        <w:rPr>
          <w:lang w:val="en-CA" w:eastAsia="fr-CA"/>
        </w:rPr>
        <w:t xml:space="preserve"> </w:t>
      </w:r>
      <w:r w:rsidRPr="00DC5DA7">
        <w:rPr>
          <w:lang w:val="en-CA" w:eastAsia="fr-CA"/>
        </w:rPr>
        <w:t>f</w:t>
      </w:r>
      <w:r>
        <w:rPr>
          <w:lang w:val="en-CA" w:eastAsia="fr-CA"/>
        </w:rPr>
        <w:t xml:space="preserve">it to stand trial. </w:t>
      </w:r>
      <w:r w:rsidR="008D451B">
        <w:rPr>
          <w:lang w:val="en-CA" w:eastAsia="fr-CA"/>
        </w:rPr>
        <w:t xml:space="preserve">Pending </w:t>
      </w:r>
      <w:r w:rsidR="00CC4A9D">
        <w:rPr>
          <w:lang w:val="en-CA" w:eastAsia="fr-CA"/>
        </w:rPr>
        <w:t xml:space="preserve">his </w:t>
      </w:r>
      <w:proofErr w:type="gramStart"/>
      <w:r w:rsidR="00CC4A9D">
        <w:rPr>
          <w:lang w:val="en-CA" w:eastAsia="fr-CA"/>
        </w:rPr>
        <w:t>being sent</w:t>
      </w:r>
      <w:proofErr w:type="gramEnd"/>
      <w:r w:rsidR="00CC4A9D">
        <w:rPr>
          <w:lang w:val="en-CA" w:eastAsia="fr-CA"/>
        </w:rPr>
        <w:t xml:space="preserve"> back </w:t>
      </w:r>
      <w:r w:rsidR="008D451B">
        <w:rPr>
          <w:lang w:val="en-CA" w:eastAsia="fr-CA"/>
        </w:rPr>
        <w:t>to court, she recommends that the accused be detained subject to conditions.</w:t>
      </w:r>
      <w:r w:rsidR="00F54D31">
        <w:rPr>
          <w:lang w:val="en-CA" w:eastAsia="fr-CA"/>
        </w:rPr>
        <w:t xml:space="preserve"> Given that the date of appearance before the Court of Quebec </w:t>
      </w:r>
      <w:proofErr w:type="gramStart"/>
      <w:r w:rsidR="00F54D31">
        <w:rPr>
          <w:lang w:val="en-CA" w:eastAsia="fr-CA"/>
        </w:rPr>
        <w:t>was scheduled</w:t>
      </w:r>
      <w:proofErr w:type="gramEnd"/>
      <w:r w:rsidR="008B7D48">
        <w:rPr>
          <w:lang w:val="en-CA" w:eastAsia="fr-CA"/>
        </w:rPr>
        <w:t xml:space="preserve"> for</w:t>
      </w:r>
      <w:r w:rsidR="00F54D31">
        <w:rPr>
          <w:lang w:val="en-CA" w:eastAsia="fr-CA"/>
        </w:rPr>
        <w:t xml:space="preserve"> six days after the date of this hearing, the accused agrees with this suggestion.</w:t>
      </w:r>
    </w:p>
    <w:p w14:paraId="3CDBE851" w14:textId="5555F64E" w:rsidR="000F29CA" w:rsidRPr="00027856" w:rsidRDefault="00027856" w:rsidP="000F29CA">
      <w:pPr>
        <w:pStyle w:val="F02-Texte"/>
        <w:rPr>
          <w:lang w:val="en-CA" w:eastAsia="fr-CA"/>
        </w:rPr>
      </w:pPr>
      <w:r w:rsidRPr="00027856">
        <w:rPr>
          <w:lang w:val="en-CA" w:eastAsia="fr-CA"/>
        </w:rPr>
        <w:t>For the reasons provided at the hearing and for t</w:t>
      </w:r>
      <w:r>
        <w:rPr>
          <w:lang w:val="en-CA" w:eastAsia="fr-CA"/>
        </w:rPr>
        <w:t>hose set out below, the Board accepts the attending physician’s recommendation.</w:t>
      </w:r>
    </w:p>
    <w:p w14:paraId="5B6C4E1B" w14:textId="77777777" w:rsidR="000F29CA" w:rsidRPr="00005F89" w:rsidRDefault="0086584C" w:rsidP="000F29CA">
      <w:pPr>
        <w:pStyle w:val="F08-Titre"/>
        <w:rPr>
          <w:lang w:val="en-CA" w:eastAsia="fr-CA"/>
        </w:rPr>
      </w:pPr>
      <w:bookmarkStart w:id="50" w:name="lt_pId048"/>
      <w:r w:rsidRPr="00005F89">
        <w:rPr>
          <w:lang w:val="en-CA" w:eastAsia="fr-CA"/>
        </w:rPr>
        <w:t>BACKGROUND</w:t>
      </w:r>
      <w:bookmarkEnd w:id="50"/>
      <w:r w:rsidRPr="00005F89">
        <w:rPr>
          <w:lang w:val="en-CA" w:eastAsia="fr-CA"/>
        </w:rPr>
        <w:t xml:space="preserve"> </w:t>
      </w:r>
    </w:p>
    <w:p w14:paraId="64FD441D" w14:textId="77777777" w:rsidR="000F29CA" w:rsidRPr="00005F89" w:rsidRDefault="0086584C" w:rsidP="000F29CA">
      <w:pPr>
        <w:pStyle w:val="F08-Titre"/>
        <w:rPr>
          <w:lang w:val="en-CA" w:eastAsia="fr-CA"/>
        </w:rPr>
      </w:pPr>
      <w:bookmarkStart w:id="51" w:name="lt_pId049"/>
      <w:r w:rsidRPr="00005F89">
        <w:rPr>
          <w:lang w:val="en-CA" w:eastAsia="fr-CA"/>
        </w:rPr>
        <w:t>III.</w:t>
      </w:r>
      <w:bookmarkEnd w:id="51"/>
      <w:r w:rsidRPr="00005F89">
        <w:rPr>
          <w:lang w:val="en-CA" w:eastAsia="fr-CA"/>
        </w:rPr>
        <w:t xml:space="preserve"> </w:t>
      </w:r>
      <w:bookmarkStart w:id="52" w:name="lt_pId050"/>
      <w:r w:rsidRPr="00005F89">
        <w:rPr>
          <w:lang w:val="en-CA" w:eastAsia="fr-CA"/>
        </w:rPr>
        <w:t>STATUS AND PERSONAL INFORMATION</w:t>
      </w:r>
      <w:bookmarkEnd w:id="52"/>
    </w:p>
    <w:p w14:paraId="632AF25C" w14:textId="6016B1AE" w:rsidR="000F29CA" w:rsidRPr="006B7D25" w:rsidRDefault="006B7D25" w:rsidP="000F29CA">
      <w:pPr>
        <w:pStyle w:val="F02-Texte"/>
        <w:rPr>
          <w:lang w:val="en-CA"/>
        </w:rPr>
      </w:pPr>
      <w:r w:rsidRPr="00005F89">
        <w:rPr>
          <w:lang w:val="en-CA"/>
        </w:rPr>
        <w:t xml:space="preserve">On a </w:t>
      </w:r>
      <w:r w:rsidRPr="00005F89">
        <w:rPr>
          <w:b/>
          <w:bCs/>
          <w:lang w:val="en-CA"/>
        </w:rPr>
        <w:t>personal level</w:t>
      </w:r>
      <w:r w:rsidRPr="00005F89">
        <w:rPr>
          <w:lang w:val="en-CA"/>
        </w:rPr>
        <w:t>, the accused is 21 years</w:t>
      </w:r>
      <w:r w:rsidRPr="006B7D25">
        <w:rPr>
          <w:lang w:val="en-CA"/>
        </w:rPr>
        <w:t xml:space="preserve"> old. H</w:t>
      </w:r>
      <w:r>
        <w:rPr>
          <w:lang w:val="en-CA"/>
        </w:rPr>
        <w:t xml:space="preserve">e is single and has no children. Before the current hospitalization, the accused </w:t>
      </w:r>
      <w:r w:rsidR="00005F89">
        <w:rPr>
          <w:lang w:val="en-CA"/>
        </w:rPr>
        <w:t xml:space="preserve">had been </w:t>
      </w:r>
      <w:r>
        <w:rPr>
          <w:lang w:val="en-CA"/>
        </w:rPr>
        <w:t xml:space="preserve">living with the victim (his father) </w:t>
      </w:r>
      <w:r>
        <w:rPr>
          <w:lang w:val="en-CA"/>
        </w:rPr>
        <w:lastRenderedPageBreak/>
        <w:t>since July 2019</w:t>
      </w:r>
      <w:r w:rsidR="00005F89">
        <w:rPr>
          <w:lang w:val="en-CA"/>
        </w:rPr>
        <w:t>.</w:t>
      </w:r>
      <w:r w:rsidR="00A040CC">
        <w:rPr>
          <w:lang w:val="en-CA"/>
        </w:rPr>
        <w:t xml:space="preserve"> Prior to that, he lived in another area with his mother. He has never lived in an independent apartment. </w:t>
      </w:r>
    </w:p>
    <w:p w14:paraId="01A0ADDC" w14:textId="669F5947" w:rsidR="000F29CA" w:rsidRPr="002A5FA9" w:rsidRDefault="002A5FA9" w:rsidP="000F29CA">
      <w:pPr>
        <w:pStyle w:val="F02-Texte"/>
        <w:rPr>
          <w:lang w:val="en-CA"/>
        </w:rPr>
      </w:pPr>
      <w:r w:rsidRPr="002A5FA9">
        <w:rPr>
          <w:lang w:val="en-CA"/>
        </w:rPr>
        <w:t xml:space="preserve">He receives social assistance benefits </w:t>
      </w:r>
      <w:r w:rsidR="00B66039">
        <w:rPr>
          <w:lang w:val="en-CA"/>
        </w:rPr>
        <w:t>and has</w:t>
      </w:r>
      <w:r>
        <w:rPr>
          <w:lang w:val="en-CA"/>
        </w:rPr>
        <w:t xml:space="preserve"> a </w:t>
      </w:r>
      <w:r w:rsidRPr="002A5FA9">
        <w:rPr>
          <w:lang w:val="en-CA"/>
        </w:rPr>
        <w:t>s</w:t>
      </w:r>
      <w:r>
        <w:rPr>
          <w:lang w:val="en-CA"/>
        </w:rPr>
        <w:t>everely limited capacity for employment.</w:t>
      </w:r>
      <w:r w:rsidR="00B66039">
        <w:rPr>
          <w:lang w:val="en-CA"/>
        </w:rPr>
        <w:t xml:space="preserve"> He has a high school education. He has worked as a </w:t>
      </w:r>
      <w:r w:rsidR="00395F55">
        <w:rPr>
          <w:lang w:val="en-CA"/>
        </w:rPr>
        <w:t>salesclerk</w:t>
      </w:r>
      <w:r w:rsidR="00B66039">
        <w:rPr>
          <w:lang w:val="en-CA"/>
        </w:rPr>
        <w:t xml:space="preserve"> in the past.</w:t>
      </w:r>
    </w:p>
    <w:p w14:paraId="0C3A7CC2" w14:textId="73617048" w:rsidR="000F29CA" w:rsidRPr="00005F89" w:rsidRDefault="00B66039" w:rsidP="000F29CA">
      <w:pPr>
        <w:pStyle w:val="F02-Texte"/>
        <w:rPr>
          <w:color w:val="000000"/>
          <w:lang w:val="en-CA"/>
        </w:rPr>
      </w:pPr>
      <w:r w:rsidRPr="00B66039">
        <w:rPr>
          <w:lang w:val="en-CA"/>
        </w:rPr>
        <w:t>He claims to have no social network in the a</w:t>
      </w:r>
      <w:r>
        <w:rPr>
          <w:lang w:val="en-CA"/>
        </w:rPr>
        <w:t xml:space="preserve">rea where he lived with his father. The </w:t>
      </w:r>
      <w:r w:rsidRPr="00005F89">
        <w:rPr>
          <w:color w:val="000000"/>
          <w:lang w:val="en-CA"/>
        </w:rPr>
        <w:t xml:space="preserve">relationship between the accused and his father seems strained. </w:t>
      </w:r>
    </w:p>
    <w:p w14:paraId="3AD0DBEB" w14:textId="77777777" w:rsidR="000F29CA" w:rsidRPr="00005F89" w:rsidRDefault="0086584C" w:rsidP="000F29CA">
      <w:pPr>
        <w:pStyle w:val="F08-Titre"/>
        <w:rPr>
          <w:color w:val="000000"/>
        </w:rPr>
      </w:pPr>
      <w:bookmarkStart w:id="53" w:name="lt_pId061"/>
      <w:r w:rsidRPr="00005F89">
        <w:rPr>
          <w:color w:val="000000"/>
        </w:rPr>
        <w:t>IV.</w:t>
      </w:r>
      <w:bookmarkEnd w:id="53"/>
      <w:r w:rsidRPr="00005F89">
        <w:rPr>
          <w:color w:val="000000"/>
        </w:rPr>
        <w:t xml:space="preserve"> </w:t>
      </w:r>
      <w:bookmarkStart w:id="54" w:name="lt_pId062"/>
      <w:r w:rsidRPr="00005F89">
        <w:rPr>
          <w:color w:val="000000"/>
        </w:rPr>
        <w:t>CRIMINAL RECORD</w:t>
      </w:r>
      <w:bookmarkEnd w:id="54"/>
    </w:p>
    <w:p w14:paraId="7991A99C" w14:textId="550F2DFA" w:rsidR="000F29CA" w:rsidRPr="00005F89" w:rsidRDefault="00061DBC" w:rsidP="000F29CA">
      <w:pPr>
        <w:pStyle w:val="F02-Texte"/>
        <w:rPr>
          <w:color w:val="000000"/>
          <w:lang w:val="en-CA"/>
        </w:rPr>
      </w:pPr>
      <w:r w:rsidRPr="00005F89">
        <w:rPr>
          <w:color w:val="000000"/>
          <w:lang w:val="en-CA"/>
        </w:rPr>
        <w:t>According to the information available to the Board, the accused does not have a criminal record or any pending cases.</w:t>
      </w:r>
    </w:p>
    <w:p w14:paraId="6424C918" w14:textId="77777777" w:rsidR="000F29CA" w:rsidRPr="00005F89" w:rsidRDefault="0086584C" w:rsidP="000F29CA">
      <w:pPr>
        <w:pStyle w:val="F08-Titre"/>
        <w:rPr>
          <w:color w:val="000000"/>
        </w:rPr>
      </w:pPr>
      <w:bookmarkStart w:id="55" w:name="lt_pId064"/>
      <w:r w:rsidRPr="00005F89">
        <w:rPr>
          <w:color w:val="000000"/>
        </w:rPr>
        <w:t>V.</w:t>
      </w:r>
      <w:bookmarkEnd w:id="55"/>
      <w:r w:rsidRPr="00005F89">
        <w:rPr>
          <w:color w:val="000000"/>
        </w:rPr>
        <w:t xml:space="preserve"> </w:t>
      </w:r>
      <w:bookmarkStart w:id="56" w:name="lt_pId065"/>
      <w:r w:rsidRPr="00005F89">
        <w:rPr>
          <w:color w:val="000000"/>
        </w:rPr>
        <w:t>PSYCHIATRIC HISTORY</w:t>
      </w:r>
      <w:bookmarkEnd w:id="56"/>
    </w:p>
    <w:p w14:paraId="72438EA2" w14:textId="117CFAF4" w:rsidR="000F29CA" w:rsidRPr="0046131D" w:rsidRDefault="00C9639E" w:rsidP="000F29CA">
      <w:pPr>
        <w:pStyle w:val="F02-Texte"/>
        <w:rPr>
          <w:lang w:val="en-CA"/>
        </w:rPr>
      </w:pPr>
      <w:r w:rsidRPr="00005F89">
        <w:rPr>
          <w:color w:val="000000"/>
          <w:lang w:val="en-CA"/>
        </w:rPr>
        <w:t xml:space="preserve">With respect to his </w:t>
      </w:r>
      <w:r w:rsidRPr="00005F89">
        <w:rPr>
          <w:b/>
          <w:bCs/>
          <w:color w:val="000000"/>
          <w:lang w:val="en-CA"/>
        </w:rPr>
        <w:t>psychiatric</w:t>
      </w:r>
      <w:r w:rsidRPr="0046131D">
        <w:rPr>
          <w:b/>
          <w:bCs/>
          <w:lang w:val="en-CA"/>
        </w:rPr>
        <w:t xml:space="preserve"> history</w:t>
      </w:r>
      <w:r w:rsidRPr="0046131D">
        <w:rPr>
          <w:lang w:val="en-CA"/>
        </w:rPr>
        <w:t>,</w:t>
      </w:r>
      <w:r w:rsidR="0046131D" w:rsidRPr="0046131D">
        <w:rPr>
          <w:lang w:val="en-CA"/>
        </w:rPr>
        <w:t xml:space="preserve"> he </w:t>
      </w:r>
      <w:proofErr w:type="gramStart"/>
      <w:r w:rsidR="0046131D" w:rsidRPr="0046131D">
        <w:rPr>
          <w:lang w:val="en-CA"/>
        </w:rPr>
        <w:t>was referred</w:t>
      </w:r>
      <w:proofErr w:type="gramEnd"/>
      <w:r w:rsidR="0046131D" w:rsidRPr="0046131D">
        <w:rPr>
          <w:lang w:val="en-CA"/>
        </w:rPr>
        <w:t xml:space="preserve"> t</w:t>
      </w:r>
      <w:r w:rsidR="0046131D">
        <w:rPr>
          <w:lang w:val="en-CA"/>
        </w:rPr>
        <w:t>o Clinic A of hospital B shortly before he came of age. At the time, his physician retained a diagnosis of paranoid schizophrenia in complete remission since February 2015, with discontinuance of alcohol and marijuana use.</w:t>
      </w:r>
    </w:p>
    <w:p w14:paraId="24C3D2CA" w14:textId="3A3E83A5" w:rsidR="000F29CA" w:rsidRPr="00AD353D" w:rsidRDefault="00AD353D" w:rsidP="000F29CA">
      <w:pPr>
        <w:pStyle w:val="F02-Texte"/>
        <w:rPr>
          <w:lang w:val="en-CA"/>
        </w:rPr>
      </w:pPr>
      <w:r w:rsidRPr="00AD353D">
        <w:rPr>
          <w:lang w:val="en-CA"/>
        </w:rPr>
        <w:t xml:space="preserve">In December 2016, he </w:t>
      </w:r>
      <w:proofErr w:type="gramStart"/>
      <w:r w:rsidRPr="00AD353D">
        <w:rPr>
          <w:lang w:val="en-CA"/>
        </w:rPr>
        <w:t>was referred</w:t>
      </w:r>
      <w:proofErr w:type="gramEnd"/>
      <w:r w:rsidRPr="00AD353D">
        <w:rPr>
          <w:lang w:val="en-CA"/>
        </w:rPr>
        <w:t xml:space="preserve"> to a </w:t>
      </w:r>
      <w:r>
        <w:rPr>
          <w:lang w:val="en-CA"/>
        </w:rPr>
        <w:t>hospital north of city A. Th</w:t>
      </w:r>
      <w:r w:rsidR="005D152B">
        <w:rPr>
          <w:lang w:val="en-CA"/>
        </w:rPr>
        <w:t xml:space="preserve">e accused did not return </w:t>
      </w:r>
      <w:r w:rsidR="00A51979">
        <w:rPr>
          <w:lang w:val="en-CA"/>
        </w:rPr>
        <w:t>calls from the clinic</w:t>
      </w:r>
      <w:r w:rsidR="005D152B">
        <w:rPr>
          <w:lang w:val="en-CA"/>
        </w:rPr>
        <w:t xml:space="preserve"> and his file </w:t>
      </w:r>
      <w:proofErr w:type="gramStart"/>
      <w:r w:rsidR="005D152B">
        <w:rPr>
          <w:lang w:val="en-CA"/>
        </w:rPr>
        <w:t>was closed</w:t>
      </w:r>
      <w:proofErr w:type="gramEnd"/>
      <w:r w:rsidR="005D152B">
        <w:rPr>
          <w:lang w:val="en-CA"/>
        </w:rPr>
        <w:t>.</w:t>
      </w:r>
    </w:p>
    <w:p w14:paraId="077A65A1" w14:textId="17E151F7" w:rsidR="000F29CA" w:rsidRPr="00883CEE" w:rsidRDefault="00FD46F9" w:rsidP="000F29CA">
      <w:pPr>
        <w:pStyle w:val="F02-Texte"/>
        <w:rPr>
          <w:lang w:val="en-CA"/>
        </w:rPr>
      </w:pPr>
      <w:r>
        <w:rPr>
          <w:lang w:val="en-CA"/>
        </w:rPr>
        <w:t xml:space="preserve">Also reported </w:t>
      </w:r>
      <w:r w:rsidR="00704ABD">
        <w:rPr>
          <w:lang w:val="en-CA"/>
        </w:rPr>
        <w:t>is</w:t>
      </w:r>
      <w:r w:rsidR="00883CEE" w:rsidRPr="00883CEE">
        <w:rPr>
          <w:lang w:val="en-CA"/>
        </w:rPr>
        <w:t xml:space="preserve"> a history of oppositional defiant </w:t>
      </w:r>
      <w:r w:rsidR="00883CEE">
        <w:rPr>
          <w:lang w:val="en-CA"/>
        </w:rPr>
        <w:t>disorder and long-standing academic difficulties.</w:t>
      </w:r>
    </w:p>
    <w:p w14:paraId="7D998795" w14:textId="3580B01C" w:rsidR="000F29CA" w:rsidRPr="00FD46F9" w:rsidRDefault="00CA4C7B" w:rsidP="000F29CA">
      <w:pPr>
        <w:pStyle w:val="F02-Texte"/>
        <w:rPr>
          <w:lang w:val="en-CA"/>
        </w:rPr>
      </w:pPr>
      <w:r w:rsidRPr="00FD46F9">
        <w:rPr>
          <w:lang w:val="en-CA"/>
        </w:rPr>
        <w:t xml:space="preserve">The accused received </w:t>
      </w:r>
      <w:r w:rsidR="00FD46F9">
        <w:rPr>
          <w:lang w:val="en-CA"/>
        </w:rPr>
        <w:t xml:space="preserve">follow-up </w:t>
      </w:r>
      <w:r w:rsidRPr="00FD46F9">
        <w:rPr>
          <w:lang w:val="en-CA"/>
        </w:rPr>
        <w:t xml:space="preserve">from a physician </w:t>
      </w:r>
      <w:r w:rsidR="00FD46F9" w:rsidRPr="00FD46F9">
        <w:rPr>
          <w:lang w:val="en-CA"/>
        </w:rPr>
        <w:t>at c</w:t>
      </w:r>
      <w:r w:rsidR="00FD46F9">
        <w:rPr>
          <w:lang w:val="en-CA"/>
        </w:rPr>
        <w:t>ity A between 2016 and December 2019.</w:t>
      </w:r>
    </w:p>
    <w:p w14:paraId="05F364E1" w14:textId="34EAB200" w:rsidR="000F29CA" w:rsidRPr="00FD46F9" w:rsidRDefault="00FD46F9" w:rsidP="000F29CA">
      <w:pPr>
        <w:pStyle w:val="F02-Texte"/>
        <w:rPr>
          <w:lang w:val="en-CA"/>
        </w:rPr>
      </w:pPr>
      <w:r w:rsidRPr="00FD46F9">
        <w:rPr>
          <w:lang w:val="en-CA"/>
        </w:rPr>
        <w:t xml:space="preserve">Following a relapse of </w:t>
      </w:r>
      <w:r w:rsidR="00380E55">
        <w:rPr>
          <w:lang w:val="en-CA"/>
        </w:rPr>
        <w:t xml:space="preserve">substance </w:t>
      </w:r>
      <w:r w:rsidR="00F5500D">
        <w:rPr>
          <w:lang w:val="en-CA"/>
        </w:rPr>
        <w:t>ab</w:t>
      </w:r>
      <w:r w:rsidR="00380E55">
        <w:rPr>
          <w:lang w:val="en-CA"/>
        </w:rPr>
        <w:t>use</w:t>
      </w:r>
      <w:r w:rsidRPr="00FD46F9">
        <w:rPr>
          <w:lang w:val="en-CA"/>
        </w:rPr>
        <w:t xml:space="preserve">, the accused </w:t>
      </w:r>
      <w:proofErr w:type="gramStart"/>
      <w:r w:rsidRPr="00FD46F9">
        <w:rPr>
          <w:lang w:val="en-CA"/>
        </w:rPr>
        <w:t>was h</w:t>
      </w:r>
      <w:r>
        <w:rPr>
          <w:lang w:val="en-CA"/>
        </w:rPr>
        <w:t>ospitalized</w:t>
      </w:r>
      <w:proofErr w:type="gramEnd"/>
      <w:r>
        <w:rPr>
          <w:lang w:val="en-CA"/>
        </w:rPr>
        <w:t xml:space="preserve"> from December 9 to December 12, 2019, in a hospital in the city for toxic psychosis (amphetamines and MDMA). It </w:t>
      </w:r>
      <w:proofErr w:type="gramStart"/>
      <w:r>
        <w:rPr>
          <w:lang w:val="en-CA"/>
        </w:rPr>
        <w:t>was noted</w:t>
      </w:r>
      <w:proofErr w:type="gramEnd"/>
      <w:r>
        <w:rPr>
          <w:lang w:val="en-CA"/>
        </w:rPr>
        <w:t xml:space="preserve"> during this hospitalization that the accused </w:t>
      </w:r>
      <w:r w:rsidR="00E95090">
        <w:rPr>
          <w:lang w:val="en-CA"/>
        </w:rPr>
        <w:t xml:space="preserve">has suffered </w:t>
      </w:r>
      <w:r>
        <w:rPr>
          <w:lang w:val="en-CA"/>
        </w:rPr>
        <w:t xml:space="preserve">from </w:t>
      </w:r>
      <w:r w:rsidR="00FC3D60">
        <w:rPr>
          <w:lang w:val="en-CA"/>
        </w:rPr>
        <w:t xml:space="preserve">an amphetamine use disorder since the age of 19. He also </w:t>
      </w:r>
      <w:r w:rsidR="00E95090">
        <w:rPr>
          <w:lang w:val="en-CA"/>
        </w:rPr>
        <w:t>suffers</w:t>
      </w:r>
      <w:r w:rsidR="00FC3D60">
        <w:rPr>
          <w:lang w:val="en-CA"/>
        </w:rPr>
        <w:t xml:space="preserve"> from an alcohol use disorder, which began at age 14, with an average of three bottles of wine per week.</w:t>
      </w:r>
    </w:p>
    <w:p w14:paraId="6571C80E" w14:textId="49D0D8BA" w:rsidR="000F29CA" w:rsidRPr="00502BEB" w:rsidRDefault="00502BEB" w:rsidP="000F29CA">
      <w:pPr>
        <w:pStyle w:val="F02-Texte"/>
        <w:rPr>
          <w:lang w:val="en-CA"/>
        </w:rPr>
      </w:pPr>
      <w:r w:rsidRPr="00502BEB">
        <w:rPr>
          <w:lang w:val="en-CA"/>
        </w:rPr>
        <w:lastRenderedPageBreak/>
        <w:t xml:space="preserve">The accused reported that he stopped </w:t>
      </w:r>
      <w:r w:rsidR="006A0CCF">
        <w:rPr>
          <w:lang w:val="en-CA"/>
        </w:rPr>
        <w:t xml:space="preserve">taking </w:t>
      </w:r>
      <w:r w:rsidRPr="00502BEB">
        <w:rPr>
          <w:lang w:val="en-CA"/>
        </w:rPr>
        <w:t>his medication in t</w:t>
      </w:r>
      <w:r>
        <w:rPr>
          <w:lang w:val="en-CA"/>
        </w:rPr>
        <w:t>he summer of 2019 because his prescription had expired, and he found himself too drowsy and dizzy.</w:t>
      </w:r>
    </w:p>
    <w:p w14:paraId="5914A364" w14:textId="5B293AA1" w:rsidR="000F29CA" w:rsidRPr="007E7D19" w:rsidRDefault="00502BEB" w:rsidP="000F29CA">
      <w:pPr>
        <w:pStyle w:val="F02-Texte"/>
        <w:rPr>
          <w:lang w:val="en-CA"/>
        </w:rPr>
      </w:pPr>
      <w:r w:rsidRPr="007E7D19">
        <w:rPr>
          <w:lang w:val="en-CA"/>
        </w:rPr>
        <w:t xml:space="preserve">The accused also </w:t>
      </w:r>
      <w:r w:rsidR="007E7D19" w:rsidRPr="007E7D19">
        <w:rPr>
          <w:lang w:val="en-CA"/>
        </w:rPr>
        <w:t>went to the emergency room from D</w:t>
      </w:r>
      <w:r w:rsidR="007E7D19">
        <w:rPr>
          <w:lang w:val="en-CA"/>
        </w:rPr>
        <w:t xml:space="preserve">ecember 24 to December 25, 2019, for intoxication. It </w:t>
      </w:r>
      <w:proofErr w:type="gramStart"/>
      <w:r w:rsidR="007E7D19">
        <w:rPr>
          <w:lang w:val="en-CA"/>
        </w:rPr>
        <w:t>is noted</w:t>
      </w:r>
      <w:proofErr w:type="gramEnd"/>
      <w:r w:rsidR="007E7D19">
        <w:rPr>
          <w:lang w:val="en-CA"/>
        </w:rPr>
        <w:t xml:space="preserve"> in the file that his family was exhausted and could not take him back. He had scissors on him. He had to </w:t>
      </w:r>
      <w:proofErr w:type="gramStart"/>
      <w:r w:rsidR="007E7D19">
        <w:rPr>
          <w:lang w:val="en-CA"/>
        </w:rPr>
        <w:t>be restrained</w:t>
      </w:r>
      <w:proofErr w:type="gramEnd"/>
      <w:r w:rsidR="007E7D19">
        <w:rPr>
          <w:lang w:val="en-CA"/>
        </w:rPr>
        <w:t xml:space="preserve">. On the day after his admission, he indicated that he was aware of his </w:t>
      </w:r>
      <w:r w:rsidR="00380E55">
        <w:rPr>
          <w:lang w:val="en-CA"/>
        </w:rPr>
        <w:t xml:space="preserve">substance </w:t>
      </w:r>
      <w:r w:rsidR="00F5500D">
        <w:rPr>
          <w:lang w:val="en-CA"/>
        </w:rPr>
        <w:t>ab</w:t>
      </w:r>
      <w:r w:rsidR="00380E55">
        <w:rPr>
          <w:lang w:val="en-CA"/>
        </w:rPr>
        <w:t xml:space="preserve">use </w:t>
      </w:r>
      <w:r w:rsidR="007E7D19">
        <w:rPr>
          <w:lang w:val="en-CA"/>
        </w:rPr>
        <w:t xml:space="preserve">problem but had no real intention of stopping completely. </w:t>
      </w:r>
    </w:p>
    <w:p w14:paraId="07CD1929" w14:textId="77777777" w:rsidR="000F29CA" w:rsidRPr="0043390F" w:rsidRDefault="0086584C" w:rsidP="000F29CA">
      <w:pPr>
        <w:pStyle w:val="F08-Titre"/>
      </w:pPr>
      <w:bookmarkStart w:id="57" w:name="lt_pId078"/>
      <w:r w:rsidRPr="001F7826">
        <w:t>VI.</w:t>
      </w:r>
      <w:bookmarkEnd w:id="57"/>
      <w:r w:rsidRPr="001F7826">
        <w:t xml:space="preserve"> </w:t>
      </w:r>
      <w:r w:rsidR="0043390F" w:rsidRPr="001F7826">
        <w:t>LIFESTYLE</w:t>
      </w:r>
    </w:p>
    <w:p w14:paraId="624AE799" w14:textId="4860397E" w:rsidR="000F29CA" w:rsidRPr="00466D34" w:rsidRDefault="00466D34" w:rsidP="000F29CA">
      <w:pPr>
        <w:pStyle w:val="F02-Texte"/>
        <w:rPr>
          <w:lang w:val="en-CA"/>
        </w:rPr>
      </w:pPr>
      <w:r w:rsidRPr="00466D34">
        <w:rPr>
          <w:lang w:val="en-CA"/>
        </w:rPr>
        <w:t xml:space="preserve">With respect to his </w:t>
      </w:r>
      <w:r w:rsidRPr="00466D34">
        <w:rPr>
          <w:b/>
          <w:bCs/>
          <w:lang w:val="en-CA"/>
        </w:rPr>
        <w:t>lifestyle</w:t>
      </w:r>
      <w:r w:rsidRPr="00466D34">
        <w:rPr>
          <w:lang w:val="en-CA"/>
        </w:rPr>
        <w:t xml:space="preserve">, he denies </w:t>
      </w:r>
      <w:r>
        <w:rPr>
          <w:lang w:val="en-CA"/>
        </w:rPr>
        <w:t>any</w:t>
      </w:r>
      <w:r w:rsidRPr="00466D34">
        <w:rPr>
          <w:lang w:val="en-CA"/>
        </w:rPr>
        <w:t xml:space="preserve"> drug a</w:t>
      </w:r>
      <w:r>
        <w:rPr>
          <w:lang w:val="en-CA"/>
        </w:rPr>
        <w:t>nd alcohol use. According to collateral information,</w:t>
      </w:r>
      <w:r w:rsidR="0070548D">
        <w:rPr>
          <w:lang w:val="en-CA"/>
        </w:rPr>
        <w:t xml:space="preserve"> he has been a heavy user of cannabis since adolescence. He </w:t>
      </w:r>
      <w:r w:rsidR="00E95090">
        <w:rPr>
          <w:lang w:val="en-CA"/>
        </w:rPr>
        <w:t xml:space="preserve">drank </w:t>
      </w:r>
      <w:r w:rsidR="0070548D">
        <w:rPr>
          <w:lang w:val="en-CA"/>
        </w:rPr>
        <w:t xml:space="preserve">alcohol </w:t>
      </w:r>
      <w:r w:rsidR="00E95090">
        <w:rPr>
          <w:lang w:val="en-CA"/>
        </w:rPr>
        <w:t>since</w:t>
      </w:r>
      <w:r w:rsidR="0070548D">
        <w:rPr>
          <w:lang w:val="en-CA"/>
        </w:rPr>
        <w:t xml:space="preserve"> 2014 but stopped in 2019. The accused also used amphetamines and methamphetamines between 2018 and 2019.</w:t>
      </w:r>
    </w:p>
    <w:p w14:paraId="6EA3D124" w14:textId="7DBAE937" w:rsidR="000F29CA" w:rsidRPr="009932AF" w:rsidRDefault="009932AF" w:rsidP="000F29CA">
      <w:pPr>
        <w:pStyle w:val="F02-Texte"/>
        <w:rPr>
          <w:lang w:val="en-CA"/>
        </w:rPr>
      </w:pPr>
      <w:r w:rsidRPr="009932AF">
        <w:rPr>
          <w:lang w:val="en-CA"/>
        </w:rPr>
        <w:t xml:space="preserve">A urine drug test </w:t>
      </w:r>
      <w:proofErr w:type="gramStart"/>
      <w:r w:rsidRPr="009932AF">
        <w:rPr>
          <w:lang w:val="en-CA"/>
        </w:rPr>
        <w:t>was performed</w:t>
      </w:r>
      <w:proofErr w:type="gramEnd"/>
      <w:r w:rsidRPr="009932AF">
        <w:rPr>
          <w:lang w:val="en-CA"/>
        </w:rPr>
        <w:t xml:space="preserve"> on admission and c</w:t>
      </w:r>
      <w:r>
        <w:rPr>
          <w:lang w:val="en-CA"/>
        </w:rPr>
        <w:t>ame back negative for all substances.</w:t>
      </w:r>
    </w:p>
    <w:p w14:paraId="1D9B35E3" w14:textId="131586E6" w:rsidR="000F29CA" w:rsidRPr="009932AF" w:rsidRDefault="009932AF" w:rsidP="000F29CA">
      <w:pPr>
        <w:pStyle w:val="F02-Texte"/>
        <w:rPr>
          <w:lang w:val="en-CA"/>
        </w:rPr>
      </w:pPr>
      <w:r w:rsidRPr="009932AF">
        <w:rPr>
          <w:lang w:val="en-CA"/>
        </w:rPr>
        <w:t xml:space="preserve">He claims to </w:t>
      </w:r>
      <w:r w:rsidR="001F7826">
        <w:rPr>
          <w:lang w:val="en-CA"/>
        </w:rPr>
        <w:t xml:space="preserve">have </w:t>
      </w:r>
      <w:r w:rsidRPr="009932AF">
        <w:rPr>
          <w:lang w:val="en-CA"/>
        </w:rPr>
        <w:t>abstain</w:t>
      </w:r>
      <w:r w:rsidR="001F7826">
        <w:rPr>
          <w:lang w:val="en-CA"/>
        </w:rPr>
        <w:t>ed</w:t>
      </w:r>
      <w:r w:rsidRPr="009932AF">
        <w:rPr>
          <w:lang w:val="en-CA"/>
        </w:rPr>
        <w:t xml:space="preserve"> from all forms of alcohol o</w:t>
      </w:r>
      <w:r>
        <w:rPr>
          <w:lang w:val="en-CA"/>
        </w:rPr>
        <w:t>r drug use since the beginning of 2020 and acknowledges the effects of</w:t>
      </w:r>
      <w:r w:rsidR="001F7565">
        <w:rPr>
          <w:lang w:val="en-CA"/>
        </w:rPr>
        <w:t xml:space="preserve"> </w:t>
      </w:r>
      <w:r w:rsidR="00E95C64">
        <w:rPr>
          <w:lang w:val="en-CA"/>
        </w:rPr>
        <w:t>the</w:t>
      </w:r>
      <w:r w:rsidR="001F7565">
        <w:rPr>
          <w:lang w:val="en-CA"/>
        </w:rPr>
        <w:t xml:space="preserve"> use </w:t>
      </w:r>
      <w:r w:rsidR="00E95C64">
        <w:rPr>
          <w:lang w:val="en-CA"/>
        </w:rPr>
        <w:t xml:space="preserve">of such substances </w:t>
      </w:r>
      <w:r w:rsidR="001F7565">
        <w:rPr>
          <w:lang w:val="en-CA"/>
        </w:rPr>
        <w:t>on his mental condition</w:t>
      </w:r>
      <w:r w:rsidR="00081C58">
        <w:rPr>
          <w:lang w:val="en-CA"/>
        </w:rPr>
        <w:t>.</w:t>
      </w:r>
    </w:p>
    <w:p w14:paraId="666EF6D7" w14:textId="77777777" w:rsidR="000F29CA" w:rsidRPr="0043390F" w:rsidRDefault="0086584C" w:rsidP="000F29CA">
      <w:pPr>
        <w:pStyle w:val="F08-Titre"/>
      </w:pPr>
      <w:bookmarkStart w:id="58" w:name="lt_pId086"/>
      <w:r w:rsidRPr="001F7826">
        <w:t>EVIDENCE AT THE HEARING</w:t>
      </w:r>
      <w:bookmarkEnd w:id="58"/>
    </w:p>
    <w:p w14:paraId="4A008AD8" w14:textId="3DF6D93B" w:rsidR="000F29CA" w:rsidRPr="00E10C8C" w:rsidRDefault="00E10C8C" w:rsidP="000F29CA">
      <w:pPr>
        <w:pStyle w:val="F02-Texte"/>
        <w:rPr>
          <w:lang w:val="en-CA"/>
        </w:rPr>
      </w:pPr>
      <w:r w:rsidRPr="00E10C8C">
        <w:rPr>
          <w:lang w:val="en-CA"/>
        </w:rPr>
        <w:t xml:space="preserve">At the hearing, the </w:t>
      </w:r>
      <w:proofErr w:type="gramStart"/>
      <w:r>
        <w:rPr>
          <w:lang w:val="en-CA"/>
        </w:rPr>
        <w:t>accused’s</w:t>
      </w:r>
      <w:proofErr w:type="gramEnd"/>
      <w:r>
        <w:rPr>
          <w:lang w:val="en-CA"/>
        </w:rPr>
        <w:t xml:space="preserve"> attending physician</w:t>
      </w:r>
      <w:r w:rsidRPr="00E10C8C">
        <w:rPr>
          <w:lang w:val="en-CA"/>
        </w:rPr>
        <w:t>, D</w:t>
      </w:r>
      <w:r>
        <w:rPr>
          <w:lang w:val="en-CA"/>
        </w:rPr>
        <w:t xml:space="preserve">r. Karine Forget, read and filed her report, dated June 19, 2020. </w:t>
      </w:r>
      <w:r w:rsidR="001C7C6D">
        <w:rPr>
          <w:lang w:val="en-CA"/>
        </w:rPr>
        <w:t xml:space="preserve">The report of the social worker, Ms. Jennifer L. DiStefano, dated June 29, 2020, </w:t>
      </w:r>
      <w:proofErr w:type="gramStart"/>
      <w:r w:rsidR="001C7C6D">
        <w:rPr>
          <w:lang w:val="en-CA"/>
        </w:rPr>
        <w:t>was also read and filed</w:t>
      </w:r>
      <w:proofErr w:type="gramEnd"/>
      <w:r w:rsidR="001C7C6D">
        <w:rPr>
          <w:lang w:val="en-CA"/>
        </w:rPr>
        <w:t>.</w:t>
      </w:r>
    </w:p>
    <w:p w14:paraId="11DB5A29" w14:textId="77777777" w:rsidR="000F29CA" w:rsidRPr="00E10C8C" w:rsidRDefault="00DE2667" w:rsidP="000F29CA">
      <w:pPr>
        <w:pStyle w:val="F02-Texte"/>
        <w:numPr>
          <w:ilvl w:val="0"/>
          <w:numId w:val="0"/>
        </w:numPr>
        <w:rPr>
          <w:i/>
          <w:lang w:val="en-CA"/>
        </w:rPr>
      </w:pPr>
    </w:p>
    <w:p w14:paraId="271E9AA2" w14:textId="77777777" w:rsidR="000F29CA" w:rsidRPr="001F7826" w:rsidRDefault="0086584C" w:rsidP="000F29CA">
      <w:pPr>
        <w:pStyle w:val="F02-Texte"/>
        <w:numPr>
          <w:ilvl w:val="0"/>
          <w:numId w:val="0"/>
        </w:numPr>
        <w:rPr>
          <w:i/>
        </w:rPr>
      </w:pPr>
      <w:bookmarkStart w:id="59" w:name="lt_pId089"/>
      <w:r w:rsidRPr="001F7826">
        <w:rPr>
          <w:i/>
        </w:rPr>
        <w:t>Testimony of the attending physician</w:t>
      </w:r>
      <w:bookmarkEnd w:id="59"/>
    </w:p>
    <w:p w14:paraId="5C1EF41E" w14:textId="5CF0554A" w:rsidR="000F29CA" w:rsidRPr="001F7826" w:rsidRDefault="0086584C" w:rsidP="000F29CA">
      <w:pPr>
        <w:pStyle w:val="F02-Texte"/>
        <w:rPr>
          <w:lang w:val="en-CA"/>
        </w:rPr>
      </w:pPr>
      <w:bookmarkStart w:id="60" w:name="lt_pId090"/>
      <w:r w:rsidRPr="001F7826">
        <w:rPr>
          <w:lang w:val="en-CA"/>
        </w:rPr>
        <w:t>The attending physician testified at the hearing and added the following observations</w:t>
      </w:r>
      <w:bookmarkEnd w:id="60"/>
      <w:r w:rsidR="001F7826">
        <w:rPr>
          <w:lang w:val="en-CA"/>
        </w:rPr>
        <w:t>.</w:t>
      </w:r>
    </w:p>
    <w:p w14:paraId="2A8816BD" w14:textId="4A6568ED" w:rsidR="000F29CA" w:rsidRPr="00591B91" w:rsidRDefault="00591B91" w:rsidP="000F29CA">
      <w:pPr>
        <w:pStyle w:val="F02-Texte"/>
        <w:rPr>
          <w:lang w:val="en-CA"/>
        </w:rPr>
      </w:pPr>
      <w:r w:rsidRPr="00591B91">
        <w:rPr>
          <w:lang w:val="en-CA"/>
        </w:rPr>
        <w:t xml:space="preserve">Dr. Forget agreed that the accused could receive his </w:t>
      </w:r>
      <w:r>
        <w:rPr>
          <w:lang w:val="en-CA"/>
        </w:rPr>
        <w:t>treatment on an outpatient basis. She explained that the hospital manages the ordering and receipt of the medication.</w:t>
      </w:r>
    </w:p>
    <w:p w14:paraId="41DD2375" w14:textId="163A7681" w:rsidR="000F29CA" w:rsidRPr="00591B91" w:rsidRDefault="00591B91" w:rsidP="000F29CA">
      <w:pPr>
        <w:pStyle w:val="F02-Texte"/>
        <w:rPr>
          <w:lang w:val="en-CA"/>
        </w:rPr>
      </w:pPr>
      <w:r w:rsidRPr="00591B91">
        <w:rPr>
          <w:lang w:val="en-CA"/>
        </w:rPr>
        <w:lastRenderedPageBreak/>
        <w:t>The treatment team could arrange for the administration of t</w:t>
      </w:r>
      <w:r>
        <w:rPr>
          <w:lang w:val="en-CA"/>
        </w:rPr>
        <w:t xml:space="preserve">he treatment, </w:t>
      </w:r>
      <w:proofErr w:type="gramStart"/>
      <w:r>
        <w:rPr>
          <w:lang w:val="en-CA"/>
        </w:rPr>
        <w:t>should a release decision be made</w:t>
      </w:r>
      <w:proofErr w:type="gramEnd"/>
      <w:r>
        <w:rPr>
          <w:lang w:val="en-CA"/>
        </w:rPr>
        <w:t>. The medication is in “pill” form. The accused receives the medication twice a day.</w:t>
      </w:r>
    </w:p>
    <w:p w14:paraId="5BA60E54" w14:textId="7F87E4C1" w:rsidR="000F29CA" w:rsidRPr="00DF6B1D" w:rsidRDefault="00DF6B1D" w:rsidP="000F29CA">
      <w:pPr>
        <w:pStyle w:val="F02-Texte"/>
        <w:rPr>
          <w:lang w:val="en-CA"/>
        </w:rPr>
      </w:pPr>
      <w:r w:rsidRPr="00DF6B1D">
        <w:rPr>
          <w:lang w:val="en-CA"/>
        </w:rPr>
        <w:t>When asked about the significant threat to the safety o</w:t>
      </w:r>
      <w:r>
        <w:rPr>
          <w:lang w:val="en-CA"/>
        </w:rPr>
        <w:t>f the public in the event of a release decision, the physician submitted that neither she nor the social worker had observed any dangerousness in the accused during his hospitalization.</w:t>
      </w:r>
    </w:p>
    <w:p w14:paraId="0C8089A8" w14:textId="4D421747" w:rsidR="000F29CA" w:rsidRPr="00DF6B1D" w:rsidRDefault="00DF6B1D" w:rsidP="000F29CA">
      <w:pPr>
        <w:pStyle w:val="F02-Texte"/>
        <w:rPr>
          <w:lang w:val="en-CA"/>
        </w:rPr>
      </w:pPr>
      <w:r w:rsidRPr="00DF6B1D">
        <w:rPr>
          <w:lang w:val="en-CA"/>
        </w:rPr>
        <w:t>She maintain</w:t>
      </w:r>
      <w:r w:rsidR="003055F5">
        <w:rPr>
          <w:lang w:val="en-CA"/>
        </w:rPr>
        <w:t>s</w:t>
      </w:r>
      <w:r w:rsidRPr="00DF6B1D">
        <w:rPr>
          <w:lang w:val="en-CA"/>
        </w:rPr>
        <w:t xml:space="preserve"> that the risk </w:t>
      </w:r>
      <w:proofErr w:type="gramStart"/>
      <w:r w:rsidRPr="00DF6B1D">
        <w:rPr>
          <w:lang w:val="en-CA"/>
        </w:rPr>
        <w:t>is linked</w:t>
      </w:r>
      <w:proofErr w:type="gramEnd"/>
      <w:r w:rsidRPr="00DF6B1D">
        <w:rPr>
          <w:lang w:val="en-CA"/>
        </w:rPr>
        <w:t xml:space="preserve"> </w:t>
      </w:r>
      <w:r w:rsidR="003055F5">
        <w:rPr>
          <w:lang w:val="en-CA"/>
        </w:rPr>
        <w:t xml:space="preserve">with </w:t>
      </w:r>
      <w:r w:rsidR="00F5500D">
        <w:rPr>
          <w:lang w:val="en-CA"/>
        </w:rPr>
        <w:t>his</w:t>
      </w:r>
      <w:r w:rsidRPr="00DF6B1D">
        <w:rPr>
          <w:lang w:val="en-CA"/>
        </w:rPr>
        <w:t xml:space="preserve"> </w:t>
      </w:r>
      <w:r w:rsidR="00380E55">
        <w:rPr>
          <w:lang w:val="en-CA"/>
        </w:rPr>
        <w:t>substance</w:t>
      </w:r>
      <w:r>
        <w:rPr>
          <w:lang w:val="en-CA"/>
        </w:rPr>
        <w:t xml:space="preserve"> </w:t>
      </w:r>
      <w:r w:rsidR="00F5500D">
        <w:rPr>
          <w:lang w:val="en-CA"/>
        </w:rPr>
        <w:t>ab</w:t>
      </w:r>
      <w:r>
        <w:rPr>
          <w:lang w:val="en-CA"/>
        </w:rPr>
        <w:t xml:space="preserve">use. </w:t>
      </w:r>
      <w:r w:rsidR="003055F5">
        <w:rPr>
          <w:lang w:val="en-CA"/>
        </w:rPr>
        <w:t xml:space="preserve">Delusional elements may surface, and the accused may act out. </w:t>
      </w:r>
    </w:p>
    <w:p w14:paraId="3A2D9D0A" w14:textId="0CC428E6" w:rsidR="000F29CA" w:rsidRPr="003055F5" w:rsidRDefault="003055F5" w:rsidP="000F29CA">
      <w:pPr>
        <w:pStyle w:val="F02-Texte"/>
        <w:rPr>
          <w:lang w:val="en-CA"/>
        </w:rPr>
      </w:pPr>
      <w:r w:rsidRPr="003055F5">
        <w:rPr>
          <w:lang w:val="en-CA"/>
        </w:rPr>
        <w:t>She acknowledges that in the past, when the accused w</w:t>
      </w:r>
      <w:r>
        <w:rPr>
          <w:lang w:val="en-CA"/>
        </w:rPr>
        <w:t>as not under treatment, he had gone to the hospital.</w:t>
      </w:r>
    </w:p>
    <w:p w14:paraId="02EE6C84" w14:textId="5C61A5B1" w:rsidR="000F29CA" w:rsidRPr="003055F5" w:rsidRDefault="003055F5" w:rsidP="000F29CA">
      <w:pPr>
        <w:pStyle w:val="F02-Texte"/>
        <w:rPr>
          <w:lang w:val="en-CA"/>
        </w:rPr>
      </w:pPr>
      <w:r w:rsidRPr="003055F5">
        <w:rPr>
          <w:lang w:val="en-CA"/>
        </w:rPr>
        <w:t xml:space="preserve">She </w:t>
      </w:r>
      <w:r>
        <w:rPr>
          <w:lang w:val="en-CA"/>
        </w:rPr>
        <w:t>emphasizes</w:t>
      </w:r>
      <w:r w:rsidRPr="003055F5">
        <w:rPr>
          <w:lang w:val="en-CA"/>
        </w:rPr>
        <w:t xml:space="preserve"> that it is important for him to b</w:t>
      </w:r>
      <w:r>
        <w:rPr>
          <w:lang w:val="en-CA"/>
        </w:rPr>
        <w:t>uild a social network and to continue medical follow-up.</w:t>
      </w:r>
    </w:p>
    <w:p w14:paraId="0FC5BC4D" w14:textId="48E840C2" w:rsidR="000F29CA" w:rsidRPr="00EA1F3F" w:rsidRDefault="00EA1F3F" w:rsidP="000F29CA">
      <w:pPr>
        <w:pStyle w:val="F02-Texte"/>
        <w:rPr>
          <w:lang w:val="en-CA"/>
        </w:rPr>
      </w:pPr>
      <w:r w:rsidRPr="00EA1F3F">
        <w:rPr>
          <w:lang w:val="en-CA"/>
        </w:rPr>
        <w:t xml:space="preserve">She considers an absolute discharge to be premature, </w:t>
      </w:r>
      <w:r w:rsidR="00435748">
        <w:rPr>
          <w:lang w:val="en-CA"/>
        </w:rPr>
        <w:t xml:space="preserve">although </w:t>
      </w:r>
      <w:r>
        <w:rPr>
          <w:lang w:val="en-CA"/>
        </w:rPr>
        <w:t xml:space="preserve">she </w:t>
      </w:r>
      <w:r w:rsidR="00435748">
        <w:rPr>
          <w:lang w:val="en-CA"/>
        </w:rPr>
        <w:t>admits</w:t>
      </w:r>
      <w:r>
        <w:rPr>
          <w:lang w:val="en-CA"/>
        </w:rPr>
        <w:t xml:space="preserve"> that the risk of dangerousness is not currently present.</w:t>
      </w:r>
    </w:p>
    <w:p w14:paraId="2FD5A03B" w14:textId="68787772" w:rsidR="000F29CA" w:rsidRPr="00435748" w:rsidRDefault="00435748" w:rsidP="000F29CA">
      <w:pPr>
        <w:pStyle w:val="F02-Texte"/>
        <w:rPr>
          <w:lang w:val="en-CA"/>
        </w:rPr>
      </w:pPr>
      <w:r w:rsidRPr="00435748">
        <w:rPr>
          <w:lang w:val="en-CA"/>
        </w:rPr>
        <w:t xml:space="preserve">She believes that if the accused </w:t>
      </w:r>
      <w:proofErr w:type="gramStart"/>
      <w:r w:rsidRPr="00435748">
        <w:rPr>
          <w:lang w:val="en-CA"/>
        </w:rPr>
        <w:t>is discharged</w:t>
      </w:r>
      <w:proofErr w:type="gramEnd"/>
      <w:r w:rsidRPr="00435748">
        <w:rPr>
          <w:lang w:val="en-CA"/>
        </w:rPr>
        <w:t>, it i</w:t>
      </w:r>
      <w:r>
        <w:rPr>
          <w:lang w:val="en-CA"/>
        </w:rPr>
        <w:t xml:space="preserve">s likely that he will relapse into </w:t>
      </w:r>
      <w:r w:rsidR="00E95090">
        <w:rPr>
          <w:lang w:val="en-CA"/>
        </w:rPr>
        <w:t>substance</w:t>
      </w:r>
      <w:r>
        <w:rPr>
          <w:lang w:val="en-CA"/>
        </w:rPr>
        <w:t xml:space="preserve"> use or become non-compliant with treatment again. She recalls that he has already discontinued his medication </w:t>
      </w:r>
      <w:r w:rsidR="002C3DFC">
        <w:rPr>
          <w:lang w:val="en-CA"/>
        </w:rPr>
        <w:t>when left to his own devices</w:t>
      </w:r>
      <w:r>
        <w:rPr>
          <w:lang w:val="en-CA"/>
        </w:rPr>
        <w:t>.</w:t>
      </w:r>
    </w:p>
    <w:p w14:paraId="3170C223" w14:textId="288FAB0D" w:rsidR="000F29CA" w:rsidRPr="00BC4844" w:rsidRDefault="00BC4844" w:rsidP="000F29CA">
      <w:pPr>
        <w:pStyle w:val="F02-Texte"/>
        <w:rPr>
          <w:lang w:val="en-CA"/>
        </w:rPr>
      </w:pPr>
      <w:r w:rsidRPr="00BC4844">
        <w:rPr>
          <w:lang w:val="en-CA"/>
        </w:rPr>
        <w:t xml:space="preserve">She acknowledges that she did not address </w:t>
      </w:r>
      <w:r>
        <w:rPr>
          <w:lang w:val="en-CA"/>
        </w:rPr>
        <w:t>the issue of his</w:t>
      </w:r>
      <w:r w:rsidRPr="00BC4844">
        <w:rPr>
          <w:lang w:val="en-CA"/>
        </w:rPr>
        <w:t xml:space="preserve"> </w:t>
      </w:r>
      <w:r w:rsidR="00380E55">
        <w:rPr>
          <w:lang w:val="en-CA"/>
        </w:rPr>
        <w:t xml:space="preserve">substance </w:t>
      </w:r>
      <w:r w:rsidR="00F5500D">
        <w:rPr>
          <w:lang w:val="en-CA"/>
        </w:rPr>
        <w:t>ab</w:t>
      </w:r>
      <w:r w:rsidR="00380E55">
        <w:rPr>
          <w:lang w:val="en-CA"/>
        </w:rPr>
        <w:t xml:space="preserve">use </w:t>
      </w:r>
      <w:r>
        <w:rPr>
          <w:lang w:val="en-CA"/>
        </w:rPr>
        <w:t>with him personally.</w:t>
      </w:r>
    </w:p>
    <w:p w14:paraId="4DD4963A" w14:textId="02B06FBD" w:rsidR="000F29CA" w:rsidRPr="00DC1EF4" w:rsidRDefault="00C376DB" w:rsidP="000F29CA">
      <w:pPr>
        <w:pStyle w:val="F02-Texte"/>
        <w:rPr>
          <w:lang w:val="en-CA"/>
        </w:rPr>
      </w:pPr>
      <w:r w:rsidRPr="00DC1EF4">
        <w:rPr>
          <w:lang w:val="en-CA"/>
        </w:rPr>
        <w:t xml:space="preserve">Dr. Forget </w:t>
      </w:r>
      <w:r w:rsidR="00DC1EF4" w:rsidRPr="00DC1EF4">
        <w:rPr>
          <w:lang w:val="en-CA"/>
        </w:rPr>
        <w:t>is of the opinion that there must b</w:t>
      </w:r>
      <w:r w:rsidR="00DC1EF4">
        <w:rPr>
          <w:lang w:val="en-CA"/>
        </w:rPr>
        <w:t>e psychosocial work on the harmful effects of drugs.</w:t>
      </w:r>
    </w:p>
    <w:p w14:paraId="6F93FCEB" w14:textId="4877DE7E" w:rsidR="000F29CA" w:rsidRPr="007908C9" w:rsidRDefault="00DC1EF4" w:rsidP="000F29CA">
      <w:pPr>
        <w:pStyle w:val="F02-Texte"/>
        <w:rPr>
          <w:lang w:val="en-CA"/>
        </w:rPr>
      </w:pPr>
      <w:r w:rsidRPr="007908C9">
        <w:rPr>
          <w:lang w:val="en-CA"/>
        </w:rPr>
        <w:t xml:space="preserve">She considers the chances of relapse to be significant. </w:t>
      </w:r>
    </w:p>
    <w:p w14:paraId="1B5AB903" w14:textId="13B1EBCC" w:rsidR="000F29CA" w:rsidRPr="007908C9" w:rsidRDefault="007908C9" w:rsidP="000F29CA">
      <w:pPr>
        <w:pStyle w:val="F02-Texte"/>
        <w:rPr>
          <w:lang w:val="en-CA"/>
        </w:rPr>
      </w:pPr>
      <w:r>
        <w:rPr>
          <w:lang w:val="en-CA"/>
        </w:rPr>
        <w:t xml:space="preserve">As </w:t>
      </w:r>
      <w:r w:rsidRPr="007908C9">
        <w:rPr>
          <w:lang w:val="en-CA"/>
        </w:rPr>
        <w:t>to whether the treatment team was able t</w:t>
      </w:r>
      <w:r>
        <w:rPr>
          <w:lang w:val="en-CA"/>
        </w:rPr>
        <w:t xml:space="preserve">o order </w:t>
      </w:r>
      <w:r w:rsidR="00E95090">
        <w:rPr>
          <w:lang w:val="en-CA"/>
        </w:rPr>
        <w:t xml:space="preserve">the accused to take </w:t>
      </w:r>
      <w:r>
        <w:rPr>
          <w:lang w:val="en-CA"/>
        </w:rPr>
        <w:t xml:space="preserve">urine drug tests, Dr. Forget explained that because of the pandemic, visits </w:t>
      </w:r>
      <w:proofErr w:type="gramStart"/>
      <w:r>
        <w:rPr>
          <w:lang w:val="en-CA"/>
        </w:rPr>
        <w:t>were prevented</w:t>
      </w:r>
      <w:proofErr w:type="gramEnd"/>
      <w:r>
        <w:rPr>
          <w:lang w:val="en-CA"/>
        </w:rPr>
        <w:t xml:space="preserve"> by restrictions in place. She explained that while no tests </w:t>
      </w:r>
      <w:proofErr w:type="gramStart"/>
      <w:r>
        <w:rPr>
          <w:lang w:val="en-CA"/>
        </w:rPr>
        <w:t>had been ordered</w:t>
      </w:r>
      <w:proofErr w:type="gramEnd"/>
      <w:r>
        <w:rPr>
          <w:lang w:val="en-CA"/>
        </w:rPr>
        <w:t xml:space="preserve">, the treatment team members did not </w:t>
      </w:r>
      <w:r w:rsidRPr="00E539E5">
        <w:rPr>
          <w:lang w:val="en-CA"/>
        </w:rPr>
        <w:t xml:space="preserve">suspect any </w:t>
      </w:r>
      <w:r w:rsidR="00F5500D" w:rsidRPr="00E539E5">
        <w:rPr>
          <w:lang w:val="en-CA"/>
        </w:rPr>
        <w:t xml:space="preserve">substance </w:t>
      </w:r>
      <w:r w:rsidRPr="00E539E5">
        <w:rPr>
          <w:lang w:val="en-CA"/>
        </w:rPr>
        <w:t xml:space="preserve">use. Progression </w:t>
      </w:r>
      <w:r w:rsidR="00E724EE" w:rsidRPr="00E539E5">
        <w:rPr>
          <w:lang w:val="en-CA"/>
        </w:rPr>
        <w:t>showed an absence of symptoms. In addition, there were no spikes in his mental health.</w:t>
      </w:r>
    </w:p>
    <w:p w14:paraId="02786277" w14:textId="42115DE8" w:rsidR="000F29CA" w:rsidRPr="0043390F" w:rsidRDefault="00366615" w:rsidP="000F29CA">
      <w:pPr>
        <w:pStyle w:val="F02-Texte"/>
        <w:numPr>
          <w:ilvl w:val="0"/>
          <w:numId w:val="0"/>
        </w:numPr>
        <w:rPr>
          <w:i/>
        </w:rPr>
      </w:pPr>
      <w:bookmarkStart w:id="61" w:name="lt_pId111"/>
      <w:r w:rsidRPr="00366615">
        <w:rPr>
          <w:i/>
        </w:rPr>
        <w:lastRenderedPageBreak/>
        <w:t>Testimony</w:t>
      </w:r>
      <w:r w:rsidR="0086584C" w:rsidRPr="0043390F">
        <w:rPr>
          <w:i/>
        </w:rPr>
        <w:t xml:space="preserve"> </w:t>
      </w:r>
      <w:r>
        <w:rPr>
          <w:i/>
        </w:rPr>
        <w:t xml:space="preserve">of Ms. </w:t>
      </w:r>
      <w:r w:rsidR="0086584C" w:rsidRPr="0043390F">
        <w:rPr>
          <w:i/>
        </w:rPr>
        <w:t>DiStefano</w:t>
      </w:r>
      <w:bookmarkEnd w:id="61"/>
    </w:p>
    <w:p w14:paraId="5F660F73" w14:textId="2DBC25CF" w:rsidR="000F29CA" w:rsidRPr="00380E55" w:rsidRDefault="00380E55" w:rsidP="000F29CA">
      <w:pPr>
        <w:pStyle w:val="F02-Texte"/>
        <w:rPr>
          <w:lang w:val="en-CA"/>
        </w:rPr>
      </w:pPr>
      <w:r w:rsidRPr="00F5500D">
        <w:rPr>
          <w:lang w:val="en-CA"/>
        </w:rPr>
        <w:t xml:space="preserve">Ms. </w:t>
      </w:r>
      <w:r w:rsidRPr="00380E55">
        <w:rPr>
          <w:lang w:val="en-CA"/>
        </w:rPr>
        <w:t xml:space="preserve">DiStefano, </w:t>
      </w:r>
      <w:r>
        <w:rPr>
          <w:lang w:val="en-CA"/>
        </w:rPr>
        <w:t xml:space="preserve">a </w:t>
      </w:r>
      <w:r w:rsidRPr="00380E55">
        <w:rPr>
          <w:lang w:val="en-CA"/>
        </w:rPr>
        <w:t>social worker, testified at the hearing. With r</w:t>
      </w:r>
      <w:r>
        <w:rPr>
          <w:lang w:val="en-CA"/>
        </w:rPr>
        <w:t xml:space="preserve">egard to the accused’s </w:t>
      </w:r>
      <w:r w:rsidR="00F5500D">
        <w:rPr>
          <w:lang w:val="en-CA"/>
        </w:rPr>
        <w:t>substance</w:t>
      </w:r>
      <w:r>
        <w:rPr>
          <w:lang w:val="en-CA"/>
        </w:rPr>
        <w:t xml:space="preserve"> </w:t>
      </w:r>
      <w:r w:rsidR="00F5500D">
        <w:rPr>
          <w:lang w:val="en-CA"/>
        </w:rPr>
        <w:t>ab</w:t>
      </w:r>
      <w:r>
        <w:rPr>
          <w:lang w:val="en-CA"/>
        </w:rPr>
        <w:t xml:space="preserve">use problem, she explained that </w:t>
      </w:r>
      <w:r w:rsidR="00BD3640">
        <w:rPr>
          <w:lang w:val="en-CA"/>
        </w:rPr>
        <w:t>he</w:t>
      </w:r>
      <w:r w:rsidR="006A0CCF">
        <w:rPr>
          <w:lang w:val="en-CA"/>
        </w:rPr>
        <w:t xml:space="preserve"> is making progress. They have been able to have several discussions on this subject. The accused is able to make the connection between substance use and the impact on his </w:t>
      </w:r>
      <w:r w:rsidR="00D12A4B">
        <w:rPr>
          <w:lang w:val="en-CA"/>
        </w:rPr>
        <w:t>mental health.</w:t>
      </w:r>
    </w:p>
    <w:p w14:paraId="696B8CAA" w14:textId="2677E92D" w:rsidR="000F29CA" w:rsidRPr="00BD3640" w:rsidRDefault="00D12A4B" w:rsidP="000F29CA">
      <w:pPr>
        <w:pStyle w:val="F02-Texte"/>
        <w:rPr>
          <w:lang w:val="en-CA"/>
        </w:rPr>
      </w:pPr>
      <w:r w:rsidRPr="00BD3640">
        <w:rPr>
          <w:lang w:val="en-CA"/>
        </w:rPr>
        <w:t xml:space="preserve">With regard to the accused’s functioning in the unit, the </w:t>
      </w:r>
      <w:r w:rsidR="00BD3640" w:rsidRPr="00BD3640">
        <w:rPr>
          <w:lang w:val="en-CA"/>
        </w:rPr>
        <w:t xml:space="preserve">worker </w:t>
      </w:r>
      <w:r w:rsidRPr="00BD3640">
        <w:rPr>
          <w:lang w:val="en-CA"/>
        </w:rPr>
        <w:t xml:space="preserve">introduced himself. Walking </w:t>
      </w:r>
      <w:proofErr w:type="gramStart"/>
      <w:r w:rsidRPr="00BD3640">
        <w:rPr>
          <w:lang w:val="en-CA"/>
        </w:rPr>
        <w:t>is prioritized</w:t>
      </w:r>
      <w:proofErr w:type="gramEnd"/>
      <w:r w:rsidRPr="00BD3640">
        <w:rPr>
          <w:lang w:val="en-CA"/>
        </w:rPr>
        <w:t>.</w:t>
      </w:r>
    </w:p>
    <w:p w14:paraId="5E003717" w14:textId="61308566" w:rsidR="000F29CA" w:rsidRPr="00D12A4B" w:rsidRDefault="00D12A4B" w:rsidP="00D12A4B">
      <w:pPr>
        <w:pStyle w:val="F02-Texte"/>
        <w:rPr>
          <w:lang w:val="en-CA"/>
        </w:rPr>
      </w:pPr>
      <w:r w:rsidRPr="00D12A4B">
        <w:rPr>
          <w:lang w:val="en-CA"/>
        </w:rPr>
        <w:t>The social worker believes that</w:t>
      </w:r>
      <w:r>
        <w:rPr>
          <w:lang w:val="en-CA"/>
        </w:rPr>
        <w:t xml:space="preserve"> it is important to consider</w:t>
      </w:r>
      <w:r w:rsidRPr="00D12A4B">
        <w:rPr>
          <w:lang w:val="en-CA"/>
        </w:rPr>
        <w:t xml:space="preserve"> </w:t>
      </w:r>
      <w:r>
        <w:rPr>
          <w:lang w:val="en-CA"/>
        </w:rPr>
        <w:t xml:space="preserve">the fact that the accused </w:t>
      </w:r>
      <w:proofErr w:type="gramStart"/>
      <w:r>
        <w:rPr>
          <w:lang w:val="en-CA"/>
        </w:rPr>
        <w:t>has been hospitalized</w:t>
      </w:r>
      <w:proofErr w:type="gramEnd"/>
      <w:r>
        <w:rPr>
          <w:lang w:val="en-CA"/>
        </w:rPr>
        <w:t xml:space="preserve"> for several months when analyzing the likelihood of relapse. </w:t>
      </w:r>
      <w:r w:rsidR="00522C6E">
        <w:rPr>
          <w:lang w:val="en-CA"/>
        </w:rPr>
        <w:t xml:space="preserve">In the case of a release, even under conditions, the accused may underestimate the influence of friends and relapse into substance use. </w:t>
      </w:r>
    </w:p>
    <w:p w14:paraId="494E4552" w14:textId="24C0BC2F" w:rsidR="000F29CA" w:rsidRPr="00BD3640" w:rsidRDefault="0086584C" w:rsidP="000F29CA">
      <w:pPr>
        <w:pStyle w:val="F02-Texte"/>
        <w:numPr>
          <w:ilvl w:val="0"/>
          <w:numId w:val="0"/>
        </w:numPr>
        <w:rPr>
          <w:i/>
        </w:rPr>
      </w:pPr>
      <w:bookmarkStart w:id="62" w:name="lt_pId120"/>
      <w:r w:rsidRPr="00BD3640">
        <w:rPr>
          <w:i/>
        </w:rPr>
        <w:t>Testimony of the accused</w:t>
      </w:r>
      <w:bookmarkEnd w:id="62"/>
    </w:p>
    <w:p w14:paraId="5AC63E11" w14:textId="614E7654" w:rsidR="000F29CA" w:rsidRPr="00BD3640" w:rsidRDefault="00522C6E" w:rsidP="000F29CA">
      <w:pPr>
        <w:pStyle w:val="F02-Texte"/>
        <w:rPr>
          <w:lang w:val="en-CA"/>
        </w:rPr>
      </w:pPr>
      <w:bookmarkStart w:id="63" w:name="lt_pId121"/>
      <w:r w:rsidRPr="00BD3640">
        <w:rPr>
          <w:lang w:val="en-CA"/>
        </w:rPr>
        <w:t>The accused testified</w:t>
      </w:r>
      <w:r w:rsidR="0086584C" w:rsidRPr="00BD3640">
        <w:rPr>
          <w:lang w:val="en-CA"/>
        </w:rPr>
        <w:t>.</w:t>
      </w:r>
      <w:bookmarkEnd w:id="63"/>
      <w:r w:rsidR="0086584C" w:rsidRPr="00BD3640">
        <w:rPr>
          <w:lang w:val="en-CA"/>
        </w:rPr>
        <w:t xml:space="preserve"> </w:t>
      </w:r>
      <w:bookmarkStart w:id="64" w:name="lt_pId122"/>
      <w:r w:rsidR="0086584C" w:rsidRPr="00BD3640">
        <w:rPr>
          <w:lang w:val="en-CA"/>
        </w:rPr>
        <w:t>His testimony can be summarized as follows:</w:t>
      </w:r>
      <w:bookmarkEnd w:id="64"/>
      <w:r w:rsidR="0086584C" w:rsidRPr="00BD3640">
        <w:rPr>
          <w:lang w:val="en-CA"/>
        </w:rPr>
        <w:t xml:space="preserve"> </w:t>
      </w:r>
    </w:p>
    <w:p w14:paraId="024805DF" w14:textId="681E7C65" w:rsidR="000F29CA" w:rsidRPr="00522C6E" w:rsidRDefault="00522C6E" w:rsidP="000F29CA">
      <w:pPr>
        <w:pStyle w:val="F02-Texte"/>
        <w:rPr>
          <w:lang w:val="en-CA"/>
        </w:rPr>
      </w:pPr>
      <w:r w:rsidRPr="00522C6E">
        <w:rPr>
          <w:lang w:val="en-CA"/>
        </w:rPr>
        <w:t>With respect to his m</w:t>
      </w:r>
      <w:r>
        <w:rPr>
          <w:lang w:val="en-CA"/>
        </w:rPr>
        <w:t>edication, the accused indicated that he was feeling well and did not experience any side effects.</w:t>
      </w:r>
    </w:p>
    <w:p w14:paraId="2015DA83" w14:textId="01F25CC7" w:rsidR="000F29CA" w:rsidRPr="00522C6E" w:rsidRDefault="00522C6E" w:rsidP="000F29CA">
      <w:pPr>
        <w:pStyle w:val="F02-Texte"/>
        <w:rPr>
          <w:lang w:val="en-CA"/>
        </w:rPr>
      </w:pPr>
      <w:r w:rsidRPr="00522C6E">
        <w:rPr>
          <w:lang w:val="en-CA"/>
        </w:rPr>
        <w:t>He observed that he had less difficulty socializing.</w:t>
      </w:r>
    </w:p>
    <w:p w14:paraId="016C844D" w14:textId="1C1B9552" w:rsidR="000F29CA" w:rsidRPr="00DE164F" w:rsidRDefault="00DE164F" w:rsidP="000F29CA">
      <w:pPr>
        <w:pStyle w:val="F02-Texte"/>
        <w:rPr>
          <w:lang w:val="en-CA"/>
        </w:rPr>
      </w:pPr>
      <w:r>
        <w:rPr>
          <w:lang w:val="en-CA"/>
        </w:rPr>
        <w:t xml:space="preserve">Regarding </w:t>
      </w:r>
      <w:r w:rsidR="00522C6E" w:rsidRPr="00DE164F">
        <w:rPr>
          <w:lang w:val="en-CA"/>
        </w:rPr>
        <w:t xml:space="preserve">his substance abuse, he </w:t>
      </w:r>
      <w:r w:rsidRPr="00DE164F">
        <w:rPr>
          <w:lang w:val="en-CA"/>
        </w:rPr>
        <w:t>does not intend t</w:t>
      </w:r>
      <w:r>
        <w:rPr>
          <w:lang w:val="en-CA"/>
        </w:rPr>
        <w:t xml:space="preserve">o take any more drugs. When asked what he would do if it </w:t>
      </w:r>
      <w:proofErr w:type="gramStart"/>
      <w:r>
        <w:rPr>
          <w:lang w:val="en-CA"/>
        </w:rPr>
        <w:t>were offered</w:t>
      </w:r>
      <w:proofErr w:type="gramEnd"/>
      <w:r>
        <w:rPr>
          <w:lang w:val="en-CA"/>
        </w:rPr>
        <w:t xml:space="preserve"> to him, he did not have an answer.</w:t>
      </w:r>
    </w:p>
    <w:p w14:paraId="3B1C24A3" w14:textId="1EC306BC" w:rsidR="000F29CA" w:rsidRPr="00DE164F" w:rsidRDefault="00DE164F" w:rsidP="000F29CA">
      <w:pPr>
        <w:pStyle w:val="F02-Texte"/>
        <w:rPr>
          <w:lang w:val="en-CA"/>
        </w:rPr>
      </w:pPr>
      <w:r w:rsidRPr="00DE164F">
        <w:rPr>
          <w:lang w:val="en-CA"/>
        </w:rPr>
        <w:t>As for the criteria for fitness, he understands that t</w:t>
      </w:r>
      <w:r>
        <w:rPr>
          <w:lang w:val="en-CA"/>
        </w:rPr>
        <w:t xml:space="preserve">he defence counsel’s role is to defend him against the charges. He acknowledges that he </w:t>
      </w:r>
      <w:proofErr w:type="gramStart"/>
      <w:r>
        <w:rPr>
          <w:lang w:val="en-CA"/>
        </w:rPr>
        <w:t>has been charged</w:t>
      </w:r>
      <w:proofErr w:type="gramEnd"/>
      <w:r>
        <w:rPr>
          <w:lang w:val="en-CA"/>
        </w:rPr>
        <w:t xml:space="preserve"> with assault, uttering threats</w:t>
      </w:r>
      <w:r w:rsidR="000317A4">
        <w:rPr>
          <w:lang w:val="en-CA"/>
        </w:rPr>
        <w:t>,</w:t>
      </w:r>
      <w:r>
        <w:rPr>
          <w:lang w:val="en-CA"/>
        </w:rPr>
        <w:t xml:space="preserve"> and obstructing </w:t>
      </w:r>
      <w:r w:rsidR="005C29F0">
        <w:rPr>
          <w:lang w:val="en-CA"/>
        </w:rPr>
        <w:t>peace officers</w:t>
      </w:r>
      <w:r>
        <w:rPr>
          <w:lang w:val="en-CA"/>
        </w:rPr>
        <w:t>.</w:t>
      </w:r>
      <w:r w:rsidR="005C29F0">
        <w:rPr>
          <w:lang w:val="en-CA"/>
        </w:rPr>
        <w:t xml:space="preserve"> He cannot explain the role of the representative of the Director of Criminal and Penal Prosecutions.</w:t>
      </w:r>
    </w:p>
    <w:p w14:paraId="41B65091" w14:textId="537A3804" w:rsidR="000F29CA" w:rsidRPr="005C29F0" w:rsidRDefault="005C29F0" w:rsidP="000F29CA">
      <w:pPr>
        <w:pStyle w:val="F02-Texte"/>
        <w:rPr>
          <w:lang w:val="en-CA"/>
        </w:rPr>
      </w:pPr>
      <w:r w:rsidRPr="005C29F0">
        <w:rPr>
          <w:lang w:val="en-CA"/>
        </w:rPr>
        <w:t>He is able to understand that the judge must r</w:t>
      </w:r>
      <w:r>
        <w:rPr>
          <w:lang w:val="en-CA"/>
        </w:rPr>
        <w:t>ender a decision.</w:t>
      </w:r>
    </w:p>
    <w:p w14:paraId="0A3D9755" w14:textId="1DC7E8D5" w:rsidR="000F29CA" w:rsidRPr="009C294E" w:rsidRDefault="005C29F0" w:rsidP="000F29CA">
      <w:pPr>
        <w:pStyle w:val="F02-Texte"/>
        <w:rPr>
          <w:lang w:val="en-CA"/>
        </w:rPr>
      </w:pPr>
      <w:r w:rsidRPr="009C294E">
        <w:rPr>
          <w:lang w:val="en-CA"/>
        </w:rPr>
        <w:t xml:space="preserve">He </w:t>
      </w:r>
      <w:r w:rsidR="009C294E" w:rsidRPr="009C294E">
        <w:rPr>
          <w:lang w:val="en-CA"/>
        </w:rPr>
        <w:t>submits that he intends to follow the</w:t>
      </w:r>
      <w:r w:rsidR="009C294E">
        <w:rPr>
          <w:lang w:val="en-CA"/>
        </w:rPr>
        <w:t xml:space="preserve"> recommendations of the treatment team. He would like to have more freedom and continue his outpatient care.</w:t>
      </w:r>
    </w:p>
    <w:p w14:paraId="77E34462" w14:textId="395FC82F" w:rsidR="000F29CA" w:rsidRPr="009C294E" w:rsidRDefault="009C294E" w:rsidP="000F29CA">
      <w:pPr>
        <w:pStyle w:val="F02-Texte"/>
        <w:rPr>
          <w:lang w:val="en-CA"/>
        </w:rPr>
      </w:pPr>
      <w:r w:rsidRPr="009C294E">
        <w:rPr>
          <w:lang w:val="en-CA"/>
        </w:rPr>
        <w:lastRenderedPageBreak/>
        <w:t xml:space="preserve">He acknowledges that </w:t>
      </w:r>
      <w:proofErr w:type="gramStart"/>
      <w:r w:rsidR="00CC4A9D">
        <w:rPr>
          <w:lang w:val="en-CA"/>
        </w:rPr>
        <w:t>being sent</w:t>
      </w:r>
      <w:proofErr w:type="gramEnd"/>
      <w:r w:rsidR="00CC4A9D">
        <w:rPr>
          <w:lang w:val="en-CA"/>
        </w:rPr>
        <w:t xml:space="preserve"> back </w:t>
      </w:r>
      <w:r w:rsidRPr="009C294E">
        <w:rPr>
          <w:lang w:val="en-CA"/>
        </w:rPr>
        <w:t>to court means t</w:t>
      </w:r>
      <w:r>
        <w:rPr>
          <w:lang w:val="en-CA"/>
        </w:rPr>
        <w:t>hat he must go through the criminal process.</w:t>
      </w:r>
    </w:p>
    <w:p w14:paraId="64C35FC1" w14:textId="0EE69EB6" w:rsidR="000F29CA" w:rsidRPr="00F10B68" w:rsidRDefault="009C294E" w:rsidP="000F29CA">
      <w:pPr>
        <w:pStyle w:val="F02-Texte"/>
        <w:rPr>
          <w:lang w:val="en-CA"/>
        </w:rPr>
      </w:pPr>
      <w:r w:rsidRPr="00F10B68">
        <w:rPr>
          <w:lang w:val="en-CA"/>
        </w:rPr>
        <w:t xml:space="preserve">When asked if he </w:t>
      </w:r>
      <w:r w:rsidR="00F10B68" w:rsidRPr="00F10B68">
        <w:rPr>
          <w:lang w:val="en-CA"/>
        </w:rPr>
        <w:t>suffered from mental illness, he r</w:t>
      </w:r>
      <w:r w:rsidR="00F10B68">
        <w:rPr>
          <w:lang w:val="en-CA"/>
        </w:rPr>
        <w:t xml:space="preserve">eplied: </w:t>
      </w:r>
      <w:r w:rsidR="000317A4">
        <w:rPr>
          <w:lang w:val="en-CA"/>
        </w:rPr>
        <w:t>[</w:t>
      </w:r>
      <w:r w:rsidR="000317A4" w:rsidRPr="000B2606">
        <w:rPr>
          <w:smallCaps/>
          <w:lang w:val="en-CA"/>
        </w:rPr>
        <w:t>translation</w:t>
      </w:r>
      <w:r w:rsidR="000317A4">
        <w:rPr>
          <w:lang w:val="en-CA"/>
        </w:rPr>
        <w:t xml:space="preserve">] </w:t>
      </w:r>
      <w:r w:rsidR="00F10B68">
        <w:rPr>
          <w:lang w:val="en-CA"/>
        </w:rPr>
        <w:t>“Yes, more yes than no.”</w:t>
      </w:r>
    </w:p>
    <w:p w14:paraId="363D6E91" w14:textId="5CBB0B05" w:rsidR="000F29CA" w:rsidRPr="00F10B68" w:rsidRDefault="00F10B68" w:rsidP="000F29CA">
      <w:pPr>
        <w:pStyle w:val="F02-Texte"/>
        <w:rPr>
          <w:lang w:val="en-CA"/>
        </w:rPr>
      </w:pPr>
      <w:r w:rsidRPr="00F10B68">
        <w:rPr>
          <w:lang w:val="en-CA"/>
        </w:rPr>
        <w:t>He believes that he needs follow-up</w:t>
      </w:r>
      <w:r w:rsidR="000317A4">
        <w:rPr>
          <w:lang w:val="en-CA"/>
        </w:rPr>
        <w:t xml:space="preserve"> care</w:t>
      </w:r>
      <w:r w:rsidRPr="00F10B68">
        <w:rPr>
          <w:lang w:val="en-CA"/>
        </w:rPr>
        <w:t xml:space="preserve"> and </w:t>
      </w:r>
      <w:r>
        <w:rPr>
          <w:lang w:val="en-CA"/>
        </w:rPr>
        <w:t xml:space="preserve">treatment with </w:t>
      </w:r>
      <w:r w:rsidRPr="00F10B68">
        <w:rPr>
          <w:lang w:val="en-CA"/>
        </w:rPr>
        <w:t>medication. H</w:t>
      </w:r>
      <w:r>
        <w:rPr>
          <w:lang w:val="en-CA"/>
        </w:rPr>
        <w:t>e feels the effects of the medication immediately. He recognizes the benefits. He submits that cognitively, it is going better.</w:t>
      </w:r>
    </w:p>
    <w:p w14:paraId="6DC78963" w14:textId="3CE23A70" w:rsidR="000F29CA" w:rsidRPr="00F10B68" w:rsidRDefault="00F10B68" w:rsidP="000F29CA">
      <w:pPr>
        <w:pStyle w:val="F02-Texte"/>
        <w:rPr>
          <w:lang w:val="en-CA"/>
        </w:rPr>
      </w:pPr>
      <w:r w:rsidRPr="00F10B68">
        <w:rPr>
          <w:lang w:val="en-CA"/>
        </w:rPr>
        <w:t>He maintains that he no longer believes he is a</w:t>
      </w:r>
      <w:r>
        <w:rPr>
          <w:lang w:val="en-CA"/>
        </w:rPr>
        <w:t xml:space="preserve"> victim of a conspiracy. He admits that he had dark thoughts. He claims that he was unable to change </w:t>
      </w:r>
      <w:r w:rsidR="003C3849">
        <w:rPr>
          <w:lang w:val="en-CA"/>
        </w:rPr>
        <w:t>his lifestyle in the past.</w:t>
      </w:r>
    </w:p>
    <w:p w14:paraId="1AEE9D91" w14:textId="6FF97F22" w:rsidR="000F29CA" w:rsidRPr="003C3849" w:rsidRDefault="003C3849" w:rsidP="000F29CA">
      <w:pPr>
        <w:pStyle w:val="F02-Texte"/>
        <w:rPr>
          <w:lang w:val="en-CA"/>
        </w:rPr>
      </w:pPr>
      <w:r w:rsidRPr="003C3849">
        <w:rPr>
          <w:lang w:val="en-CA"/>
        </w:rPr>
        <w:t>He emphasizes that treatment with medication helps him with h</w:t>
      </w:r>
      <w:r>
        <w:rPr>
          <w:lang w:val="en-CA"/>
        </w:rPr>
        <w:t>is thoughts.</w:t>
      </w:r>
    </w:p>
    <w:p w14:paraId="4F1F8E3B" w14:textId="54ECA314" w:rsidR="000F29CA" w:rsidRPr="003C3849" w:rsidRDefault="003C3849" w:rsidP="000F29CA">
      <w:pPr>
        <w:pStyle w:val="F02-Texte"/>
        <w:rPr>
          <w:lang w:val="en-CA"/>
        </w:rPr>
      </w:pPr>
      <w:r w:rsidRPr="003C3849">
        <w:rPr>
          <w:lang w:val="en-CA"/>
        </w:rPr>
        <w:t xml:space="preserve">He </w:t>
      </w:r>
      <w:r>
        <w:rPr>
          <w:lang w:val="en-CA"/>
        </w:rPr>
        <w:t>describes</w:t>
      </w:r>
      <w:r w:rsidRPr="003C3849">
        <w:rPr>
          <w:lang w:val="en-CA"/>
        </w:rPr>
        <w:t xml:space="preserve"> his relationship with his father as good</w:t>
      </w:r>
      <w:r>
        <w:rPr>
          <w:lang w:val="en-CA"/>
        </w:rPr>
        <w:t xml:space="preserve">, although he admits that they do not understand each other well at times. He now understands the importance of communication. He says that they are able to have fun together. The last time they </w:t>
      </w:r>
      <w:r w:rsidR="000317A4">
        <w:rPr>
          <w:lang w:val="en-CA"/>
        </w:rPr>
        <w:t xml:space="preserve">spent </w:t>
      </w:r>
      <w:r>
        <w:rPr>
          <w:lang w:val="en-CA"/>
        </w:rPr>
        <w:t>time together was last winter</w:t>
      </w:r>
      <w:r w:rsidR="00752DCA">
        <w:rPr>
          <w:lang w:val="en-CA"/>
        </w:rPr>
        <w:t>,</w:t>
      </w:r>
      <w:r>
        <w:rPr>
          <w:lang w:val="en-CA"/>
        </w:rPr>
        <w:t xml:space="preserve"> when they went snowboarding.</w:t>
      </w:r>
    </w:p>
    <w:p w14:paraId="08A03D03" w14:textId="6A4B9D3F" w:rsidR="000F29CA" w:rsidRPr="00E7329C" w:rsidRDefault="003C3849" w:rsidP="000F29CA">
      <w:pPr>
        <w:pStyle w:val="F02-Texte"/>
        <w:rPr>
          <w:lang w:val="en-CA"/>
        </w:rPr>
      </w:pPr>
      <w:r w:rsidRPr="00E7329C">
        <w:rPr>
          <w:lang w:val="en-CA"/>
        </w:rPr>
        <w:t xml:space="preserve">He highlights the importance of </w:t>
      </w:r>
      <w:r w:rsidR="00E7329C" w:rsidRPr="00E7329C">
        <w:rPr>
          <w:lang w:val="en-CA"/>
        </w:rPr>
        <w:t xml:space="preserve">turning to available services in the </w:t>
      </w:r>
      <w:r w:rsidR="00E7329C">
        <w:rPr>
          <w:lang w:val="en-CA"/>
        </w:rPr>
        <w:t>event of any problems.</w:t>
      </w:r>
    </w:p>
    <w:p w14:paraId="06514BD3" w14:textId="690608C1" w:rsidR="000F29CA" w:rsidRPr="0044575D" w:rsidRDefault="004B6D63" w:rsidP="000F29CA">
      <w:pPr>
        <w:pStyle w:val="F02-Texte"/>
        <w:rPr>
          <w:lang w:val="en-CA"/>
        </w:rPr>
      </w:pPr>
      <w:r>
        <w:rPr>
          <w:lang w:val="en-CA"/>
        </w:rPr>
        <w:t>He plans to follow</w:t>
      </w:r>
      <w:r w:rsidR="0044575D" w:rsidRPr="0044575D">
        <w:rPr>
          <w:lang w:val="en-CA"/>
        </w:rPr>
        <w:t xml:space="preserve"> the recommendations of the t</w:t>
      </w:r>
      <w:r w:rsidR="0044575D">
        <w:rPr>
          <w:lang w:val="en-CA"/>
        </w:rPr>
        <w:t>reatment team. He would like to get his driver’s licen</w:t>
      </w:r>
      <w:r w:rsidR="00704ABD">
        <w:rPr>
          <w:lang w:val="en-CA"/>
        </w:rPr>
        <w:t>c</w:t>
      </w:r>
      <w:r w:rsidR="0044575D">
        <w:rPr>
          <w:lang w:val="en-CA"/>
        </w:rPr>
        <w:t>e back, find lodging, get a girlfriend, and perhaps even go back to school.</w:t>
      </w:r>
    </w:p>
    <w:p w14:paraId="77D685D0" w14:textId="75193478" w:rsidR="000F29CA" w:rsidRPr="0044575D" w:rsidRDefault="0044575D" w:rsidP="000F29CA">
      <w:pPr>
        <w:pStyle w:val="F08-Titre"/>
        <w:rPr>
          <w:b w:val="0"/>
          <w:i/>
          <w:lang w:val="en-CA"/>
        </w:rPr>
      </w:pPr>
      <w:r w:rsidRPr="0044575D">
        <w:rPr>
          <w:b w:val="0"/>
          <w:i/>
          <w:lang w:val="en-CA"/>
        </w:rPr>
        <w:t>Testimony of the father of th</w:t>
      </w:r>
      <w:r>
        <w:rPr>
          <w:b w:val="0"/>
          <w:i/>
          <w:lang w:val="en-CA"/>
        </w:rPr>
        <w:t>e accused</w:t>
      </w:r>
    </w:p>
    <w:p w14:paraId="7BD8642F" w14:textId="032D7BA1" w:rsidR="000F29CA" w:rsidRPr="00667C83" w:rsidRDefault="0044575D" w:rsidP="000F29CA">
      <w:pPr>
        <w:pStyle w:val="F02-Texte"/>
        <w:rPr>
          <w:lang w:val="en-CA"/>
        </w:rPr>
      </w:pPr>
      <w:r w:rsidRPr="00667C83">
        <w:rPr>
          <w:lang w:val="en-CA"/>
        </w:rPr>
        <w:t xml:space="preserve">The father says he </w:t>
      </w:r>
      <w:r w:rsidR="00667C83">
        <w:rPr>
          <w:lang w:val="en-CA"/>
        </w:rPr>
        <w:t xml:space="preserve">likes the atmosphere at the hearing. He is glad that his son asked him to be present. He submits that he feels his son’s love and points out </w:t>
      </w:r>
      <w:proofErr w:type="gramStart"/>
      <w:r w:rsidR="00667C83">
        <w:rPr>
          <w:lang w:val="en-CA"/>
        </w:rPr>
        <w:t>that things</w:t>
      </w:r>
      <w:proofErr w:type="gramEnd"/>
      <w:r w:rsidR="00667C83">
        <w:rPr>
          <w:lang w:val="en-CA"/>
        </w:rPr>
        <w:t xml:space="preserve"> are already going well. </w:t>
      </w:r>
    </w:p>
    <w:p w14:paraId="3788675F" w14:textId="77777777" w:rsidR="000F29CA" w:rsidRPr="000317A4" w:rsidRDefault="0086584C" w:rsidP="000F29CA">
      <w:pPr>
        <w:pStyle w:val="F08-Titre"/>
      </w:pPr>
      <w:bookmarkStart w:id="65" w:name="lt_pId157"/>
      <w:r w:rsidRPr="000317A4">
        <w:t>SUBMISSIONS</w:t>
      </w:r>
      <w:bookmarkEnd w:id="65"/>
      <w:r w:rsidRPr="000317A4">
        <w:t xml:space="preserve"> </w:t>
      </w:r>
    </w:p>
    <w:p w14:paraId="06F26A94" w14:textId="68121E1F" w:rsidR="000F29CA" w:rsidRPr="00C855EC" w:rsidRDefault="0086584C" w:rsidP="000F29CA">
      <w:pPr>
        <w:pStyle w:val="F02-Texte"/>
        <w:rPr>
          <w:lang w:val="en-CA"/>
        </w:rPr>
      </w:pPr>
      <w:bookmarkStart w:id="66" w:name="lt_pId158"/>
      <w:r w:rsidRPr="000317A4">
        <w:rPr>
          <w:lang w:val="en-CA"/>
        </w:rPr>
        <w:t>Counsel for the accused made submissions.</w:t>
      </w:r>
      <w:bookmarkEnd w:id="66"/>
      <w:r w:rsidRPr="000317A4">
        <w:rPr>
          <w:lang w:val="en-CA"/>
        </w:rPr>
        <w:t xml:space="preserve"> </w:t>
      </w:r>
      <w:r w:rsidR="00C855EC" w:rsidRPr="000317A4">
        <w:rPr>
          <w:lang w:val="en-CA"/>
        </w:rPr>
        <w:t xml:space="preserve">She pointed out that with </w:t>
      </w:r>
      <w:r w:rsidR="007E2140" w:rsidRPr="000317A4">
        <w:rPr>
          <w:lang w:val="en-CA"/>
        </w:rPr>
        <w:t>respect</w:t>
      </w:r>
      <w:r w:rsidR="00C855EC" w:rsidRPr="000317A4">
        <w:rPr>
          <w:lang w:val="en-CA"/>
        </w:rPr>
        <w:t xml:space="preserve"> to the criteria for </w:t>
      </w:r>
      <w:proofErr w:type="gramStart"/>
      <w:r w:rsidR="00C855EC" w:rsidRPr="000317A4">
        <w:rPr>
          <w:lang w:val="en-CA"/>
        </w:rPr>
        <w:t>fitness,</w:t>
      </w:r>
      <w:proofErr w:type="gramEnd"/>
      <w:r w:rsidR="00C855EC" w:rsidRPr="000317A4">
        <w:rPr>
          <w:lang w:val="en-CA"/>
        </w:rPr>
        <w:t xml:space="preserve"> the accused understands the charges and the consequences. He understands the role of the defence counsel. It is possible</w:t>
      </w:r>
      <w:r w:rsidR="00C855EC">
        <w:rPr>
          <w:lang w:val="en-CA"/>
        </w:rPr>
        <w:t xml:space="preserve"> that the reason he is unable to identify the role of the prosecutor </w:t>
      </w:r>
      <w:r w:rsidR="006B0F45">
        <w:rPr>
          <w:lang w:val="en-CA"/>
        </w:rPr>
        <w:t>is</w:t>
      </w:r>
      <w:r w:rsidR="00C855EC">
        <w:rPr>
          <w:lang w:val="en-CA"/>
        </w:rPr>
        <w:t xml:space="preserve"> that the last court appearance was by videoconference. </w:t>
      </w:r>
      <w:r w:rsidR="00C855EC">
        <w:rPr>
          <w:lang w:val="en-CA"/>
        </w:rPr>
        <w:lastRenderedPageBreak/>
        <w:t xml:space="preserve">She affirmed that the evidence demonstrates the accused is able to follow the </w:t>
      </w:r>
      <w:r w:rsidR="007E2140">
        <w:rPr>
          <w:lang w:val="en-CA"/>
        </w:rPr>
        <w:t>court proceedings</w:t>
      </w:r>
      <w:r w:rsidR="00C855EC">
        <w:rPr>
          <w:lang w:val="en-CA"/>
        </w:rPr>
        <w:t>.</w:t>
      </w:r>
    </w:p>
    <w:p w14:paraId="1CEF52AF" w14:textId="1B199EC0" w:rsidR="000F29CA" w:rsidRPr="007E2140" w:rsidRDefault="007E2140" w:rsidP="000F29CA">
      <w:pPr>
        <w:pStyle w:val="F02-Texte"/>
        <w:rPr>
          <w:lang w:val="en-CA"/>
        </w:rPr>
      </w:pPr>
      <w:r w:rsidRPr="007E2140">
        <w:rPr>
          <w:lang w:val="en-CA"/>
        </w:rPr>
        <w:t xml:space="preserve">She concedes that the accused’s </w:t>
      </w:r>
      <w:r>
        <w:rPr>
          <w:lang w:val="en-CA"/>
        </w:rPr>
        <w:t>condition</w:t>
      </w:r>
      <w:r w:rsidRPr="007E2140">
        <w:rPr>
          <w:lang w:val="en-CA"/>
        </w:rPr>
        <w:t xml:space="preserve"> is fragile.</w:t>
      </w:r>
      <w:r>
        <w:rPr>
          <w:lang w:val="en-CA"/>
        </w:rPr>
        <w:t xml:space="preserve"> </w:t>
      </w:r>
      <w:r w:rsidRPr="007E2140">
        <w:rPr>
          <w:lang w:val="en-CA"/>
        </w:rPr>
        <w:t>There h</w:t>
      </w:r>
      <w:r>
        <w:rPr>
          <w:lang w:val="en-CA"/>
        </w:rPr>
        <w:t xml:space="preserve">ad been a change of area and environment. Residential instability </w:t>
      </w:r>
      <w:proofErr w:type="gramStart"/>
      <w:r>
        <w:rPr>
          <w:lang w:val="en-CA"/>
        </w:rPr>
        <w:t>must be considered</w:t>
      </w:r>
      <w:proofErr w:type="gramEnd"/>
      <w:r>
        <w:rPr>
          <w:lang w:val="en-CA"/>
        </w:rPr>
        <w:t>.</w:t>
      </w:r>
    </w:p>
    <w:p w14:paraId="2443CFC7" w14:textId="7F86A05B" w:rsidR="000F29CA" w:rsidRPr="007E2140" w:rsidRDefault="007E2140" w:rsidP="000F29CA">
      <w:pPr>
        <w:pStyle w:val="F02-Texte"/>
        <w:rPr>
          <w:lang w:val="en-CA"/>
        </w:rPr>
      </w:pPr>
      <w:r w:rsidRPr="007E2140">
        <w:rPr>
          <w:lang w:val="en-CA"/>
        </w:rPr>
        <w:t>As for the recommendation for detention, she does not h</w:t>
      </w:r>
      <w:r>
        <w:rPr>
          <w:lang w:val="en-CA"/>
        </w:rPr>
        <w:t xml:space="preserve">ave any formal objections, given that the next court appearance </w:t>
      </w:r>
      <w:proofErr w:type="gramStart"/>
      <w:r>
        <w:rPr>
          <w:lang w:val="en-CA"/>
        </w:rPr>
        <w:t>is scheduled</w:t>
      </w:r>
      <w:proofErr w:type="gramEnd"/>
      <w:r>
        <w:rPr>
          <w:lang w:val="en-CA"/>
        </w:rPr>
        <w:t xml:space="preserve"> only six days after the present hearing.</w:t>
      </w:r>
    </w:p>
    <w:p w14:paraId="5886D4B7" w14:textId="1F6F2879" w:rsidR="000F29CA" w:rsidRPr="00F349B9" w:rsidRDefault="00AC7BDB" w:rsidP="000F29CA">
      <w:pPr>
        <w:pStyle w:val="F02-Texte"/>
        <w:rPr>
          <w:lang w:val="en-CA"/>
        </w:rPr>
      </w:pPr>
      <w:r w:rsidRPr="00AC7BDB">
        <w:rPr>
          <w:lang w:val="en-CA"/>
        </w:rPr>
        <w:t xml:space="preserve">Counsel for the designated hospital </w:t>
      </w:r>
      <w:r w:rsidR="00F349B9">
        <w:rPr>
          <w:lang w:val="en-CA"/>
        </w:rPr>
        <w:t>stated</w:t>
      </w:r>
      <w:r w:rsidR="00F349B9" w:rsidRPr="00AC7BDB">
        <w:rPr>
          <w:lang w:val="en-CA"/>
        </w:rPr>
        <w:t xml:space="preserve"> </w:t>
      </w:r>
      <w:r w:rsidRPr="00AC7BDB">
        <w:rPr>
          <w:lang w:val="en-CA"/>
        </w:rPr>
        <w:t>that the evidence s</w:t>
      </w:r>
      <w:r>
        <w:rPr>
          <w:lang w:val="en-CA"/>
        </w:rPr>
        <w:t xml:space="preserve">hows the accused is fit to stand trial. With respect to the recommendation of detention, he noted that this limit on the accused’s freedom is temporary since the accused </w:t>
      </w:r>
      <w:proofErr w:type="gramStart"/>
      <w:r>
        <w:rPr>
          <w:lang w:val="en-CA"/>
        </w:rPr>
        <w:t>can be brought</w:t>
      </w:r>
      <w:proofErr w:type="gramEnd"/>
      <w:r>
        <w:rPr>
          <w:lang w:val="en-CA"/>
        </w:rPr>
        <w:t xml:space="preserve"> to court quickly. Nonetheless, he point</w:t>
      </w:r>
      <w:r w:rsidR="00DC03BE">
        <w:rPr>
          <w:lang w:val="en-CA"/>
        </w:rPr>
        <w:t>ed</w:t>
      </w:r>
      <w:r>
        <w:rPr>
          <w:lang w:val="en-CA"/>
        </w:rPr>
        <w:t xml:space="preserve"> out that it is necessary to </w:t>
      </w:r>
      <w:r w:rsidR="00DF028C">
        <w:rPr>
          <w:lang w:val="en-CA"/>
        </w:rPr>
        <w:t>allow the accus</w:t>
      </w:r>
      <w:r w:rsidR="00DF028C" w:rsidRPr="003F06FC">
        <w:rPr>
          <w:lang w:val="en-CA"/>
        </w:rPr>
        <w:t xml:space="preserve">ed to maintain his </w:t>
      </w:r>
      <w:r w:rsidR="00DF028C" w:rsidRPr="00F349B9">
        <w:rPr>
          <w:lang w:val="en-CA"/>
        </w:rPr>
        <w:t>current state in the interim.</w:t>
      </w:r>
    </w:p>
    <w:p w14:paraId="479B5F00" w14:textId="77777777" w:rsidR="000F29CA" w:rsidRPr="00F349B9" w:rsidRDefault="0086584C" w:rsidP="000F29CA">
      <w:pPr>
        <w:pStyle w:val="F08-Titre"/>
      </w:pPr>
      <w:bookmarkStart w:id="67" w:name="lt_pId170"/>
      <w:r w:rsidRPr="00F349B9">
        <w:t>DECISION</w:t>
      </w:r>
      <w:bookmarkEnd w:id="67"/>
      <w:r w:rsidRPr="00F349B9">
        <w:t xml:space="preserve"> </w:t>
      </w:r>
    </w:p>
    <w:p w14:paraId="2E9859C5" w14:textId="77777777" w:rsidR="000F29CA" w:rsidRPr="00F349B9" w:rsidRDefault="0086584C" w:rsidP="000F29CA">
      <w:pPr>
        <w:pStyle w:val="F02-Texte"/>
        <w:rPr>
          <w:lang w:val="en-CA"/>
        </w:rPr>
      </w:pPr>
      <w:bookmarkStart w:id="68" w:name="lt_pId171"/>
      <w:r w:rsidRPr="00F349B9">
        <w:rPr>
          <w:lang w:val="en-CA"/>
        </w:rPr>
        <w:t xml:space="preserve">Section 2 of the </w:t>
      </w:r>
      <w:r w:rsidRPr="00F349B9">
        <w:rPr>
          <w:i/>
          <w:lang w:val="en-CA"/>
        </w:rPr>
        <w:t>Criminal Cod</w:t>
      </w:r>
      <w:r w:rsidRPr="00F349B9">
        <w:rPr>
          <w:lang w:val="en-CA"/>
        </w:rPr>
        <w:t>e defines the notion of unfit to stand trial as follows:</w:t>
      </w:r>
      <w:bookmarkEnd w:id="68"/>
    </w:p>
    <w:p w14:paraId="25B89B15" w14:textId="77777777" w:rsidR="000F29CA" w:rsidRPr="00F349B9" w:rsidRDefault="0086584C" w:rsidP="000F29CA">
      <w:pPr>
        <w:pStyle w:val="F04-Retrait"/>
        <w:spacing w:before="240"/>
        <w:ind w:left="851" w:right="851"/>
        <w:rPr>
          <w:i w:val="0"/>
          <w:sz w:val="22"/>
          <w:szCs w:val="22"/>
          <w:lang w:val="en-CA"/>
        </w:rPr>
      </w:pPr>
      <w:bookmarkStart w:id="69" w:name="lt_pId172"/>
      <w:r w:rsidRPr="00F349B9">
        <w:rPr>
          <w:i w:val="0"/>
          <w:sz w:val="22"/>
          <w:szCs w:val="22"/>
          <w:lang w:val="en-CA"/>
        </w:rPr>
        <w:t>“</w:t>
      </w:r>
      <w:proofErr w:type="gramStart"/>
      <w:r w:rsidRPr="00F349B9">
        <w:rPr>
          <w:i w:val="0"/>
          <w:sz w:val="22"/>
          <w:szCs w:val="22"/>
          <w:lang w:val="en-CA"/>
        </w:rPr>
        <w:t>unfit</w:t>
      </w:r>
      <w:proofErr w:type="gramEnd"/>
      <w:r w:rsidRPr="00F349B9">
        <w:rPr>
          <w:i w:val="0"/>
          <w:sz w:val="22"/>
          <w:szCs w:val="22"/>
          <w:lang w:val="en-CA"/>
        </w:rPr>
        <w:t xml:space="preserve"> to stand trial” means unable on account of mental disorder to conduct a defence at any stage of the proceedings before a verdict is rendered or to instruct counsel to do so, and, in particular, unable on account of mental disorder to:</w:t>
      </w:r>
      <w:bookmarkEnd w:id="69"/>
    </w:p>
    <w:p w14:paraId="3622372B" w14:textId="77777777" w:rsidR="000F29CA" w:rsidRPr="00F349B9" w:rsidRDefault="0086584C" w:rsidP="000F29CA">
      <w:pPr>
        <w:pStyle w:val="F04-Retrait"/>
        <w:spacing w:before="240"/>
        <w:ind w:left="851" w:right="851"/>
        <w:rPr>
          <w:i w:val="0"/>
          <w:sz w:val="22"/>
          <w:szCs w:val="22"/>
          <w:lang w:val="en-CA"/>
        </w:rPr>
      </w:pPr>
      <w:bookmarkStart w:id="70" w:name="lt_pId173"/>
      <w:r w:rsidRPr="00F349B9">
        <w:rPr>
          <w:i w:val="0"/>
          <w:sz w:val="22"/>
          <w:szCs w:val="22"/>
          <w:lang w:val="en-CA"/>
        </w:rPr>
        <w:t xml:space="preserve">(a) </w:t>
      </w:r>
      <w:proofErr w:type="gramStart"/>
      <w:r w:rsidRPr="00F349B9">
        <w:rPr>
          <w:i w:val="0"/>
          <w:sz w:val="22"/>
          <w:szCs w:val="22"/>
          <w:lang w:val="en-CA"/>
        </w:rPr>
        <w:t>understand</w:t>
      </w:r>
      <w:proofErr w:type="gramEnd"/>
      <w:r w:rsidRPr="00F349B9">
        <w:rPr>
          <w:i w:val="0"/>
          <w:sz w:val="22"/>
          <w:szCs w:val="22"/>
          <w:lang w:val="en-CA"/>
        </w:rPr>
        <w:t xml:space="preserve"> the nature or object of the proceedings;</w:t>
      </w:r>
      <w:bookmarkEnd w:id="70"/>
    </w:p>
    <w:p w14:paraId="59AB2B7C" w14:textId="77777777" w:rsidR="000F29CA" w:rsidRPr="00F349B9" w:rsidRDefault="0086584C" w:rsidP="000F29CA">
      <w:pPr>
        <w:pStyle w:val="F04-Retrait"/>
        <w:spacing w:before="240"/>
        <w:ind w:left="851" w:right="851"/>
        <w:rPr>
          <w:i w:val="0"/>
          <w:sz w:val="22"/>
          <w:szCs w:val="22"/>
          <w:lang w:val="en-CA"/>
        </w:rPr>
      </w:pPr>
      <w:bookmarkStart w:id="71" w:name="lt_pId174"/>
      <w:r w:rsidRPr="00F349B9">
        <w:rPr>
          <w:i w:val="0"/>
          <w:sz w:val="22"/>
          <w:szCs w:val="22"/>
          <w:lang w:val="en-CA"/>
        </w:rPr>
        <w:t xml:space="preserve">(b) </w:t>
      </w:r>
      <w:proofErr w:type="gramStart"/>
      <w:r w:rsidRPr="00F349B9">
        <w:rPr>
          <w:i w:val="0"/>
          <w:sz w:val="22"/>
          <w:szCs w:val="22"/>
          <w:lang w:val="en-CA"/>
        </w:rPr>
        <w:t>understand</w:t>
      </w:r>
      <w:proofErr w:type="gramEnd"/>
      <w:r w:rsidRPr="00F349B9">
        <w:rPr>
          <w:i w:val="0"/>
          <w:sz w:val="22"/>
          <w:szCs w:val="22"/>
          <w:lang w:val="en-CA"/>
        </w:rPr>
        <w:t xml:space="preserve"> the possible consequences of the proceedings, or</w:t>
      </w:r>
      <w:bookmarkEnd w:id="71"/>
    </w:p>
    <w:p w14:paraId="16B01D19" w14:textId="77777777" w:rsidR="000F29CA" w:rsidRPr="00F349B9" w:rsidRDefault="0086584C" w:rsidP="000F29CA">
      <w:pPr>
        <w:pStyle w:val="F04-Retrait"/>
        <w:spacing w:before="240"/>
        <w:ind w:left="851" w:right="851"/>
        <w:rPr>
          <w:i w:val="0"/>
          <w:sz w:val="22"/>
          <w:szCs w:val="22"/>
        </w:rPr>
      </w:pPr>
      <w:bookmarkStart w:id="72" w:name="lt_pId175"/>
      <w:r w:rsidRPr="00F349B9">
        <w:rPr>
          <w:i w:val="0"/>
          <w:sz w:val="22"/>
          <w:szCs w:val="22"/>
        </w:rPr>
        <w:t>(c) communicate with counsel;</w:t>
      </w:r>
      <w:bookmarkEnd w:id="72"/>
      <w:r w:rsidRPr="00F349B9">
        <w:rPr>
          <w:i w:val="0"/>
          <w:sz w:val="22"/>
          <w:szCs w:val="22"/>
        </w:rPr>
        <w:t xml:space="preserve"> </w:t>
      </w:r>
    </w:p>
    <w:p w14:paraId="7D5914E1" w14:textId="6B594ECE" w:rsidR="000F29CA" w:rsidRPr="00DF028C" w:rsidRDefault="00DF028C" w:rsidP="000F29CA">
      <w:pPr>
        <w:pStyle w:val="F02-Texte"/>
        <w:rPr>
          <w:lang w:val="en-CA"/>
        </w:rPr>
      </w:pPr>
      <w:r w:rsidRPr="00DF028C">
        <w:rPr>
          <w:lang w:val="en-CA"/>
        </w:rPr>
        <w:t xml:space="preserve">The </w:t>
      </w:r>
      <w:r>
        <w:rPr>
          <w:lang w:val="en-CA"/>
        </w:rPr>
        <w:t>word</w:t>
      </w:r>
      <w:r w:rsidRPr="00DF028C">
        <w:rPr>
          <w:lang w:val="en-CA"/>
        </w:rPr>
        <w:t xml:space="preserve"> </w:t>
      </w:r>
      <w:r>
        <w:rPr>
          <w:lang w:val="en-CA"/>
        </w:rPr>
        <w:t xml:space="preserve">“unfit” in the definition of “unfit to stand trial” makes it clear that the issue is about the capacity of the accused and not about his current performance or understanding. If a person </w:t>
      </w:r>
      <w:proofErr w:type="gramStart"/>
      <w:r>
        <w:rPr>
          <w:lang w:val="en-CA"/>
        </w:rPr>
        <w:t>can be instructed</w:t>
      </w:r>
      <w:proofErr w:type="gramEnd"/>
      <w:r>
        <w:rPr>
          <w:lang w:val="en-CA"/>
        </w:rPr>
        <w:t xml:space="preserve"> on matters where his or her understanding is deficient, that person is not unfit. Similarly, if a person can communicate with a lawyer but chooses not to, that person is </w:t>
      </w:r>
      <w:proofErr w:type="gramStart"/>
      <w:r>
        <w:rPr>
          <w:lang w:val="en-CA"/>
        </w:rPr>
        <w:t>not unfit</w:t>
      </w:r>
      <w:proofErr w:type="gramEnd"/>
      <w:r>
        <w:rPr>
          <w:lang w:val="en-CA"/>
        </w:rPr>
        <w:t>.</w:t>
      </w:r>
    </w:p>
    <w:p w14:paraId="5D8302E8" w14:textId="4E935EF0" w:rsidR="000F29CA" w:rsidRPr="00995F03" w:rsidRDefault="00412ED6" w:rsidP="000F29CA">
      <w:pPr>
        <w:pStyle w:val="F02-Texte"/>
        <w:rPr>
          <w:lang w:val="en-CA"/>
        </w:rPr>
      </w:pPr>
      <w:bookmarkStart w:id="73" w:name="lt_pId180"/>
      <w:r w:rsidRPr="00995F03">
        <w:rPr>
          <w:lang w:val="en-CA"/>
        </w:rPr>
        <w:t xml:space="preserve">To determine whether the accused is unfit, the </w:t>
      </w:r>
      <w:r>
        <w:rPr>
          <w:i/>
          <w:iCs/>
          <w:lang w:val="en-CA"/>
        </w:rPr>
        <w:t>Taylor</w:t>
      </w:r>
      <w:r w:rsidR="0086584C" w:rsidRPr="0043390F">
        <w:rPr>
          <w:rStyle w:val="Appelnotedebasdep"/>
        </w:rPr>
        <w:footnoteReference w:id="2"/>
      </w:r>
      <w:r w:rsidR="0086584C" w:rsidRPr="00412ED6">
        <w:rPr>
          <w:lang w:val="en-CA"/>
        </w:rPr>
        <w:t xml:space="preserve"> </w:t>
      </w:r>
      <w:bookmarkStart w:id="75" w:name="lt_pId182"/>
      <w:bookmarkEnd w:id="73"/>
      <w:r w:rsidRPr="00412ED6">
        <w:rPr>
          <w:lang w:val="en-CA"/>
        </w:rPr>
        <w:t xml:space="preserve">test of “limited cognitive capacity” </w:t>
      </w:r>
      <w:proofErr w:type="gramStart"/>
      <w:r w:rsidRPr="00412ED6">
        <w:rPr>
          <w:lang w:val="en-CA"/>
        </w:rPr>
        <w:t>should be applied</w:t>
      </w:r>
      <w:proofErr w:type="gramEnd"/>
      <w:r w:rsidRPr="00412ED6">
        <w:rPr>
          <w:lang w:val="en-CA"/>
        </w:rPr>
        <w:t xml:space="preserve">. </w:t>
      </w:r>
      <w:r w:rsidR="003F06FC">
        <w:rPr>
          <w:lang w:val="en-CA"/>
        </w:rPr>
        <w:t>Th</w:t>
      </w:r>
      <w:r>
        <w:rPr>
          <w:lang w:val="en-CA"/>
        </w:rPr>
        <w:t>is</w:t>
      </w:r>
      <w:r w:rsidR="003F06FC">
        <w:rPr>
          <w:lang w:val="en-CA"/>
        </w:rPr>
        <w:t xml:space="preserve"> is therefore</w:t>
      </w:r>
      <w:r>
        <w:rPr>
          <w:lang w:val="en-CA"/>
        </w:rPr>
        <w:t xml:space="preserve"> not a high standard of proof for fitness. Another decision from the same Court of Appeal, rendered in 2007, affirmed that s. 2 of the </w:t>
      </w:r>
      <w:r>
        <w:rPr>
          <w:i/>
          <w:iCs/>
          <w:lang w:val="en-CA"/>
        </w:rPr>
        <w:t xml:space="preserve">Criminal </w:t>
      </w:r>
      <w:r>
        <w:rPr>
          <w:i/>
          <w:iCs/>
          <w:lang w:val="en-CA"/>
        </w:rPr>
        <w:lastRenderedPageBreak/>
        <w:t>Code</w:t>
      </w:r>
      <w:r>
        <w:rPr>
          <w:lang w:val="en-CA"/>
        </w:rPr>
        <w:t xml:space="preserve"> requires only a “rudimentary understanding of the judicial process” and a basic, but significant, ability to relate the facts concerning the offence.</w:t>
      </w:r>
      <w:r w:rsidR="0086584C" w:rsidRPr="0043390F">
        <w:rPr>
          <w:rStyle w:val="Appelnotedebasdep"/>
        </w:rPr>
        <w:footnoteReference w:id="3"/>
      </w:r>
      <w:bookmarkEnd w:id="75"/>
      <w:r w:rsidR="00702ED1" w:rsidRPr="00412ED6">
        <w:rPr>
          <w:lang w:val="en-CA"/>
        </w:rPr>
        <w:t xml:space="preserve"> </w:t>
      </w:r>
    </w:p>
    <w:p w14:paraId="06137233" w14:textId="29C67B20" w:rsidR="000F29CA" w:rsidRPr="00870D8C" w:rsidRDefault="00870D8C" w:rsidP="000F29CA">
      <w:pPr>
        <w:pStyle w:val="F02-Texte"/>
        <w:rPr>
          <w:lang w:val="en-CA"/>
        </w:rPr>
      </w:pPr>
      <w:r>
        <w:rPr>
          <w:lang w:val="en-CA"/>
        </w:rPr>
        <w:t xml:space="preserve">According to </w:t>
      </w:r>
      <w:r w:rsidRPr="00870D8C">
        <w:rPr>
          <w:lang w:val="en-CA"/>
        </w:rPr>
        <w:t>this instruction, the mental capacity of the a</w:t>
      </w:r>
      <w:r>
        <w:rPr>
          <w:lang w:val="en-CA"/>
        </w:rPr>
        <w:t>ccused must be sufficient to understand the conduct of the trial in order to present an appropriate defence and to understand the details of the evidence.</w:t>
      </w:r>
    </w:p>
    <w:p w14:paraId="3310C1EE" w14:textId="09DAFCD7" w:rsidR="000F29CA" w:rsidRPr="00016193" w:rsidRDefault="00016193" w:rsidP="000F29CA">
      <w:pPr>
        <w:pStyle w:val="F02-Texte"/>
        <w:rPr>
          <w:lang w:val="en-CA"/>
        </w:rPr>
      </w:pPr>
      <w:bookmarkStart w:id="77" w:name="lt_pId184"/>
      <w:r w:rsidRPr="00016193">
        <w:rPr>
          <w:lang w:val="en-CA"/>
        </w:rPr>
        <w:t xml:space="preserve">In a judgment rendered in 2011, </w:t>
      </w:r>
      <w:r w:rsidRPr="00016193">
        <w:rPr>
          <w:i/>
          <w:iCs/>
          <w:lang w:val="en-CA"/>
        </w:rPr>
        <w:t>R v</w:t>
      </w:r>
      <w:r w:rsidR="00F349B9">
        <w:rPr>
          <w:i/>
          <w:iCs/>
          <w:lang w:val="en-CA"/>
        </w:rPr>
        <w:t>.</w:t>
      </w:r>
      <w:r w:rsidRPr="00016193">
        <w:rPr>
          <w:i/>
          <w:iCs/>
          <w:lang w:val="en-CA"/>
        </w:rPr>
        <w:t xml:space="preserve"> Thompson</w:t>
      </w:r>
      <w:r w:rsidR="00303864">
        <w:rPr>
          <w:lang w:val="en-CA"/>
        </w:rPr>
        <w:t>,</w:t>
      </w:r>
      <w:r w:rsidR="0086584C" w:rsidRPr="0043390F">
        <w:rPr>
          <w:rStyle w:val="Appelnotedebasdep"/>
        </w:rPr>
        <w:footnoteReference w:id="4"/>
      </w:r>
      <w:r w:rsidR="0086584C" w:rsidRPr="00016193">
        <w:rPr>
          <w:lang w:val="en-CA"/>
        </w:rPr>
        <w:t xml:space="preserve"> </w:t>
      </w:r>
      <w:bookmarkEnd w:id="77"/>
      <w:r w:rsidRPr="00016193">
        <w:rPr>
          <w:lang w:val="en-CA"/>
        </w:rPr>
        <w:t xml:space="preserve">J.S. Nadel </w:t>
      </w:r>
      <w:r w:rsidR="00F349B9">
        <w:rPr>
          <w:lang w:val="en-CA"/>
        </w:rPr>
        <w:t xml:space="preserve">J. </w:t>
      </w:r>
      <w:r w:rsidRPr="00016193">
        <w:rPr>
          <w:lang w:val="en-CA"/>
        </w:rPr>
        <w:t>provided a useful list of considerations to determine whether an accused person is fit:</w:t>
      </w:r>
    </w:p>
    <w:p w14:paraId="24EC922B" w14:textId="6F9FB207" w:rsidR="000F29CA" w:rsidRPr="00F349B9" w:rsidRDefault="0086584C" w:rsidP="000F29CA">
      <w:pPr>
        <w:pStyle w:val="F04-Retrait"/>
        <w:spacing w:before="240"/>
        <w:ind w:left="851" w:right="851"/>
        <w:rPr>
          <w:i w:val="0"/>
          <w:iCs/>
          <w:sz w:val="22"/>
          <w:szCs w:val="22"/>
          <w:lang w:val="en-CA"/>
        </w:rPr>
      </w:pPr>
      <w:bookmarkStart w:id="79" w:name="lt_pId185"/>
      <w:r w:rsidRPr="00F349B9">
        <w:rPr>
          <w:i w:val="0"/>
          <w:iCs/>
          <w:sz w:val="22"/>
          <w:szCs w:val="22"/>
          <w:lang w:val="en-CA"/>
        </w:rPr>
        <w:t>If he understands the nature of the proceedings and the functions of the persons involved in them</w:t>
      </w:r>
      <w:proofErr w:type="gramStart"/>
      <w:r w:rsidRPr="00F349B9">
        <w:rPr>
          <w:i w:val="0"/>
          <w:iCs/>
          <w:sz w:val="22"/>
          <w:szCs w:val="22"/>
          <w:lang w:val="en-CA"/>
        </w:rPr>
        <w:t>;</w:t>
      </w:r>
      <w:bookmarkEnd w:id="79"/>
      <w:proofErr w:type="gramEnd"/>
    </w:p>
    <w:p w14:paraId="22B032C5" w14:textId="77777777" w:rsidR="000F29CA" w:rsidRPr="00016193" w:rsidRDefault="0086584C" w:rsidP="000F29CA">
      <w:pPr>
        <w:pStyle w:val="F04-Retrait"/>
        <w:spacing w:before="240"/>
        <w:ind w:left="851" w:right="851"/>
        <w:rPr>
          <w:i w:val="0"/>
          <w:iCs/>
          <w:sz w:val="22"/>
          <w:szCs w:val="22"/>
          <w:lang w:val="en-CA"/>
        </w:rPr>
      </w:pPr>
      <w:bookmarkStart w:id="80" w:name="lt_pId186"/>
      <w:r w:rsidRPr="00016193">
        <w:rPr>
          <w:i w:val="0"/>
          <w:iCs/>
          <w:sz w:val="22"/>
          <w:szCs w:val="22"/>
          <w:lang w:val="en-CA"/>
        </w:rPr>
        <w:t>If he knows what the issues are and the possible outcomes of the proceedings;</w:t>
      </w:r>
      <w:bookmarkEnd w:id="80"/>
    </w:p>
    <w:p w14:paraId="5C987D6A" w14:textId="77777777" w:rsidR="000F29CA" w:rsidRPr="00016193" w:rsidRDefault="0086584C" w:rsidP="000F29CA">
      <w:pPr>
        <w:pStyle w:val="F04-Retrait"/>
        <w:spacing w:before="240"/>
        <w:ind w:left="851" w:right="851"/>
        <w:rPr>
          <w:i w:val="0"/>
          <w:iCs/>
          <w:sz w:val="22"/>
          <w:szCs w:val="22"/>
          <w:lang w:val="en-CA"/>
        </w:rPr>
      </w:pPr>
      <w:bookmarkStart w:id="81" w:name="lt_pId187"/>
      <w:r w:rsidRPr="00016193">
        <w:rPr>
          <w:i w:val="0"/>
          <w:iCs/>
          <w:sz w:val="22"/>
          <w:szCs w:val="22"/>
          <w:lang w:val="en-CA"/>
        </w:rPr>
        <w:t>If he is able to follow the evidence generally, even though he may misinterpret it</w:t>
      </w:r>
      <w:proofErr w:type="gramStart"/>
      <w:r w:rsidRPr="00016193">
        <w:rPr>
          <w:i w:val="0"/>
          <w:iCs/>
          <w:sz w:val="22"/>
          <w:szCs w:val="22"/>
          <w:lang w:val="en-CA"/>
        </w:rPr>
        <w:t>;</w:t>
      </w:r>
      <w:bookmarkEnd w:id="81"/>
      <w:proofErr w:type="gramEnd"/>
    </w:p>
    <w:p w14:paraId="61104125" w14:textId="595DA2A9" w:rsidR="000F29CA" w:rsidRPr="00016193" w:rsidRDefault="0086584C" w:rsidP="000F29CA">
      <w:pPr>
        <w:pStyle w:val="F04-Retrait"/>
        <w:spacing w:before="240"/>
        <w:ind w:left="851" w:right="851"/>
        <w:rPr>
          <w:i w:val="0"/>
          <w:iCs/>
          <w:lang w:val="en-CA"/>
        </w:rPr>
      </w:pPr>
      <w:bookmarkStart w:id="82" w:name="lt_pId188"/>
      <w:r w:rsidRPr="00016193">
        <w:rPr>
          <w:i w:val="0"/>
          <w:iCs/>
          <w:sz w:val="22"/>
          <w:szCs w:val="22"/>
          <w:lang w:val="en-CA"/>
        </w:rPr>
        <w:t xml:space="preserve">If he is capable of instructing counsel although he may </w:t>
      </w:r>
      <w:proofErr w:type="gramStart"/>
      <w:r w:rsidRPr="00016193">
        <w:rPr>
          <w:i w:val="0"/>
          <w:iCs/>
          <w:sz w:val="22"/>
          <w:szCs w:val="22"/>
          <w:lang w:val="en-CA"/>
        </w:rPr>
        <w:t>disagree</w:t>
      </w:r>
      <w:proofErr w:type="gramEnd"/>
      <w:r w:rsidRPr="00016193">
        <w:rPr>
          <w:i w:val="0"/>
          <w:iCs/>
          <w:sz w:val="22"/>
          <w:szCs w:val="22"/>
          <w:lang w:val="en-CA"/>
        </w:rPr>
        <w:t xml:space="preserve"> with counsel as to how the case should be conducted and he (the accused) may not act with good judgment.</w:t>
      </w:r>
      <w:bookmarkEnd w:id="82"/>
      <w:r w:rsidRPr="00016193">
        <w:rPr>
          <w:i w:val="0"/>
          <w:iCs/>
          <w:sz w:val="22"/>
          <w:szCs w:val="22"/>
          <w:lang w:val="en-CA"/>
        </w:rPr>
        <w:t xml:space="preserve"> </w:t>
      </w:r>
    </w:p>
    <w:p w14:paraId="47A00906" w14:textId="417A8A93" w:rsidR="000F29CA" w:rsidRPr="00303864" w:rsidRDefault="00303864" w:rsidP="000F29CA">
      <w:pPr>
        <w:pStyle w:val="F02-Texte"/>
        <w:rPr>
          <w:lang w:val="en-CA"/>
        </w:rPr>
      </w:pPr>
      <w:r w:rsidRPr="00303864">
        <w:rPr>
          <w:lang w:val="en-CA"/>
        </w:rPr>
        <w:t xml:space="preserve">In essence, Justice Nadel adopted the </w:t>
      </w:r>
      <w:r w:rsidRPr="00303864">
        <w:rPr>
          <w:i/>
          <w:iCs/>
          <w:lang w:val="en-CA"/>
        </w:rPr>
        <w:t xml:space="preserve">Morrissey </w:t>
      </w:r>
      <w:r w:rsidRPr="00303864">
        <w:rPr>
          <w:lang w:val="en-CA"/>
        </w:rPr>
        <w:t>criteria, which e</w:t>
      </w:r>
      <w:r>
        <w:rPr>
          <w:lang w:val="en-CA"/>
        </w:rPr>
        <w:t xml:space="preserve">stablished that “the ability to communicate with counsel </w:t>
      </w:r>
      <w:r w:rsidR="00253134">
        <w:rPr>
          <w:lang w:val="en-CA"/>
        </w:rPr>
        <w:t>contemplates the ability to communicate with counsel for the purposes of conducting a defence, considering counsel’s advice, and giving instructions with respect to the defence.”</w:t>
      </w:r>
    </w:p>
    <w:p w14:paraId="61870A30" w14:textId="320C2E85" w:rsidR="000F29CA" w:rsidRPr="00253134" w:rsidRDefault="00253134" w:rsidP="000F29CA">
      <w:pPr>
        <w:pStyle w:val="F02-Texte"/>
        <w:rPr>
          <w:lang w:val="en-CA"/>
        </w:rPr>
      </w:pPr>
      <w:r w:rsidRPr="00253134">
        <w:rPr>
          <w:lang w:val="en-CA"/>
        </w:rPr>
        <w:t>The Ontario Court of Appeal found that the accused m</w:t>
      </w:r>
      <w:r>
        <w:rPr>
          <w:lang w:val="en-CA"/>
        </w:rPr>
        <w:t xml:space="preserve">ust not only be physically and intellectually present, but also able to communicate and to </w:t>
      </w:r>
      <w:r w:rsidR="00CC40B2">
        <w:rPr>
          <w:lang w:val="en-CA"/>
        </w:rPr>
        <w:t xml:space="preserve">participate in the presentation of a </w:t>
      </w:r>
      <w:r>
        <w:rPr>
          <w:lang w:val="en-CA"/>
        </w:rPr>
        <w:t>full answer and defence.</w:t>
      </w:r>
    </w:p>
    <w:p w14:paraId="149EB991" w14:textId="327D2293" w:rsidR="000F29CA" w:rsidRPr="009B76EC" w:rsidRDefault="009B76EC" w:rsidP="000F29CA">
      <w:pPr>
        <w:pStyle w:val="F02-Texte"/>
        <w:rPr>
          <w:lang w:val="en-CA"/>
        </w:rPr>
      </w:pPr>
      <w:bookmarkStart w:id="83" w:name="lt_pId192"/>
      <w:r w:rsidRPr="009B76EC">
        <w:rPr>
          <w:lang w:val="en-CA"/>
        </w:rPr>
        <w:t xml:space="preserve">In </w:t>
      </w:r>
      <w:r w:rsidRPr="009B76EC">
        <w:rPr>
          <w:i/>
          <w:iCs/>
          <w:lang w:val="en-CA"/>
        </w:rPr>
        <w:t>R v</w:t>
      </w:r>
      <w:r w:rsidR="004935F2">
        <w:rPr>
          <w:i/>
          <w:iCs/>
          <w:lang w:val="en-CA"/>
        </w:rPr>
        <w:t>.</w:t>
      </w:r>
      <w:r w:rsidRPr="009B76EC">
        <w:rPr>
          <w:i/>
          <w:iCs/>
          <w:lang w:val="en-CA"/>
        </w:rPr>
        <w:t xml:space="preserve"> Whittle</w:t>
      </w:r>
      <w:r w:rsidRPr="009B76EC">
        <w:rPr>
          <w:lang w:val="en-CA"/>
        </w:rPr>
        <w:t>,</w:t>
      </w:r>
      <w:r w:rsidR="0086584C" w:rsidRPr="0043390F">
        <w:rPr>
          <w:rStyle w:val="Appelnotedebasdep"/>
        </w:rPr>
        <w:footnoteReference w:id="5"/>
      </w:r>
      <w:bookmarkEnd w:id="83"/>
      <w:r w:rsidRPr="009B76EC">
        <w:rPr>
          <w:lang w:val="en-CA"/>
        </w:rPr>
        <w:t xml:space="preserve"> the Supreme Court </w:t>
      </w:r>
      <w:r w:rsidR="00662AD8">
        <w:rPr>
          <w:lang w:val="en-CA"/>
        </w:rPr>
        <w:t>reiterated</w:t>
      </w:r>
      <w:r>
        <w:rPr>
          <w:lang w:val="en-CA"/>
        </w:rPr>
        <w:t xml:space="preserve"> that the burden of proving fitness is not onerous. Specifically, the Court stated that there is no obligation </w:t>
      </w:r>
      <w:r w:rsidR="00306D4E">
        <w:rPr>
          <w:lang w:val="en-CA"/>
        </w:rPr>
        <w:t xml:space="preserve">to </w:t>
      </w:r>
      <w:r>
        <w:rPr>
          <w:lang w:val="en-CA"/>
        </w:rPr>
        <w:t>be satisfied that the accused possesses “a higher degree of cognitive capacity”.</w:t>
      </w:r>
    </w:p>
    <w:p w14:paraId="2841B942" w14:textId="7158F369" w:rsidR="000F29CA" w:rsidRPr="00135C28" w:rsidRDefault="00135C28" w:rsidP="000F29CA">
      <w:pPr>
        <w:pStyle w:val="F02-Texte"/>
        <w:rPr>
          <w:lang w:val="en-CA"/>
        </w:rPr>
      </w:pPr>
      <w:r w:rsidRPr="00135C28">
        <w:rPr>
          <w:lang w:val="en-CA"/>
        </w:rPr>
        <w:lastRenderedPageBreak/>
        <w:t xml:space="preserve">It is also important to note that an accused </w:t>
      </w:r>
      <w:proofErr w:type="gramStart"/>
      <w:r w:rsidR="00B47CA6">
        <w:rPr>
          <w:lang w:val="en-CA"/>
        </w:rPr>
        <w:t>will not be considered</w:t>
      </w:r>
      <w:proofErr w:type="gramEnd"/>
      <w:r>
        <w:rPr>
          <w:lang w:val="en-CA"/>
        </w:rPr>
        <w:t xml:space="preserve"> unfit simply because </w:t>
      </w:r>
      <w:r w:rsidR="00B47CA6">
        <w:rPr>
          <w:lang w:val="en-CA"/>
        </w:rPr>
        <w:t>their mental illness influences their decisions or their choices</w:t>
      </w:r>
      <w:r w:rsidR="00824CD9">
        <w:rPr>
          <w:lang w:val="en-CA"/>
        </w:rPr>
        <w:t>,</w:t>
      </w:r>
      <w:r w:rsidR="00B47CA6">
        <w:rPr>
          <w:lang w:val="en-CA"/>
        </w:rPr>
        <w:t xml:space="preserve"> or deprives them of the ability to make good choices.</w:t>
      </w:r>
    </w:p>
    <w:p w14:paraId="45FDBDAE" w14:textId="0D20BD0D" w:rsidR="00662AD8" w:rsidRDefault="00662AD8" w:rsidP="00662AD8">
      <w:pPr>
        <w:pStyle w:val="F02-Texte"/>
        <w:rPr>
          <w:lang w:val="en-CA"/>
        </w:rPr>
      </w:pPr>
      <w:bookmarkStart w:id="85" w:name="lt_pId196"/>
      <w:r w:rsidRPr="00662AD8">
        <w:rPr>
          <w:lang w:val="en-CA"/>
        </w:rPr>
        <w:t>Recently, the Court of Appeal of Quebec</w:t>
      </w:r>
      <w:r w:rsidR="0086584C" w:rsidRPr="0043390F">
        <w:rPr>
          <w:rStyle w:val="Appelnotedebasdep"/>
        </w:rPr>
        <w:footnoteReference w:id="6"/>
      </w:r>
      <w:r w:rsidR="0086584C" w:rsidRPr="00662AD8">
        <w:rPr>
          <w:lang w:val="en-CA"/>
        </w:rPr>
        <w:t xml:space="preserve"> </w:t>
      </w:r>
      <w:bookmarkEnd w:id="85"/>
      <w:r w:rsidR="00EA0CE7" w:rsidRPr="00662AD8">
        <w:rPr>
          <w:lang w:val="en-CA"/>
        </w:rPr>
        <w:t>ruled on the is</w:t>
      </w:r>
      <w:r w:rsidRPr="00662AD8">
        <w:rPr>
          <w:lang w:val="en-CA"/>
        </w:rPr>
        <w:t xml:space="preserve">sue of </w:t>
      </w:r>
      <w:r w:rsidR="00824CD9">
        <w:rPr>
          <w:lang w:val="en-CA"/>
        </w:rPr>
        <w:t>fitness</w:t>
      </w:r>
      <w:r w:rsidRPr="00662AD8">
        <w:rPr>
          <w:lang w:val="en-CA"/>
        </w:rPr>
        <w:t xml:space="preserve"> to stand trial. </w:t>
      </w:r>
      <w:r>
        <w:rPr>
          <w:lang w:val="en-CA"/>
        </w:rPr>
        <w:t xml:space="preserve">It </w:t>
      </w:r>
      <w:r w:rsidRPr="00662AD8">
        <w:rPr>
          <w:lang w:val="en-CA"/>
        </w:rPr>
        <w:t xml:space="preserve">reiterated that the notion of fitness is in relation to procedural fairness. </w:t>
      </w:r>
      <w:r>
        <w:rPr>
          <w:lang w:val="en-CA"/>
        </w:rPr>
        <w:t>The Court of Appeal summarizes the current state of the law as follows:</w:t>
      </w:r>
    </w:p>
    <w:p w14:paraId="4BCCB130" w14:textId="4DE0771F" w:rsidR="00662AD8" w:rsidRPr="002B1833" w:rsidRDefault="00662AD8" w:rsidP="00662AD8">
      <w:pPr>
        <w:pStyle w:val="F02-Texte"/>
        <w:numPr>
          <w:ilvl w:val="0"/>
          <w:numId w:val="0"/>
        </w:numPr>
        <w:spacing w:before="240"/>
        <w:ind w:left="850" w:right="850"/>
        <w:rPr>
          <w:lang w:val="en-CA"/>
        </w:rPr>
      </w:pPr>
      <w:r w:rsidRPr="002B1833">
        <w:rPr>
          <w:lang w:val="en-CA"/>
        </w:rPr>
        <w:t>[</w:t>
      </w:r>
      <w:r w:rsidR="004935F2" w:rsidRPr="000B2606">
        <w:rPr>
          <w:smallCaps/>
          <w:lang w:val="en-CA"/>
        </w:rPr>
        <w:t>translation</w:t>
      </w:r>
      <w:r w:rsidRPr="002B1833">
        <w:rPr>
          <w:lang w:val="en-CA"/>
        </w:rPr>
        <w:t>]</w:t>
      </w:r>
    </w:p>
    <w:p w14:paraId="770E773D" w14:textId="7AB128A2" w:rsidR="000F29CA" w:rsidRPr="00662AD8" w:rsidRDefault="00387BB9" w:rsidP="00540898">
      <w:pPr>
        <w:pStyle w:val="F04-Retrait"/>
        <w:spacing w:before="240"/>
        <w:ind w:left="851" w:right="851"/>
        <w:rPr>
          <w:iCs/>
          <w:sz w:val="22"/>
          <w:lang w:val="en-CA"/>
        </w:rPr>
      </w:pPr>
      <w:bookmarkStart w:id="87" w:name="lt_pId200"/>
      <w:r>
        <w:rPr>
          <w:i w:val="0"/>
          <w:sz w:val="22"/>
          <w:lang w:val="en-CA"/>
        </w:rPr>
        <w:t>I</w:t>
      </w:r>
      <w:r w:rsidR="00662AD8" w:rsidRPr="00387BB9">
        <w:rPr>
          <w:i w:val="0"/>
          <w:sz w:val="22"/>
          <w:lang w:val="en-CA"/>
        </w:rPr>
        <w:t xml:space="preserve">t </w:t>
      </w:r>
      <w:proofErr w:type="gramStart"/>
      <w:r w:rsidR="00662AD8" w:rsidRPr="00387BB9">
        <w:rPr>
          <w:i w:val="0"/>
          <w:sz w:val="22"/>
          <w:lang w:val="en-CA"/>
        </w:rPr>
        <w:t>is established</w:t>
      </w:r>
      <w:proofErr w:type="gramEnd"/>
      <w:r w:rsidR="00662AD8" w:rsidRPr="00387BB9">
        <w:rPr>
          <w:i w:val="0"/>
          <w:sz w:val="22"/>
          <w:lang w:val="en-CA"/>
        </w:rPr>
        <w:t xml:space="preserve"> that the accused must be physically and mentally present at his or her trial. </w:t>
      </w:r>
      <w:r w:rsidR="00662AD8" w:rsidRPr="00662AD8">
        <w:rPr>
          <w:i w:val="0"/>
          <w:sz w:val="22"/>
          <w:lang w:val="en-CA"/>
        </w:rPr>
        <w:t xml:space="preserve">The accused’s mental attitude </w:t>
      </w:r>
      <w:proofErr w:type="gramStart"/>
      <w:r w:rsidR="00662AD8" w:rsidRPr="00662AD8">
        <w:rPr>
          <w:i w:val="0"/>
          <w:sz w:val="22"/>
          <w:lang w:val="en-CA"/>
        </w:rPr>
        <w:t>is intrinsically linked</w:t>
      </w:r>
      <w:proofErr w:type="gramEnd"/>
      <w:r w:rsidR="00662AD8" w:rsidRPr="00662AD8">
        <w:rPr>
          <w:i w:val="0"/>
          <w:sz w:val="22"/>
          <w:lang w:val="en-CA"/>
        </w:rPr>
        <w:t xml:space="preserve"> to his or</w:t>
      </w:r>
      <w:r w:rsidR="00662AD8">
        <w:rPr>
          <w:i w:val="0"/>
          <w:sz w:val="22"/>
          <w:lang w:val="en-CA"/>
        </w:rPr>
        <w:t xml:space="preserve"> her fundamental right to control his or her defence and the right to make full answer and defence.</w:t>
      </w:r>
      <w:r w:rsidR="0086584C" w:rsidRPr="00662AD8">
        <w:rPr>
          <w:i w:val="0"/>
          <w:sz w:val="22"/>
          <w:szCs w:val="16"/>
          <w:vertAlign w:val="superscript"/>
          <w:lang w:val="en-CA"/>
        </w:rPr>
        <w:t>10</w:t>
      </w:r>
      <w:bookmarkEnd w:id="87"/>
    </w:p>
    <w:p w14:paraId="01014F2F" w14:textId="447FDC0B" w:rsidR="000F29CA" w:rsidRPr="00387BB9" w:rsidRDefault="00387BB9" w:rsidP="00387BB9">
      <w:pPr>
        <w:pStyle w:val="F02-Texte"/>
        <w:numPr>
          <w:ilvl w:val="0"/>
          <w:numId w:val="0"/>
        </w:numPr>
        <w:spacing w:before="240"/>
        <w:ind w:left="850" w:right="850"/>
        <w:rPr>
          <w:iCs/>
          <w:lang w:val="en-CA"/>
        </w:rPr>
      </w:pPr>
      <w:bookmarkStart w:id="88" w:name="lt_pId202"/>
      <w:proofErr w:type="gramStart"/>
      <w:r w:rsidRPr="00387BB9">
        <w:rPr>
          <w:iCs/>
          <w:sz w:val="22"/>
          <w:lang w:val="en-CA"/>
        </w:rPr>
        <w:t>The notion of fitness refers, however, to a relatively low threshold, that is, the</w:t>
      </w:r>
      <w:r w:rsidRPr="00387BB9">
        <w:rPr>
          <w:iCs/>
          <w:sz w:val="22"/>
          <w:szCs w:val="18"/>
          <w:lang w:val="en-CA"/>
        </w:rPr>
        <w:t xml:space="preserve"> </w:t>
      </w:r>
      <w:r w:rsidRPr="00387BB9">
        <w:rPr>
          <w:iCs/>
          <w:sz w:val="22"/>
          <w:lang w:val="en-CA"/>
        </w:rPr>
        <w:t>“limited cognitive capacity to understand the process and to communicate with counsel” without requiring the accused</w:t>
      </w:r>
      <w:r>
        <w:rPr>
          <w:sz w:val="22"/>
          <w:szCs w:val="18"/>
          <w:lang w:val="en-CA"/>
        </w:rPr>
        <w:t xml:space="preserve"> </w:t>
      </w:r>
      <w:r w:rsidR="00D81772">
        <w:rPr>
          <w:sz w:val="22"/>
          <w:szCs w:val="18"/>
          <w:lang w:val="en-CA"/>
        </w:rPr>
        <w:t xml:space="preserve">to be </w:t>
      </w:r>
      <w:r>
        <w:rPr>
          <w:sz w:val="22"/>
          <w:szCs w:val="18"/>
          <w:lang w:val="en-CA"/>
        </w:rPr>
        <w:t>“capable of making rational decisions beneficial to him” or</w:t>
      </w:r>
      <w:r w:rsidR="008E37A2">
        <w:rPr>
          <w:sz w:val="22"/>
          <w:szCs w:val="18"/>
          <w:lang w:val="en-CA"/>
        </w:rPr>
        <w:t xml:space="preserve"> </w:t>
      </w:r>
      <w:r>
        <w:rPr>
          <w:sz w:val="22"/>
          <w:szCs w:val="18"/>
          <w:lang w:val="en-CA"/>
        </w:rPr>
        <w:t xml:space="preserve">“capable of </w:t>
      </w:r>
      <w:r w:rsidR="000A532E">
        <w:rPr>
          <w:sz w:val="22"/>
          <w:szCs w:val="18"/>
          <w:lang w:val="en-CA"/>
        </w:rPr>
        <w:t>exercising</w:t>
      </w:r>
      <w:r>
        <w:rPr>
          <w:sz w:val="22"/>
          <w:szCs w:val="18"/>
          <w:lang w:val="en-CA"/>
        </w:rPr>
        <w:t xml:space="preserve"> analytical reasoning </w:t>
      </w:r>
      <w:r w:rsidR="000A532E">
        <w:rPr>
          <w:sz w:val="22"/>
          <w:szCs w:val="18"/>
          <w:lang w:val="en-CA"/>
        </w:rPr>
        <w:t xml:space="preserve">in making a choice </w:t>
      </w:r>
      <w:r>
        <w:rPr>
          <w:sz w:val="22"/>
          <w:szCs w:val="18"/>
          <w:lang w:val="en-CA"/>
        </w:rPr>
        <w:t xml:space="preserve">to accept the advice of counsel or </w:t>
      </w:r>
      <w:r w:rsidR="000A532E">
        <w:rPr>
          <w:sz w:val="22"/>
          <w:szCs w:val="18"/>
          <w:lang w:val="en-CA"/>
        </w:rPr>
        <w:t xml:space="preserve">in coming to a decision that best serves </w:t>
      </w:r>
      <w:r w:rsidR="00D81772">
        <w:rPr>
          <w:sz w:val="22"/>
          <w:szCs w:val="18"/>
          <w:lang w:val="en-CA"/>
        </w:rPr>
        <w:t xml:space="preserve">her </w:t>
      </w:r>
      <w:r w:rsidR="000A532E">
        <w:rPr>
          <w:sz w:val="22"/>
          <w:szCs w:val="18"/>
          <w:lang w:val="en-CA"/>
        </w:rPr>
        <w:t>interests</w:t>
      </w:r>
      <w:r>
        <w:rPr>
          <w:sz w:val="22"/>
          <w:szCs w:val="18"/>
          <w:lang w:val="en-CA"/>
        </w:rPr>
        <w:t>.”</w:t>
      </w:r>
      <w:proofErr w:type="gramEnd"/>
      <w:r w:rsidR="0086584C" w:rsidRPr="00387BB9">
        <w:rPr>
          <w:iCs/>
          <w:sz w:val="22"/>
          <w:szCs w:val="16"/>
          <w:vertAlign w:val="superscript"/>
          <w:lang w:val="en-CA"/>
        </w:rPr>
        <w:t>11</w:t>
      </w:r>
      <w:bookmarkEnd w:id="88"/>
    </w:p>
    <w:p w14:paraId="2A476078" w14:textId="77777777" w:rsidR="000F29CA" w:rsidRPr="002B1833" w:rsidRDefault="0086584C" w:rsidP="000F29CA">
      <w:pPr>
        <w:pStyle w:val="F02-Texte"/>
        <w:numPr>
          <w:ilvl w:val="0"/>
          <w:numId w:val="0"/>
        </w:numPr>
        <w:ind w:firstLine="709"/>
        <w:rPr>
          <w:lang w:val="en-CA"/>
        </w:rPr>
      </w:pPr>
      <w:r w:rsidRPr="002B1833">
        <w:rPr>
          <w:lang w:val="en-CA"/>
        </w:rPr>
        <w:t>___________________________________________________________</w:t>
      </w:r>
    </w:p>
    <w:p w14:paraId="0F4C9D63" w14:textId="77777777" w:rsidR="000F29CA" w:rsidRPr="002B1833" w:rsidRDefault="0086584C" w:rsidP="00540898">
      <w:pPr>
        <w:pStyle w:val="F02-Texte"/>
        <w:numPr>
          <w:ilvl w:val="0"/>
          <w:numId w:val="0"/>
        </w:numPr>
        <w:spacing w:before="0"/>
        <w:ind w:firstLine="709"/>
        <w:rPr>
          <w:sz w:val="16"/>
          <w:szCs w:val="16"/>
          <w:lang w:val="en-CA"/>
        </w:rPr>
      </w:pPr>
      <w:r w:rsidRPr="002B1833">
        <w:rPr>
          <w:sz w:val="16"/>
          <w:szCs w:val="16"/>
          <w:lang w:val="en-CA"/>
        </w:rPr>
        <w:t xml:space="preserve">10. </w:t>
      </w:r>
      <w:bookmarkStart w:id="89" w:name="lt_pId205"/>
      <w:r w:rsidRPr="000B2606">
        <w:rPr>
          <w:i/>
          <w:sz w:val="16"/>
          <w:szCs w:val="16"/>
          <w:lang w:val="en-CA"/>
        </w:rPr>
        <w:t>Ibid</w:t>
      </w:r>
      <w:r w:rsidRPr="002B1833">
        <w:rPr>
          <w:sz w:val="16"/>
          <w:szCs w:val="16"/>
          <w:lang w:val="en-CA"/>
        </w:rPr>
        <w:t>.</w:t>
      </w:r>
      <w:bookmarkEnd w:id="89"/>
      <w:r w:rsidRPr="002B1833">
        <w:rPr>
          <w:sz w:val="16"/>
          <w:szCs w:val="16"/>
          <w:lang w:val="en-CA"/>
        </w:rPr>
        <w:t xml:space="preserve"> </w:t>
      </w:r>
    </w:p>
    <w:p w14:paraId="093E8A04" w14:textId="3F1756E7" w:rsidR="000F29CA" w:rsidRPr="001C2E13" w:rsidRDefault="0086584C" w:rsidP="00540898">
      <w:pPr>
        <w:pStyle w:val="F02-Texte"/>
        <w:numPr>
          <w:ilvl w:val="0"/>
          <w:numId w:val="0"/>
        </w:numPr>
        <w:spacing w:before="0"/>
        <w:ind w:left="709"/>
        <w:rPr>
          <w:sz w:val="16"/>
          <w:szCs w:val="16"/>
          <w:lang w:val="en-CA"/>
        </w:rPr>
      </w:pPr>
      <w:r w:rsidRPr="001C2E13">
        <w:rPr>
          <w:sz w:val="16"/>
          <w:szCs w:val="16"/>
          <w:lang w:val="en-CA"/>
        </w:rPr>
        <w:t xml:space="preserve">11. </w:t>
      </w:r>
      <w:bookmarkStart w:id="90" w:name="lt_pId207"/>
      <w:r w:rsidR="001C2E13" w:rsidRPr="001C2E13">
        <w:rPr>
          <w:i/>
          <w:iCs/>
          <w:sz w:val="16"/>
          <w:szCs w:val="16"/>
          <w:lang w:val="en-CA"/>
        </w:rPr>
        <w:t>R v</w:t>
      </w:r>
      <w:r w:rsidR="004935F2">
        <w:rPr>
          <w:i/>
          <w:iCs/>
          <w:sz w:val="16"/>
          <w:szCs w:val="16"/>
          <w:lang w:val="en-CA"/>
        </w:rPr>
        <w:t>.</w:t>
      </w:r>
      <w:r w:rsidR="001C2E13" w:rsidRPr="001C2E13">
        <w:rPr>
          <w:i/>
          <w:iCs/>
          <w:sz w:val="16"/>
          <w:szCs w:val="16"/>
          <w:lang w:val="en-CA"/>
        </w:rPr>
        <w:t xml:space="preserve"> Whittle</w:t>
      </w:r>
      <w:r w:rsidRPr="001C2E13">
        <w:rPr>
          <w:sz w:val="16"/>
          <w:szCs w:val="16"/>
          <w:lang w:val="en-CA"/>
        </w:rPr>
        <w:t xml:space="preserve">, [1994] </w:t>
      </w:r>
      <w:proofErr w:type="gramStart"/>
      <w:r w:rsidRPr="001C2E13">
        <w:rPr>
          <w:sz w:val="16"/>
          <w:szCs w:val="16"/>
          <w:lang w:val="en-CA"/>
        </w:rPr>
        <w:t>2</w:t>
      </w:r>
      <w:proofErr w:type="gramEnd"/>
      <w:r w:rsidR="001C2E13" w:rsidRPr="001C2E13">
        <w:rPr>
          <w:sz w:val="16"/>
          <w:szCs w:val="16"/>
          <w:lang w:val="en-CA"/>
        </w:rPr>
        <w:t xml:space="preserve"> S.C.R</w:t>
      </w:r>
      <w:r w:rsidRPr="001C2E13">
        <w:rPr>
          <w:sz w:val="16"/>
          <w:szCs w:val="16"/>
          <w:lang w:val="en-CA"/>
        </w:rPr>
        <w:t>.</w:t>
      </w:r>
      <w:bookmarkEnd w:id="90"/>
      <w:r w:rsidRPr="001C2E13">
        <w:rPr>
          <w:sz w:val="16"/>
          <w:szCs w:val="16"/>
          <w:lang w:val="en-CA"/>
        </w:rPr>
        <w:t xml:space="preserve"> </w:t>
      </w:r>
      <w:bookmarkStart w:id="91" w:name="lt_pId208"/>
      <w:r w:rsidRPr="001C2E13">
        <w:rPr>
          <w:sz w:val="16"/>
          <w:szCs w:val="16"/>
          <w:lang w:val="en-CA"/>
        </w:rPr>
        <w:t xml:space="preserve">914, </w:t>
      </w:r>
      <w:r w:rsidR="001C2E13" w:rsidRPr="001C2E13">
        <w:rPr>
          <w:sz w:val="16"/>
          <w:szCs w:val="16"/>
          <w:lang w:val="en-CA"/>
        </w:rPr>
        <w:t xml:space="preserve">referring to </w:t>
      </w:r>
      <w:r w:rsidRPr="001C2E13">
        <w:rPr>
          <w:i/>
          <w:iCs/>
          <w:sz w:val="16"/>
          <w:szCs w:val="16"/>
          <w:lang w:val="en-CA"/>
        </w:rPr>
        <w:t xml:space="preserve">R </w:t>
      </w:r>
      <w:r w:rsidR="001C2E13">
        <w:rPr>
          <w:i/>
          <w:iCs/>
          <w:sz w:val="16"/>
          <w:szCs w:val="16"/>
          <w:lang w:val="en-CA"/>
        </w:rPr>
        <w:t>v</w:t>
      </w:r>
      <w:r w:rsidR="004935F2">
        <w:rPr>
          <w:i/>
          <w:iCs/>
          <w:sz w:val="16"/>
          <w:szCs w:val="16"/>
          <w:lang w:val="en-CA"/>
        </w:rPr>
        <w:t>.</w:t>
      </w:r>
      <w:r w:rsidRPr="001C2E13">
        <w:rPr>
          <w:i/>
          <w:iCs/>
          <w:sz w:val="16"/>
          <w:szCs w:val="16"/>
          <w:lang w:val="en-CA"/>
        </w:rPr>
        <w:t xml:space="preserve"> Taylor</w:t>
      </w:r>
      <w:r w:rsidRPr="001C2E13">
        <w:rPr>
          <w:sz w:val="16"/>
          <w:szCs w:val="16"/>
          <w:lang w:val="en-CA"/>
        </w:rPr>
        <w:t>, (1992) 77 C.C.C. (3d) 551 (</w:t>
      </w:r>
      <w:r w:rsidR="001C2E13">
        <w:rPr>
          <w:sz w:val="16"/>
          <w:szCs w:val="16"/>
          <w:lang w:val="en-CA"/>
        </w:rPr>
        <w:t>Ont. C.A.</w:t>
      </w:r>
      <w:r w:rsidRPr="001C2E13">
        <w:rPr>
          <w:sz w:val="16"/>
          <w:szCs w:val="16"/>
          <w:lang w:val="en-CA"/>
        </w:rPr>
        <w:t>)</w:t>
      </w:r>
      <w:bookmarkEnd w:id="91"/>
    </w:p>
    <w:p w14:paraId="3F416946" w14:textId="0DADAD82" w:rsidR="000F29CA" w:rsidRPr="00B6061B" w:rsidRDefault="001C2E13" w:rsidP="000F29CA">
      <w:pPr>
        <w:pStyle w:val="F02-Texte"/>
        <w:rPr>
          <w:lang w:val="en-CA"/>
        </w:rPr>
      </w:pPr>
      <w:r w:rsidRPr="00B6061B">
        <w:rPr>
          <w:lang w:val="en-CA"/>
        </w:rPr>
        <w:t xml:space="preserve">Given the evidence, </w:t>
      </w:r>
      <w:r w:rsidR="00B6061B" w:rsidRPr="00B6061B">
        <w:rPr>
          <w:lang w:val="en-CA"/>
        </w:rPr>
        <w:t>in particular</w:t>
      </w:r>
      <w:r w:rsidRPr="00B6061B">
        <w:rPr>
          <w:lang w:val="en-CA"/>
        </w:rPr>
        <w:t xml:space="preserve"> the reports </w:t>
      </w:r>
      <w:r w:rsidR="00B6061B">
        <w:rPr>
          <w:lang w:val="en-CA"/>
        </w:rPr>
        <w:t xml:space="preserve">of Ms. Di Stefano and the attending physician </w:t>
      </w:r>
      <w:r w:rsidR="00B6061B" w:rsidRPr="00B6061B">
        <w:rPr>
          <w:lang w:val="en-CA"/>
        </w:rPr>
        <w:t>filed at the he</w:t>
      </w:r>
      <w:r w:rsidR="00B6061B">
        <w:rPr>
          <w:lang w:val="en-CA"/>
        </w:rPr>
        <w:t>aring to stand as if recited, and the testimony heard at the hearing;</w:t>
      </w:r>
    </w:p>
    <w:p w14:paraId="4B706BE6" w14:textId="1FC1C37C" w:rsidR="000F29CA" w:rsidRPr="00B6061B" w:rsidRDefault="00B6061B" w:rsidP="000F29CA">
      <w:pPr>
        <w:pStyle w:val="F02-Texte"/>
        <w:rPr>
          <w:lang w:val="en-CA"/>
        </w:rPr>
      </w:pPr>
      <w:r w:rsidRPr="00B6061B">
        <w:rPr>
          <w:lang w:val="en-CA"/>
        </w:rPr>
        <w:t xml:space="preserve">The Board </w:t>
      </w:r>
      <w:r w:rsidR="007D7E25">
        <w:rPr>
          <w:lang w:val="en-CA"/>
        </w:rPr>
        <w:t>notes</w:t>
      </w:r>
      <w:r w:rsidRPr="00B6061B">
        <w:rPr>
          <w:lang w:val="en-CA"/>
        </w:rPr>
        <w:t xml:space="preserve"> that following a trial with a n</w:t>
      </w:r>
      <w:r>
        <w:rPr>
          <w:lang w:val="en-CA"/>
        </w:rPr>
        <w:t xml:space="preserve">ew </w:t>
      </w:r>
      <w:r w:rsidR="009930ED">
        <w:rPr>
          <w:lang w:val="en-CA"/>
        </w:rPr>
        <w:t xml:space="preserve">drug </w:t>
      </w:r>
      <w:r>
        <w:rPr>
          <w:lang w:val="en-CA"/>
        </w:rPr>
        <w:t>(</w:t>
      </w:r>
      <w:r w:rsidR="007D7E25">
        <w:rPr>
          <w:lang w:val="en-CA"/>
        </w:rPr>
        <w:t>Amisulpride), the accused has shown clear benefits in his cognitive abilities and concentration.</w:t>
      </w:r>
      <w:r w:rsidR="00993C44">
        <w:rPr>
          <w:lang w:val="en-CA"/>
        </w:rPr>
        <w:t xml:space="preserve"> </w:t>
      </w:r>
      <w:proofErr w:type="gramStart"/>
      <w:r w:rsidR="00993C44">
        <w:rPr>
          <w:lang w:val="en-CA"/>
        </w:rPr>
        <w:t>He has adapted well to the different stages of the judicial process and is able to express his ideas clearly.</w:t>
      </w:r>
      <w:proofErr w:type="gramEnd"/>
    </w:p>
    <w:p w14:paraId="32E82109" w14:textId="65641E90" w:rsidR="000F29CA" w:rsidRPr="004F1602" w:rsidRDefault="004F1602" w:rsidP="000F29CA">
      <w:pPr>
        <w:pStyle w:val="F02-Texte"/>
        <w:rPr>
          <w:lang w:val="en-CA"/>
        </w:rPr>
      </w:pPr>
      <w:r w:rsidRPr="004F1602">
        <w:rPr>
          <w:lang w:val="en-CA"/>
        </w:rPr>
        <w:t>The evidence shows that the accused understands the nature a</w:t>
      </w:r>
      <w:r>
        <w:rPr>
          <w:lang w:val="en-CA"/>
        </w:rPr>
        <w:t>nd purpose of the charges. He understands that he is at the hospital because of a conflict. While he maintains that he is the victim, he no longer argues that there is a conspiracy against him.</w:t>
      </w:r>
    </w:p>
    <w:p w14:paraId="0E481EE1" w14:textId="55E16A5B" w:rsidR="000F29CA" w:rsidRPr="00985E2E" w:rsidRDefault="00985E2E" w:rsidP="000F29CA">
      <w:pPr>
        <w:pStyle w:val="F02-Texte"/>
        <w:rPr>
          <w:lang w:val="en-CA"/>
        </w:rPr>
      </w:pPr>
      <w:r w:rsidRPr="00985E2E">
        <w:rPr>
          <w:lang w:val="en-CA"/>
        </w:rPr>
        <w:lastRenderedPageBreak/>
        <w:t>He demonstrates an ability to participate in the proceedings i</w:t>
      </w:r>
      <w:r>
        <w:rPr>
          <w:lang w:val="en-CA"/>
        </w:rPr>
        <w:t xml:space="preserve">n a meaningful way. </w:t>
      </w:r>
      <w:r w:rsidR="001711CA">
        <w:rPr>
          <w:lang w:val="en-CA"/>
        </w:rPr>
        <w:t xml:space="preserve">He understands the possible legal consequences. </w:t>
      </w:r>
      <w:r>
        <w:rPr>
          <w:lang w:val="en-CA"/>
        </w:rPr>
        <w:t xml:space="preserve">He </w:t>
      </w:r>
      <w:r w:rsidR="001711CA">
        <w:rPr>
          <w:lang w:val="en-CA"/>
        </w:rPr>
        <w:t>acknowledges</w:t>
      </w:r>
      <w:r>
        <w:rPr>
          <w:lang w:val="en-CA"/>
        </w:rPr>
        <w:t xml:space="preserve"> that the judge will ultimately decide the final verdict.</w:t>
      </w:r>
    </w:p>
    <w:p w14:paraId="7FD55196" w14:textId="47D95888" w:rsidR="000F29CA" w:rsidRPr="00985E2E" w:rsidRDefault="00985E2E" w:rsidP="000F29CA">
      <w:pPr>
        <w:pStyle w:val="F02-Texte"/>
        <w:rPr>
          <w:lang w:val="en-CA"/>
        </w:rPr>
      </w:pPr>
      <w:r>
        <w:rPr>
          <w:lang w:val="en-CA"/>
        </w:rPr>
        <w:t xml:space="preserve">In terms of how the </w:t>
      </w:r>
      <w:r w:rsidR="009930ED">
        <w:rPr>
          <w:lang w:val="en-CA"/>
        </w:rPr>
        <w:t>c</w:t>
      </w:r>
      <w:r>
        <w:rPr>
          <w:lang w:val="en-CA"/>
        </w:rPr>
        <w:t>ourt works</w:t>
      </w:r>
      <w:r w:rsidRPr="00985E2E">
        <w:rPr>
          <w:lang w:val="en-CA"/>
        </w:rPr>
        <w:t>, the a</w:t>
      </w:r>
      <w:r>
        <w:rPr>
          <w:lang w:val="en-CA"/>
        </w:rPr>
        <w:t>ccused understands the basics</w:t>
      </w:r>
      <w:r w:rsidR="00F03C8E">
        <w:rPr>
          <w:lang w:val="en-CA"/>
        </w:rPr>
        <w:t xml:space="preserve"> better</w:t>
      </w:r>
      <w:r>
        <w:rPr>
          <w:lang w:val="en-CA"/>
        </w:rPr>
        <w:t xml:space="preserve">. He understands that he must mount a defence with the help of counsel. His ability to communicate effectively and rationally has considerably improved. </w:t>
      </w:r>
    </w:p>
    <w:p w14:paraId="35A7DC02" w14:textId="5D9EC0E0" w:rsidR="000F29CA" w:rsidRPr="00F03C8E" w:rsidRDefault="00F03C8E" w:rsidP="000F29CA">
      <w:pPr>
        <w:pStyle w:val="F02-Texte"/>
        <w:rPr>
          <w:lang w:val="en-CA"/>
        </w:rPr>
      </w:pPr>
      <w:r w:rsidRPr="00F03C8E">
        <w:rPr>
          <w:lang w:val="en-CA"/>
        </w:rPr>
        <w:t>Because of his improved attentio</w:t>
      </w:r>
      <w:r w:rsidR="001711CA">
        <w:rPr>
          <w:lang w:val="en-CA"/>
        </w:rPr>
        <w:t>n</w:t>
      </w:r>
      <w:r w:rsidRPr="00F03C8E">
        <w:rPr>
          <w:lang w:val="en-CA"/>
        </w:rPr>
        <w:t xml:space="preserve"> span, the accuse</w:t>
      </w:r>
      <w:r>
        <w:rPr>
          <w:lang w:val="en-CA"/>
        </w:rPr>
        <w:t xml:space="preserve">d is able to follow the court process in an </w:t>
      </w:r>
      <w:r w:rsidR="008C7B66">
        <w:rPr>
          <w:lang w:val="en-CA"/>
        </w:rPr>
        <w:t>involved manner.</w:t>
      </w:r>
    </w:p>
    <w:p w14:paraId="03AFFD97" w14:textId="5ECF01A5" w:rsidR="000F29CA" w:rsidRPr="009612AC" w:rsidRDefault="008C7B66" w:rsidP="000F29CA">
      <w:pPr>
        <w:pStyle w:val="F02-Texte"/>
        <w:rPr>
          <w:lang w:val="en-CA"/>
        </w:rPr>
      </w:pPr>
      <w:r w:rsidRPr="009612AC">
        <w:rPr>
          <w:lang w:val="en-CA"/>
        </w:rPr>
        <w:t>The Board</w:t>
      </w:r>
      <w:r w:rsidR="009612AC" w:rsidRPr="009612AC">
        <w:rPr>
          <w:lang w:val="en-CA"/>
        </w:rPr>
        <w:t xml:space="preserve"> is of the opinion that the evidence clearly demonstrates that the accused is represented by counsel and that he </w:t>
      </w:r>
      <w:r w:rsidR="009930ED">
        <w:rPr>
          <w:lang w:val="en-CA"/>
        </w:rPr>
        <w:t xml:space="preserve">appears entirely </w:t>
      </w:r>
      <w:r w:rsidR="009612AC" w:rsidRPr="009612AC">
        <w:rPr>
          <w:lang w:val="en-CA"/>
        </w:rPr>
        <w:t xml:space="preserve">able to communicate with counsel to present his case </w:t>
      </w:r>
      <w:r w:rsidR="009612AC">
        <w:rPr>
          <w:lang w:val="en-CA"/>
        </w:rPr>
        <w:t>as well as</w:t>
      </w:r>
      <w:r w:rsidR="009612AC" w:rsidRPr="009612AC">
        <w:rPr>
          <w:lang w:val="en-CA"/>
        </w:rPr>
        <w:t xml:space="preserve"> to instruct counsel to </w:t>
      </w:r>
      <w:r w:rsidR="009612AC">
        <w:rPr>
          <w:lang w:val="en-CA"/>
        </w:rPr>
        <w:t>conduct his defence;</w:t>
      </w:r>
    </w:p>
    <w:p w14:paraId="11A03A90" w14:textId="77777777" w:rsidR="000F29CA" w:rsidRPr="00D36398" w:rsidRDefault="0086584C" w:rsidP="000F29CA">
      <w:pPr>
        <w:pStyle w:val="F02-Texte"/>
        <w:rPr>
          <w:lang w:val="en-CA"/>
        </w:rPr>
      </w:pPr>
      <w:bookmarkStart w:id="92" w:name="lt_pId222"/>
      <w:r w:rsidRPr="00D36398">
        <w:rPr>
          <w:lang w:val="en-CA"/>
        </w:rPr>
        <w:t xml:space="preserve">In view of the fact that the accused meets the criteria for fitness set out in the </w:t>
      </w:r>
      <w:r w:rsidRPr="00D36398">
        <w:rPr>
          <w:i/>
          <w:lang w:val="en-CA"/>
        </w:rPr>
        <w:t>Criminal Code</w:t>
      </w:r>
      <w:r w:rsidRPr="00D36398">
        <w:rPr>
          <w:lang w:val="en-CA"/>
        </w:rPr>
        <w:t>;</w:t>
      </w:r>
      <w:bookmarkEnd w:id="92"/>
    </w:p>
    <w:p w14:paraId="4AF35C56" w14:textId="412F6AC7" w:rsidR="000F29CA" w:rsidRPr="009612AC" w:rsidRDefault="009612AC" w:rsidP="000F29CA">
      <w:pPr>
        <w:pStyle w:val="F02-Texte"/>
        <w:rPr>
          <w:lang w:val="en-CA"/>
        </w:rPr>
      </w:pPr>
      <w:r w:rsidRPr="009612AC">
        <w:rPr>
          <w:lang w:val="en-CA"/>
        </w:rPr>
        <w:t>The Board is convinced that the accuse</w:t>
      </w:r>
      <w:r w:rsidR="000569FA">
        <w:rPr>
          <w:lang w:val="en-CA"/>
        </w:rPr>
        <w:t xml:space="preserve">d </w:t>
      </w:r>
      <w:r w:rsidRPr="009612AC">
        <w:rPr>
          <w:lang w:val="en-CA"/>
        </w:rPr>
        <w:t>is fit t</w:t>
      </w:r>
      <w:r>
        <w:rPr>
          <w:lang w:val="en-CA"/>
        </w:rPr>
        <w:t xml:space="preserve">o stand trial and orders </w:t>
      </w:r>
      <w:r w:rsidR="000569FA">
        <w:rPr>
          <w:lang w:val="en-CA"/>
        </w:rPr>
        <w:t xml:space="preserve">that he be </w:t>
      </w:r>
      <w:r w:rsidR="00CC4A9D">
        <w:rPr>
          <w:lang w:val="en-CA"/>
        </w:rPr>
        <w:t xml:space="preserve">sent </w:t>
      </w:r>
      <w:r w:rsidR="000569FA">
        <w:rPr>
          <w:lang w:val="en-CA"/>
        </w:rPr>
        <w:t>back to court for a determination of his fitness to stand trial.</w:t>
      </w:r>
    </w:p>
    <w:p w14:paraId="752A27A8" w14:textId="38D79073" w:rsidR="000F29CA" w:rsidRPr="000569FA" w:rsidRDefault="000569FA" w:rsidP="000F29CA">
      <w:pPr>
        <w:pStyle w:val="F02-Texte"/>
        <w:rPr>
          <w:lang w:val="en-CA"/>
        </w:rPr>
      </w:pPr>
      <w:proofErr w:type="gramStart"/>
      <w:r w:rsidRPr="000569FA">
        <w:rPr>
          <w:lang w:val="en-CA"/>
        </w:rPr>
        <w:t xml:space="preserve">With respect to the issue of whether </w:t>
      </w:r>
      <w:r w:rsidR="00906678">
        <w:rPr>
          <w:lang w:val="en-CA"/>
        </w:rPr>
        <w:t xml:space="preserve">steps should </w:t>
      </w:r>
      <w:r w:rsidRPr="000569FA">
        <w:rPr>
          <w:lang w:val="en-CA"/>
        </w:rPr>
        <w:t>b</w:t>
      </w:r>
      <w:r>
        <w:rPr>
          <w:lang w:val="en-CA"/>
        </w:rPr>
        <w:t xml:space="preserve">e taken to </w:t>
      </w:r>
      <w:r w:rsidR="00906678">
        <w:rPr>
          <w:lang w:val="en-CA"/>
        </w:rPr>
        <w:t xml:space="preserve">ensure </w:t>
      </w:r>
      <w:r>
        <w:rPr>
          <w:lang w:val="en-CA"/>
        </w:rPr>
        <w:t xml:space="preserve">the accused’s </w:t>
      </w:r>
      <w:r w:rsidR="00906678">
        <w:rPr>
          <w:lang w:val="en-CA"/>
        </w:rPr>
        <w:t xml:space="preserve">continued </w:t>
      </w:r>
      <w:r>
        <w:rPr>
          <w:lang w:val="en-CA"/>
        </w:rPr>
        <w:t xml:space="preserve">fitness to stand trial and to control the significant risk </w:t>
      </w:r>
      <w:r w:rsidR="00906678">
        <w:rPr>
          <w:lang w:val="en-CA"/>
        </w:rPr>
        <w:t xml:space="preserve">he poses to </w:t>
      </w:r>
      <w:r w:rsidR="002327B0">
        <w:rPr>
          <w:lang w:val="en-CA"/>
        </w:rPr>
        <w:t>the safety of the public</w:t>
      </w:r>
      <w:r w:rsidR="00906678">
        <w:rPr>
          <w:lang w:val="en-CA"/>
        </w:rPr>
        <w:t xml:space="preserve"> due to his mental condition</w:t>
      </w:r>
      <w:r>
        <w:rPr>
          <w:lang w:val="en-CA"/>
        </w:rPr>
        <w:t xml:space="preserve"> until </w:t>
      </w:r>
      <w:r w:rsidR="00906678">
        <w:rPr>
          <w:lang w:val="en-CA"/>
        </w:rPr>
        <w:t xml:space="preserve">such time as </w:t>
      </w:r>
      <w:r>
        <w:rPr>
          <w:lang w:val="en-CA"/>
        </w:rPr>
        <w:t xml:space="preserve">the court determines his fitness to stand trial, given all of the evidence, the Board is convinced that detention on conditions must be ordered to </w:t>
      </w:r>
      <w:r w:rsidR="00906678">
        <w:rPr>
          <w:lang w:val="en-CA"/>
        </w:rPr>
        <w:t>ensure his continued</w:t>
      </w:r>
      <w:r>
        <w:rPr>
          <w:lang w:val="en-CA"/>
        </w:rPr>
        <w:t xml:space="preserve"> fitness to stand trial and to control the significant risk he poses to the </w:t>
      </w:r>
      <w:r w:rsidR="002327B0">
        <w:rPr>
          <w:lang w:val="en-CA"/>
        </w:rPr>
        <w:t>safety of the public</w:t>
      </w:r>
      <w:r>
        <w:rPr>
          <w:lang w:val="en-CA"/>
        </w:rPr>
        <w:t>.</w:t>
      </w:r>
      <w:proofErr w:type="gramEnd"/>
    </w:p>
    <w:p w14:paraId="6D403EC1" w14:textId="75B02C37" w:rsidR="000F29CA" w:rsidRPr="00906678" w:rsidRDefault="00906678" w:rsidP="000F29CA">
      <w:pPr>
        <w:pStyle w:val="F02-Texte"/>
        <w:rPr>
          <w:lang w:val="en-CA"/>
        </w:rPr>
      </w:pPr>
      <w:r>
        <w:rPr>
          <w:lang w:val="en-CA"/>
        </w:rPr>
        <w:t xml:space="preserve">In </w:t>
      </w:r>
      <w:r w:rsidR="005A3E60">
        <w:rPr>
          <w:lang w:val="en-CA"/>
        </w:rPr>
        <w:t>coming to this conclusion</w:t>
      </w:r>
      <w:r w:rsidRPr="00906678">
        <w:rPr>
          <w:lang w:val="en-CA"/>
        </w:rPr>
        <w:t>, the Board takes into account the fact t</w:t>
      </w:r>
      <w:r>
        <w:rPr>
          <w:lang w:val="en-CA"/>
        </w:rPr>
        <w:t>hat the accused suffers from schizophrenia, treated only recently with a “special” medication.</w:t>
      </w:r>
    </w:p>
    <w:p w14:paraId="54B47383" w14:textId="7449B12E" w:rsidR="000F29CA" w:rsidRPr="00906678" w:rsidRDefault="00906678" w:rsidP="000F29CA">
      <w:pPr>
        <w:pStyle w:val="F02-Texte"/>
        <w:rPr>
          <w:lang w:val="en-CA"/>
        </w:rPr>
      </w:pPr>
      <w:r w:rsidRPr="00906678">
        <w:rPr>
          <w:lang w:val="en-CA"/>
        </w:rPr>
        <w:t>The Board cannot overlook the accused’s substance use disorder a</w:t>
      </w:r>
      <w:r>
        <w:rPr>
          <w:lang w:val="en-CA"/>
        </w:rPr>
        <w:t>nd his history of non-compliance</w:t>
      </w:r>
      <w:r w:rsidR="00F7718E">
        <w:rPr>
          <w:lang w:val="en-CA"/>
        </w:rPr>
        <w:t xml:space="preserve"> with medication.</w:t>
      </w:r>
    </w:p>
    <w:p w14:paraId="29C05D1B" w14:textId="52F8C62B" w:rsidR="000F29CA" w:rsidRPr="001B433A" w:rsidRDefault="001B433A" w:rsidP="000F29CA">
      <w:pPr>
        <w:pStyle w:val="F02-Texte"/>
        <w:rPr>
          <w:lang w:val="en-CA"/>
        </w:rPr>
      </w:pPr>
      <w:r w:rsidRPr="001B433A">
        <w:rPr>
          <w:lang w:val="en-CA"/>
        </w:rPr>
        <w:t xml:space="preserve">The evidence shows that the accused still </w:t>
      </w:r>
      <w:r w:rsidR="0095305E">
        <w:rPr>
          <w:lang w:val="en-CA"/>
        </w:rPr>
        <w:t>has</w:t>
      </w:r>
      <w:r w:rsidRPr="001B433A">
        <w:rPr>
          <w:lang w:val="en-CA"/>
        </w:rPr>
        <w:t xml:space="preserve"> residual c</w:t>
      </w:r>
      <w:r>
        <w:rPr>
          <w:lang w:val="en-CA"/>
        </w:rPr>
        <w:t xml:space="preserve">ognitive symptoms, that he is very fragile and isolated, that he does not have </w:t>
      </w:r>
      <w:r w:rsidR="0095305E">
        <w:rPr>
          <w:lang w:val="en-CA"/>
        </w:rPr>
        <w:t xml:space="preserve">a </w:t>
      </w:r>
      <w:r>
        <w:rPr>
          <w:lang w:val="en-CA"/>
        </w:rPr>
        <w:t xml:space="preserve">stable living </w:t>
      </w:r>
      <w:r w:rsidR="0095305E">
        <w:rPr>
          <w:lang w:val="en-CA"/>
        </w:rPr>
        <w:t>environment</w:t>
      </w:r>
      <w:r>
        <w:rPr>
          <w:lang w:val="en-CA"/>
        </w:rPr>
        <w:t xml:space="preserve">, and that any substance use </w:t>
      </w:r>
      <w:r w:rsidR="0095305E">
        <w:rPr>
          <w:lang w:val="en-CA"/>
        </w:rPr>
        <w:t>could</w:t>
      </w:r>
      <w:r>
        <w:rPr>
          <w:lang w:val="en-CA"/>
        </w:rPr>
        <w:t xml:space="preserve"> compromise his mental </w:t>
      </w:r>
      <w:r w:rsidR="002B1833">
        <w:rPr>
          <w:lang w:val="en-CA"/>
        </w:rPr>
        <w:t>condition</w:t>
      </w:r>
      <w:r>
        <w:rPr>
          <w:lang w:val="en-CA"/>
        </w:rPr>
        <w:t>.</w:t>
      </w:r>
    </w:p>
    <w:p w14:paraId="53C09998" w14:textId="000CDF29" w:rsidR="000F29CA" w:rsidRPr="00D73AD1" w:rsidRDefault="00D73AD1" w:rsidP="000F29CA">
      <w:pPr>
        <w:pStyle w:val="F02-Texte"/>
        <w:rPr>
          <w:lang w:val="en-CA"/>
        </w:rPr>
      </w:pPr>
      <w:r w:rsidRPr="00D73AD1">
        <w:rPr>
          <w:lang w:val="en-CA"/>
        </w:rPr>
        <w:lastRenderedPageBreak/>
        <w:t xml:space="preserve">Finally, the Board acknowledges the accused’s consent to </w:t>
      </w:r>
      <w:r>
        <w:rPr>
          <w:lang w:val="en-CA"/>
        </w:rPr>
        <w:t>remain</w:t>
      </w:r>
      <w:r w:rsidRPr="00D73AD1">
        <w:rPr>
          <w:lang w:val="en-CA"/>
        </w:rPr>
        <w:t xml:space="preserve"> h</w:t>
      </w:r>
      <w:r>
        <w:rPr>
          <w:lang w:val="en-CA"/>
        </w:rPr>
        <w:t xml:space="preserve">ospitalized while awaiting his appearance before court and considers it decisive that the next date of appearance </w:t>
      </w:r>
      <w:r w:rsidR="00F21469">
        <w:rPr>
          <w:lang w:val="en-CA"/>
        </w:rPr>
        <w:t xml:space="preserve">before the Court of Quebec </w:t>
      </w:r>
      <w:proofErr w:type="gramStart"/>
      <w:r w:rsidR="00F21469">
        <w:rPr>
          <w:lang w:val="en-CA"/>
        </w:rPr>
        <w:t>is scheduled</w:t>
      </w:r>
      <w:proofErr w:type="gramEnd"/>
      <w:r w:rsidR="00F21469">
        <w:rPr>
          <w:lang w:val="en-CA"/>
        </w:rPr>
        <w:t xml:space="preserve"> six days </w:t>
      </w:r>
      <w:r w:rsidR="00323B5A">
        <w:rPr>
          <w:lang w:val="en-CA"/>
        </w:rPr>
        <w:t>from</w:t>
      </w:r>
      <w:r w:rsidR="00F21469">
        <w:rPr>
          <w:lang w:val="en-CA"/>
        </w:rPr>
        <w:t xml:space="preserve"> the present hearing.</w:t>
      </w:r>
    </w:p>
    <w:p w14:paraId="1ED12C52" w14:textId="77777777" w:rsidR="000F29CA" w:rsidRPr="008C122C" w:rsidRDefault="0086584C" w:rsidP="00540898">
      <w:pPr>
        <w:pStyle w:val="F02-Texte"/>
        <w:numPr>
          <w:ilvl w:val="0"/>
          <w:numId w:val="0"/>
        </w:numPr>
        <w:spacing w:before="480"/>
        <w:rPr>
          <w:lang w:val="en-CA"/>
        </w:rPr>
      </w:pPr>
      <w:bookmarkStart w:id="93" w:name="lt_pId229"/>
      <w:r w:rsidRPr="008C122C">
        <w:rPr>
          <w:b/>
          <w:lang w:val="en-CA"/>
        </w:rPr>
        <w:t>FOR THESE REASONS, THE BOARD:</w:t>
      </w:r>
      <w:bookmarkEnd w:id="93"/>
    </w:p>
    <w:p w14:paraId="599DFFEF" w14:textId="77777777" w:rsidR="000F29CA" w:rsidRPr="008C122C" w:rsidRDefault="0086584C" w:rsidP="000F29CA">
      <w:pPr>
        <w:pStyle w:val="F02-Texte"/>
        <w:numPr>
          <w:ilvl w:val="0"/>
          <w:numId w:val="0"/>
        </w:numPr>
        <w:rPr>
          <w:lang w:val="en-CA"/>
        </w:rPr>
      </w:pPr>
      <w:bookmarkStart w:id="94" w:name="lt_pId230"/>
      <w:r w:rsidRPr="008C122C">
        <w:rPr>
          <w:b/>
          <w:lang w:val="en-CA"/>
        </w:rPr>
        <w:t xml:space="preserve">DECLARES </w:t>
      </w:r>
      <w:r w:rsidRPr="008C122C">
        <w:rPr>
          <w:lang w:val="en-CA"/>
        </w:rPr>
        <w:t>the accused fit to stand trial</w:t>
      </w:r>
      <w:proofErr w:type="gramStart"/>
      <w:r w:rsidRPr="008C122C">
        <w:rPr>
          <w:lang w:val="en-CA"/>
        </w:rPr>
        <w:t>;</w:t>
      </w:r>
      <w:bookmarkEnd w:id="94"/>
      <w:proofErr w:type="gramEnd"/>
    </w:p>
    <w:p w14:paraId="1D704BDE" w14:textId="13428C2D" w:rsidR="000F29CA" w:rsidRPr="00EF225C" w:rsidRDefault="00F93BE2" w:rsidP="000F29CA">
      <w:pPr>
        <w:pStyle w:val="F02-Texte"/>
        <w:numPr>
          <w:ilvl w:val="0"/>
          <w:numId w:val="0"/>
        </w:numPr>
        <w:rPr>
          <w:lang w:val="en-CA"/>
        </w:rPr>
      </w:pPr>
      <w:r w:rsidRPr="008C122C">
        <w:rPr>
          <w:b/>
          <w:bCs/>
          <w:lang w:val="en-CA"/>
        </w:rPr>
        <w:t>ORDERS</w:t>
      </w:r>
      <w:r w:rsidRPr="008C122C">
        <w:rPr>
          <w:lang w:val="en-CA"/>
        </w:rPr>
        <w:t xml:space="preserve"> th</w:t>
      </w:r>
      <w:r w:rsidR="00EF225C" w:rsidRPr="008C122C">
        <w:rPr>
          <w:lang w:val="en-CA"/>
        </w:rPr>
        <w:t>at the</w:t>
      </w:r>
      <w:r w:rsidRPr="008C122C">
        <w:rPr>
          <w:lang w:val="en-CA"/>
        </w:rPr>
        <w:t xml:space="preserve"> </w:t>
      </w:r>
      <w:r w:rsidR="00EF225C" w:rsidRPr="008C122C">
        <w:rPr>
          <w:lang w:val="en-CA"/>
        </w:rPr>
        <w:t xml:space="preserve">accused </w:t>
      </w:r>
      <w:proofErr w:type="gramStart"/>
      <w:r w:rsidR="00EF225C" w:rsidRPr="008C122C">
        <w:rPr>
          <w:lang w:val="en-CA"/>
        </w:rPr>
        <w:t xml:space="preserve">be </w:t>
      </w:r>
      <w:r w:rsidR="00CC4A9D" w:rsidRPr="008C122C">
        <w:rPr>
          <w:lang w:val="en-CA"/>
        </w:rPr>
        <w:t>sent</w:t>
      </w:r>
      <w:proofErr w:type="gramEnd"/>
      <w:r w:rsidR="00CC4A9D">
        <w:rPr>
          <w:lang w:val="en-CA"/>
        </w:rPr>
        <w:t xml:space="preserve"> </w:t>
      </w:r>
      <w:r w:rsidR="00EF225C">
        <w:rPr>
          <w:lang w:val="en-CA"/>
        </w:rPr>
        <w:t xml:space="preserve">back to </w:t>
      </w:r>
      <w:r w:rsidR="00EF225C" w:rsidRPr="00EF225C">
        <w:rPr>
          <w:lang w:val="en-CA"/>
        </w:rPr>
        <w:t>court.</w:t>
      </w:r>
    </w:p>
    <w:p w14:paraId="781B4788" w14:textId="54BCDBCD" w:rsidR="000F29CA" w:rsidRPr="00EF225C" w:rsidRDefault="00EF225C" w:rsidP="000F29CA">
      <w:pPr>
        <w:pStyle w:val="F02-Texte"/>
        <w:numPr>
          <w:ilvl w:val="0"/>
          <w:numId w:val="0"/>
        </w:numPr>
        <w:rPr>
          <w:lang w:val="en-CA"/>
        </w:rPr>
      </w:pPr>
      <w:r w:rsidRPr="00EF225C">
        <w:rPr>
          <w:b/>
          <w:bCs/>
          <w:lang w:val="en-CA"/>
        </w:rPr>
        <w:t>IN THE INTERIM, ORDERS</w:t>
      </w:r>
      <w:r w:rsidRPr="00EF225C">
        <w:rPr>
          <w:lang w:val="en-CA"/>
        </w:rPr>
        <w:t xml:space="preserve"> the accused’s detention at the hospital in charge, subject to the follow</w:t>
      </w:r>
      <w:r>
        <w:rPr>
          <w:lang w:val="en-CA"/>
        </w:rPr>
        <w:t>ing conditions:</w:t>
      </w:r>
    </w:p>
    <w:p w14:paraId="49941BF9" w14:textId="13B8F31E" w:rsidR="000F29CA" w:rsidRPr="008C122C" w:rsidRDefault="00EF225C" w:rsidP="000F29CA">
      <w:pPr>
        <w:pStyle w:val="F06-Tiret"/>
        <w:tabs>
          <w:tab w:val="clear" w:pos="1368"/>
          <w:tab w:val="num" w:pos="1276"/>
        </w:tabs>
        <w:ind w:left="1276"/>
        <w:rPr>
          <w:lang w:val="en-CA"/>
        </w:rPr>
      </w:pPr>
      <w:r w:rsidRPr="00EF225C">
        <w:rPr>
          <w:lang w:val="en-CA"/>
        </w:rPr>
        <w:t xml:space="preserve">that the </w:t>
      </w:r>
      <w:r w:rsidR="009C1544">
        <w:rPr>
          <w:lang w:val="en-CA"/>
        </w:rPr>
        <w:t xml:space="preserve">accused be entitled to outings, with or without </w:t>
      </w:r>
      <w:r w:rsidRPr="00EF225C">
        <w:rPr>
          <w:lang w:val="en-CA"/>
        </w:rPr>
        <w:t>accompani</w:t>
      </w:r>
      <w:r w:rsidR="009C1544">
        <w:rPr>
          <w:lang w:val="en-CA"/>
        </w:rPr>
        <w:t>ment</w:t>
      </w:r>
      <w:r w:rsidRPr="00EF225C">
        <w:rPr>
          <w:lang w:val="en-CA"/>
        </w:rPr>
        <w:t xml:space="preserve">, the duration, frequency, and conditions of which to be determined by the </w:t>
      </w:r>
      <w:r w:rsidRPr="008C122C">
        <w:rPr>
          <w:lang w:val="en-CA"/>
        </w:rPr>
        <w:t>treatment team based on the accused’s clinical state, his conduct, and the treatment plan</w:t>
      </w:r>
      <w:r w:rsidR="007B7A99" w:rsidRPr="008C122C">
        <w:rPr>
          <w:lang w:val="en-CA"/>
        </w:rPr>
        <w:t>,</w:t>
      </w:r>
    </w:p>
    <w:p w14:paraId="52020B21" w14:textId="77777777" w:rsidR="000F29CA" w:rsidRPr="008C122C" w:rsidRDefault="0086584C" w:rsidP="000F29CA">
      <w:pPr>
        <w:pStyle w:val="F06-Tiret"/>
        <w:tabs>
          <w:tab w:val="clear" w:pos="1368"/>
          <w:tab w:val="num" w:pos="1276"/>
        </w:tabs>
        <w:ind w:left="1276"/>
        <w:rPr>
          <w:lang w:val="en-CA"/>
        </w:rPr>
      </w:pPr>
      <w:bookmarkStart w:id="95" w:name="lt_pId234"/>
      <w:r w:rsidRPr="008C122C">
        <w:rPr>
          <w:lang w:val="en-CA"/>
        </w:rPr>
        <w:t>comply with the recommendations of the treatment team;</w:t>
      </w:r>
      <w:bookmarkEnd w:id="95"/>
    </w:p>
    <w:p w14:paraId="3371CB81" w14:textId="77777777" w:rsidR="000F29CA" w:rsidRPr="008C122C" w:rsidRDefault="0086584C" w:rsidP="000F29CA">
      <w:pPr>
        <w:pStyle w:val="F06-Tiret"/>
        <w:tabs>
          <w:tab w:val="clear" w:pos="1368"/>
          <w:tab w:val="num" w:pos="1276"/>
        </w:tabs>
        <w:ind w:left="1276"/>
        <w:rPr>
          <w:lang w:val="en-CA"/>
        </w:rPr>
      </w:pPr>
      <w:bookmarkStart w:id="96" w:name="lt_pId235"/>
      <w:r w:rsidRPr="008C122C">
        <w:rPr>
          <w:lang w:val="en-CA"/>
        </w:rPr>
        <w:t>abstain from using any drugs;</w:t>
      </w:r>
      <w:bookmarkEnd w:id="96"/>
    </w:p>
    <w:p w14:paraId="2F98D786" w14:textId="77777777" w:rsidR="000F29CA" w:rsidRPr="008C122C" w:rsidRDefault="0086584C" w:rsidP="000F29CA">
      <w:pPr>
        <w:pStyle w:val="F06-Tiret"/>
        <w:tabs>
          <w:tab w:val="clear" w:pos="1368"/>
          <w:tab w:val="num" w:pos="1276"/>
        </w:tabs>
        <w:ind w:left="1276"/>
      </w:pPr>
      <w:bookmarkStart w:id="97" w:name="lt_pId236"/>
      <w:proofErr w:type="gramStart"/>
      <w:r w:rsidRPr="008C122C">
        <w:t>keep</w:t>
      </w:r>
      <w:proofErr w:type="gramEnd"/>
      <w:r w:rsidRPr="008C122C">
        <w:t xml:space="preserve"> the peace;</w:t>
      </w:r>
      <w:bookmarkEnd w:id="97"/>
    </w:p>
    <w:p w14:paraId="15910A59" w14:textId="7A4019A8" w:rsidR="000F29CA" w:rsidRPr="007B7A99" w:rsidRDefault="007B7A99" w:rsidP="000F29CA">
      <w:pPr>
        <w:pStyle w:val="F02-Texte"/>
        <w:numPr>
          <w:ilvl w:val="0"/>
          <w:numId w:val="0"/>
        </w:numPr>
        <w:rPr>
          <w:lang w:val="en-CA"/>
        </w:rPr>
      </w:pPr>
      <w:r w:rsidRPr="008C122C">
        <w:rPr>
          <w:lang w:val="en-CA"/>
        </w:rPr>
        <w:t>This disposition, rendered unanimously</w:t>
      </w:r>
      <w:r w:rsidRPr="007B7A99">
        <w:rPr>
          <w:lang w:val="en-CA"/>
        </w:rPr>
        <w:t xml:space="preserve">, </w:t>
      </w:r>
      <w:proofErr w:type="gramStart"/>
      <w:r w:rsidRPr="007B7A99">
        <w:rPr>
          <w:lang w:val="en-CA"/>
        </w:rPr>
        <w:t>was communicated</w:t>
      </w:r>
      <w:proofErr w:type="gramEnd"/>
      <w:r w:rsidRPr="007B7A99">
        <w:rPr>
          <w:lang w:val="en-CA"/>
        </w:rPr>
        <w:t xml:space="preserve"> to the parties f</w:t>
      </w:r>
      <w:r>
        <w:rPr>
          <w:lang w:val="en-CA"/>
        </w:rPr>
        <w:t>rom the bench during the hearing held on July 7, 2020, the day that it took effect.</w:t>
      </w:r>
    </w:p>
    <w:p w14:paraId="7846A390" w14:textId="77777777" w:rsidR="003B7EE5" w:rsidRPr="007B7A99" w:rsidRDefault="00DE2667">
      <w:pPr>
        <w:pStyle w:val="00NormalDecision"/>
        <w:rPr>
          <w:lang w:val="en-CA"/>
        </w:rPr>
      </w:pPr>
    </w:p>
    <w:p w14:paraId="48FDC419" w14:textId="77777777" w:rsidR="00C72E3E" w:rsidRPr="007B7A99" w:rsidRDefault="00DE2667">
      <w:pPr>
        <w:pStyle w:val="00NormalDecision"/>
        <w:rPr>
          <w:lang w:val="en-CA"/>
        </w:rPr>
      </w:pPr>
      <w:bookmarkStart w:id="98" w:name="AvantFinDocument"/>
      <w:bookmarkEnd w:id="98"/>
    </w:p>
    <w:p w14:paraId="4A58C56E" w14:textId="77777777" w:rsidR="00093AEF" w:rsidRPr="007B7A99" w:rsidRDefault="00DE2667">
      <w:pPr>
        <w:pStyle w:val="00NormalDecision"/>
        <w:rPr>
          <w:lang w:val="en-CA"/>
        </w:rPr>
        <w:sectPr w:rsidR="00093AEF" w:rsidRPr="007B7A99">
          <w:headerReference w:type="first" r:id="rId11"/>
          <w:type w:val="continuous"/>
          <w:pgSz w:w="12240" w:h="15840"/>
          <w:pgMar w:top="2837" w:right="1080" w:bottom="2016" w:left="1440" w:header="1699" w:footer="720" w:gutter="0"/>
          <w:cols w:space="720"/>
          <w:formProt w:val="0"/>
        </w:sectPr>
      </w:pPr>
    </w:p>
    <w:p w14:paraId="4A9AD857" w14:textId="77777777" w:rsidR="00C72E3E" w:rsidRPr="007B7A99" w:rsidRDefault="00DE2667" w:rsidP="00093AEF">
      <w:pPr>
        <w:pStyle w:val="13aSignature-ligne"/>
        <w:rPr>
          <w:lang w:val="en-CA"/>
        </w:rPr>
      </w:pPr>
    </w:p>
    <w:tbl>
      <w:tblPr>
        <w:tblW w:w="10426" w:type="dxa"/>
        <w:tblLayout w:type="fixed"/>
        <w:tblCellMar>
          <w:left w:w="72" w:type="dxa"/>
          <w:right w:w="72" w:type="dxa"/>
        </w:tblCellMar>
        <w:tblLook w:val="0000" w:firstRow="0" w:lastRow="0" w:firstColumn="0" w:lastColumn="0" w:noHBand="0" w:noVBand="0"/>
      </w:tblPr>
      <w:tblGrid>
        <w:gridCol w:w="3946"/>
        <w:gridCol w:w="6480"/>
      </w:tblGrid>
      <w:tr w:rsidR="0043390F" w:rsidRPr="009C1544" w14:paraId="5484D8D8" w14:textId="77777777" w:rsidTr="00093AEF">
        <w:tc>
          <w:tcPr>
            <w:tcW w:w="3946" w:type="dxa"/>
            <w:shd w:val="clear" w:color="auto" w:fill="auto"/>
          </w:tcPr>
          <w:p w14:paraId="316A511B" w14:textId="77777777" w:rsidR="00093AEF" w:rsidRPr="007B7A99" w:rsidRDefault="00DE2667" w:rsidP="00093AEF">
            <w:pPr>
              <w:pStyle w:val="00NormalDecision"/>
              <w:rPr>
                <w:lang w:val="en-CA"/>
              </w:rPr>
            </w:pPr>
          </w:p>
        </w:tc>
        <w:tc>
          <w:tcPr>
            <w:tcW w:w="6480" w:type="dxa"/>
            <w:shd w:val="clear" w:color="auto" w:fill="auto"/>
          </w:tcPr>
          <w:p w14:paraId="56B647EF" w14:textId="77777777" w:rsidR="00093AEF" w:rsidRPr="009C1544" w:rsidRDefault="0086584C" w:rsidP="00093AEF">
            <w:pPr>
              <w:pStyle w:val="13bSignatureTableau"/>
              <w:rPr>
                <w:lang w:val="en-CA"/>
              </w:rPr>
            </w:pPr>
            <w:bookmarkStart w:id="99" w:name="lt_pId238"/>
            <w:r w:rsidRPr="009C1544">
              <w:rPr>
                <w:lang w:val="en-CA"/>
              </w:rPr>
              <w:t>PAULO GOUVEIA, a.j.t.a.q.</w:t>
            </w:r>
            <w:bookmarkEnd w:id="99"/>
          </w:p>
          <w:p w14:paraId="29F26E79" w14:textId="77777777" w:rsidR="00093AEF" w:rsidRPr="009C1544" w:rsidRDefault="0086584C" w:rsidP="00093AEF">
            <w:pPr>
              <w:pStyle w:val="00NormalDecision"/>
              <w:rPr>
                <w:lang w:val="fr-CA"/>
              </w:rPr>
            </w:pPr>
            <w:bookmarkStart w:id="100" w:name="lt_pId239"/>
            <w:r w:rsidRPr="009C1544">
              <w:rPr>
                <w:lang w:val="fr-CA"/>
              </w:rPr>
              <w:t>Alternate Chairperson</w:t>
            </w:r>
            <w:bookmarkEnd w:id="100"/>
          </w:p>
        </w:tc>
      </w:tr>
    </w:tbl>
    <w:p w14:paraId="077FBBDA" w14:textId="77777777" w:rsidR="00093AEF" w:rsidRPr="009C1544" w:rsidRDefault="00DE2667" w:rsidP="00093AEF">
      <w:pPr>
        <w:pStyle w:val="00NormalDecision"/>
        <w:rPr>
          <w:lang w:val="fr-CA"/>
        </w:rPr>
        <w:sectPr w:rsidR="00093AEF" w:rsidRPr="009C1544">
          <w:type w:val="continuous"/>
          <w:pgSz w:w="12240" w:h="15840"/>
          <w:pgMar w:top="2837" w:right="1080" w:bottom="2016" w:left="1440" w:header="1699" w:footer="720" w:gutter="0"/>
          <w:cols w:space="720"/>
        </w:sectPr>
      </w:pPr>
    </w:p>
    <w:p w14:paraId="4A564474" w14:textId="77777777" w:rsidR="00093AEF" w:rsidRPr="009C1544" w:rsidRDefault="00DE2667" w:rsidP="00093AEF">
      <w:pPr>
        <w:pStyle w:val="00NormalDecision"/>
        <w:rPr>
          <w:lang w:val="fr-CA"/>
        </w:rPr>
      </w:pPr>
    </w:p>
    <w:p w14:paraId="6A8D0110" w14:textId="77777777" w:rsidR="00093AEF" w:rsidRPr="009C1544" w:rsidRDefault="0086584C" w:rsidP="00093AEF">
      <w:pPr>
        <w:pStyle w:val="00NormalDecision"/>
        <w:rPr>
          <w:lang w:val="fr-CA"/>
        </w:rPr>
      </w:pPr>
      <w:bookmarkStart w:id="101" w:name="lt_pId240"/>
      <w:r w:rsidRPr="009C1544">
        <w:rPr>
          <w:lang w:val="fr-CA"/>
        </w:rPr>
        <w:t>Legal Department of CIUSSS A</w:t>
      </w:r>
      <w:bookmarkEnd w:id="101"/>
    </w:p>
    <w:p w14:paraId="3E6EA45F" w14:textId="08D9D30F" w:rsidR="00093AEF" w:rsidRPr="0043390F" w:rsidRDefault="0086584C" w:rsidP="00093AEF">
      <w:pPr>
        <w:pStyle w:val="00NormalDecision"/>
        <w:rPr>
          <w:lang w:val="fr-CA"/>
        </w:rPr>
      </w:pPr>
      <w:bookmarkStart w:id="102" w:name="lt_pId241"/>
      <w:r w:rsidRPr="009C1544">
        <w:rPr>
          <w:lang w:val="fr-CA"/>
        </w:rPr>
        <w:t>M</w:t>
      </w:r>
      <w:r w:rsidR="00A144DB" w:rsidRPr="009C1544">
        <w:rPr>
          <w:lang w:val="fr-CA"/>
        </w:rPr>
        <w:t>tr</w:t>
      </w:r>
      <w:r w:rsidRPr="009C1544">
        <w:rPr>
          <w:lang w:val="fr-CA"/>
        </w:rPr>
        <w:t>e Carl Dutrisac</w:t>
      </w:r>
      <w:bookmarkEnd w:id="102"/>
    </w:p>
    <w:p w14:paraId="35A49705" w14:textId="77777777" w:rsidR="00093AEF" w:rsidRPr="009C1544" w:rsidRDefault="0086584C" w:rsidP="00093AEF">
      <w:pPr>
        <w:pStyle w:val="00NormalDecision"/>
        <w:rPr>
          <w:lang w:val="en-CA"/>
        </w:rPr>
      </w:pPr>
      <w:bookmarkStart w:id="103" w:name="lt_pId242"/>
      <w:r w:rsidRPr="009C1544">
        <w:rPr>
          <w:lang w:val="en-CA"/>
        </w:rPr>
        <w:t>Counsel for the person in charge of the hospital</w:t>
      </w:r>
      <w:bookmarkEnd w:id="103"/>
    </w:p>
    <w:p w14:paraId="064271BD" w14:textId="77777777" w:rsidR="00093AEF" w:rsidRPr="009C1544" w:rsidRDefault="00DE2667" w:rsidP="00093AEF">
      <w:pPr>
        <w:pStyle w:val="00NormalDecision"/>
        <w:rPr>
          <w:lang w:val="en-CA"/>
        </w:rPr>
      </w:pPr>
    </w:p>
    <w:p w14:paraId="3E1207BF" w14:textId="77777777" w:rsidR="00093AEF" w:rsidRPr="009C1544" w:rsidRDefault="0086584C" w:rsidP="00093AEF">
      <w:pPr>
        <w:pStyle w:val="00NormalDecision"/>
        <w:rPr>
          <w:lang w:val="en-CA"/>
        </w:rPr>
      </w:pPr>
      <w:bookmarkStart w:id="104" w:name="lt_pId243"/>
      <w:r w:rsidRPr="009C1544">
        <w:rPr>
          <w:lang w:val="en-CA"/>
        </w:rPr>
        <w:t>Community Legal Centre A</w:t>
      </w:r>
      <w:bookmarkEnd w:id="104"/>
    </w:p>
    <w:p w14:paraId="54C00B0B" w14:textId="42FE5FB5" w:rsidR="00093AEF" w:rsidRPr="009C1544" w:rsidRDefault="0086584C" w:rsidP="00093AEF">
      <w:pPr>
        <w:pStyle w:val="00NormalDecision"/>
        <w:rPr>
          <w:lang w:val="en-CA"/>
        </w:rPr>
      </w:pPr>
      <w:bookmarkStart w:id="105" w:name="lt_pId244"/>
      <w:r w:rsidRPr="009C1544">
        <w:rPr>
          <w:lang w:val="en-CA"/>
        </w:rPr>
        <w:t>M</w:t>
      </w:r>
      <w:r w:rsidR="00A144DB" w:rsidRPr="009C1544">
        <w:rPr>
          <w:lang w:val="en-CA"/>
        </w:rPr>
        <w:t>tr</w:t>
      </w:r>
      <w:r w:rsidRPr="009C1544">
        <w:rPr>
          <w:lang w:val="en-CA"/>
        </w:rPr>
        <w:t>e Michèle Lamarre-Leroux</w:t>
      </w:r>
      <w:bookmarkEnd w:id="105"/>
    </w:p>
    <w:p w14:paraId="66748AF9" w14:textId="49EC47F2" w:rsidR="00093AEF" w:rsidRPr="002B1833" w:rsidRDefault="00A144DB" w:rsidP="00093AEF">
      <w:pPr>
        <w:pStyle w:val="00NormalDecision"/>
        <w:rPr>
          <w:lang w:val="en-CA"/>
        </w:rPr>
      </w:pPr>
      <w:r w:rsidRPr="009C1544">
        <w:rPr>
          <w:lang w:val="en-CA"/>
        </w:rPr>
        <w:t>Counsel for the accused</w:t>
      </w:r>
    </w:p>
    <w:p w14:paraId="20045477" w14:textId="77777777" w:rsidR="00093AEF" w:rsidRPr="002B1833" w:rsidRDefault="00DE2667" w:rsidP="00093AEF">
      <w:pPr>
        <w:pStyle w:val="00NormalDecision"/>
        <w:rPr>
          <w:lang w:val="en-CA"/>
        </w:rPr>
        <w:sectPr w:rsidR="00093AEF" w:rsidRPr="002B1833">
          <w:type w:val="continuous"/>
          <w:pgSz w:w="12240" w:h="15840"/>
          <w:pgMar w:top="2837" w:right="1080" w:bottom="2016" w:left="1440" w:header="1699" w:footer="720" w:gutter="0"/>
          <w:cols w:space="720"/>
        </w:sectPr>
      </w:pPr>
    </w:p>
    <w:p w14:paraId="6129232F" w14:textId="77777777" w:rsidR="00C72E3E" w:rsidRPr="002B1833" w:rsidRDefault="00DE2667" w:rsidP="00C72E3E">
      <w:pPr>
        <w:pStyle w:val="00NormalDecision"/>
        <w:rPr>
          <w:lang w:val="en-CA"/>
        </w:rPr>
      </w:pPr>
      <w:bookmarkStart w:id="106" w:name="FinDocument"/>
      <w:bookmarkEnd w:id="106"/>
    </w:p>
    <w:sectPr w:rsidR="00C72E3E" w:rsidRPr="002B1833">
      <w:type w:val="continuous"/>
      <w:pgSz w:w="12240" w:h="15840"/>
      <w:pgMar w:top="2837" w:right="1080" w:bottom="2016" w:left="1440" w:header="1699"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368B9" w14:textId="77777777" w:rsidR="00CB281A" w:rsidRDefault="00CB281A">
      <w:r>
        <w:separator/>
      </w:r>
    </w:p>
  </w:endnote>
  <w:endnote w:type="continuationSeparator" w:id="0">
    <w:p w14:paraId="4DFA7B25" w14:textId="77777777" w:rsidR="00CB281A" w:rsidRDefault="00CB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DAA35" w14:textId="77777777" w:rsidR="00CB281A" w:rsidRDefault="00CB281A">
      <w:r>
        <w:separator/>
      </w:r>
    </w:p>
  </w:footnote>
  <w:footnote w:type="continuationSeparator" w:id="0">
    <w:p w14:paraId="37F0D931" w14:textId="77777777" w:rsidR="00CB281A" w:rsidRDefault="00CB281A">
      <w:r>
        <w:continuationSeparator/>
      </w:r>
    </w:p>
  </w:footnote>
  <w:footnote w:id="1">
    <w:p w14:paraId="0DE1AC71" w14:textId="77777777" w:rsidR="0047320A" w:rsidRPr="002B1833" w:rsidRDefault="0047320A" w:rsidP="0047320A">
      <w:pPr>
        <w:pStyle w:val="Notedebasdepage"/>
      </w:pPr>
      <w:r w:rsidRPr="0043390F">
        <w:rPr>
          <w:rStyle w:val="Appelnotedebasdep"/>
        </w:rPr>
        <w:footnoteRef/>
      </w:r>
      <w:r w:rsidRPr="002B1833">
        <w:t xml:space="preserve"> </w:t>
      </w:r>
      <w:bookmarkStart w:id="38" w:name="lt_pId246"/>
      <w:r w:rsidRPr="002B1833">
        <w:t>1985, c. C-46.</w:t>
      </w:r>
      <w:bookmarkEnd w:id="38"/>
    </w:p>
  </w:footnote>
  <w:footnote w:id="2">
    <w:p w14:paraId="25A12ECA" w14:textId="2ADB5B79" w:rsidR="00D95B2E" w:rsidRPr="002B1833" w:rsidRDefault="0086584C" w:rsidP="000F29CA">
      <w:pPr>
        <w:pStyle w:val="Notedebasdepage"/>
        <w:jc w:val="both"/>
        <w:rPr>
          <w:lang w:val="en-CA"/>
        </w:rPr>
      </w:pPr>
      <w:r w:rsidRPr="0043390F">
        <w:rPr>
          <w:rStyle w:val="Appelnotedebasdep"/>
        </w:rPr>
        <w:footnoteRef/>
      </w:r>
      <w:r w:rsidRPr="00412ED6">
        <w:t xml:space="preserve">    </w:t>
      </w:r>
      <w:bookmarkStart w:id="74" w:name="lt_pId247"/>
      <w:r w:rsidRPr="00412ED6">
        <w:t>1992 C</w:t>
      </w:r>
      <w:r w:rsidR="00412ED6" w:rsidRPr="00412ED6">
        <w:t>anL</w:t>
      </w:r>
      <w:r w:rsidRPr="00412ED6">
        <w:t>II 7412 (O</w:t>
      </w:r>
      <w:r w:rsidR="00412ED6" w:rsidRPr="00412ED6">
        <w:t>nt.</w:t>
      </w:r>
      <w:r w:rsidRPr="00412ED6">
        <w:t xml:space="preserve"> C.A.) </w:t>
      </w:r>
      <w:r w:rsidRPr="002B1833">
        <w:rPr>
          <w:lang w:val="en-CA"/>
        </w:rPr>
        <w:t>[1992] O.J. no 2394 (ONT C.A.).</w:t>
      </w:r>
      <w:bookmarkEnd w:id="74"/>
    </w:p>
  </w:footnote>
  <w:footnote w:id="3">
    <w:p w14:paraId="338CB6A7" w14:textId="00E773E9" w:rsidR="00D95B2E" w:rsidRPr="0043390F" w:rsidRDefault="0086584C" w:rsidP="000F29CA">
      <w:pPr>
        <w:pStyle w:val="Notedebasdepage"/>
        <w:jc w:val="both"/>
        <w:rPr>
          <w:lang w:val="en-CA"/>
        </w:rPr>
      </w:pPr>
      <w:r w:rsidRPr="0043390F">
        <w:rPr>
          <w:rStyle w:val="Appelnotedebasdep"/>
        </w:rPr>
        <w:footnoteRef/>
      </w:r>
      <w:r w:rsidRPr="0043390F">
        <w:rPr>
          <w:lang w:val="en-CA"/>
        </w:rPr>
        <w:t xml:space="preserve">    </w:t>
      </w:r>
      <w:bookmarkStart w:id="76" w:name="lt_pId248"/>
      <w:r w:rsidR="00412ED6">
        <w:rPr>
          <w:i/>
          <w:iCs/>
          <w:lang w:val="en-CA"/>
        </w:rPr>
        <w:t>R v Morrissey</w:t>
      </w:r>
      <w:r w:rsidRPr="0043390F">
        <w:rPr>
          <w:lang w:val="en-CA"/>
        </w:rPr>
        <w:t>, [2007] O.J. No. 4340.</w:t>
      </w:r>
      <w:bookmarkEnd w:id="76"/>
    </w:p>
  </w:footnote>
  <w:footnote w:id="4">
    <w:p w14:paraId="3847F225" w14:textId="00468C46" w:rsidR="00D95B2E" w:rsidRPr="00303864" w:rsidRDefault="0086584C" w:rsidP="000F29CA">
      <w:pPr>
        <w:pStyle w:val="Notedebasdepage"/>
        <w:jc w:val="both"/>
        <w:rPr>
          <w:lang w:val="en-CA"/>
        </w:rPr>
      </w:pPr>
      <w:r w:rsidRPr="0043390F">
        <w:rPr>
          <w:rStyle w:val="Appelnotedebasdep"/>
        </w:rPr>
        <w:footnoteRef/>
      </w:r>
      <w:r w:rsidRPr="00303864">
        <w:rPr>
          <w:lang w:val="en-CA"/>
        </w:rPr>
        <w:t xml:space="preserve">    </w:t>
      </w:r>
      <w:bookmarkStart w:id="78" w:name="lt_pId249"/>
      <w:proofErr w:type="gramStart"/>
      <w:r w:rsidR="00303864" w:rsidRPr="00303864">
        <w:rPr>
          <w:lang w:val="en-CA"/>
        </w:rPr>
        <w:t>2011</w:t>
      </w:r>
      <w:proofErr w:type="gramEnd"/>
      <w:r w:rsidR="00303864" w:rsidRPr="00303864">
        <w:rPr>
          <w:lang w:val="en-CA"/>
        </w:rPr>
        <w:t xml:space="preserve"> ONCJ </w:t>
      </w:r>
      <w:r w:rsidR="00303864" w:rsidRPr="00824CD9">
        <w:rPr>
          <w:lang w:val="en-CA"/>
        </w:rPr>
        <w:t>209</w:t>
      </w:r>
      <w:r w:rsidRPr="00824CD9">
        <w:rPr>
          <w:lang w:val="en-CA"/>
        </w:rPr>
        <w:t xml:space="preserve"> (</w:t>
      </w:r>
      <w:r w:rsidR="00303864" w:rsidRPr="00824CD9">
        <w:rPr>
          <w:lang w:val="en-CA"/>
        </w:rPr>
        <w:t>Chief Justice of Ontario</w:t>
      </w:r>
      <w:r w:rsidRPr="00824CD9">
        <w:rPr>
          <w:lang w:val="en-CA"/>
        </w:rPr>
        <w:t>).</w:t>
      </w:r>
      <w:bookmarkEnd w:id="78"/>
    </w:p>
  </w:footnote>
  <w:footnote w:id="5">
    <w:p w14:paraId="3B21483D" w14:textId="18155409" w:rsidR="00D95B2E" w:rsidRPr="002B1833" w:rsidRDefault="0086584C" w:rsidP="000F29CA">
      <w:pPr>
        <w:pStyle w:val="Notedebasdepage"/>
        <w:jc w:val="both"/>
        <w:rPr>
          <w:lang w:val="en-CA"/>
        </w:rPr>
      </w:pPr>
      <w:r w:rsidRPr="0043390F">
        <w:rPr>
          <w:rStyle w:val="Appelnotedebasdep"/>
        </w:rPr>
        <w:footnoteRef/>
      </w:r>
      <w:r w:rsidRPr="002B1833">
        <w:rPr>
          <w:lang w:val="en-CA"/>
        </w:rPr>
        <w:t xml:space="preserve"> </w:t>
      </w:r>
      <w:bookmarkStart w:id="84" w:name="lt_pId250"/>
      <w:r w:rsidR="004935F2">
        <w:rPr>
          <w:lang w:val="en-CA"/>
        </w:rPr>
        <w:t xml:space="preserve">   </w:t>
      </w:r>
      <w:r w:rsidRPr="002B1833">
        <w:rPr>
          <w:lang w:val="en-CA"/>
        </w:rPr>
        <w:t xml:space="preserve">[1994] </w:t>
      </w:r>
      <w:proofErr w:type="gramStart"/>
      <w:r w:rsidRPr="002B1833">
        <w:rPr>
          <w:lang w:val="en-CA"/>
        </w:rPr>
        <w:t>2</w:t>
      </w:r>
      <w:proofErr w:type="gramEnd"/>
      <w:r w:rsidRPr="002B1833">
        <w:rPr>
          <w:lang w:val="en-CA"/>
        </w:rPr>
        <w:t xml:space="preserve"> S.C.R.</w:t>
      </w:r>
      <w:bookmarkEnd w:id="84"/>
      <w:r w:rsidRPr="002B1833">
        <w:rPr>
          <w:lang w:val="en-CA"/>
        </w:rPr>
        <w:t xml:space="preserve"> 914.</w:t>
      </w:r>
    </w:p>
  </w:footnote>
  <w:footnote w:id="6">
    <w:p w14:paraId="06DD1AFD" w14:textId="506F1A35" w:rsidR="00D95B2E" w:rsidRPr="00662AD8" w:rsidRDefault="0086584C" w:rsidP="000F29CA">
      <w:pPr>
        <w:pStyle w:val="Notedebasdepage"/>
        <w:jc w:val="both"/>
        <w:rPr>
          <w:lang w:val="en-CA"/>
        </w:rPr>
      </w:pPr>
      <w:r w:rsidRPr="0043390F">
        <w:rPr>
          <w:rStyle w:val="Appelnotedebasdep"/>
        </w:rPr>
        <w:footnoteRef/>
      </w:r>
      <w:r w:rsidRPr="00662AD8">
        <w:rPr>
          <w:lang w:val="en-CA"/>
        </w:rPr>
        <w:t xml:space="preserve"> </w:t>
      </w:r>
      <w:bookmarkStart w:id="86" w:name="lt_pId252"/>
      <w:r w:rsidR="007D7E25">
        <w:rPr>
          <w:i/>
          <w:iCs/>
          <w:lang w:val="en-CA"/>
        </w:rPr>
        <w:t>Justin Milette v</w:t>
      </w:r>
      <w:r w:rsidR="00D81772">
        <w:rPr>
          <w:i/>
          <w:iCs/>
          <w:lang w:val="en-CA"/>
        </w:rPr>
        <w:t>.</w:t>
      </w:r>
      <w:r w:rsidR="007D7E25">
        <w:rPr>
          <w:i/>
          <w:iCs/>
          <w:lang w:val="en-CA"/>
        </w:rPr>
        <w:t xml:space="preserve"> Her Majesty the Queen</w:t>
      </w:r>
      <w:r w:rsidRPr="00662AD8">
        <w:rPr>
          <w:lang w:val="en-CA"/>
        </w:rPr>
        <w:t>, 2019 QCCA 1755 (CanLII)</w:t>
      </w:r>
      <w:r w:rsidR="00EA0CE7" w:rsidRPr="00662AD8">
        <w:rPr>
          <w:lang w:val="en-CA"/>
        </w:rPr>
        <w:t>, leave to appeal refused</w:t>
      </w:r>
      <w:r w:rsidR="00D81772">
        <w:rPr>
          <w:lang w:val="en-CA"/>
        </w:rPr>
        <w:t>,</w:t>
      </w:r>
      <w:r w:rsidRPr="00662AD8">
        <w:rPr>
          <w:lang w:val="en-CA"/>
        </w:rPr>
        <w:t xml:space="preserve"> 2020 CanLII 30828 (</w:t>
      </w:r>
      <w:r w:rsidR="001711CA">
        <w:rPr>
          <w:lang w:val="en-CA"/>
        </w:rPr>
        <w:t>SCC</w:t>
      </w:r>
      <w:r w:rsidRPr="00662AD8">
        <w:rPr>
          <w:lang w:val="en-CA"/>
        </w:rPr>
        <w:t>).</w:t>
      </w:r>
      <w:bookmarkEnd w:id="86"/>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DBF5" w14:textId="77777777" w:rsidR="00D95B2E" w:rsidRDefault="000B2606">
    <w:pPr>
      <w:pStyle w:val="09Entete"/>
      <w:tabs>
        <w:tab w:val="clear" w:pos="8222"/>
        <w:tab w:val="right" w:pos="10065"/>
      </w:tabs>
    </w:pPr>
    <w:fldSimple w:instr=" DOCPROPERTY &quot;GI_Entete&quot; \* MERGEFORMAT ">
      <w:r w:rsidR="0086584C">
        <w:t>Dossier : SAS-Q-249109-2005</w:t>
      </w:r>
    </w:fldSimple>
    <w:r w:rsidR="0086584C">
      <w:tab/>
    </w:r>
    <w:bookmarkStart w:id="30" w:name="lt_pId000"/>
    <w:r w:rsidR="0086584C">
      <w:rPr>
        <w:highlight w:val="yellow"/>
      </w:rPr>
      <w:t>Page :</w:t>
    </w:r>
    <w:bookmarkEnd w:id="30"/>
    <w:r w:rsidR="0086584C">
      <w:t xml:space="preserve"> </w:t>
    </w:r>
    <w:r w:rsidR="0086584C">
      <w:rPr>
        <w:rStyle w:val="Numrodepage"/>
      </w:rPr>
      <w:fldChar w:fldCharType="begin"/>
    </w:r>
    <w:r w:rsidR="0086584C">
      <w:rPr>
        <w:rStyle w:val="Numrodepage"/>
      </w:rPr>
      <w:instrText xml:space="preserve"> PAGE </w:instrText>
    </w:r>
    <w:r w:rsidR="0086584C">
      <w:rPr>
        <w:rStyle w:val="Numrodepage"/>
      </w:rPr>
      <w:fldChar w:fldCharType="separate"/>
    </w:r>
    <w:r w:rsidR="0086584C">
      <w:rPr>
        <w:rStyle w:val="Numrodepage"/>
      </w:rPr>
      <w:t>2</w:t>
    </w:r>
    <w:r w:rsidR="0086584C">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7E8C" w14:textId="77777777" w:rsidR="00D95B2E" w:rsidRPr="00093AEF" w:rsidRDefault="0086584C" w:rsidP="00093AEF">
    <w:pPr>
      <w:pStyle w:val="01Tribunal"/>
    </w:pPr>
    <w:bookmarkStart w:id="31" w:name="lt_pId001"/>
    <w:r w:rsidRPr="00002C36">
      <w:t>Tribunal administratif du Québec</w:t>
    </w:r>
    <w:bookmarkEnd w:id="3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8202" w14:textId="1C402FB1" w:rsidR="00093AEF" w:rsidRDefault="00B44E83">
    <w:pPr>
      <w:pStyle w:val="09Entete"/>
      <w:tabs>
        <w:tab w:val="clear" w:pos="8222"/>
        <w:tab w:val="right" w:pos="10065"/>
      </w:tabs>
    </w:pPr>
    <w:r w:rsidRPr="00002C36">
      <w:t>File</w:t>
    </w:r>
    <w:r w:rsidR="00DE2667">
      <w:fldChar w:fldCharType="begin"/>
    </w:r>
    <w:r w:rsidR="00DE2667">
      <w:instrText xml:space="preserve"> DOCPROPERTY "GI_Entete" \* MERGEFORMAT </w:instrText>
    </w:r>
    <w:r w:rsidR="00DE2667">
      <w:fldChar w:fldCharType="separate"/>
    </w:r>
    <w:r w:rsidR="0086584C" w:rsidRPr="00002C36">
      <w:t>: SAS-Q-249109-2005</w:t>
    </w:r>
    <w:r w:rsidR="00DE2667">
      <w:fldChar w:fldCharType="end"/>
    </w:r>
    <w:r w:rsidR="0086584C" w:rsidRPr="00002C36">
      <w:tab/>
    </w:r>
    <w:bookmarkStart w:id="33" w:name="lt_pId018"/>
    <w:r w:rsidR="0086584C" w:rsidRPr="00002C36">
      <w:t>Page:</w:t>
    </w:r>
    <w:bookmarkEnd w:id="33"/>
    <w:r w:rsidR="0086584C" w:rsidRPr="00002C36">
      <w:t xml:space="preserve"> </w:t>
    </w:r>
    <w:r w:rsidR="0086584C" w:rsidRPr="00002C36">
      <w:rPr>
        <w:rStyle w:val="Numrodepage"/>
      </w:rPr>
      <w:fldChar w:fldCharType="begin"/>
    </w:r>
    <w:r w:rsidR="0086584C" w:rsidRPr="00002C36">
      <w:rPr>
        <w:rStyle w:val="Numrodepage"/>
      </w:rPr>
      <w:instrText xml:space="preserve"> PAGE </w:instrText>
    </w:r>
    <w:r w:rsidR="0086584C" w:rsidRPr="00002C36">
      <w:rPr>
        <w:rStyle w:val="Numrodepage"/>
      </w:rPr>
      <w:fldChar w:fldCharType="separate"/>
    </w:r>
    <w:r w:rsidR="00DE2667">
      <w:rPr>
        <w:rStyle w:val="Numrodepage"/>
      </w:rPr>
      <w:t>2</w:t>
    </w:r>
    <w:r w:rsidR="0086584C" w:rsidRPr="00002C36">
      <w:rPr>
        <w:rStyle w:val="Numrodepag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398B" w14:textId="77777777" w:rsidR="00D95B2E" w:rsidRDefault="00DE2667">
    <w:pPr>
      <w:pStyle w:val="09Ente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A63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1AD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E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E65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CC1A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662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E871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BA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543E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87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25AE1"/>
    <w:multiLevelType w:val="singleLevel"/>
    <w:tmpl w:val="CDEC92EC"/>
    <w:lvl w:ilvl="0">
      <w:start w:val="1"/>
      <w:numFmt w:val="decimal"/>
      <w:lvlText w:val="[%1]"/>
      <w:lvlJc w:val="left"/>
      <w:pPr>
        <w:tabs>
          <w:tab w:val="num" w:pos="851"/>
        </w:tabs>
        <w:ind w:left="851" w:hanging="851"/>
      </w:pPr>
      <w:rPr>
        <w:rFonts w:ascii="Arial" w:hAnsi="Arial" w:hint="default"/>
        <w:b w:val="0"/>
        <w:i w:val="0"/>
        <w:sz w:val="24"/>
      </w:rPr>
    </w:lvl>
  </w:abstractNum>
  <w:abstractNum w:abstractNumId="11" w15:restartNumberingAfterBreak="0">
    <w:nsid w:val="11757194"/>
    <w:multiLevelType w:val="hybridMultilevel"/>
    <w:tmpl w:val="F2B49BE0"/>
    <w:lvl w:ilvl="0" w:tplc="ABEAA030">
      <w:start w:val="1"/>
      <w:numFmt w:val="bullet"/>
      <w:pStyle w:val="Dispositif"/>
      <w:lvlText w:val=""/>
      <w:lvlJc w:val="left"/>
      <w:pPr>
        <w:tabs>
          <w:tab w:val="num" w:pos="1040"/>
        </w:tabs>
        <w:ind w:left="1021" w:hanging="341"/>
      </w:pPr>
      <w:rPr>
        <w:rFonts w:ascii="Symbol" w:hAnsi="Symbol" w:hint="default"/>
      </w:rPr>
    </w:lvl>
    <w:lvl w:ilvl="1" w:tplc="E36A0270" w:tentative="1">
      <w:start w:val="1"/>
      <w:numFmt w:val="bullet"/>
      <w:lvlText w:val="o"/>
      <w:lvlJc w:val="left"/>
      <w:pPr>
        <w:tabs>
          <w:tab w:val="num" w:pos="1440"/>
        </w:tabs>
        <w:ind w:left="1440" w:hanging="360"/>
      </w:pPr>
      <w:rPr>
        <w:rFonts w:ascii="Courier New" w:hAnsi="Courier New" w:hint="default"/>
      </w:rPr>
    </w:lvl>
    <w:lvl w:ilvl="2" w:tplc="01A8C390" w:tentative="1">
      <w:start w:val="1"/>
      <w:numFmt w:val="bullet"/>
      <w:lvlText w:val=""/>
      <w:lvlJc w:val="left"/>
      <w:pPr>
        <w:tabs>
          <w:tab w:val="num" w:pos="2160"/>
        </w:tabs>
        <w:ind w:left="2160" w:hanging="360"/>
      </w:pPr>
      <w:rPr>
        <w:rFonts w:ascii="Wingdings" w:hAnsi="Wingdings" w:hint="default"/>
      </w:rPr>
    </w:lvl>
    <w:lvl w:ilvl="3" w:tplc="0EEA788A" w:tentative="1">
      <w:start w:val="1"/>
      <w:numFmt w:val="bullet"/>
      <w:lvlText w:val=""/>
      <w:lvlJc w:val="left"/>
      <w:pPr>
        <w:tabs>
          <w:tab w:val="num" w:pos="2880"/>
        </w:tabs>
        <w:ind w:left="2880" w:hanging="360"/>
      </w:pPr>
      <w:rPr>
        <w:rFonts w:ascii="Symbol" w:hAnsi="Symbol" w:hint="default"/>
      </w:rPr>
    </w:lvl>
    <w:lvl w:ilvl="4" w:tplc="AF7EF6D4" w:tentative="1">
      <w:start w:val="1"/>
      <w:numFmt w:val="bullet"/>
      <w:lvlText w:val="o"/>
      <w:lvlJc w:val="left"/>
      <w:pPr>
        <w:tabs>
          <w:tab w:val="num" w:pos="3600"/>
        </w:tabs>
        <w:ind w:left="3600" w:hanging="360"/>
      </w:pPr>
      <w:rPr>
        <w:rFonts w:ascii="Courier New" w:hAnsi="Courier New" w:hint="default"/>
      </w:rPr>
    </w:lvl>
    <w:lvl w:ilvl="5" w:tplc="E132F1C6" w:tentative="1">
      <w:start w:val="1"/>
      <w:numFmt w:val="bullet"/>
      <w:lvlText w:val=""/>
      <w:lvlJc w:val="left"/>
      <w:pPr>
        <w:tabs>
          <w:tab w:val="num" w:pos="4320"/>
        </w:tabs>
        <w:ind w:left="4320" w:hanging="360"/>
      </w:pPr>
      <w:rPr>
        <w:rFonts w:ascii="Wingdings" w:hAnsi="Wingdings" w:hint="default"/>
      </w:rPr>
    </w:lvl>
    <w:lvl w:ilvl="6" w:tplc="CBE49CC2" w:tentative="1">
      <w:start w:val="1"/>
      <w:numFmt w:val="bullet"/>
      <w:lvlText w:val=""/>
      <w:lvlJc w:val="left"/>
      <w:pPr>
        <w:tabs>
          <w:tab w:val="num" w:pos="5040"/>
        </w:tabs>
        <w:ind w:left="5040" w:hanging="360"/>
      </w:pPr>
      <w:rPr>
        <w:rFonts w:ascii="Symbol" w:hAnsi="Symbol" w:hint="default"/>
      </w:rPr>
    </w:lvl>
    <w:lvl w:ilvl="7" w:tplc="4ADC4728" w:tentative="1">
      <w:start w:val="1"/>
      <w:numFmt w:val="bullet"/>
      <w:lvlText w:val="o"/>
      <w:lvlJc w:val="left"/>
      <w:pPr>
        <w:tabs>
          <w:tab w:val="num" w:pos="5760"/>
        </w:tabs>
        <w:ind w:left="5760" w:hanging="360"/>
      </w:pPr>
      <w:rPr>
        <w:rFonts w:ascii="Courier New" w:hAnsi="Courier New" w:hint="default"/>
      </w:rPr>
    </w:lvl>
    <w:lvl w:ilvl="8" w:tplc="546C3E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73163"/>
    <w:multiLevelType w:val="hybridMultilevel"/>
    <w:tmpl w:val="836C406A"/>
    <w:lvl w:ilvl="0" w:tplc="405462C4">
      <w:start w:val="1"/>
      <w:numFmt w:val="bullet"/>
      <w:pStyle w:val="F02-Texte-Puce"/>
      <w:lvlText w:val=""/>
      <w:lvlJc w:val="left"/>
      <w:pPr>
        <w:tabs>
          <w:tab w:val="num" w:pos="2074"/>
        </w:tabs>
        <w:ind w:left="2074" w:hanging="706"/>
      </w:pPr>
      <w:rPr>
        <w:rFonts w:ascii="Symbol" w:hAnsi="Symbol" w:hint="default"/>
        <w:sz w:val="16"/>
      </w:rPr>
    </w:lvl>
    <w:lvl w:ilvl="1" w:tplc="988C9E46" w:tentative="1">
      <w:start w:val="1"/>
      <w:numFmt w:val="bullet"/>
      <w:lvlText w:val="o"/>
      <w:lvlJc w:val="left"/>
      <w:pPr>
        <w:tabs>
          <w:tab w:val="num" w:pos="1440"/>
        </w:tabs>
        <w:ind w:left="1440" w:hanging="360"/>
      </w:pPr>
      <w:rPr>
        <w:rFonts w:ascii="Courier New" w:hAnsi="Courier New" w:hint="default"/>
      </w:rPr>
    </w:lvl>
    <w:lvl w:ilvl="2" w:tplc="722EDF12" w:tentative="1">
      <w:start w:val="1"/>
      <w:numFmt w:val="bullet"/>
      <w:lvlText w:val=""/>
      <w:lvlJc w:val="left"/>
      <w:pPr>
        <w:tabs>
          <w:tab w:val="num" w:pos="2160"/>
        </w:tabs>
        <w:ind w:left="2160" w:hanging="360"/>
      </w:pPr>
      <w:rPr>
        <w:rFonts w:ascii="Wingdings" w:hAnsi="Wingdings" w:hint="default"/>
      </w:rPr>
    </w:lvl>
    <w:lvl w:ilvl="3" w:tplc="3F260914" w:tentative="1">
      <w:start w:val="1"/>
      <w:numFmt w:val="bullet"/>
      <w:lvlText w:val=""/>
      <w:lvlJc w:val="left"/>
      <w:pPr>
        <w:tabs>
          <w:tab w:val="num" w:pos="2880"/>
        </w:tabs>
        <w:ind w:left="2880" w:hanging="360"/>
      </w:pPr>
      <w:rPr>
        <w:rFonts w:ascii="Symbol" w:hAnsi="Symbol" w:hint="default"/>
      </w:rPr>
    </w:lvl>
    <w:lvl w:ilvl="4" w:tplc="87DC795A" w:tentative="1">
      <w:start w:val="1"/>
      <w:numFmt w:val="bullet"/>
      <w:lvlText w:val="o"/>
      <w:lvlJc w:val="left"/>
      <w:pPr>
        <w:tabs>
          <w:tab w:val="num" w:pos="3600"/>
        </w:tabs>
        <w:ind w:left="3600" w:hanging="360"/>
      </w:pPr>
      <w:rPr>
        <w:rFonts w:ascii="Courier New" w:hAnsi="Courier New" w:hint="default"/>
      </w:rPr>
    </w:lvl>
    <w:lvl w:ilvl="5" w:tplc="F44247F6" w:tentative="1">
      <w:start w:val="1"/>
      <w:numFmt w:val="bullet"/>
      <w:lvlText w:val=""/>
      <w:lvlJc w:val="left"/>
      <w:pPr>
        <w:tabs>
          <w:tab w:val="num" w:pos="4320"/>
        </w:tabs>
        <w:ind w:left="4320" w:hanging="360"/>
      </w:pPr>
      <w:rPr>
        <w:rFonts w:ascii="Wingdings" w:hAnsi="Wingdings" w:hint="default"/>
      </w:rPr>
    </w:lvl>
    <w:lvl w:ilvl="6" w:tplc="0A305930" w:tentative="1">
      <w:start w:val="1"/>
      <w:numFmt w:val="bullet"/>
      <w:lvlText w:val=""/>
      <w:lvlJc w:val="left"/>
      <w:pPr>
        <w:tabs>
          <w:tab w:val="num" w:pos="5040"/>
        </w:tabs>
        <w:ind w:left="5040" w:hanging="360"/>
      </w:pPr>
      <w:rPr>
        <w:rFonts w:ascii="Symbol" w:hAnsi="Symbol" w:hint="default"/>
      </w:rPr>
    </w:lvl>
    <w:lvl w:ilvl="7" w:tplc="14DCA9EE" w:tentative="1">
      <w:start w:val="1"/>
      <w:numFmt w:val="bullet"/>
      <w:lvlText w:val="o"/>
      <w:lvlJc w:val="left"/>
      <w:pPr>
        <w:tabs>
          <w:tab w:val="num" w:pos="5760"/>
        </w:tabs>
        <w:ind w:left="5760" w:hanging="360"/>
      </w:pPr>
      <w:rPr>
        <w:rFonts w:ascii="Courier New" w:hAnsi="Courier New" w:hint="default"/>
      </w:rPr>
    </w:lvl>
    <w:lvl w:ilvl="8" w:tplc="7D6CF55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82E1A"/>
    <w:multiLevelType w:val="hybridMultilevel"/>
    <w:tmpl w:val="A0A6ACB4"/>
    <w:lvl w:ilvl="0" w:tplc="B95EE478">
      <w:start w:val="1"/>
      <w:numFmt w:val="decimal"/>
      <w:pStyle w:val="Considerant"/>
      <w:lvlText w:val="%1."/>
      <w:lvlJc w:val="left"/>
      <w:pPr>
        <w:tabs>
          <w:tab w:val="num" w:pos="1040"/>
        </w:tabs>
        <w:ind w:left="1021" w:hanging="341"/>
      </w:pPr>
      <w:rPr>
        <w:rFonts w:hint="default"/>
      </w:rPr>
    </w:lvl>
    <w:lvl w:ilvl="1" w:tplc="6C3CA2F6" w:tentative="1">
      <w:start w:val="1"/>
      <w:numFmt w:val="lowerLetter"/>
      <w:lvlText w:val="%2."/>
      <w:lvlJc w:val="left"/>
      <w:pPr>
        <w:tabs>
          <w:tab w:val="num" w:pos="1440"/>
        </w:tabs>
        <w:ind w:left="1440" w:hanging="360"/>
      </w:pPr>
    </w:lvl>
    <w:lvl w:ilvl="2" w:tplc="329ABD18" w:tentative="1">
      <w:start w:val="1"/>
      <w:numFmt w:val="lowerRoman"/>
      <w:lvlText w:val="%3."/>
      <w:lvlJc w:val="right"/>
      <w:pPr>
        <w:tabs>
          <w:tab w:val="num" w:pos="2160"/>
        </w:tabs>
        <w:ind w:left="2160" w:hanging="180"/>
      </w:pPr>
    </w:lvl>
    <w:lvl w:ilvl="3" w:tplc="D8A24B8C" w:tentative="1">
      <w:start w:val="1"/>
      <w:numFmt w:val="decimal"/>
      <w:lvlText w:val="%4."/>
      <w:lvlJc w:val="left"/>
      <w:pPr>
        <w:tabs>
          <w:tab w:val="num" w:pos="2880"/>
        </w:tabs>
        <w:ind w:left="2880" w:hanging="360"/>
      </w:pPr>
    </w:lvl>
    <w:lvl w:ilvl="4" w:tplc="96C477A6" w:tentative="1">
      <w:start w:val="1"/>
      <w:numFmt w:val="lowerLetter"/>
      <w:lvlText w:val="%5."/>
      <w:lvlJc w:val="left"/>
      <w:pPr>
        <w:tabs>
          <w:tab w:val="num" w:pos="3600"/>
        </w:tabs>
        <w:ind w:left="3600" w:hanging="360"/>
      </w:pPr>
    </w:lvl>
    <w:lvl w:ilvl="5" w:tplc="B7F4A16A" w:tentative="1">
      <w:start w:val="1"/>
      <w:numFmt w:val="lowerRoman"/>
      <w:lvlText w:val="%6."/>
      <w:lvlJc w:val="right"/>
      <w:pPr>
        <w:tabs>
          <w:tab w:val="num" w:pos="4320"/>
        </w:tabs>
        <w:ind w:left="4320" w:hanging="180"/>
      </w:pPr>
    </w:lvl>
    <w:lvl w:ilvl="6" w:tplc="D2AEE5CE" w:tentative="1">
      <w:start w:val="1"/>
      <w:numFmt w:val="decimal"/>
      <w:lvlText w:val="%7."/>
      <w:lvlJc w:val="left"/>
      <w:pPr>
        <w:tabs>
          <w:tab w:val="num" w:pos="5040"/>
        </w:tabs>
        <w:ind w:left="5040" w:hanging="360"/>
      </w:pPr>
    </w:lvl>
    <w:lvl w:ilvl="7" w:tplc="9E4AFD10" w:tentative="1">
      <w:start w:val="1"/>
      <w:numFmt w:val="lowerLetter"/>
      <w:lvlText w:val="%8."/>
      <w:lvlJc w:val="left"/>
      <w:pPr>
        <w:tabs>
          <w:tab w:val="num" w:pos="5760"/>
        </w:tabs>
        <w:ind w:left="5760" w:hanging="360"/>
      </w:pPr>
    </w:lvl>
    <w:lvl w:ilvl="8" w:tplc="17E02F76" w:tentative="1">
      <w:start w:val="1"/>
      <w:numFmt w:val="lowerRoman"/>
      <w:lvlText w:val="%9."/>
      <w:lvlJc w:val="right"/>
      <w:pPr>
        <w:tabs>
          <w:tab w:val="num" w:pos="6480"/>
        </w:tabs>
        <w:ind w:left="6480" w:hanging="180"/>
      </w:pPr>
    </w:lvl>
  </w:abstractNum>
  <w:abstractNum w:abstractNumId="14" w15:restartNumberingAfterBreak="0">
    <w:nsid w:val="27191DEE"/>
    <w:multiLevelType w:val="singleLevel"/>
    <w:tmpl w:val="AFF242EE"/>
    <w:lvl w:ilvl="0">
      <w:start w:val="1"/>
      <w:numFmt w:val="decimal"/>
      <w:pStyle w:val="F02-Texte"/>
      <w:lvlText w:val="[%1]"/>
      <w:lvlJc w:val="left"/>
      <w:pPr>
        <w:tabs>
          <w:tab w:val="num" w:pos="851"/>
        </w:tabs>
        <w:ind w:left="851" w:hanging="851"/>
      </w:pPr>
      <w:rPr>
        <w:rFonts w:ascii="Arial" w:hAnsi="Arial" w:hint="default"/>
        <w:b w:val="0"/>
        <w:i w:val="0"/>
        <w:sz w:val="24"/>
        <w:lang w:val="en-CA"/>
      </w:rPr>
    </w:lvl>
  </w:abstractNum>
  <w:abstractNum w:abstractNumId="15" w15:restartNumberingAfterBreak="0">
    <w:nsid w:val="2EE67214"/>
    <w:multiLevelType w:val="singleLevel"/>
    <w:tmpl w:val="4C523FB4"/>
    <w:lvl w:ilvl="0">
      <w:start w:val="1"/>
      <w:numFmt w:val="decimal"/>
      <w:lvlText w:val="%1."/>
      <w:lvlJc w:val="left"/>
      <w:pPr>
        <w:tabs>
          <w:tab w:val="num" w:pos="360"/>
        </w:tabs>
        <w:ind w:left="360" w:hanging="360"/>
      </w:pPr>
    </w:lvl>
  </w:abstractNum>
  <w:abstractNum w:abstractNumId="16" w15:restartNumberingAfterBreak="0">
    <w:nsid w:val="33F90B64"/>
    <w:multiLevelType w:val="singleLevel"/>
    <w:tmpl w:val="FCF6263C"/>
    <w:lvl w:ilvl="0">
      <w:numFmt w:val="bullet"/>
      <w:pStyle w:val="F06-Tiret"/>
      <w:lvlText w:val="-"/>
      <w:lvlJc w:val="left"/>
      <w:pPr>
        <w:tabs>
          <w:tab w:val="num" w:pos="1368"/>
        </w:tabs>
        <w:ind w:left="1368" w:hanging="432"/>
      </w:pPr>
      <w:rPr>
        <w:rFonts w:ascii="Symbol" w:hAnsi="Symbol" w:hint="default"/>
      </w:rPr>
    </w:lvl>
  </w:abstractNum>
  <w:abstractNum w:abstractNumId="17" w15:restartNumberingAfterBreak="0">
    <w:nsid w:val="482F7AD2"/>
    <w:multiLevelType w:val="singleLevel"/>
    <w:tmpl w:val="94F0666E"/>
    <w:lvl w:ilvl="0">
      <w:start w:val="1"/>
      <w:numFmt w:val="decimal"/>
      <w:pStyle w:val="12ContenuDecision"/>
      <w:lvlText w:val="[%1]"/>
      <w:lvlJc w:val="left"/>
      <w:pPr>
        <w:tabs>
          <w:tab w:val="num" w:pos="851"/>
        </w:tabs>
        <w:ind w:left="851" w:hanging="851"/>
      </w:pPr>
    </w:lvl>
  </w:abstractNum>
  <w:abstractNum w:abstractNumId="18" w15:restartNumberingAfterBreak="0">
    <w:nsid w:val="6D151798"/>
    <w:multiLevelType w:val="singleLevel"/>
    <w:tmpl w:val="2B301942"/>
    <w:lvl w:ilvl="0">
      <w:numFmt w:val="bullet"/>
      <w:pStyle w:val="F07-Boulet"/>
      <w:lvlText w:val=""/>
      <w:lvlJc w:val="left"/>
      <w:pPr>
        <w:tabs>
          <w:tab w:val="num" w:pos="360"/>
        </w:tabs>
        <w:ind w:left="360" w:hanging="360"/>
      </w:pPr>
      <w:rPr>
        <w:rFonts w:ascii="Symbol" w:hAnsi="Symbol" w:hint="default"/>
        <w:color w:val="auto"/>
        <w:sz w:val="28"/>
      </w:rPr>
    </w:lvl>
  </w:abstractNum>
  <w:num w:numId="1">
    <w:abstractNumId w:val="17"/>
  </w:num>
  <w:num w:numId="2">
    <w:abstractNumId w:val="17"/>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7"/>
  </w:num>
  <w:num w:numId="14">
    <w:abstractNumId w:val="14"/>
  </w:num>
  <w:num w:numId="15">
    <w:abstractNumId w:val="16"/>
  </w:num>
  <w:num w:numId="16">
    <w:abstractNumId w:val="18"/>
  </w:num>
  <w:num w:numId="17">
    <w:abstractNumId w:val="15"/>
  </w:num>
  <w:num w:numId="18">
    <w:abstractNumId w:val="13"/>
  </w:num>
  <w:num w:numId="19">
    <w:abstractNumId w:val="11"/>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42"/>
    <w:rsid w:val="00002C36"/>
    <w:rsid w:val="00005F89"/>
    <w:rsid w:val="00016193"/>
    <w:rsid w:val="00027856"/>
    <w:rsid w:val="000317A4"/>
    <w:rsid w:val="000569FA"/>
    <w:rsid w:val="00061DBC"/>
    <w:rsid w:val="0008035E"/>
    <w:rsid w:val="00081C58"/>
    <w:rsid w:val="000A0F4B"/>
    <w:rsid w:val="000A532E"/>
    <w:rsid w:val="000B2606"/>
    <w:rsid w:val="000D68FA"/>
    <w:rsid w:val="000E0A46"/>
    <w:rsid w:val="00135C28"/>
    <w:rsid w:val="001711CA"/>
    <w:rsid w:val="001B433A"/>
    <w:rsid w:val="001C2E13"/>
    <w:rsid w:val="001C7C6D"/>
    <w:rsid w:val="001F7565"/>
    <w:rsid w:val="001F7826"/>
    <w:rsid w:val="002327B0"/>
    <w:rsid w:val="00253134"/>
    <w:rsid w:val="002538F8"/>
    <w:rsid w:val="002A5FA9"/>
    <w:rsid w:val="002B1833"/>
    <w:rsid w:val="002C3DFC"/>
    <w:rsid w:val="002F03C1"/>
    <w:rsid w:val="00303864"/>
    <w:rsid w:val="003055F5"/>
    <w:rsid w:val="00306D4E"/>
    <w:rsid w:val="00323B5A"/>
    <w:rsid w:val="0035619A"/>
    <w:rsid w:val="00366615"/>
    <w:rsid w:val="00380E55"/>
    <w:rsid w:val="00387BB9"/>
    <w:rsid w:val="00395F55"/>
    <w:rsid w:val="003A547A"/>
    <w:rsid w:val="003C3849"/>
    <w:rsid w:val="003C68AE"/>
    <w:rsid w:val="003D1172"/>
    <w:rsid w:val="003F06FC"/>
    <w:rsid w:val="00412ED6"/>
    <w:rsid w:val="00431E09"/>
    <w:rsid w:val="0043390F"/>
    <w:rsid w:val="00435748"/>
    <w:rsid w:val="0044575D"/>
    <w:rsid w:val="00450D51"/>
    <w:rsid w:val="0046131D"/>
    <w:rsid w:val="00466D34"/>
    <w:rsid w:val="0047320A"/>
    <w:rsid w:val="004935F2"/>
    <w:rsid w:val="004B6D63"/>
    <w:rsid w:val="004C238D"/>
    <w:rsid w:val="004F1602"/>
    <w:rsid w:val="00502BEB"/>
    <w:rsid w:val="00503CEE"/>
    <w:rsid w:val="00522C6E"/>
    <w:rsid w:val="00543172"/>
    <w:rsid w:val="005512F2"/>
    <w:rsid w:val="0055307C"/>
    <w:rsid w:val="00591B91"/>
    <w:rsid w:val="00597C32"/>
    <w:rsid w:val="005A3E60"/>
    <w:rsid w:val="005C29F0"/>
    <w:rsid w:val="005C7992"/>
    <w:rsid w:val="005D152B"/>
    <w:rsid w:val="005D383D"/>
    <w:rsid w:val="00662AD8"/>
    <w:rsid w:val="00667C83"/>
    <w:rsid w:val="00672FC5"/>
    <w:rsid w:val="0067465B"/>
    <w:rsid w:val="006A0CCF"/>
    <w:rsid w:val="006B0F45"/>
    <w:rsid w:val="006B1F41"/>
    <w:rsid w:val="006B7D25"/>
    <w:rsid w:val="00702ED1"/>
    <w:rsid w:val="00704ABD"/>
    <w:rsid w:val="0070548D"/>
    <w:rsid w:val="00752DCA"/>
    <w:rsid w:val="007908C9"/>
    <w:rsid w:val="007A36CC"/>
    <w:rsid w:val="007B7A99"/>
    <w:rsid w:val="007C6E47"/>
    <w:rsid w:val="007D7E25"/>
    <w:rsid w:val="007E2140"/>
    <w:rsid w:val="007E7D19"/>
    <w:rsid w:val="00824CD9"/>
    <w:rsid w:val="0086584C"/>
    <w:rsid w:val="00870D8C"/>
    <w:rsid w:val="00883CEE"/>
    <w:rsid w:val="008B7D48"/>
    <w:rsid w:val="008C122C"/>
    <w:rsid w:val="008C7B66"/>
    <w:rsid w:val="008D451B"/>
    <w:rsid w:val="008E37A2"/>
    <w:rsid w:val="00906678"/>
    <w:rsid w:val="00912341"/>
    <w:rsid w:val="0095305E"/>
    <w:rsid w:val="009612AC"/>
    <w:rsid w:val="00966C7C"/>
    <w:rsid w:val="00970E3F"/>
    <w:rsid w:val="00985E2E"/>
    <w:rsid w:val="009930ED"/>
    <w:rsid w:val="009932AF"/>
    <w:rsid w:val="00993C44"/>
    <w:rsid w:val="00995F03"/>
    <w:rsid w:val="009A25A2"/>
    <w:rsid w:val="009B76EC"/>
    <w:rsid w:val="009C1544"/>
    <w:rsid w:val="009C294E"/>
    <w:rsid w:val="009C4E83"/>
    <w:rsid w:val="00A040CC"/>
    <w:rsid w:val="00A144DB"/>
    <w:rsid w:val="00A51979"/>
    <w:rsid w:val="00AC7BDB"/>
    <w:rsid w:val="00AD353D"/>
    <w:rsid w:val="00AD403F"/>
    <w:rsid w:val="00AF0654"/>
    <w:rsid w:val="00B43D1F"/>
    <w:rsid w:val="00B44E83"/>
    <w:rsid w:val="00B47CA6"/>
    <w:rsid w:val="00B6061B"/>
    <w:rsid w:val="00B66039"/>
    <w:rsid w:val="00B970B3"/>
    <w:rsid w:val="00BC4844"/>
    <w:rsid w:val="00BD3640"/>
    <w:rsid w:val="00C04DF8"/>
    <w:rsid w:val="00C376DB"/>
    <w:rsid w:val="00C855EC"/>
    <w:rsid w:val="00C9639E"/>
    <w:rsid w:val="00CA4C7B"/>
    <w:rsid w:val="00CB281A"/>
    <w:rsid w:val="00CC40B2"/>
    <w:rsid w:val="00CC4A9D"/>
    <w:rsid w:val="00D12A4B"/>
    <w:rsid w:val="00D16542"/>
    <w:rsid w:val="00D36398"/>
    <w:rsid w:val="00D408C1"/>
    <w:rsid w:val="00D73AD1"/>
    <w:rsid w:val="00D81772"/>
    <w:rsid w:val="00DC03BE"/>
    <w:rsid w:val="00DC1EF4"/>
    <w:rsid w:val="00DC5DA7"/>
    <w:rsid w:val="00DE164F"/>
    <w:rsid w:val="00DE2667"/>
    <w:rsid w:val="00DF028C"/>
    <w:rsid w:val="00DF101B"/>
    <w:rsid w:val="00DF6B1D"/>
    <w:rsid w:val="00DF7207"/>
    <w:rsid w:val="00E10C8C"/>
    <w:rsid w:val="00E3513B"/>
    <w:rsid w:val="00E360D6"/>
    <w:rsid w:val="00E539E5"/>
    <w:rsid w:val="00E724EE"/>
    <w:rsid w:val="00E7329C"/>
    <w:rsid w:val="00E95090"/>
    <w:rsid w:val="00E95C64"/>
    <w:rsid w:val="00EA0CE7"/>
    <w:rsid w:val="00EA1F3F"/>
    <w:rsid w:val="00EB3992"/>
    <w:rsid w:val="00EF225C"/>
    <w:rsid w:val="00F03C8E"/>
    <w:rsid w:val="00F10B68"/>
    <w:rsid w:val="00F21469"/>
    <w:rsid w:val="00F349B9"/>
    <w:rsid w:val="00F54D31"/>
    <w:rsid w:val="00F5500D"/>
    <w:rsid w:val="00F7718E"/>
    <w:rsid w:val="00F93BE2"/>
    <w:rsid w:val="00FC3D60"/>
    <w:rsid w:val="00FD2A6E"/>
    <w:rsid w:val="00FD46F9"/>
  </w:rsids>
  <m:mathPr>
    <m:mathFont m:val="Cambria Math"/>
    <m:brkBin m:val="before"/>
    <m:brkBinSub m:val="--"/>
    <m:smallFrac m:val="0"/>
    <m:dispDef/>
    <m:lMargin m:val="0"/>
    <m:rMargin m:val="0"/>
    <m:defJc m:val="centerGroup"/>
    <m:wrapRight/>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C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NormalDecision">
    <w:name w:val="00_NormalDecision"/>
    <w:pPr>
      <w:keepLines/>
      <w:suppressAutoHyphens/>
    </w:pPr>
    <w:rPr>
      <w:rFonts w:ascii="Arial" w:hAnsi="Arial"/>
      <w:noProof/>
      <w:sz w:val="24"/>
      <w:lang w:val="en-US" w:eastAsia="en-US"/>
    </w:rPr>
  </w:style>
  <w:style w:type="paragraph" w:customStyle="1" w:styleId="01Tribunal">
    <w:name w:val="01_Tribunal"/>
    <w:basedOn w:val="00NormalDecision"/>
    <w:pPr>
      <w:jc w:val="center"/>
    </w:pPr>
    <w:rPr>
      <w:b/>
      <w:caps/>
      <w:sz w:val="36"/>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01aTribunal-ligne">
    <w:name w:val="01a_Tribunal-ligne"/>
    <w:basedOn w:val="01Tribunal"/>
    <w:next w:val="00NormalDecision"/>
    <w:pPr>
      <w:pBdr>
        <w:bottom w:val="single" w:sz="12" w:space="1" w:color="auto"/>
      </w:pBdr>
      <w:spacing w:after="720"/>
      <w:ind w:left="1531" w:right="1531"/>
    </w:pPr>
  </w:style>
  <w:style w:type="paragraph" w:customStyle="1" w:styleId="02Section">
    <w:name w:val="02_Section"/>
    <w:basedOn w:val="00NormalDecision"/>
    <w:next w:val="00NormalDecision"/>
    <w:rPr>
      <w:b/>
      <w:sz w:val="32"/>
    </w:rPr>
  </w:style>
  <w:style w:type="paragraph" w:customStyle="1" w:styleId="03Matiere">
    <w:name w:val="03_Matiere"/>
    <w:basedOn w:val="00NormalDecision"/>
    <w:next w:val="00NormalDecision"/>
  </w:style>
  <w:style w:type="paragraph" w:customStyle="1" w:styleId="072Agissant">
    <w:name w:val="07.2_Agissant"/>
    <w:basedOn w:val="00NormalDecision"/>
    <w:next w:val="00NormalDecision"/>
    <w:pPr>
      <w:keepNext/>
    </w:pPr>
  </w:style>
  <w:style w:type="character" w:customStyle="1" w:styleId="040PrefixeDate">
    <w:name w:val="04.0_PrefixeDate"/>
    <w:rPr>
      <w:rFonts w:ascii="Arial" w:hAnsi="Arial"/>
      <w:b/>
      <w:sz w:val="28"/>
    </w:rPr>
  </w:style>
  <w:style w:type="paragraph" w:customStyle="1" w:styleId="04DateDecision">
    <w:name w:val="04_DateDecision"/>
    <w:basedOn w:val="00NormalDecision"/>
    <w:next w:val="00NormalDecision"/>
    <w:pPr>
      <w:spacing w:before="480"/>
    </w:pPr>
  </w:style>
  <w:style w:type="paragraph" w:customStyle="1" w:styleId="05Dossier">
    <w:name w:val="05_Dossier"/>
    <w:basedOn w:val="00NormalDecision"/>
    <w:next w:val="00NormalDecision"/>
    <w:pPr>
      <w:spacing w:before="120" w:after="240"/>
      <w:ind w:left="1446" w:hanging="1446"/>
    </w:pPr>
  </w:style>
  <w:style w:type="character" w:customStyle="1" w:styleId="050PrefixeDossier">
    <w:name w:val="05.0_PrefixeDossier"/>
    <w:rPr>
      <w:rFonts w:ascii="Arial" w:hAnsi="Arial"/>
      <w:b/>
      <w:sz w:val="28"/>
    </w:rPr>
  </w:style>
  <w:style w:type="paragraph" w:customStyle="1" w:styleId="060CompositionFormation">
    <w:name w:val="06.0_CompositionFormation"/>
    <w:basedOn w:val="00NormalDecision"/>
    <w:next w:val="00NormalDecision"/>
    <w:pPr>
      <w:spacing w:before="360" w:after="240"/>
    </w:pPr>
    <w:rPr>
      <w:b/>
      <w:sz w:val="28"/>
    </w:rPr>
  </w:style>
  <w:style w:type="paragraph" w:customStyle="1" w:styleId="06Membre">
    <w:name w:val="06_Membre"/>
    <w:basedOn w:val="00NormalDecision"/>
    <w:next w:val="00NormalDecision"/>
    <w:pPr>
      <w:pBdr>
        <w:bottom w:val="single" w:sz="4" w:space="12" w:color="auto"/>
      </w:pBdr>
    </w:pPr>
    <w:rPr>
      <w:caps/>
    </w:rPr>
  </w:style>
  <w:style w:type="paragraph" w:customStyle="1" w:styleId="071IdentificationPartie">
    <w:name w:val="07.1_IdentificationPartie"/>
    <w:basedOn w:val="00NormalDecision"/>
    <w:next w:val="00NormalDecision"/>
    <w:pPr>
      <w:spacing w:before="120"/>
    </w:pPr>
  </w:style>
  <w:style w:type="paragraph" w:customStyle="1" w:styleId="070DebutDivParties">
    <w:name w:val="07.0_[DebutDivParties]"/>
    <w:basedOn w:val="00NormalDecision"/>
    <w:next w:val="00NormalDecision"/>
    <w:pPr>
      <w:spacing w:before="900" w:after="120"/>
    </w:pPr>
    <w:rPr>
      <w:color w:val="C0C0C0"/>
    </w:rPr>
  </w:style>
  <w:style w:type="paragraph" w:customStyle="1" w:styleId="073QualitePartie">
    <w:name w:val="07.3_QualitePartie"/>
    <w:basedOn w:val="00NormalDecision"/>
    <w:next w:val="00NormalDecision"/>
    <w:pPr>
      <w:keepNext/>
      <w:spacing w:after="120"/>
    </w:pPr>
  </w:style>
  <w:style w:type="paragraph" w:customStyle="1" w:styleId="074Indicateur-cet">
    <w:name w:val="07.4_Indicateur-c./et"/>
    <w:basedOn w:val="00NormalDecision"/>
    <w:next w:val="00NormalDecision"/>
    <w:pPr>
      <w:spacing w:before="80" w:after="60"/>
    </w:pPr>
  </w:style>
  <w:style w:type="paragraph" w:customStyle="1" w:styleId="08aFinPageTitre-ligne">
    <w:name w:val="08a_FinPageTitre-ligne"/>
    <w:basedOn w:val="00NormalDecision"/>
    <w:next w:val="Normal"/>
    <w:pPr>
      <w:pBdr>
        <w:bottom w:val="single" w:sz="6" w:space="1" w:color="auto"/>
      </w:pBdr>
      <w:ind w:left="3402" w:right="170"/>
    </w:pPr>
  </w:style>
  <w:style w:type="paragraph" w:customStyle="1" w:styleId="09Entete">
    <w:name w:val="09_Entete"/>
    <w:basedOn w:val="00NormalDecision"/>
    <w:next w:val="00NormalDecision"/>
    <w:pPr>
      <w:tabs>
        <w:tab w:val="right" w:pos="8222"/>
      </w:tabs>
    </w:pPr>
  </w:style>
  <w:style w:type="paragraph" w:customStyle="1" w:styleId="13aSignature-ligne">
    <w:name w:val="13a_Signature-ligne"/>
    <w:basedOn w:val="00NormalDecision"/>
    <w:next w:val="00NormalDecision"/>
    <w:pPr>
      <w:keepNext/>
      <w:pBdr>
        <w:bottom w:val="single" w:sz="4" w:space="1" w:color="auto"/>
      </w:pBdr>
      <w:spacing w:before="500" w:after="40"/>
      <w:ind w:left="3975"/>
    </w:pPr>
  </w:style>
  <w:style w:type="paragraph" w:customStyle="1" w:styleId="10TypeDecision">
    <w:name w:val="10_TypeDecision"/>
    <w:basedOn w:val="00NormalDecision"/>
    <w:next w:val="00NormalDecision"/>
    <w:pPr>
      <w:spacing w:before="240" w:after="60"/>
      <w:jc w:val="center"/>
    </w:pPr>
    <w:rPr>
      <w:b/>
      <w:caps/>
      <w:sz w:val="32"/>
    </w:rPr>
  </w:style>
  <w:style w:type="paragraph" w:customStyle="1" w:styleId="11MatierePageSignatures">
    <w:name w:val="11_MatierePageSignatures"/>
    <w:basedOn w:val="00NormalDecision"/>
    <w:next w:val="00NormalDecision"/>
    <w:pPr>
      <w:jc w:val="center"/>
    </w:pPr>
  </w:style>
  <w:style w:type="paragraph" w:customStyle="1" w:styleId="13Signature">
    <w:name w:val="13_Signature"/>
    <w:basedOn w:val="00NormalDecision"/>
    <w:next w:val="00NormalDecision"/>
    <w:pPr>
      <w:ind w:left="3975"/>
    </w:pPr>
  </w:style>
  <w:style w:type="paragraph" w:styleId="Explorateurdedocuments">
    <w:name w:val="Document Map"/>
    <w:basedOn w:val="Normal"/>
    <w:semiHidden/>
    <w:pPr>
      <w:shd w:val="clear" w:color="auto" w:fill="000080"/>
    </w:pPr>
    <w:rPr>
      <w:rFonts w:ascii="Tahoma" w:hAnsi="Tahoma"/>
    </w:rPr>
  </w:style>
  <w:style w:type="paragraph" w:customStyle="1" w:styleId="12ContenuDecision">
    <w:name w:val="12_ContenuDecision"/>
    <w:basedOn w:val="00NormalDecision"/>
    <w:pPr>
      <w:numPr>
        <w:numId w:val="13"/>
      </w:numPr>
      <w:shd w:val="solid" w:color="FFFFFF" w:fill="FFFFFF"/>
      <w:spacing w:after="240"/>
    </w:pPr>
  </w:style>
  <w:style w:type="paragraph" w:customStyle="1" w:styleId="12DebutDivContenuDecision">
    <w:name w:val="12_[DebutDivContenuDecision]"/>
    <w:basedOn w:val="00NormalDecision"/>
    <w:next w:val="00NormalDecision"/>
    <w:pPr>
      <w:spacing w:before="240"/>
    </w:pPr>
    <w:rPr>
      <w:color w:val="C0C0C0"/>
    </w:rPr>
  </w:style>
  <w:style w:type="paragraph" w:customStyle="1" w:styleId="100SectionsContinues">
    <w:name w:val="10.0_[SectionsContinues]"/>
    <w:basedOn w:val="00NormalDecision"/>
    <w:next w:val="00NormalDecision"/>
    <w:rPr>
      <w:color w:val="808080"/>
      <w:sz w:val="4"/>
    </w:rPr>
  </w:style>
  <w:style w:type="paragraph" w:customStyle="1" w:styleId="14DateDecisionFin">
    <w:name w:val="14_DateDecisionFin"/>
    <w:basedOn w:val="00NormalDecision"/>
    <w:next w:val="00NormalDecision"/>
    <w:pPr>
      <w:keepNext/>
      <w:keepLines w:val="0"/>
      <w:spacing w:before="480"/>
      <w:jc w:val="right"/>
    </w:pPr>
  </w:style>
  <w:style w:type="paragraph" w:customStyle="1" w:styleId="F09-Signature">
    <w:name w:val="F09-Signature"/>
    <w:basedOn w:val="Normal"/>
    <w:next w:val="Normal"/>
    <w:pPr>
      <w:pBdr>
        <w:top w:val="single" w:sz="4" w:space="0" w:color="auto"/>
      </w:pBdr>
      <w:spacing w:before="1440" w:after="240"/>
      <w:ind w:left="3969"/>
      <w:jc w:val="right"/>
    </w:pPr>
    <w:rPr>
      <w:caps/>
    </w:rPr>
  </w:style>
  <w:style w:type="character" w:customStyle="1" w:styleId="10aTypeDecisionBis">
    <w:name w:val="10a_TypeDecisionBis"/>
    <w:rPr>
      <w:noProof/>
    </w:rPr>
  </w:style>
  <w:style w:type="paragraph" w:customStyle="1" w:styleId="F02-Texte">
    <w:name w:val="F02-Texte"/>
    <w:basedOn w:val="Normal"/>
    <w:pPr>
      <w:numPr>
        <w:numId w:val="14"/>
      </w:numPr>
      <w:spacing w:before="300"/>
      <w:ind w:left="0" w:firstLine="0"/>
      <w:jc w:val="both"/>
    </w:pPr>
  </w:style>
  <w:style w:type="paragraph" w:customStyle="1" w:styleId="F04-Retrait">
    <w:name w:val="F04-Retrait"/>
    <w:basedOn w:val="Normal"/>
    <w:pPr>
      <w:spacing w:before="320"/>
      <w:ind w:left="850" w:right="850"/>
      <w:jc w:val="both"/>
    </w:pPr>
    <w:rPr>
      <w:i/>
    </w:rPr>
  </w:style>
  <w:style w:type="paragraph" w:customStyle="1" w:styleId="F05-Retrait2">
    <w:name w:val="F05-Retrait 2"/>
    <w:basedOn w:val="Normal"/>
    <w:pPr>
      <w:spacing w:before="320"/>
      <w:ind w:left="1440" w:right="1440"/>
      <w:jc w:val="both"/>
    </w:pPr>
    <w:rPr>
      <w:i/>
    </w:rPr>
  </w:style>
  <w:style w:type="paragraph" w:customStyle="1" w:styleId="F06-Tiret">
    <w:name w:val="F06-Tiret"/>
    <w:basedOn w:val="Normal"/>
    <w:pPr>
      <w:numPr>
        <w:numId w:val="15"/>
      </w:numPr>
      <w:spacing w:before="320"/>
      <w:jc w:val="both"/>
    </w:pPr>
  </w:style>
  <w:style w:type="paragraph" w:customStyle="1" w:styleId="F07-Boulet">
    <w:name w:val="F07-Boulet"/>
    <w:basedOn w:val="Normal"/>
    <w:pPr>
      <w:numPr>
        <w:numId w:val="16"/>
      </w:numPr>
      <w:spacing w:before="320"/>
      <w:jc w:val="both"/>
    </w:pPr>
  </w:style>
  <w:style w:type="paragraph" w:customStyle="1" w:styleId="F11-Filet">
    <w:name w:val="F11-Filet"/>
    <w:basedOn w:val="Normal"/>
    <w:next w:val="F02-Texte"/>
    <w:pPr>
      <w:pBdr>
        <w:top w:val="single" w:sz="4" w:space="16" w:color="auto"/>
      </w:pBdr>
      <w:spacing w:before="700"/>
      <w:ind w:left="2019" w:right="2019"/>
      <w:jc w:val="center"/>
    </w:pPr>
  </w:style>
  <w:style w:type="paragraph" w:customStyle="1" w:styleId="F12-Procureur">
    <w:name w:val="F12-Procureur"/>
    <w:basedOn w:val="Normal"/>
    <w:pPr>
      <w:jc w:val="both"/>
    </w:pPr>
  </w:style>
  <w:style w:type="paragraph" w:customStyle="1" w:styleId="F08-Titre">
    <w:name w:val="F08-Titre"/>
    <w:basedOn w:val="Normal"/>
    <w:pPr>
      <w:keepNext/>
      <w:spacing w:before="320"/>
      <w:jc w:val="both"/>
    </w:pPr>
    <w:rPr>
      <w:b/>
    </w:rPr>
  </w:style>
  <w:style w:type="paragraph" w:customStyle="1" w:styleId="13bSignatureTableau">
    <w:name w:val="13b_SignatureTableau"/>
    <w:basedOn w:val="00NormalDecision"/>
  </w:style>
  <w:style w:type="paragraph" w:customStyle="1" w:styleId="13cSignatureQualite">
    <w:name w:val="13c_SignatureQualite"/>
    <w:basedOn w:val="13Signature"/>
    <w:rPr>
      <w:caps/>
    </w:rPr>
  </w:style>
  <w:style w:type="paragraph" w:customStyle="1" w:styleId="10bTypeDecisionMotif">
    <w:name w:val="10b_TypeDecisionMotif"/>
    <w:basedOn w:val="00NormalDecision"/>
    <w:pPr>
      <w:tabs>
        <w:tab w:val="left" w:pos="850"/>
      </w:tabs>
      <w:spacing w:before="320"/>
      <w:jc w:val="center"/>
    </w:pPr>
    <w:rPr>
      <w:b/>
      <w:caps/>
      <w:sz w:val="32"/>
    </w:rPr>
  </w:style>
  <w:style w:type="paragraph" w:customStyle="1" w:styleId="Considrant">
    <w:name w:val="Considérant"/>
    <w:basedOn w:val="F02-Texte"/>
    <w:pPr>
      <w:numPr>
        <w:numId w:val="0"/>
      </w:numPr>
      <w:ind w:left="900"/>
    </w:pPr>
    <w:rPr>
      <w:lang w:eastAsia="fr-FR"/>
    </w:rPr>
  </w:style>
  <w:style w:type="paragraph" w:customStyle="1" w:styleId="Considerant">
    <w:name w:val="Considerant"/>
    <w:basedOn w:val="00NormalDecision"/>
    <w:pPr>
      <w:numPr>
        <w:numId w:val="18"/>
      </w:numPr>
      <w:spacing w:before="240"/>
      <w:ind w:left="1020" w:hanging="340"/>
    </w:pPr>
    <w:rPr>
      <w:lang w:val="fr-CA"/>
    </w:rPr>
  </w:style>
  <w:style w:type="paragraph" w:customStyle="1" w:styleId="Dispositif">
    <w:name w:val="Dispositif"/>
    <w:basedOn w:val="00NormalDecision"/>
    <w:pPr>
      <w:numPr>
        <w:numId w:val="19"/>
      </w:numPr>
      <w:spacing w:before="240"/>
      <w:ind w:left="1020" w:hanging="340"/>
    </w:pPr>
    <w:rPr>
      <w:lang w:val="fr-CA"/>
    </w:rPr>
  </w:style>
  <w:style w:type="paragraph" w:customStyle="1" w:styleId="F10-Date">
    <w:name w:val="F10-Date"/>
    <w:basedOn w:val="Normal"/>
  </w:style>
  <w:style w:type="paragraph" w:customStyle="1" w:styleId="F02-Texte-Puce">
    <w:name w:val="F02-Texte-Puce"/>
    <w:basedOn w:val="Normal"/>
    <w:pPr>
      <w:numPr>
        <w:numId w:val="21"/>
      </w:numPr>
      <w:tabs>
        <w:tab w:val="left" w:pos="1620"/>
      </w:tabs>
      <w:spacing w:before="320"/>
      <w:jc w:val="both"/>
    </w:pPr>
    <w:rPr>
      <w:lang w:eastAsia="fr-FR"/>
    </w:rPr>
  </w:style>
  <w:style w:type="character" w:customStyle="1" w:styleId="16Invisible">
    <w:name w:val="16_Invisible"/>
    <w:rPr>
      <w:rFonts w:ascii="Microsoft Sans Serif" w:hAnsi="Microsoft Sans Serif"/>
      <w:color w:val="FFFFFF"/>
      <w:sz w:val="2"/>
    </w:rPr>
  </w:style>
  <w:style w:type="paragraph" w:customStyle="1" w:styleId="074Indicateur-Cet1page">
    <w:name w:val="07.4_Indicateur-C./et1page"/>
    <w:basedOn w:val="074Indicateur-cet"/>
    <w:next w:val="074Indicateur-cet"/>
  </w:style>
  <w:style w:type="paragraph" w:customStyle="1" w:styleId="070FinDivParties">
    <w:name w:val="07.0_[FinDivParties]"/>
    <w:basedOn w:val="070DebutDivParties"/>
    <w:pPr>
      <w:spacing w:before="920"/>
    </w:pPr>
    <w:rPr>
      <w:lang w:val="fr-CA"/>
    </w:rPr>
  </w:style>
  <w:style w:type="paragraph" w:customStyle="1" w:styleId="16Invisible2">
    <w:name w:val="16_Invisible2"/>
    <w:pPr>
      <w:spacing w:line="20" w:lineRule="exact"/>
    </w:pPr>
    <w:rPr>
      <w:color w:val="FFFFFF"/>
      <w:sz w:val="2"/>
      <w:lang w:val="fr-FR" w:eastAsia="fr-FR"/>
    </w:rPr>
  </w:style>
  <w:style w:type="paragraph" w:styleId="Notedebasdepage">
    <w:name w:val="footnote text"/>
    <w:basedOn w:val="Normal"/>
    <w:link w:val="NotedebasdepageCar"/>
    <w:rsid w:val="000F29CA"/>
    <w:rPr>
      <w:sz w:val="20"/>
    </w:rPr>
  </w:style>
  <w:style w:type="character" w:customStyle="1" w:styleId="NotedebasdepageCar">
    <w:name w:val="Note de bas de page Car"/>
    <w:link w:val="Notedebasdepage"/>
    <w:rsid w:val="000F29CA"/>
    <w:rPr>
      <w:rFonts w:ascii="Arial" w:hAnsi="Arial"/>
      <w:lang w:eastAsia="en-US"/>
    </w:rPr>
  </w:style>
  <w:style w:type="character" w:styleId="Appelnotedebasdep">
    <w:name w:val="footnote reference"/>
    <w:rsid w:val="000F29CA"/>
    <w:rPr>
      <w:vertAlign w:val="superscript"/>
    </w:rPr>
  </w:style>
  <w:style w:type="character" w:styleId="Marquedecommentaire">
    <w:name w:val="annotation reference"/>
    <w:basedOn w:val="Policepardfaut"/>
    <w:rsid w:val="006A0CCF"/>
    <w:rPr>
      <w:sz w:val="16"/>
      <w:szCs w:val="16"/>
    </w:rPr>
  </w:style>
  <w:style w:type="paragraph" w:styleId="Commentaire">
    <w:name w:val="annotation text"/>
    <w:basedOn w:val="Normal"/>
    <w:link w:val="CommentaireCar"/>
    <w:rsid w:val="006A0CCF"/>
    <w:rPr>
      <w:sz w:val="20"/>
    </w:rPr>
  </w:style>
  <w:style w:type="character" w:customStyle="1" w:styleId="CommentaireCar">
    <w:name w:val="Commentaire Car"/>
    <w:basedOn w:val="Policepardfaut"/>
    <w:link w:val="Commentaire"/>
    <w:rsid w:val="006A0CCF"/>
    <w:rPr>
      <w:rFonts w:ascii="Arial" w:hAnsi="Arial"/>
      <w:lang w:eastAsia="en-US"/>
    </w:rPr>
  </w:style>
  <w:style w:type="paragraph" w:styleId="Objetducommentaire">
    <w:name w:val="annotation subject"/>
    <w:basedOn w:val="Commentaire"/>
    <w:next w:val="Commentaire"/>
    <w:link w:val="ObjetducommentaireCar"/>
    <w:semiHidden/>
    <w:unhideWhenUsed/>
    <w:rsid w:val="006A0CCF"/>
    <w:rPr>
      <w:b/>
      <w:bCs/>
    </w:rPr>
  </w:style>
  <w:style w:type="character" w:customStyle="1" w:styleId="ObjetducommentaireCar">
    <w:name w:val="Objet du commentaire Car"/>
    <w:basedOn w:val="CommentaireCar"/>
    <w:link w:val="Objetducommentaire"/>
    <w:semiHidden/>
    <w:rsid w:val="006A0CCF"/>
    <w:rPr>
      <w:rFonts w:ascii="Arial" w:hAnsi="Arial"/>
      <w:b/>
      <w:bCs/>
      <w:lang w:eastAsia="en-US"/>
    </w:rPr>
  </w:style>
  <w:style w:type="paragraph" w:styleId="Textedebulles">
    <w:name w:val="Balloon Text"/>
    <w:basedOn w:val="Normal"/>
    <w:link w:val="TextedebullesCar"/>
    <w:semiHidden/>
    <w:unhideWhenUsed/>
    <w:rsid w:val="00002C36"/>
    <w:rPr>
      <w:rFonts w:ascii="Segoe UI" w:hAnsi="Segoe UI" w:cs="Segoe UI"/>
      <w:sz w:val="18"/>
      <w:szCs w:val="18"/>
    </w:rPr>
  </w:style>
  <w:style w:type="character" w:customStyle="1" w:styleId="TextedebullesCar">
    <w:name w:val="Texte de bulles Car"/>
    <w:basedOn w:val="Policepardfaut"/>
    <w:link w:val="Textedebulles"/>
    <w:semiHidden/>
    <w:rsid w:val="00002C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EE0C-5432-41FF-B0BC-21999BB0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3239</Words>
  <Characters>17817</Characters>
  <Application>Microsoft Office Word</Application>
  <DocSecurity>0</DocSecurity>
  <Lines>148</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2021-12-22T19:04:00Z</dcterms:created>
  <dcterms:modified xsi:type="dcterms:W3CDTF">2022-06-21T10:55:00Z</dcterms:modified>
</cp:coreProperties>
</file>