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6BE40" w14:textId="7EFAA469" w:rsidR="00CA502B" w:rsidRPr="00CA502B" w:rsidRDefault="00CA502B" w:rsidP="00E57111">
      <w:pPr>
        <w:pStyle w:val="02Section"/>
        <w:rPr>
          <w:b w:val="0"/>
          <w:sz w:val="24"/>
          <w:szCs w:val="24"/>
          <w:lang w:val="en-CA"/>
        </w:rPr>
      </w:pPr>
      <w:r w:rsidRPr="00CA502B">
        <w:rPr>
          <w:b w:val="0"/>
          <w:sz w:val="24"/>
          <w:szCs w:val="24"/>
          <w:lang w:val="en-CA"/>
        </w:rPr>
        <w:t>Translated from the original French</w:t>
      </w:r>
      <w:bookmarkStart w:id="0" w:name="_GoBack"/>
      <w:bookmarkEnd w:id="0"/>
    </w:p>
    <w:p w14:paraId="4D07C607" w14:textId="77777777" w:rsidR="00CA502B" w:rsidRDefault="00CA502B" w:rsidP="00E57111">
      <w:pPr>
        <w:pStyle w:val="02Section"/>
        <w:rPr>
          <w:lang w:val="en-CA"/>
        </w:rPr>
      </w:pPr>
    </w:p>
    <w:p w14:paraId="77B36461" w14:textId="5E1B0125" w:rsidR="00E57111" w:rsidRPr="00EA3E22" w:rsidRDefault="00157BD9" w:rsidP="00E57111">
      <w:pPr>
        <w:pStyle w:val="02Section"/>
        <w:rPr>
          <w:lang w:val="en-CA"/>
        </w:rPr>
      </w:pPr>
      <w:r w:rsidRPr="00EA3E22">
        <w:rPr>
          <w:lang w:val="en-CA"/>
        </w:rPr>
        <w:t>Economic Affairs Division</w:t>
      </w:r>
    </w:p>
    <w:p w14:paraId="381ECC0F" w14:textId="77777777" w:rsidR="00E57111" w:rsidRPr="00157BD9" w:rsidRDefault="00E57111" w:rsidP="00E57111">
      <w:pPr>
        <w:pStyle w:val="03Matiere"/>
        <w:rPr>
          <w:lang w:val="en-CA"/>
        </w:rPr>
      </w:pPr>
    </w:p>
    <w:p w14:paraId="108727CE" w14:textId="77777777" w:rsidR="00E57111" w:rsidRPr="00157BD9" w:rsidRDefault="00E57111" w:rsidP="00E57111">
      <w:pPr>
        <w:pStyle w:val="03Matiere"/>
        <w:rPr>
          <w:lang w:val="en-CA"/>
        </w:rPr>
      </w:pPr>
    </w:p>
    <w:p w14:paraId="2C0EC0D6" w14:textId="77777777" w:rsidR="00E57111" w:rsidRPr="00EA3E22" w:rsidRDefault="00157BD9" w:rsidP="00E57111">
      <w:pPr>
        <w:pStyle w:val="03Matiere"/>
        <w:rPr>
          <w:rStyle w:val="040PrefixeDate"/>
          <w:b w:val="0"/>
          <w:sz w:val="24"/>
          <w:lang w:val="en-CA"/>
        </w:rPr>
      </w:pPr>
      <w:r w:rsidRPr="00EA3E22">
        <w:rPr>
          <w:rStyle w:val="040PrefixeDate"/>
          <w:lang w:val="en-CA"/>
        </w:rPr>
        <w:t xml:space="preserve">Date: </w:t>
      </w:r>
      <w:r w:rsidRPr="00B1795A">
        <w:rPr>
          <w:rStyle w:val="040PrefixeDate"/>
          <w:b w:val="0"/>
          <w:lang w:val="en-CA"/>
        </w:rPr>
        <w:t>July 20, 2021</w:t>
      </w:r>
    </w:p>
    <w:p w14:paraId="4D0891A8" w14:textId="77777777" w:rsidR="00E57111" w:rsidRPr="00EA3E22" w:rsidRDefault="00157BD9" w:rsidP="00E57111">
      <w:pPr>
        <w:pStyle w:val="060CompositionFormation"/>
        <w:rPr>
          <w:lang w:val="en-CA"/>
        </w:rPr>
      </w:pPr>
      <w:r w:rsidRPr="00EA3E22">
        <w:rPr>
          <w:lang w:val="en-CA"/>
        </w:rPr>
        <w:t xml:space="preserve">Neutral citation: </w:t>
      </w:r>
      <w:r w:rsidRPr="00B1795A">
        <w:rPr>
          <w:b w:val="0"/>
          <w:lang w:val="en-CA"/>
        </w:rPr>
        <w:t>2021 QCTAQ 07427</w:t>
      </w:r>
    </w:p>
    <w:p w14:paraId="5CC8B18C" w14:textId="77777777" w:rsidR="00E57111" w:rsidRPr="00157BD9" w:rsidRDefault="00157BD9" w:rsidP="00E57111">
      <w:pPr>
        <w:pStyle w:val="05Dossier"/>
        <w:rPr>
          <w:lang w:val="en-CA"/>
        </w:rPr>
      </w:pPr>
      <w:r w:rsidRPr="00157BD9">
        <w:rPr>
          <w:rStyle w:val="050PrefixeDossier"/>
          <w:lang w:val="en-CA"/>
        </w:rPr>
        <w:t>Record:</w:t>
      </w:r>
      <w:r w:rsidRPr="00157BD9">
        <w:rPr>
          <w:rStyle w:val="050PrefixeDossier"/>
          <w:b w:val="0"/>
          <w:lang w:val="en-CA"/>
        </w:rPr>
        <w:t xml:space="preserve"> SAE-M-298118-2006</w:t>
      </w:r>
    </w:p>
    <w:p w14:paraId="1A5027B2" w14:textId="77777777" w:rsidR="00E57111" w:rsidRPr="00EA3E22" w:rsidRDefault="00157BD9" w:rsidP="00E57111">
      <w:pPr>
        <w:pStyle w:val="060CompositionFormation"/>
        <w:pBdr>
          <w:top w:val="single" w:sz="2" w:space="12" w:color="000000"/>
        </w:pBdr>
        <w:spacing w:before="240"/>
        <w:rPr>
          <w:lang w:val="en-CA"/>
        </w:rPr>
      </w:pPr>
      <w:bookmarkStart w:id="1" w:name="bmMembreTrib"/>
      <w:bookmarkEnd w:id="1"/>
      <w:r w:rsidRPr="00EA3E22">
        <w:rPr>
          <w:lang w:val="en-CA"/>
        </w:rPr>
        <w:t>Presiding Administrative Judges:</w:t>
      </w:r>
      <w:r w:rsidR="00E57111" w:rsidRPr="00EA3E22">
        <w:rPr>
          <w:lang w:val="en-CA"/>
        </w:rPr>
        <w:t xml:space="preserve"> </w:t>
      </w:r>
    </w:p>
    <w:p w14:paraId="100F975B" w14:textId="77777777" w:rsidR="00E57111" w:rsidRPr="00EA3E22" w:rsidRDefault="00157BD9" w:rsidP="00E57111">
      <w:pPr>
        <w:pStyle w:val="06Membre"/>
        <w:rPr>
          <w:lang w:val="fr-CA"/>
        </w:rPr>
      </w:pPr>
      <w:r w:rsidRPr="00EA3E22">
        <w:rPr>
          <w:lang w:val="fr-CA"/>
        </w:rPr>
        <w:t>SUZANNE LÉVESQUE</w:t>
      </w:r>
      <w:r w:rsidR="00E57111" w:rsidRPr="00EA3E22">
        <w:rPr>
          <w:lang w:val="fr-CA"/>
        </w:rPr>
        <w:t xml:space="preserve"> </w:t>
      </w:r>
    </w:p>
    <w:p w14:paraId="412E40AC" w14:textId="77777777" w:rsidR="00E57111" w:rsidRPr="00EA3E22" w:rsidRDefault="00157BD9" w:rsidP="00E57111">
      <w:pPr>
        <w:pStyle w:val="06Membre"/>
        <w:rPr>
          <w:lang w:val="fr-CA"/>
        </w:rPr>
      </w:pPr>
      <w:r w:rsidRPr="00EA3E22">
        <w:rPr>
          <w:lang w:val="fr-CA"/>
        </w:rPr>
        <w:t>MARIO ST-PIERRE</w:t>
      </w:r>
      <w:r w:rsidR="00E57111" w:rsidRPr="00EA3E22">
        <w:rPr>
          <w:lang w:val="fr-CA"/>
        </w:rPr>
        <w:t xml:space="preserve"> </w:t>
      </w:r>
    </w:p>
    <w:p w14:paraId="2673CC52" w14:textId="77777777" w:rsidR="00E57111" w:rsidRPr="00EA3E22" w:rsidRDefault="00E57111" w:rsidP="00E57111">
      <w:pPr>
        <w:pStyle w:val="070DebutDivParties"/>
        <w:rPr>
          <w:color w:val="auto"/>
          <w:lang w:val="fr-CA"/>
        </w:rPr>
      </w:pPr>
    </w:p>
    <w:p w14:paraId="4372245B" w14:textId="77777777" w:rsidR="00E57111" w:rsidRPr="00EA3E22" w:rsidRDefault="00157BD9" w:rsidP="00E57111">
      <w:pPr>
        <w:pStyle w:val="071IdentificationPartie"/>
        <w:rPr>
          <w:lang w:val="fr-CA"/>
        </w:rPr>
      </w:pPr>
      <w:r w:rsidRPr="00EA3E22">
        <w:rPr>
          <w:lang w:val="fr-CA"/>
        </w:rPr>
        <w:t>ZOE PATTON</w:t>
      </w:r>
    </w:p>
    <w:p w14:paraId="0CE9843D" w14:textId="77777777" w:rsidR="00E57111" w:rsidRPr="00EA3E22" w:rsidRDefault="00157BD9" w:rsidP="00E57111">
      <w:pPr>
        <w:pStyle w:val="071IdentificationPartie"/>
        <w:rPr>
          <w:lang w:val="fr-CA"/>
        </w:rPr>
      </w:pPr>
      <w:r w:rsidRPr="00EA3E22">
        <w:rPr>
          <w:lang w:val="fr-CA"/>
        </w:rPr>
        <w:t>CLAIRE O'BRIEN</w:t>
      </w:r>
    </w:p>
    <w:p w14:paraId="7582CF14" w14:textId="77777777" w:rsidR="00E57111" w:rsidRPr="00155065" w:rsidRDefault="00157BD9" w:rsidP="00E57111">
      <w:pPr>
        <w:pStyle w:val="071IdentificationPartie"/>
        <w:rPr>
          <w:lang w:val="fr-CA"/>
        </w:rPr>
      </w:pPr>
      <w:bookmarkStart w:id="2" w:name="FinReqSignet"/>
      <w:bookmarkEnd w:id="2"/>
      <w:r>
        <w:rPr>
          <w:lang w:val="fr-CA"/>
        </w:rPr>
        <w:t>TRACEY ARIAL ET ALS</w:t>
      </w:r>
    </w:p>
    <w:p w14:paraId="364F37F0" w14:textId="77777777" w:rsidR="00E57111" w:rsidRPr="00EA3E22" w:rsidRDefault="00157BD9" w:rsidP="00E57111">
      <w:pPr>
        <w:pStyle w:val="073QualitePartie"/>
        <w:rPr>
          <w:lang w:val="fr-CA"/>
        </w:rPr>
      </w:pPr>
      <w:bookmarkStart w:id="3" w:name="FinReq"/>
      <w:bookmarkEnd w:id="3"/>
      <w:r w:rsidRPr="00EA3E22">
        <w:rPr>
          <w:lang w:val="fr-CA"/>
        </w:rPr>
        <w:t>Applicants</w:t>
      </w:r>
    </w:p>
    <w:p w14:paraId="1821CDD4" w14:textId="77777777" w:rsidR="00E57111" w:rsidRPr="00EA3E22" w:rsidRDefault="00157BD9" w:rsidP="00E57111">
      <w:pPr>
        <w:pStyle w:val="071IdentificationPartie"/>
        <w:rPr>
          <w:lang w:val="fr-CA"/>
        </w:rPr>
      </w:pPr>
      <w:r w:rsidRPr="00EA3E22">
        <w:rPr>
          <w:lang w:val="fr-CA"/>
        </w:rPr>
        <w:t>v.</w:t>
      </w:r>
    </w:p>
    <w:p w14:paraId="63E1F71C" w14:textId="6BF0D0A2" w:rsidR="00E57111" w:rsidRPr="00EA3E22" w:rsidRDefault="00157BD9" w:rsidP="00E57111">
      <w:pPr>
        <w:pStyle w:val="071IdentificationPartie"/>
        <w:rPr>
          <w:lang w:val="fr-CA"/>
        </w:rPr>
      </w:pPr>
      <w:bookmarkStart w:id="4" w:name="PageMise"/>
      <w:bookmarkStart w:id="5" w:name="sApresC"/>
      <w:bookmarkStart w:id="6" w:name="FinIntiSignet"/>
      <w:bookmarkEnd w:id="4"/>
      <w:bookmarkEnd w:id="5"/>
      <w:bookmarkEnd w:id="6"/>
      <w:r w:rsidRPr="00EA3E22">
        <w:rPr>
          <w:lang w:val="fr-CA"/>
        </w:rPr>
        <w:t>FONDS D'AIDE AUX ACTIONS COLLECTIVES</w:t>
      </w:r>
    </w:p>
    <w:p w14:paraId="6ED1D6BE" w14:textId="77777777" w:rsidR="00E57111" w:rsidRPr="00EA3E22" w:rsidRDefault="00157BD9" w:rsidP="00E57111">
      <w:pPr>
        <w:pStyle w:val="073QualitePartie"/>
        <w:rPr>
          <w:lang w:val="fr-CA"/>
        </w:rPr>
      </w:pPr>
      <w:bookmarkStart w:id="7" w:name="FinInti"/>
      <w:bookmarkStart w:id="8" w:name="FinPageTitre"/>
      <w:bookmarkStart w:id="9" w:name="sAvant1Et"/>
      <w:bookmarkEnd w:id="7"/>
      <w:bookmarkEnd w:id="8"/>
      <w:bookmarkEnd w:id="9"/>
      <w:r w:rsidRPr="00EA3E22">
        <w:rPr>
          <w:lang w:val="fr-CA"/>
        </w:rPr>
        <w:t>Respondent</w:t>
      </w:r>
    </w:p>
    <w:p w14:paraId="0328349B" w14:textId="77777777" w:rsidR="00E57111" w:rsidRPr="00155065" w:rsidRDefault="00E57111" w:rsidP="00E57111">
      <w:pPr>
        <w:pStyle w:val="071IdentificationPartie"/>
        <w:rPr>
          <w:lang w:val="fr-CA"/>
        </w:rPr>
      </w:pPr>
    </w:p>
    <w:p w14:paraId="1A7ABFA4" w14:textId="77777777" w:rsidR="00E57111" w:rsidRPr="00EA3E22" w:rsidRDefault="00157BD9" w:rsidP="00E57111">
      <w:pPr>
        <w:pStyle w:val="10TypeDecision"/>
        <w:pBdr>
          <w:top w:val="single" w:sz="2" w:space="12" w:color="000000"/>
          <w:bottom w:val="single" w:sz="2" w:space="12" w:color="000000"/>
        </w:pBdr>
        <w:rPr>
          <w:lang w:val="fr-CA"/>
        </w:rPr>
      </w:pPr>
      <w:bookmarkStart w:id="10" w:name="sEndLine"/>
      <w:bookmarkStart w:id="11" w:name="DebutSection2"/>
      <w:bookmarkStart w:id="12" w:name="sDecision"/>
      <w:bookmarkEnd w:id="10"/>
      <w:bookmarkEnd w:id="11"/>
      <w:bookmarkEnd w:id="12"/>
      <w:r w:rsidRPr="00EA3E22">
        <w:rPr>
          <w:lang w:val="fr-CA"/>
        </w:rPr>
        <w:lastRenderedPageBreak/>
        <w:t>DECISION</w:t>
      </w:r>
    </w:p>
    <w:p w14:paraId="7216C16E" w14:textId="77777777" w:rsidR="00E57111" w:rsidRPr="00155065" w:rsidRDefault="00E57111" w:rsidP="00E57111">
      <w:pPr>
        <w:pStyle w:val="00NormalDecision"/>
        <w:rPr>
          <w:lang w:val="fr-CA"/>
        </w:rPr>
        <w:sectPr w:rsidR="00E57111" w:rsidRPr="00155065" w:rsidSect="0021360C">
          <w:headerReference w:type="default" r:id="rId8"/>
          <w:pgSz w:w="12240" w:h="15840"/>
          <w:pgMar w:top="2837" w:right="1080" w:bottom="2016" w:left="1440" w:header="1699" w:footer="720" w:gutter="0"/>
          <w:cols w:space="720"/>
          <w:titlePg/>
          <w:docGrid w:linePitch="326"/>
        </w:sectPr>
      </w:pPr>
      <w:bookmarkStart w:id="13" w:name="FinSection2"/>
      <w:bookmarkEnd w:id="13"/>
    </w:p>
    <w:p w14:paraId="6E078468" w14:textId="77777777" w:rsidR="00E57111" w:rsidRPr="00155065" w:rsidRDefault="00E57111" w:rsidP="00E57111">
      <w:pPr>
        <w:pStyle w:val="00NormalDecision"/>
        <w:rPr>
          <w:lang w:val="fr-CA"/>
        </w:rPr>
      </w:pPr>
    </w:p>
    <w:p w14:paraId="316F75E7" w14:textId="77777777" w:rsidR="00E57111" w:rsidRPr="00155065" w:rsidRDefault="00E57111" w:rsidP="00E57111">
      <w:pPr>
        <w:pStyle w:val="00NormalDecision"/>
        <w:rPr>
          <w:lang w:val="fr-CA"/>
        </w:rPr>
        <w:sectPr w:rsidR="00E57111" w:rsidRPr="00155065" w:rsidSect="00E57111">
          <w:type w:val="continuous"/>
          <w:pgSz w:w="12240" w:h="15840"/>
          <w:pgMar w:top="2837" w:right="1080" w:bottom="2016" w:left="1440" w:header="1699" w:footer="720" w:gutter="0"/>
          <w:cols w:space="720"/>
        </w:sectPr>
      </w:pPr>
    </w:p>
    <w:p w14:paraId="1C0AFCF5" w14:textId="77777777" w:rsidR="00E57111" w:rsidRPr="00155065" w:rsidRDefault="00E57111" w:rsidP="00E57111">
      <w:pPr>
        <w:pStyle w:val="16Invisible2"/>
        <w:rPr>
          <w:lang w:val="fr-CA"/>
        </w:rPr>
        <w:sectPr w:rsidR="00E57111" w:rsidRPr="00155065" w:rsidSect="00E57111">
          <w:type w:val="continuous"/>
          <w:pgSz w:w="12240" w:h="15840"/>
          <w:pgMar w:top="2837" w:right="1080" w:bottom="2016" w:left="1440" w:header="1699" w:footer="720" w:gutter="0"/>
          <w:cols w:space="720"/>
        </w:sectPr>
      </w:pPr>
    </w:p>
    <w:p w14:paraId="6C96F4E7" w14:textId="5BC847B4" w:rsidR="00E57111" w:rsidRPr="00157BD9" w:rsidRDefault="00157BD9" w:rsidP="00E57111">
      <w:pPr>
        <w:pStyle w:val="F02-Texte"/>
        <w:ind w:left="0" w:firstLine="0"/>
        <w:rPr>
          <w:rFonts w:cs="Arial"/>
          <w:lang w:val="en-CA"/>
        </w:rPr>
      </w:pPr>
      <w:r w:rsidRPr="00157BD9">
        <w:rPr>
          <w:lang w:val="en-CA"/>
        </w:rPr>
        <w:t>Tracy Arial, Claire O’Brien, Erika Patton, Zoe Patton, A</w:t>
      </w:r>
      <w:r w:rsidR="005C26A7">
        <w:rPr>
          <w:lang w:val="en-CA"/>
        </w:rPr>
        <w:t>l</w:t>
      </w:r>
      <w:r w:rsidRPr="00157BD9">
        <w:rPr>
          <w:lang w:val="en-CA"/>
        </w:rPr>
        <w:t>ex Tasciyan, Mathew Nucciaroni</w:t>
      </w:r>
      <w:r w:rsidR="00C005A0">
        <w:rPr>
          <w:lang w:val="en-CA"/>
        </w:rPr>
        <w:t>,</w:t>
      </w:r>
      <w:r w:rsidRPr="00157BD9">
        <w:rPr>
          <w:lang w:val="en-CA"/>
        </w:rPr>
        <w:t xml:space="preserve"> and Vitto Deccico contest a decision</w:t>
      </w:r>
      <w:r w:rsidR="00E57111">
        <w:rPr>
          <w:rStyle w:val="Appelnotedebasdep"/>
        </w:rPr>
        <w:footnoteReference w:id="1"/>
      </w:r>
      <w:r w:rsidRPr="00157BD9">
        <w:rPr>
          <w:lang w:val="en-CA"/>
        </w:rPr>
        <w:t xml:space="preserve"> </w:t>
      </w:r>
      <w:r w:rsidR="00CD2492" w:rsidRPr="00157BD9">
        <w:rPr>
          <w:lang w:val="en-CA"/>
        </w:rPr>
        <w:t>by the Fonds d’aide aux actions collectives (the Fonds) refusing their application for financial assistance for a class action.</w:t>
      </w:r>
    </w:p>
    <w:p w14:paraId="763E4111" w14:textId="77777777" w:rsidR="00E57111" w:rsidRPr="005C26A7" w:rsidRDefault="002D2E17" w:rsidP="00E57111">
      <w:pPr>
        <w:pStyle w:val="F02-Texte"/>
        <w:ind w:left="0" w:firstLine="0"/>
        <w:rPr>
          <w:rFonts w:cs="Arial"/>
          <w:lang w:val="en-CA"/>
        </w:rPr>
      </w:pPr>
      <w:r>
        <w:rPr>
          <w:rFonts w:eastAsia="ArialMT" w:cs="Arial"/>
          <w:szCs w:val="24"/>
          <w:lang w:val="en-CA" w:eastAsia="fr-CA"/>
        </w:rPr>
        <w:t>Their application for assistance, which c</w:t>
      </w:r>
      <w:r w:rsidR="005C26A7">
        <w:rPr>
          <w:rFonts w:eastAsia="ArialMT" w:cs="Arial"/>
          <w:szCs w:val="24"/>
          <w:lang w:val="en-CA" w:eastAsia="fr-CA"/>
        </w:rPr>
        <w:t>ould</w:t>
      </w:r>
      <w:r>
        <w:rPr>
          <w:rFonts w:eastAsia="ArialMT" w:cs="Arial"/>
          <w:szCs w:val="24"/>
          <w:lang w:val="en-CA" w:eastAsia="fr-CA"/>
        </w:rPr>
        <w:t xml:space="preserve"> </w:t>
      </w:r>
      <w:r w:rsidR="005C26A7">
        <w:rPr>
          <w:rFonts w:eastAsia="ArialMT" w:cs="Arial"/>
          <w:szCs w:val="24"/>
          <w:lang w:val="en-CA" w:eastAsia="fr-CA"/>
        </w:rPr>
        <w:t>be for as much as</w:t>
      </w:r>
      <w:r>
        <w:rPr>
          <w:rFonts w:eastAsia="ArialMT" w:cs="Arial"/>
          <w:szCs w:val="24"/>
          <w:lang w:val="en-CA" w:eastAsia="fr-CA"/>
        </w:rPr>
        <w:t xml:space="preserve"> $145,400, is for the authorization stage of a class action </w:t>
      </w:r>
      <w:r w:rsidR="005C26A7">
        <w:rPr>
          <w:rFonts w:eastAsia="ArialMT" w:cs="Arial"/>
          <w:szCs w:val="24"/>
          <w:lang w:val="en-CA" w:eastAsia="fr-CA"/>
        </w:rPr>
        <w:t>aiming</w:t>
      </w:r>
      <w:r>
        <w:rPr>
          <w:rFonts w:eastAsia="ArialMT" w:cs="Arial"/>
          <w:szCs w:val="24"/>
          <w:lang w:val="en-CA" w:eastAsia="fr-CA"/>
        </w:rPr>
        <w:t xml:space="preserve"> to involve the members of a group that have, since 2013, purchased, leased, or used certain cellular telephones made or sold by Apple Canada Inc. </w:t>
      </w:r>
      <w:r w:rsidRPr="005C26A7">
        <w:rPr>
          <w:rFonts w:eastAsia="ArialMT" w:cs="Arial"/>
          <w:szCs w:val="24"/>
          <w:lang w:val="en-CA" w:eastAsia="fr-CA"/>
        </w:rPr>
        <w:t>(Apple) or Samsung Electronics Canada (Samsung).</w:t>
      </w:r>
    </w:p>
    <w:p w14:paraId="4D5332D2" w14:textId="60123FF1" w:rsidR="00E57111" w:rsidRPr="002D2E17" w:rsidRDefault="002D2E17" w:rsidP="00E57111">
      <w:pPr>
        <w:pStyle w:val="F02-Texte"/>
        <w:ind w:left="0" w:firstLine="0"/>
        <w:rPr>
          <w:rFonts w:cs="Arial"/>
          <w:szCs w:val="24"/>
          <w:lang w:val="en-CA"/>
        </w:rPr>
      </w:pPr>
      <w:r w:rsidRPr="002D2E17">
        <w:rPr>
          <w:rFonts w:cs="Arial"/>
          <w:szCs w:val="24"/>
          <w:lang w:val="en-CA"/>
        </w:rPr>
        <w:t xml:space="preserve">The Fonds refused the application for financial assistance because it considered that two of the three criteria to award financial assistance under s. 23 of </w:t>
      </w:r>
      <w:r w:rsidR="005C26A7" w:rsidRPr="002D2E17">
        <w:rPr>
          <w:rFonts w:cs="Arial"/>
          <w:szCs w:val="24"/>
          <w:lang w:val="en-CA"/>
        </w:rPr>
        <w:t>the</w:t>
      </w:r>
      <w:r w:rsidRPr="002D2E17">
        <w:rPr>
          <w:rFonts w:cs="Arial"/>
          <w:szCs w:val="24"/>
          <w:lang w:val="en-CA"/>
        </w:rPr>
        <w:t xml:space="preserve"> </w:t>
      </w:r>
      <w:r w:rsidRPr="005C26A7">
        <w:rPr>
          <w:rFonts w:cs="Arial"/>
          <w:i/>
          <w:szCs w:val="24"/>
          <w:lang w:val="en-CA"/>
        </w:rPr>
        <w:t>Act respecting the Fonds d’aide aux actions collectives</w:t>
      </w:r>
      <w:r w:rsidR="00E57111">
        <w:rPr>
          <w:rStyle w:val="Appelnotedebasdep"/>
        </w:rPr>
        <w:footnoteReference w:id="2"/>
      </w:r>
      <w:r w:rsidRPr="002D2E17">
        <w:rPr>
          <w:lang w:val="en-CA"/>
        </w:rPr>
        <w:t xml:space="preserve"> (</w:t>
      </w:r>
      <w:r w:rsidRPr="009726EF">
        <w:rPr>
          <w:i/>
          <w:lang w:val="en-CA"/>
        </w:rPr>
        <w:t>AFAAC</w:t>
      </w:r>
      <w:r w:rsidRPr="002D2E17">
        <w:rPr>
          <w:lang w:val="en-CA"/>
        </w:rPr>
        <w:t>) ha</w:t>
      </w:r>
      <w:r w:rsidR="005C26A7">
        <w:rPr>
          <w:lang w:val="en-CA"/>
        </w:rPr>
        <w:t>d</w:t>
      </w:r>
      <w:r w:rsidRPr="002D2E17">
        <w:rPr>
          <w:lang w:val="en-CA"/>
        </w:rPr>
        <w:t xml:space="preserve"> not been met, that is, the second criterion concerning the </w:t>
      </w:r>
      <w:r w:rsidR="005C26A7">
        <w:rPr>
          <w:lang w:val="en-CA"/>
        </w:rPr>
        <w:t xml:space="preserve">probable existence of </w:t>
      </w:r>
      <w:r w:rsidR="00341B27">
        <w:rPr>
          <w:lang w:val="en-CA"/>
        </w:rPr>
        <w:t>a</w:t>
      </w:r>
      <w:r w:rsidR="005C26A7">
        <w:rPr>
          <w:lang w:val="en-CA"/>
        </w:rPr>
        <w:t xml:space="preserve"> right</w:t>
      </w:r>
      <w:r w:rsidRPr="002D2E17">
        <w:rPr>
          <w:lang w:val="en-CA"/>
        </w:rPr>
        <w:t xml:space="preserve">, and the third criterion concerning the </w:t>
      </w:r>
      <w:r w:rsidR="005C26A7">
        <w:rPr>
          <w:lang w:val="en-CA"/>
        </w:rPr>
        <w:t>probability that the class action will be brought</w:t>
      </w:r>
      <w:r w:rsidRPr="002D2E17">
        <w:rPr>
          <w:lang w:val="en-CA"/>
        </w:rPr>
        <w:t>.</w:t>
      </w:r>
    </w:p>
    <w:p w14:paraId="0BD16FB2" w14:textId="00D6857D" w:rsidR="00E57111" w:rsidRPr="002D2E17" w:rsidRDefault="002D2E17" w:rsidP="00E57111">
      <w:pPr>
        <w:pStyle w:val="F02-Texte"/>
        <w:ind w:left="0" w:firstLine="0"/>
        <w:rPr>
          <w:rFonts w:cs="Arial"/>
          <w:szCs w:val="24"/>
          <w:lang w:val="en-CA"/>
        </w:rPr>
      </w:pPr>
      <w:r w:rsidRPr="002D2E17">
        <w:rPr>
          <w:lang w:val="en-CA"/>
        </w:rPr>
        <w:t xml:space="preserve">With respect to applying the criteria of </w:t>
      </w:r>
      <w:r w:rsidR="005C26A7" w:rsidRPr="002D2E17">
        <w:rPr>
          <w:lang w:val="en-CA"/>
        </w:rPr>
        <w:t>the</w:t>
      </w:r>
      <w:r w:rsidRPr="002D2E17">
        <w:rPr>
          <w:lang w:val="en-CA"/>
        </w:rPr>
        <w:t xml:space="preserve"> </w:t>
      </w:r>
      <w:r w:rsidRPr="009726EF">
        <w:rPr>
          <w:i/>
          <w:lang w:val="en-CA"/>
        </w:rPr>
        <w:t>AFAAC</w:t>
      </w:r>
      <w:r w:rsidRPr="002D2E17">
        <w:rPr>
          <w:lang w:val="en-CA"/>
        </w:rPr>
        <w:t xml:space="preserve">, the applicants argue that the </w:t>
      </w:r>
      <w:r w:rsidR="009726EF">
        <w:rPr>
          <w:lang w:val="en-CA"/>
        </w:rPr>
        <w:t xml:space="preserve">Fonds’s </w:t>
      </w:r>
      <w:r w:rsidRPr="002D2E17">
        <w:rPr>
          <w:lang w:val="en-CA"/>
        </w:rPr>
        <w:t>decision contains error</w:t>
      </w:r>
      <w:r w:rsidR="009726EF">
        <w:rPr>
          <w:lang w:val="en-CA"/>
        </w:rPr>
        <w:t>s</w:t>
      </w:r>
      <w:r w:rsidRPr="002D2E17">
        <w:rPr>
          <w:lang w:val="en-CA"/>
        </w:rPr>
        <w:t xml:space="preserve"> </w:t>
      </w:r>
      <w:r w:rsidR="00E13F12">
        <w:rPr>
          <w:lang w:val="en-CA"/>
        </w:rPr>
        <w:t>of</w:t>
      </w:r>
      <w:r w:rsidRPr="002D2E17">
        <w:rPr>
          <w:lang w:val="en-CA"/>
        </w:rPr>
        <w:t xml:space="preserve"> law and </w:t>
      </w:r>
      <w:r w:rsidR="00E13F12">
        <w:rPr>
          <w:lang w:val="en-CA"/>
        </w:rPr>
        <w:t>of</w:t>
      </w:r>
      <w:r w:rsidRPr="002D2E17">
        <w:rPr>
          <w:lang w:val="en-CA"/>
        </w:rPr>
        <w:t xml:space="preserve"> fact that demonstrate the Fonds’s misunderstanding of </w:t>
      </w:r>
      <w:r w:rsidR="009726EF" w:rsidRPr="002D2E17">
        <w:rPr>
          <w:lang w:val="en-CA"/>
        </w:rPr>
        <w:t>the</w:t>
      </w:r>
      <w:r w:rsidRPr="002D2E17">
        <w:rPr>
          <w:lang w:val="en-CA"/>
        </w:rPr>
        <w:t xml:space="preserve"> nature of their class action.</w:t>
      </w:r>
    </w:p>
    <w:p w14:paraId="7CB6A520" w14:textId="77777777" w:rsidR="00E57111" w:rsidRPr="002D2E17" w:rsidRDefault="002D2E17" w:rsidP="00E57111">
      <w:pPr>
        <w:pStyle w:val="F02-Texte"/>
        <w:autoSpaceDE w:val="0"/>
        <w:autoSpaceDN w:val="0"/>
        <w:adjustRightInd w:val="0"/>
        <w:spacing w:before="240"/>
        <w:ind w:left="0" w:firstLine="0"/>
        <w:rPr>
          <w:rFonts w:cs="Arial"/>
          <w:szCs w:val="24"/>
          <w:u w:val="single"/>
          <w:lang w:val="en-CA" w:eastAsia="fr-CA"/>
        </w:rPr>
      </w:pPr>
      <w:r w:rsidRPr="002D2E17">
        <w:rPr>
          <w:rFonts w:cs="Arial"/>
          <w:bCs/>
          <w:szCs w:val="24"/>
          <w:lang w:val="en-CA" w:eastAsia="fr-CA"/>
        </w:rPr>
        <w:t>The issue in dispute</w:t>
      </w:r>
      <w:r w:rsidR="00E57111">
        <w:rPr>
          <w:rStyle w:val="Appelnotedebasdep"/>
        </w:rPr>
        <w:footnoteReference w:id="3"/>
      </w:r>
      <w:r w:rsidRPr="002D2E17">
        <w:rPr>
          <w:rFonts w:cs="Arial"/>
          <w:bCs/>
          <w:szCs w:val="24"/>
          <w:lang w:val="en-CA" w:eastAsia="fr-CA"/>
        </w:rPr>
        <w:t xml:space="preserve"> is the following: Were the criteria to award financial assistance set out under s. 23 </w:t>
      </w:r>
      <w:r w:rsidRPr="009726EF">
        <w:rPr>
          <w:rFonts w:cs="Arial"/>
          <w:bCs/>
          <w:i/>
          <w:szCs w:val="24"/>
          <w:lang w:val="en-CA" w:eastAsia="fr-CA"/>
        </w:rPr>
        <w:t>AFAAC</w:t>
      </w:r>
      <w:r w:rsidRPr="002D2E17">
        <w:rPr>
          <w:rFonts w:cs="Arial"/>
          <w:bCs/>
          <w:szCs w:val="24"/>
          <w:lang w:val="en-CA" w:eastAsia="fr-CA"/>
        </w:rPr>
        <w:t xml:space="preserve"> </w:t>
      </w:r>
      <w:r w:rsidR="009726EF">
        <w:rPr>
          <w:rFonts w:cs="Arial"/>
          <w:bCs/>
          <w:szCs w:val="24"/>
          <w:lang w:val="en-CA" w:eastAsia="fr-CA"/>
        </w:rPr>
        <w:t>met</w:t>
      </w:r>
      <w:r w:rsidRPr="002D2E17">
        <w:rPr>
          <w:rFonts w:cs="Arial"/>
          <w:bCs/>
          <w:szCs w:val="24"/>
          <w:lang w:val="en-CA" w:eastAsia="fr-CA"/>
        </w:rPr>
        <w:t>?</w:t>
      </w:r>
    </w:p>
    <w:p w14:paraId="05E9B5F0" w14:textId="2330270D" w:rsidR="00E57111" w:rsidRPr="002D2E17" w:rsidRDefault="002D2E17" w:rsidP="00E57111">
      <w:pPr>
        <w:pStyle w:val="F02-Texte"/>
        <w:autoSpaceDE w:val="0"/>
        <w:autoSpaceDN w:val="0"/>
        <w:adjustRightInd w:val="0"/>
        <w:spacing w:before="240"/>
        <w:ind w:left="0" w:firstLine="0"/>
        <w:rPr>
          <w:rFonts w:cs="Arial"/>
          <w:szCs w:val="24"/>
          <w:lang w:val="en-CA" w:eastAsia="fr-CA"/>
        </w:rPr>
      </w:pPr>
      <w:r w:rsidRPr="002D2E17">
        <w:rPr>
          <w:lang w:val="en-CA"/>
        </w:rPr>
        <w:t xml:space="preserve">The Tribunal concludes that all the criteria for awarding financial assistance set out </w:t>
      </w:r>
      <w:r w:rsidR="00E13F12">
        <w:rPr>
          <w:lang w:val="en-CA"/>
        </w:rPr>
        <w:t>in</w:t>
      </w:r>
      <w:r w:rsidRPr="002D2E17">
        <w:rPr>
          <w:lang w:val="en-CA"/>
        </w:rPr>
        <w:t xml:space="preserve"> s. 23 </w:t>
      </w:r>
      <w:r w:rsidRPr="009726EF">
        <w:rPr>
          <w:i/>
          <w:lang w:val="en-CA"/>
        </w:rPr>
        <w:t xml:space="preserve">AFAAC </w:t>
      </w:r>
      <w:r w:rsidR="00FC3327">
        <w:rPr>
          <w:lang w:val="en-CA"/>
        </w:rPr>
        <w:t>are</w:t>
      </w:r>
      <w:r w:rsidRPr="002D2E17">
        <w:rPr>
          <w:lang w:val="en-CA"/>
        </w:rPr>
        <w:t xml:space="preserve"> </w:t>
      </w:r>
      <w:r w:rsidR="009726EF">
        <w:rPr>
          <w:lang w:val="en-CA"/>
        </w:rPr>
        <w:t>met</w:t>
      </w:r>
      <w:r w:rsidRPr="002D2E17">
        <w:rPr>
          <w:lang w:val="en-CA"/>
        </w:rPr>
        <w:t xml:space="preserve"> and, accordingly, grants the proceeding, sets aside the</w:t>
      </w:r>
      <w:r w:rsidR="009726EF">
        <w:rPr>
          <w:lang w:val="en-CA"/>
        </w:rPr>
        <w:t xml:space="preserve"> Fonds’s</w:t>
      </w:r>
      <w:r w:rsidRPr="002D2E17">
        <w:rPr>
          <w:lang w:val="en-CA"/>
        </w:rPr>
        <w:t xml:space="preserve"> decision</w:t>
      </w:r>
      <w:r w:rsidR="00E13F12">
        <w:rPr>
          <w:lang w:val="en-CA"/>
        </w:rPr>
        <w:t>,</w:t>
      </w:r>
      <w:r w:rsidRPr="002D2E17">
        <w:rPr>
          <w:lang w:val="en-CA"/>
        </w:rPr>
        <w:t xml:space="preserve"> and orders it </w:t>
      </w:r>
      <w:r w:rsidR="00C73D13">
        <w:rPr>
          <w:lang w:val="en-CA"/>
        </w:rPr>
        <w:t>to grant</w:t>
      </w:r>
      <w:r w:rsidRPr="002D2E17">
        <w:rPr>
          <w:lang w:val="en-CA"/>
        </w:rPr>
        <w:t xml:space="preserve"> the assistance </w:t>
      </w:r>
      <w:r w:rsidR="00C73D13">
        <w:rPr>
          <w:lang w:val="en-CA"/>
        </w:rPr>
        <w:t>after</w:t>
      </w:r>
      <w:r w:rsidRPr="002D2E17">
        <w:rPr>
          <w:lang w:val="en-CA"/>
        </w:rPr>
        <w:t xml:space="preserve"> agreement with the attorney for the applicants in accordance with s. 25 </w:t>
      </w:r>
      <w:r w:rsidRPr="00EF5512">
        <w:rPr>
          <w:i/>
          <w:lang w:val="en-CA"/>
        </w:rPr>
        <w:t>AFAAC</w:t>
      </w:r>
      <w:r w:rsidRPr="002D2E17">
        <w:rPr>
          <w:lang w:val="en-CA"/>
        </w:rPr>
        <w:t>.</w:t>
      </w:r>
    </w:p>
    <w:p w14:paraId="71F56EA8" w14:textId="77777777" w:rsidR="00E57111" w:rsidRPr="00EA3E22" w:rsidRDefault="002D2E17" w:rsidP="00E57111">
      <w:pPr>
        <w:pStyle w:val="F08-Titre"/>
      </w:pPr>
      <w:r w:rsidRPr="00EA3E22">
        <w:lastRenderedPageBreak/>
        <w:t>BACKGROUND</w:t>
      </w:r>
    </w:p>
    <w:p w14:paraId="6FA32541" w14:textId="3D35DD00" w:rsidR="00E57111" w:rsidRPr="002D2E17" w:rsidRDefault="002D2E17" w:rsidP="00E57111">
      <w:pPr>
        <w:pStyle w:val="F02-Texte"/>
        <w:ind w:left="0" w:firstLine="0"/>
        <w:rPr>
          <w:u w:val="single"/>
          <w:lang w:val="en-CA"/>
        </w:rPr>
      </w:pPr>
      <w:r w:rsidRPr="002D2E17">
        <w:rPr>
          <w:lang w:val="en-CA"/>
        </w:rPr>
        <w:t xml:space="preserve">On September 4, 2019, the applicants filed an application </w:t>
      </w:r>
      <w:r w:rsidR="00075690">
        <w:rPr>
          <w:lang w:val="en-CA"/>
        </w:rPr>
        <w:t xml:space="preserve">in the Superior Court </w:t>
      </w:r>
      <w:r w:rsidRPr="002D2E17">
        <w:rPr>
          <w:lang w:val="en-CA"/>
        </w:rPr>
        <w:t>for authorization to institute a class action and to appoint a representative.</w:t>
      </w:r>
    </w:p>
    <w:p w14:paraId="60D92320" w14:textId="77777777" w:rsidR="00E57111" w:rsidRPr="002D2E17" w:rsidRDefault="00EF5512" w:rsidP="00E57111">
      <w:pPr>
        <w:pStyle w:val="F02-Texte"/>
        <w:ind w:left="0" w:firstLine="0"/>
        <w:rPr>
          <w:lang w:val="en-CA"/>
        </w:rPr>
      </w:pPr>
      <w:r>
        <w:rPr>
          <w:spacing w:val="-5"/>
          <w:lang w:val="en-CA"/>
        </w:rPr>
        <w:t>On November 15, 2019, the Fo</w:t>
      </w:r>
      <w:r w:rsidR="002D2E17" w:rsidRPr="002D2E17">
        <w:rPr>
          <w:spacing w:val="-5"/>
          <w:lang w:val="en-CA"/>
        </w:rPr>
        <w:t xml:space="preserve">nds received an application for financial assistance for the authorization stage of </w:t>
      </w:r>
      <w:r w:rsidRPr="002D2E17">
        <w:rPr>
          <w:spacing w:val="-5"/>
          <w:lang w:val="en-CA"/>
        </w:rPr>
        <w:t>the</w:t>
      </w:r>
      <w:r w:rsidR="002D2E17" w:rsidRPr="002D2E17">
        <w:rPr>
          <w:spacing w:val="-5"/>
          <w:lang w:val="en-CA"/>
        </w:rPr>
        <w:t xml:space="preserve"> class action with an amended application dated November 4, 2019.</w:t>
      </w:r>
    </w:p>
    <w:p w14:paraId="05256DDA" w14:textId="77777777" w:rsidR="00E57111" w:rsidRPr="002D2E17" w:rsidRDefault="002D2E17" w:rsidP="00E57111">
      <w:pPr>
        <w:pStyle w:val="F02-Texte"/>
        <w:ind w:left="0" w:firstLine="0"/>
        <w:rPr>
          <w:lang w:val="en-CA"/>
        </w:rPr>
      </w:pPr>
      <w:r w:rsidRPr="002D2E17">
        <w:rPr>
          <w:lang w:val="en-CA"/>
        </w:rPr>
        <w:t xml:space="preserve">On December 15, 2019, the applicants gave the </w:t>
      </w:r>
      <w:r w:rsidR="00EF5512" w:rsidRPr="002D2E17">
        <w:rPr>
          <w:lang w:val="en-CA"/>
        </w:rPr>
        <w:t>Fonds</w:t>
      </w:r>
      <w:r w:rsidRPr="002D2E17">
        <w:rPr>
          <w:lang w:val="en-CA"/>
        </w:rPr>
        <w:t xml:space="preserve"> additional information</w:t>
      </w:r>
      <w:r w:rsidR="00EF5512">
        <w:rPr>
          <w:lang w:val="en-CA"/>
        </w:rPr>
        <w:t xml:space="preserve"> including a second application that had been</w:t>
      </w:r>
      <w:r w:rsidRPr="002D2E17">
        <w:rPr>
          <w:lang w:val="en-CA"/>
        </w:rPr>
        <w:t xml:space="preserve"> amended that day.</w:t>
      </w:r>
    </w:p>
    <w:p w14:paraId="07F3F4E7" w14:textId="3E3A90E8" w:rsidR="00E57111" w:rsidRPr="002D2E17" w:rsidRDefault="002D2E17" w:rsidP="00E57111">
      <w:pPr>
        <w:pStyle w:val="F02-Texte"/>
        <w:ind w:left="0" w:firstLine="0"/>
        <w:rPr>
          <w:rFonts w:cs="Arial"/>
          <w:szCs w:val="24"/>
          <w:u w:val="single"/>
          <w:lang w:val="en-CA"/>
        </w:rPr>
      </w:pPr>
      <w:r w:rsidRPr="002D2E17">
        <w:rPr>
          <w:rFonts w:eastAsia="ArialMT" w:cs="Arial"/>
          <w:szCs w:val="24"/>
          <w:lang w:val="en-CA" w:eastAsia="fr-CA"/>
        </w:rPr>
        <w:t xml:space="preserve">In that application, the applicants sought the authorization to institute on their </w:t>
      </w:r>
      <w:r w:rsidR="00EF5512">
        <w:rPr>
          <w:rFonts w:eastAsia="ArialMT" w:cs="Arial"/>
          <w:szCs w:val="24"/>
          <w:lang w:val="en-CA" w:eastAsia="fr-CA"/>
        </w:rPr>
        <w:t xml:space="preserve">own </w:t>
      </w:r>
      <w:r w:rsidRPr="002D2E17">
        <w:rPr>
          <w:rFonts w:eastAsia="ArialMT" w:cs="Arial"/>
          <w:szCs w:val="24"/>
          <w:lang w:val="en-CA" w:eastAsia="fr-CA"/>
        </w:rPr>
        <w:t xml:space="preserve">behalf and </w:t>
      </w:r>
      <w:r w:rsidR="00075690">
        <w:rPr>
          <w:rFonts w:eastAsia="ArialMT" w:cs="Arial"/>
          <w:szCs w:val="24"/>
          <w:lang w:val="en-CA" w:eastAsia="fr-CA"/>
        </w:rPr>
        <w:t xml:space="preserve">on </w:t>
      </w:r>
      <w:r w:rsidRPr="002D2E17">
        <w:rPr>
          <w:rFonts w:eastAsia="ArialMT" w:cs="Arial"/>
          <w:szCs w:val="24"/>
          <w:lang w:val="en-CA" w:eastAsia="fr-CA"/>
        </w:rPr>
        <w:t xml:space="preserve">that of the </w:t>
      </w:r>
      <w:r w:rsidR="00EF5512">
        <w:rPr>
          <w:rFonts w:eastAsia="ArialMT" w:cs="Arial"/>
          <w:szCs w:val="24"/>
          <w:lang w:val="en-CA" w:eastAsia="fr-CA"/>
        </w:rPr>
        <w:t xml:space="preserve">class </w:t>
      </w:r>
      <w:r w:rsidRPr="002D2E17">
        <w:rPr>
          <w:rFonts w:eastAsia="ArialMT" w:cs="Arial"/>
          <w:szCs w:val="24"/>
          <w:lang w:val="en-CA" w:eastAsia="fr-CA"/>
        </w:rPr>
        <w:t xml:space="preserve">members an action for compensatory damages, punitive damages, and for an injunction to </w:t>
      </w:r>
      <w:r w:rsidR="00075690">
        <w:rPr>
          <w:rFonts w:eastAsia="ArialMT" w:cs="Arial"/>
          <w:szCs w:val="24"/>
          <w:lang w:val="en-CA" w:eastAsia="fr-CA"/>
        </w:rPr>
        <w:t>sanction</w:t>
      </w:r>
      <w:r w:rsidRPr="002D2E17">
        <w:rPr>
          <w:rFonts w:eastAsia="ArialMT" w:cs="Arial"/>
          <w:szCs w:val="24"/>
          <w:lang w:val="en-CA" w:eastAsia="fr-CA"/>
        </w:rPr>
        <w:t xml:space="preserve"> some of Apple and Samsung’s business practices.</w:t>
      </w:r>
      <w:r w:rsidR="00E57111">
        <w:rPr>
          <w:rStyle w:val="Appelnotedebasdep"/>
        </w:rPr>
        <w:footnoteReference w:id="4"/>
      </w:r>
    </w:p>
    <w:p w14:paraId="3506F7F1" w14:textId="67E2C69C" w:rsidR="00E57111" w:rsidRPr="00997003" w:rsidRDefault="002D2E17" w:rsidP="00E57111">
      <w:pPr>
        <w:pStyle w:val="F02-Texte"/>
        <w:ind w:left="0" w:firstLine="0"/>
        <w:rPr>
          <w:rFonts w:cs="Arial"/>
          <w:szCs w:val="24"/>
          <w:lang w:val="en-CA"/>
        </w:rPr>
      </w:pPr>
      <w:r w:rsidRPr="002D2E17">
        <w:rPr>
          <w:rFonts w:cs="Arial"/>
          <w:szCs w:val="24"/>
          <w:lang w:val="en-CA"/>
        </w:rPr>
        <w:t xml:space="preserve">On February 24, 2020, the Fonds held a hearing on the application for financial assistance at the authorization stage, </w:t>
      </w:r>
      <w:r w:rsidR="00997003" w:rsidRPr="002D2E17">
        <w:rPr>
          <w:rFonts w:cs="Arial"/>
          <w:szCs w:val="24"/>
          <w:lang w:val="en-CA"/>
        </w:rPr>
        <w:t>which</w:t>
      </w:r>
      <w:r w:rsidRPr="002D2E17">
        <w:rPr>
          <w:rFonts w:cs="Arial"/>
          <w:szCs w:val="24"/>
          <w:lang w:val="en-CA"/>
        </w:rPr>
        <w:t xml:space="preserve"> was attended by counsel for the applicants, the applicants Tracy Arial, Zoe Patton, Clair O’Brien</w:t>
      </w:r>
      <w:r w:rsidR="00DF5847">
        <w:rPr>
          <w:rFonts w:cs="Arial"/>
          <w:szCs w:val="24"/>
          <w:lang w:val="en-CA"/>
        </w:rPr>
        <w:t>,</w:t>
      </w:r>
      <w:r w:rsidRPr="002D2E17">
        <w:rPr>
          <w:rFonts w:cs="Arial"/>
          <w:szCs w:val="24"/>
          <w:lang w:val="en-CA"/>
        </w:rPr>
        <w:t xml:space="preserve"> </w:t>
      </w:r>
      <w:r w:rsidR="00997003" w:rsidRPr="002D2E17">
        <w:rPr>
          <w:rFonts w:cs="Arial"/>
          <w:szCs w:val="24"/>
          <w:lang w:val="en-CA"/>
        </w:rPr>
        <w:t>and</w:t>
      </w:r>
      <w:r w:rsidRPr="002D2E17">
        <w:rPr>
          <w:rFonts w:cs="Arial"/>
          <w:szCs w:val="24"/>
          <w:lang w:val="en-CA"/>
        </w:rPr>
        <w:t xml:space="preserve"> their expert </w:t>
      </w:r>
      <w:r w:rsidRPr="00997003">
        <w:rPr>
          <w:rFonts w:cs="Arial"/>
          <w:szCs w:val="24"/>
          <w:lang w:val="en-CA"/>
        </w:rPr>
        <w:t xml:space="preserve">Pedro Gregorio, an engineer. </w:t>
      </w:r>
    </w:p>
    <w:p w14:paraId="6762B0F7" w14:textId="77777777" w:rsidR="00E57111" w:rsidRPr="002D2E17" w:rsidRDefault="002D2E17" w:rsidP="00E57111">
      <w:pPr>
        <w:pStyle w:val="F02-Texte"/>
        <w:ind w:left="0" w:firstLine="0"/>
        <w:rPr>
          <w:lang w:val="en-CA"/>
        </w:rPr>
      </w:pPr>
      <w:r w:rsidRPr="002D2E17">
        <w:rPr>
          <w:lang w:val="en-CA"/>
        </w:rPr>
        <w:t xml:space="preserve">On April 16, 2020, the </w:t>
      </w:r>
      <w:r w:rsidR="00997003" w:rsidRPr="002D2E17">
        <w:rPr>
          <w:lang w:val="en-CA"/>
        </w:rPr>
        <w:t>Fonds</w:t>
      </w:r>
      <w:r w:rsidRPr="002D2E17">
        <w:rPr>
          <w:lang w:val="en-CA"/>
        </w:rPr>
        <w:t xml:space="preserve"> rendered its decision refusing the application for financial assistance.</w:t>
      </w:r>
      <w:r w:rsidR="00E57111">
        <w:rPr>
          <w:rStyle w:val="Appelnotedebasdep"/>
        </w:rPr>
        <w:footnoteReference w:id="5"/>
      </w:r>
    </w:p>
    <w:p w14:paraId="502BDA75" w14:textId="4568FA48" w:rsidR="00E57111" w:rsidRPr="002D2E17" w:rsidRDefault="002D2E17" w:rsidP="00E57111">
      <w:pPr>
        <w:pStyle w:val="F02-Texte"/>
        <w:ind w:left="0" w:firstLine="0"/>
        <w:rPr>
          <w:lang w:val="en-CA"/>
        </w:rPr>
      </w:pPr>
      <w:r w:rsidRPr="002D2E17">
        <w:rPr>
          <w:lang w:val="en-CA"/>
        </w:rPr>
        <w:t xml:space="preserve">On June 18, 2020, the </w:t>
      </w:r>
      <w:r w:rsidR="00997003" w:rsidRPr="002D2E17">
        <w:rPr>
          <w:lang w:val="en-CA"/>
        </w:rPr>
        <w:t>Superior</w:t>
      </w:r>
      <w:r w:rsidRPr="002D2E17">
        <w:rPr>
          <w:lang w:val="en-CA"/>
        </w:rPr>
        <w:t xml:space="preserve"> </w:t>
      </w:r>
      <w:r w:rsidR="00997003" w:rsidRPr="002D2E17">
        <w:rPr>
          <w:lang w:val="en-CA"/>
        </w:rPr>
        <w:t>Court</w:t>
      </w:r>
      <w:r w:rsidRPr="002D2E17">
        <w:rPr>
          <w:lang w:val="en-CA"/>
        </w:rPr>
        <w:t xml:space="preserve"> granted in part the applications </w:t>
      </w:r>
      <w:r w:rsidR="00997003">
        <w:rPr>
          <w:lang w:val="en-CA"/>
        </w:rPr>
        <w:t>of</w:t>
      </w:r>
      <w:r w:rsidRPr="002D2E17">
        <w:rPr>
          <w:lang w:val="en-CA"/>
        </w:rPr>
        <w:t xml:space="preserve"> Apple and Samsung to present evidence </w:t>
      </w:r>
      <w:r w:rsidR="00997003" w:rsidRPr="002D2E17">
        <w:rPr>
          <w:lang w:val="en-CA"/>
        </w:rPr>
        <w:t>and</w:t>
      </w:r>
      <w:r w:rsidRPr="002D2E17">
        <w:rPr>
          <w:lang w:val="en-CA"/>
        </w:rPr>
        <w:t xml:space="preserve"> authori</w:t>
      </w:r>
      <w:r w:rsidR="00DF5847">
        <w:rPr>
          <w:lang w:val="en-CA"/>
        </w:rPr>
        <w:t>z</w:t>
      </w:r>
      <w:r w:rsidRPr="002D2E17">
        <w:rPr>
          <w:lang w:val="en-CA"/>
        </w:rPr>
        <w:t>e</w:t>
      </w:r>
      <w:r w:rsidR="00997003">
        <w:rPr>
          <w:lang w:val="en-CA"/>
        </w:rPr>
        <w:t>d</w:t>
      </w:r>
      <w:r w:rsidRPr="002D2E17">
        <w:rPr>
          <w:lang w:val="en-CA"/>
        </w:rPr>
        <w:t xml:space="preserve"> the production </w:t>
      </w:r>
      <w:r w:rsidR="00997003">
        <w:rPr>
          <w:lang w:val="en-CA"/>
        </w:rPr>
        <w:t>of</w:t>
      </w:r>
      <w:r w:rsidRPr="002D2E17">
        <w:rPr>
          <w:lang w:val="en-CA"/>
        </w:rPr>
        <w:t xml:space="preserve"> certain exhibits.</w:t>
      </w:r>
      <w:r w:rsidR="00E57111">
        <w:rPr>
          <w:rStyle w:val="Appelnotedebasdep"/>
        </w:rPr>
        <w:footnoteReference w:id="6"/>
      </w:r>
    </w:p>
    <w:p w14:paraId="3D689578" w14:textId="77777777" w:rsidR="00E57111" w:rsidRPr="002D2E17" w:rsidRDefault="002D2E17" w:rsidP="00E57111">
      <w:pPr>
        <w:pStyle w:val="F02-Texte"/>
        <w:ind w:left="0" w:firstLine="0"/>
        <w:rPr>
          <w:lang w:val="en-CA"/>
        </w:rPr>
      </w:pPr>
      <w:r w:rsidRPr="002D2E17">
        <w:rPr>
          <w:lang w:val="en-CA"/>
        </w:rPr>
        <w:t xml:space="preserve">On June 23, 2020, the applicants filed a proceeding </w:t>
      </w:r>
      <w:r w:rsidR="00997003" w:rsidRPr="002D2E17">
        <w:rPr>
          <w:lang w:val="en-CA"/>
        </w:rPr>
        <w:t>before the Tribunal</w:t>
      </w:r>
      <w:r w:rsidR="00997003">
        <w:rPr>
          <w:lang w:val="en-CA"/>
        </w:rPr>
        <w:t xml:space="preserve"> contesting</w:t>
      </w:r>
      <w:r w:rsidRPr="002D2E17">
        <w:rPr>
          <w:lang w:val="en-CA"/>
        </w:rPr>
        <w:t xml:space="preserve"> the Fonds’s decision.</w:t>
      </w:r>
      <w:r w:rsidR="00E57111" w:rsidRPr="002D2E17">
        <w:rPr>
          <w:lang w:val="en-CA"/>
        </w:rPr>
        <w:t xml:space="preserve"> </w:t>
      </w:r>
      <w:r>
        <w:rPr>
          <w:lang w:val="en-CA"/>
        </w:rPr>
        <w:t>They amended that proceeding on October 30, 2020.</w:t>
      </w:r>
    </w:p>
    <w:p w14:paraId="703AE3B3" w14:textId="649A15E3" w:rsidR="00E57111" w:rsidRPr="002D2E17" w:rsidRDefault="002D2E17" w:rsidP="00E57111">
      <w:pPr>
        <w:pStyle w:val="F02-Texte"/>
        <w:ind w:left="0" w:firstLine="0"/>
        <w:rPr>
          <w:u w:val="single"/>
          <w:lang w:val="en-CA"/>
        </w:rPr>
      </w:pPr>
      <w:r w:rsidRPr="002D2E17">
        <w:rPr>
          <w:lang w:val="en-CA"/>
        </w:rPr>
        <w:t xml:space="preserve">Finally, on August 13, 2020, the </w:t>
      </w:r>
      <w:r w:rsidR="00997003" w:rsidRPr="002D2E17">
        <w:rPr>
          <w:lang w:val="en-CA"/>
        </w:rPr>
        <w:t>applicants</w:t>
      </w:r>
      <w:r w:rsidRPr="002D2E17">
        <w:rPr>
          <w:lang w:val="en-CA"/>
        </w:rPr>
        <w:t xml:space="preserve"> once again amended their application </w:t>
      </w:r>
      <w:r w:rsidR="00997003">
        <w:rPr>
          <w:lang w:val="en-CA"/>
        </w:rPr>
        <w:t>before</w:t>
      </w:r>
      <w:r w:rsidRPr="002D2E17">
        <w:rPr>
          <w:lang w:val="en-CA"/>
        </w:rPr>
        <w:t xml:space="preserve"> the Superior </w:t>
      </w:r>
      <w:r w:rsidR="00997003" w:rsidRPr="002D2E17">
        <w:rPr>
          <w:lang w:val="en-CA"/>
        </w:rPr>
        <w:t>Court</w:t>
      </w:r>
      <w:r w:rsidRPr="002D2E17">
        <w:rPr>
          <w:lang w:val="en-CA"/>
        </w:rPr>
        <w:t xml:space="preserve"> </w:t>
      </w:r>
      <w:r w:rsidR="00997003">
        <w:rPr>
          <w:lang w:val="en-CA"/>
        </w:rPr>
        <w:t>with regard to</w:t>
      </w:r>
      <w:r w:rsidRPr="002D2E17">
        <w:rPr>
          <w:lang w:val="en-CA"/>
        </w:rPr>
        <w:t xml:space="preserve">, </w:t>
      </w:r>
      <w:r w:rsidRPr="00997003">
        <w:rPr>
          <w:i/>
          <w:lang w:val="en-CA"/>
        </w:rPr>
        <w:t>inter alia</w:t>
      </w:r>
      <w:r w:rsidRPr="002D2E17">
        <w:rPr>
          <w:lang w:val="en-CA"/>
        </w:rPr>
        <w:t xml:space="preserve">, the definition of </w:t>
      </w:r>
      <w:r w:rsidR="00997003" w:rsidRPr="002D2E17">
        <w:rPr>
          <w:lang w:val="en-CA"/>
        </w:rPr>
        <w:t>the</w:t>
      </w:r>
      <w:r w:rsidRPr="002D2E17">
        <w:rPr>
          <w:lang w:val="en-CA"/>
        </w:rPr>
        <w:t xml:space="preserve"> </w:t>
      </w:r>
      <w:r w:rsidR="00997003">
        <w:rPr>
          <w:lang w:val="en-CA"/>
        </w:rPr>
        <w:t>class</w:t>
      </w:r>
      <w:r w:rsidRPr="002D2E17">
        <w:rPr>
          <w:lang w:val="en-CA"/>
        </w:rPr>
        <w:t>, specify</w:t>
      </w:r>
      <w:r w:rsidR="00493A2B">
        <w:rPr>
          <w:lang w:val="en-CA"/>
        </w:rPr>
        <w:t>ing</w:t>
      </w:r>
      <w:r w:rsidRPr="002D2E17">
        <w:rPr>
          <w:lang w:val="en-CA"/>
        </w:rPr>
        <w:t xml:space="preserve"> that the persons concerned must reside in the province of Qu</w:t>
      </w:r>
      <w:r w:rsidR="00493A2B">
        <w:rPr>
          <w:lang w:val="en-CA"/>
        </w:rPr>
        <w:t>e</w:t>
      </w:r>
      <w:r w:rsidRPr="002D2E17">
        <w:rPr>
          <w:lang w:val="en-CA"/>
        </w:rPr>
        <w:t>bec.</w:t>
      </w:r>
    </w:p>
    <w:p w14:paraId="1E3E3254" w14:textId="77777777" w:rsidR="00E57111" w:rsidRPr="00EA3E22" w:rsidRDefault="002D2E17" w:rsidP="00E57111">
      <w:pPr>
        <w:pStyle w:val="F08-Titre"/>
        <w:rPr>
          <w:lang w:val="en-CA"/>
        </w:rPr>
      </w:pPr>
      <w:r w:rsidRPr="00EA3E22">
        <w:rPr>
          <w:lang w:val="en-CA"/>
        </w:rPr>
        <w:lastRenderedPageBreak/>
        <w:t>ANALYSIS</w:t>
      </w:r>
    </w:p>
    <w:p w14:paraId="531D945C" w14:textId="77777777" w:rsidR="00E57111" w:rsidRPr="002D2E17" w:rsidRDefault="00E57111" w:rsidP="00E57111">
      <w:pPr>
        <w:pStyle w:val="F08-Titre"/>
        <w:rPr>
          <w:i/>
          <w:lang w:val="en-CA"/>
        </w:rPr>
      </w:pPr>
      <w:r w:rsidRPr="002D2E17">
        <w:rPr>
          <w:i/>
          <w:lang w:val="en-CA"/>
        </w:rPr>
        <w:t xml:space="preserve">1) </w:t>
      </w:r>
      <w:r w:rsidR="002D2E17" w:rsidRPr="00EA3E22">
        <w:rPr>
          <w:i/>
          <w:lang w:val="en-CA"/>
        </w:rPr>
        <w:t>Nature of the proceeding before the Tribunal</w:t>
      </w:r>
    </w:p>
    <w:p w14:paraId="30D17114" w14:textId="2156ABE1" w:rsidR="00E57111" w:rsidRPr="002D2E17" w:rsidRDefault="002D2E17" w:rsidP="00E57111">
      <w:pPr>
        <w:pStyle w:val="F02-Texte"/>
        <w:ind w:left="0" w:firstLine="0"/>
        <w:rPr>
          <w:u w:val="single"/>
          <w:lang w:val="en-CA"/>
        </w:rPr>
      </w:pPr>
      <w:r w:rsidRPr="002D2E17">
        <w:rPr>
          <w:lang w:val="en-CA"/>
        </w:rPr>
        <w:t xml:space="preserve">The applicants’ proceeding is based on s. 35 of </w:t>
      </w:r>
      <w:r w:rsidR="00997003" w:rsidRPr="002D2E17">
        <w:rPr>
          <w:lang w:val="en-CA"/>
        </w:rPr>
        <w:t>the</w:t>
      </w:r>
      <w:r w:rsidRPr="002D2E17">
        <w:rPr>
          <w:lang w:val="en-CA"/>
        </w:rPr>
        <w:t xml:space="preserve"> </w:t>
      </w:r>
      <w:r w:rsidRPr="00997003">
        <w:rPr>
          <w:i/>
          <w:lang w:val="en-CA"/>
        </w:rPr>
        <w:t>AFAAC</w:t>
      </w:r>
      <w:r w:rsidRPr="002D2E17">
        <w:rPr>
          <w:lang w:val="en-CA"/>
        </w:rPr>
        <w:t xml:space="preserve">, which </w:t>
      </w:r>
      <w:r w:rsidR="00997003">
        <w:rPr>
          <w:lang w:val="en-CA"/>
        </w:rPr>
        <w:t>establishes the possibility of contesting</w:t>
      </w:r>
      <w:r w:rsidRPr="002D2E17">
        <w:rPr>
          <w:lang w:val="en-CA"/>
        </w:rPr>
        <w:t xml:space="preserve"> a decision </w:t>
      </w:r>
      <w:r w:rsidR="00501A07">
        <w:rPr>
          <w:lang w:val="en-CA"/>
        </w:rPr>
        <w:t>of</w:t>
      </w:r>
      <w:r w:rsidRPr="002D2E17">
        <w:rPr>
          <w:lang w:val="en-CA"/>
        </w:rPr>
        <w:t xml:space="preserve"> the Fonds before the Tribunal.</w:t>
      </w:r>
    </w:p>
    <w:p w14:paraId="6DEBD611" w14:textId="513CDC75" w:rsidR="00E57111" w:rsidRPr="002D2E17" w:rsidRDefault="002D2E17" w:rsidP="00E57111">
      <w:pPr>
        <w:pStyle w:val="F02-Texte"/>
        <w:ind w:left="0" w:firstLine="0"/>
        <w:rPr>
          <w:u w:val="single"/>
          <w:lang w:val="en-CA"/>
        </w:rPr>
      </w:pPr>
      <w:r w:rsidRPr="002D2E17">
        <w:rPr>
          <w:lang w:val="en-CA"/>
        </w:rPr>
        <w:t xml:space="preserve">The Fonds is of the view that since the Supreme </w:t>
      </w:r>
      <w:r w:rsidR="00997003" w:rsidRPr="002D2E17">
        <w:rPr>
          <w:lang w:val="en-CA"/>
        </w:rPr>
        <w:t>Court</w:t>
      </w:r>
      <w:r w:rsidRPr="002D2E17">
        <w:rPr>
          <w:lang w:val="en-CA"/>
        </w:rPr>
        <w:t xml:space="preserve"> of Canada</w:t>
      </w:r>
      <w:r w:rsidR="00010057">
        <w:rPr>
          <w:lang w:val="en-CA"/>
        </w:rPr>
        <w:t>’s</w:t>
      </w:r>
      <w:r w:rsidRPr="002D2E17">
        <w:rPr>
          <w:lang w:val="en-CA"/>
        </w:rPr>
        <w:t xml:space="preserve"> judgment in </w:t>
      </w:r>
      <w:r w:rsidRPr="00AB3A21">
        <w:rPr>
          <w:i/>
          <w:lang w:val="en-CA"/>
        </w:rPr>
        <w:t>Vavilov</w:t>
      </w:r>
      <w:r w:rsidRPr="002D2E17">
        <w:rPr>
          <w:lang w:val="en-CA"/>
        </w:rPr>
        <w:t>,</w:t>
      </w:r>
      <w:r w:rsidR="00E57111" w:rsidRPr="00AB3A21">
        <w:rPr>
          <w:rStyle w:val="Appelnotedebasdep"/>
        </w:rPr>
        <w:footnoteReference w:id="7"/>
      </w:r>
      <w:r w:rsidRPr="00AB3A21">
        <w:rPr>
          <w:lang w:val="en-CA"/>
        </w:rPr>
        <w:t xml:space="preserve"> </w:t>
      </w:r>
      <w:r w:rsidR="00AA74CA" w:rsidRPr="002D2E17">
        <w:rPr>
          <w:lang w:val="en-CA"/>
        </w:rPr>
        <w:t>this proceeding is an appeal from an administrative decision that is subject to the standard of review applicable to appeals.</w:t>
      </w:r>
      <w:r w:rsidR="00AA74CA">
        <w:rPr>
          <w:lang w:val="en-CA"/>
        </w:rPr>
        <w:t xml:space="preserve"> </w:t>
      </w:r>
      <w:r w:rsidRPr="002D2E17">
        <w:rPr>
          <w:lang w:val="en-CA"/>
        </w:rPr>
        <w:t xml:space="preserve">Thus, the questions of </w:t>
      </w:r>
      <w:r w:rsidR="00AA74CA">
        <w:rPr>
          <w:lang w:val="en-CA"/>
        </w:rPr>
        <w:t xml:space="preserve">mixed </w:t>
      </w:r>
      <w:r w:rsidRPr="002D2E17">
        <w:rPr>
          <w:lang w:val="en-CA"/>
        </w:rPr>
        <w:t>fact and law raised in this proceeding could not justify the Tribunal’s intervention absent a palpable and overriding error in the Fonds’s decision.</w:t>
      </w:r>
    </w:p>
    <w:p w14:paraId="0B804729" w14:textId="77777777" w:rsidR="00E57111" w:rsidRPr="002D2E17" w:rsidRDefault="002D2E17" w:rsidP="00E57111">
      <w:pPr>
        <w:pStyle w:val="F02-Texte"/>
        <w:ind w:left="0" w:firstLine="0"/>
        <w:rPr>
          <w:u w:val="single"/>
          <w:lang w:val="en-CA"/>
        </w:rPr>
      </w:pPr>
      <w:r w:rsidRPr="002D2E17">
        <w:rPr>
          <w:lang w:val="en-CA"/>
        </w:rPr>
        <w:t xml:space="preserve">This </w:t>
      </w:r>
      <w:r w:rsidR="00AB3A21" w:rsidRPr="002D2E17">
        <w:rPr>
          <w:lang w:val="en-CA"/>
        </w:rPr>
        <w:t>argument</w:t>
      </w:r>
      <w:r w:rsidRPr="002D2E17">
        <w:rPr>
          <w:lang w:val="en-CA"/>
        </w:rPr>
        <w:t xml:space="preserve"> is </w:t>
      </w:r>
      <w:r w:rsidR="00AB3A21" w:rsidRPr="002D2E17">
        <w:rPr>
          <w:lang w:val="en-CA"/>
        </w:rPr>
        <w:t xml:space="preserve">based </w:t>
      </w:r>
      <w:r w:rsidRPr="002D2E17">
        <w:rPr>
          <w:lang w:val="en-CA"/>
        </w:rPr>
        <w:t xml:space="preserve">principally </w:t>
      </w:r>
      <w:r w:rsidR="00AB3A21">
        <w:rPr>
          <w:lang w:val="en-CA"/>
        </w:rPr>
        <w:t>on paragraphs 17 and 37 of that</w:t>
      </w:r>
      <w:r w:rsidRPr="002D2E17">
        <w:rPr>
          <w:lang w:val="en-CA"/>
        </w:rPr>
        <w:t xml:space="preserve"> judgment, which can be summarized in these few lines:</w:t>
      </w:r>
    </w:p>
    <w:p w14:paraId="5336A278" w14:textId="77777777" w:rsidR="00E57111" w:rsidRPr="002D2E17" w:rsidRDefault="002D2E17" w:rsidP="00E57111">
      <w:pPr>
        <w:pStyle w:val="F04-Retrait"/>
        <w:ind w:right="931"/>
        <w:rPr>
          <w:i w:val="0"/>
          <w:sz w:val="22"/>
          <w:szCs w:val="22"/>
          <w:lang w:val="en-CA"/>
        </w:rPr>
      </w:pPr>
      <w:r w:rsidRPr="002D2E17">
        <w:rPr>
          <w:i w:val="0"/>
          <w:sz w:val="22"/>
          <w:szCs w:val="22"/>
          <w:lang w:val="en-CA"/>
        </w:rPr>
        <w:t xml:space="preserve">[37] It should therefore be recognized that, where the legislature has provided for an </w:t>
      </w:r>
      <w:r w:rsidRPr="002D2E17">
        <w:rPr>
          <w:i w:val="0"/>
          <w:sz w:val="22"/>
          <w:szCs w:val="22"/>
          <w:u w:val="single"/>
          <w:lang w:val="en-CA"/>
        </w:rPr>
        <w:t>appeal from an administrative decision to a court</w:t>
      </w:r>
      <w:r w:rsidRPr="002D2E17">
        <w:rPr>
          <w:i w:val="0"/>
          <w:sz w:val="22"/>
          <w:szCs w:val="22"/>
          <w:lang w:val="en-CA"/>
        </w:rPr>
        <w:t>, a court hearing such an appeal is to apply appellate standards of review to the decision.</w:t>
      </w:r>
      <w:r w:rsidR="00E57111">
        <w:rPr>
          <w:rStyle w:val="Appelnotedebasdep"/>
          <w:i w:val="0"/>
          <w:sz w:val="22"/>
          <w:szCs w:val="22"/>
        </w:rPr>
        <w:footnoteReference w:id="8"/>
      </w:r>
    </w:p>
    <w:p w14:paraId="7203C6BC" w14:textId="4504360D" w:rsidR="00E57111" w:rsidRPr="00EA3E22" w:rsidRDefault="002D2E17" w:rsidP="00E57111">
      <w:pPr>
        <w:pStyle w:val="F04-Retrait"/>
        <w:rPr>
          <w:i w:val="0"/>
        </w:rPr>
      </w:pPr>
      <w:r w:rsidRPr="00EA3E22">
        <w:rPr>
          <w:i w:val="0"/>
        </w:rPr>
        <w:t>[Emphasis added</w:t>
      </w:r>
      <w:r w:rsidR="00AA74CA">
        <w:rPr>
          <w:i w:val="0"/>
        </w:rPr>
        <w:t>.</w:t>
      </w:r>
      <w:r w:rsidRPr="00EA3E22">
        <w:rPr>
          <w:i w:val="0"/>
        </w:rPr>
        <w:t>]</w:t>
      </w:r>
    </w:p>
    <w:p w14:paraId="15EBFEC7" w14:textId="20E32FD8" w:rsidR="00E57111" w:rsidRPr="002D2E17" w:rsidRDefault="002D2E17" w:rsidP="00E57111">
      <w:pPr>
        <w:pStyle w:val="F02-Texte"/>
        <w:ind w:left="0" w:firstLine="0"/>
        <w:rPr>
          <w:u w:val="single"/>
          <w:lang w:val="en-CA"/>
        </w:rPr>
      </w:pPr>
      <w:r w:rsidRPr="004C6E65">
        <w:rPr>
          <w:lang w:val="en-CA"/>
        </w:rPr>
        <w:t>The Supreme Court</w:t>
      </w:r>
      <w:r w:rsidRPr="002D2E17">
        <w:rPr>
          <w:lang w:val="en-CA"/>
        </w:rPr>
        <w:t xml:space="preserve"> therefore identified three conditions to apply the appellate standard of review: it must be an appeal to a court from an administrative decision.</w:t>
      </w:r>
      <w:r w:rsidR="00E57111" w:rsidRPr="002D2E17">
        <w:rPr>
          <w:lang w:val="en-CA"/>
        </w:rPr>
        <w:t xml:space="preserve"> </w:t>
      </w:r>
      <w:r w:rsidRPr="002D2E17">
        <w:rPr>
          <w:lang w:val="en-CA"/>
        </w:rPr>
        <w:t xml:space="preserve">Obviously, the Fonds </w:t>
      </w:r>
      <w:r w:rsidR="00AB3A21">
        <w:rPr>
          <w:lang w:val="en-CA"/>
        </w:rPr>
        <w:t>is</w:t>
      </w:r>
      <w:r w:rsidRPr="002D2E17">
        <w:rPr>
          <w:lang w:val="en-CA"/>
        </w:rPr>
        <w:t xml:space="preserve"> an administrative body,</w:t>
      </w:r>
      <w:r w:rsidR="00AB3A21">
        <w:rPr>
          <w:lang w:val="en-CA"/>
        </w:rPr>
        <w:t xml:space="preserve"> but</w:t>
      </w:r>
      <w:r w:rsidRPr="002D2E17">
        <w:rPr>
          <w:lang w:val="en-CA"/>
        </w:rPr>
        <w:t xml:space="preserve"> two requirements must still be met, that is</w:t>
      </w:r>
      <w:r w:rsidR="00AB3A21">
        <w:rPr>
          <w:lang w:val="en-CA"/>
        </w:rPr>
        <w:t>,</w:t>
      </w:r>
      <w:r w:rsidRPr="002D2E17">
        <w:rPr>
          <w:lang w:val="en-CA"/>
        </w:rPr>
        <w:t xml:space="preserve"> “an appeal” and “to a court”.</w:t>
      </w:r>
    </w:p>
    <w:p w14:paraId="1999E21A" w14:textId="3C83CD96" w:rsidR="00E57111" w:rsidRPr="002D2E17" w:rsidRDefault="002D2E17" w:rsidP="00E57111">
      <w:pPr>
        <w:pStyle w:val="F02-Texte"/>
        <w:ind w:left="0" w:firstLine="0"/>
        <w:rPr>
          <w:u w:val="single"/>
          <w:lang w:val="en-CA"/>
        </w:rPr>
      </w:pPr>
      <w:r w:rsidRPr="002D2E17">
        <w:rPr>
          <w:lang w:val="en-CA"/>
        </w:rPr>
        <w:t>In that leading case, t</w:t>
      </w:r>
      <w:r w:rsidR="00AB3A21">
        <w:rPr>
          <w:lang w:val="en-CA"/>
        </w:rPr>
        <w:t>he Supreme Court insisted</w:t>
      </w:r>
      <w:r w:rsidRPr="002D2E17">
        <w:rPr>
          <w:lang w:val="en-CA"/>
        </w:rPr>
        <w:t xml:space="preserve"> on the importance of being guided by </w:t>
      </w:r>
      <w:r w:rsidR="0049445C">
        <w:rPr>
          <w:lang w:val="en-CA"/>
        </w:rPr>
        <w:t>the legislature’s</w:t>
      </w:r>
      <w:r w:rsidRPr="002D2E17">
        <w:rPr>
          <w:lang w:val="en-CA"/>
        </w:rPr>
        <w:t xml:space="preserve"> intention. It </w:t>
      </w:r>
      <w:r w:rsidR="00AB3A21">
        <w:rPr>
          <w:lang w:val="en-CA"/>
        </w:rPr>
        <w:t>sought</w:t>
      </w:r>
      <w:r w:rsidRPr="002D2E17">
        <w:rPr>
          <w:lang w:val="en-CA"/>
        </w:rPr>
        <w:t xml:space="preserve"> this intention, in particular, in its use of </w:t>
      </w:r>
      <w:r w:rsidR="00AB3A21" w:rsidRPr="002D2E17">
        <w:rPr>
          <w:lang w:val="en-CA"/>
        </w:rPr>
        <w:t>the</w:t>
      </w:r>
      <w:r w:rsidRPr="002D2E17">
        <w:rPr>
          <w:lang w:val="en-CA"/>
        </w:rPr>
        <w:t xml:space="preserve"> word “appeal” in various contexts and concluded that, by doing so, the legislature intended to subject the proceeding to the appellate standard of review.</w:t>
      </w:r>
      <w:r w:rsidR="00E57111">
        <w:rPr>
          <w:rStyle w:val="Appelnotedebasdep"/>
        </w:rPr>
        <w:footnoteReference w:id="9"/>
      </w:r>
      <w:r w:rsidR="00E57111" w:rsidRPr="002D2E17">
        <w:rPr>
          <w:lang w:val="en-CA"/>
        </w:rPr>
        <w:t xml:space="preserve"> </w:t>
      </w:r>
      <w:r w:rsidRPr="002D2E17">
        <w:rPr>
          <w:lang w:val="en-CA"/>
        </w:rPr>
        <w:t xml:space="preserve">Let us examine the context and vocabulary used in s. 35 </w:t>
      </w:r>
      <w:r w:rsidRPr="00AB3A21">
        <w:rPr>
          <w:i/>
          <w:lang w:val="en-CA"/>
        </w:rPr>
        <w:t>AFAAC</w:t>
      </w:r>
      <w:r w:rsidRPr="002D2E17">
        <w:rPr>
          <w:lang w:val="en-CA"/>
        </w:rPr>
        <w:t>.</w:t>
      </w:r>
    </w:p>
    <w:p w14:paraId="3F83AFB3" w14:textId="4CB533CF" w:rsidR="00E57111" w:rsidRPr="003F7D24" w:rsidRDefault="003F7D24" w:rsidP="00E57111">
      <w:pPr>
        <w:pStyle w:val="F02-Texte"/>
        <w:ind w:left="0" w:firstLine="0"/>
        <w:rPr>
          <w:u w:val="single"/>
          <w:lang w:val="en-CA"/>
        </w:rPr>
      </w:pPr>
      <w:r w:rsidRPr="003F7D24">
        <w:rPr>
          <w:lang w:val="en-CA"/>
        </w:rPr>
        <w:t xml:space="preserve">When this provision was adopted in 1978, the legislature created a Division III </w:t>
      </w:r>
      <w:r w:rsidR="00501A07">
        <w:rPr>
          <w:lang w:val="en-CA"/>
        </w:rPr>
        <w:t>titled</w:t>
      </w:r>
      <w:r w:rsidRPr="003F7D24">
        <w:rPr>
          <w:lang w:val="en-CA"/>
        </w:rPr>
        <w:t xml:space="preserve"> “appeal” that provided under s. 35 that citizen</w:t>
      </w:r>
      <w:r w:rsidR="00501A07">
        <w:rPr>
          <w:lang w:val="en-CA"/>
        </w:rPr>
        <w:t>s</w:t>
      </w:r>
      <w:r w:rsidRPr="003F7D24">
        <w:rPr>
          <w:lang w:val="en-CA"/>
        </w:rPr>
        <w:t xml:space="preserve"> “may appeal from the decision </w:t>
      </w:r>
      <w:r w:rsidR="005E4753">
        <w:rPr>
          <w:lang w:val="en-CA"/>
        </w:rPr>
        <w:t>of</w:t>
      </w:r>
      <w:r w:rsidRPr="003F7D24">
        <w:rPr>
          <w:lang w:val="en-CA"/>
        </w:rPr>
        <w:t xml:space="preserve"> the Fonds </w:t>
      </w:r>
      <w:r w:rsidRPr="003F7D24">
        <w:rPr>
          <w:lang w:val="en-CA"/>
        </w:rPr>
        <w:lastRenderedPageBreak/>
        <w:t xml:space="preserve">to the Provincial Court”. </w:t>
      </w:r>
      <w:r w:rsidR="00E57111">
        <w:rPr>
          <w:rStyle w:val="Appelnotedebasdep"/>
        </w:rPr>
        <w:footnoteReference w:id="10"/>
      </w:r>
      <w:r w:rsidRPr="003F7D24">
        <w:rPr>
          <w:lang w:val="en-CA"/>
        </w:rPr>
        <w:t xml:space="preserve"> </w:t>
      </w:r>
      <w:r w:rsidR="00AB3A21">
        <w:rPr>
          <w:lang w:val="en-CA"/>
        </w:rPr>
        <w:t>A first amendment replaced that court</w:t>
      </w:r>
      <w:r w:rsidRPr="003F7D24">
        <w:rPr>
          <w:lang w:val="en-CA"/>
        </w:rPr>
        <w:t xml:space="preserve"> with the Court of Québec,</w:t>
      </w:r>
      <w:r w:rsidR="00E57111">
        <w:rPr>
          <w:rStyle w:val="Appelnotedebasdep"/>
        </w:rPr>
        <w:footnoteReference w:id="11"/>
      </w:r>
      <w:r w:rsidRPr="003F7D24">
        <w:rPr>
          <w:lang w:val="en-CA"/>
        </w:rPr>
        <w:t xml:space="preserve"> but it was </w:t>
      </w:r>
      <w:r w:rsidR="00AB3A21">
        <w:rPr>
          <w:lang w:val="en-CA"/>
        </w:rPr>
        <w:t xml:space="preserve">only </w:t>
      </w:r>
      <w:r w:rsidRPr="003F7D24">
        <w:rPr>
          <w:lang w:val="en-CA"/>
        </w:rPr>
        <w:t xml:space="preserve">when the </w:t>
      </w:r>
      <w:r w:rsidRPr="003F7D24">
        <w:rPr>
          <w:i/>
          <w:lang w:val="en-CA"/>
        </w:rPr>
        <w:t>Act respecting administrative justice</w:t>
      </w:r>
      <w:r w:rsidR="00E57111">
        <w:rPr>
          <w:rStyle w:val="Appelnotedebasdep"/>
        </w:rPr>
        <w:footnoteReference w:id="12"/>
      </w:r>
      <w:r w:rsidRPr="003F7D24">
        <w:rPr>
          <w:lang w:val="en-CA"/>
        </w:rPr>
        <w:t xml:space="preserve"> (</w:t>
      </w:r>
      <w:r w:rsidRPr="00981BB9">
        <w:rPr>
          <w:i/>
          <w:lang w:val="en-CA"/>
        </w:rPr>
        <w:t>AAJ</w:t>
      </w:r>
      <w:r w:rsidRPr="003F7D24">
        <w:rPr>
          <w:lang w:val="en-CA"/>
        </w:rPr>
        <w:t>) was adopted in 1997 that the current s. 35 appeared.</w:t>
      </w:r>
      <w:r w:rsidR="00E57111">
        <w:rPr>
          <w:rStyle w:val="Appelnotedebasdep"/>
        </w:rPr>
        <w:footnoteReference w:id="13"/>
      </w:r>
      <w:r w:rsidRPr="003F7D24">
        <w:rPr>
          <w:lang w:val="en-CA"/>
        </w:rPr>
        <w:t xml:space="preserve"> </w:t>
      </w:r>
    </w:p>
    <w:p w14:paraId="39F83EF8" w14:textId="0CCA5236" w:rsidR="00E57111" w:rsidRPr="003F7D24" w:rsidRDefault="003F7D24" w:rsidP="00E57111">
      <w:pPr>
        <w:pStyle w:val="F02-Texte"/>
        <w:ind w:left="0" w:firstLine="0"/>
        <w:rPr>
          <w:u w:val="single"/>
          <w:lang w:val="en-CA"/>
        </w:rPr>
      </w:pPr>
      <w:r w:rsidRPr="003F7D24">
        <w:rPr>
          <w:lang w:val="en-CA"/>
        </w:rPr>
        <w:t xml:space="preserve">In the context of that </w:t>
      </w:r>
      <w:r w:rsidR="00981BB9">
        <w:rPr>
          <w:lang w:val="en-CA"/>
        </w:rPr>
        <w:t>comprehensive</w:t>
      </w:r>
      <w:r w:rsidR="00AB3A21">
        <w:rPr>
          <w:lang w:val="en-CA"/>
        </w:rPr>
        <w:t>, integrated</w:t>
      </w:r>
      <w:r w:rsidRPr="003F7D24">
        <w:rPr>
          <w:lang w:val="en-CA"/>
        </w:rPr>
        <w:t xml:space="preserve"> </w:t>
      </w:r>
      <w:r w:rsidR="00AB3A21" w:rsidRPr="003F7D24">
        <w:rPr>
          <w:lang w:val="en-CA"/>
        </w:rPr>
        <w:t>reform</w:t>
      </w:r>
      <w:r w:rsidRPr="003F7D24">
        <w:rPr>
          <w:lang w:val="en-CA"/>
        </w:rPr>
        <w:t xml:space="preserve"> of Quebec administrative justice, the legislature created a new tribunal to hear the many proceedings formed against administrative </w:t>
      </w:r>
      <w:r w:rsidR="00B24467">
        <w:rPr>
          <w:lang w:val="en-CA"/>
        </w:rPr>
        <w:t>authorities</w:t>
      </w:r>
      <w:r w:rsidRPr="003F7D24">
        <w:rPr>
          <w:lang w:val="en-CA"/>
        </w:rPr>
        <w:t>, to the exclusion</w:t>
      </w:r>
      <w:r w:rsidR="00981BB9">
        <w:rPr>
          <w:lang w:val="en-CA"/>
        </w:rPr>
        <w:t>,</w:t>
      </w:r>
      <w:r w:rsidRPr="003F7D24">
        <w:rPr>
          <w:lang w:val="en-CA"/>
        </w:rPr>
        <w:t xml:space="preserve"> in some cases</w:t>
      </w:r>
      <w:r w:rsidR="00981BB9">
        <w:rPr>
          <w:lang w:val="en-CA"/>
        </w:rPr>
        <w:t>,</w:t>
      </w:r>
      <w:r w:rsidRPr="003F7D24">
        <w:rPr>
          <w:lang w:val="en-CA"/>
        </w:rPr>
        <w:t xml:space="preserve"> of </w:t>
      </w:r>
      <w:r w:rsidR="004A64DB">
        <w:rPr>
          <w:lang w:val="en-CA"/>
        </w:rPr>
        <w:t xml:space="preserve">the </w:t>
      </w:r>
      <w:r w:rsidRPr="003F7D24">
        <w:rPr>
          <w:lang w:val="en-CA"/>
        </w:rPr>
        <w:t>courts</w:t>
      </w:r>
      <w:r w:rsidR="00981BB9">
        <w:rPr>
          <w:lang w:val="en-CA"/>
        </w:rPr>
        <w:t xml:space="preserve"> of justice</w:t>
      </w:r>
      <w:r w:rsidRPr="003F7D24">
        <w:rPr>
          <w:lang w:val="en-CA"/>
        </w:rPr>
        <w:t>.</w:t>
      </w:r>
      <w:r w:rsidR="00E57111">
        <w:rPr>
          <w:rStyle w:val="Appelnotedebasdep"/>
        </w:rPr>
        <w:footnoteReference w:id="14"/>
      </w:r>
    </w:p>
    <w:p w14:paraId="03947AE0" w14:textId="27195ED2" w:rsidR="00E57111" w:rsidRPr="00EA3E22" w:rsidRDefault="003F7D24" w:rsidP="00E57111">
      <w:pPr>
        <w:pStyle w:val="F02-Texte"/>
        <w:ind w:left="0" w:firstLine="0"/>
        <w:rPr>
          <w:u w:val="single"/>
          <w:lang w:val="en-CA"/>
        </w:rPr>
      </w:pPr>
      <w:r w:rsidRPr="00EA3E22">
        <w:rPr>
          <w:lang w:val="en-CA"/>
        </w:rPr>
        <w:t>In this proceeding, the Tribunal has before it the contestation of a decision that it may confirm, vary, or quash, or still yet, make the decision which, in its opinion, should have been made initially.</w:t>
      </w:r>
      <w:r w:rsidR="00E57111" w:rsidRPr="00EA3E22">
        <w:rPr>
          <w:rStyle w:val="Appelnotedebasdep"/>
        </w:rPr>
        <w:footnoteReference w:id="15"/>
      </w:r>
    </w:p>
    <w:p w14:paraId="723AA17D" w14:textId="3FA11A84" w:rsidR="00E57111" w:rsidRPr="003F7D24" w:rsidRDefault="003F7D24" w:rsidP="00E57111">
      <w:pPr>
        <w:pStyle w:val="F02-Texte"/>
        <w:ind w:left="0" w:firstLine="0"/>
        <w:rPr>
          <w:u w:val="single"/>
          <w:lang w:val="en-CA"/>
        </w:rPr>
      </w:pPr>
      <w:r w:rsidRPr="003F7D24">
        <w:rPr>
          <w:lang w:val="en-CA"/>
        </w:rPr>
        <w:t xml:space="preserve">Each time it provides the possibility of contesting a decision, the </w:t>
      </w:r>
      <w:r w:rsidRPr="00981BB9">
        <w:rPr>
          <w:i/>
          <w:lang w:val="en-CA"/>
        </w:rPr>
        <w:t xml:space="preserve">AAJ </w:t>
      </w:r>
      <w:r w:rsidRPr="003F7D24">
        <w:rPr>
          <w:lang w:val="en-CA"/>
        </w:rPr>
        <w:t xml:space="preserve">uses the word “proceedings”, including </w:t>
      </w:r>
      <w:r w:rsidR="00981BB9">
        <w:rPr>
          <w:lang w:val="en-CA"/>
        </w:rPr>
        <w:t>where</w:t>
      </w:r>
      <w:r w:rsidRPr="003F7D24">
        <w:rPr>
          <w:lang w:val="en-CA"/>
        </w:rPr>
        <w:t xml:space="preserve"> </w:t>
      </w:r>
      <w:r w:rsidR="00981BB9" w:rsidRPr="003F7D24">
        <w:rPr>
          <w:lang w:val="en-CA"/>
        </w:rPr>
        <w:t xml:space="preserve">the proceeding used in this instance </w:t>
      </w:r>
      <w:r w:rsidR="00981BB9">
        <w:rPr>
          <w:lang w:val="en-CA"/>
        </w:rPr>
        <w:t>is concerned</w:t>
      </w:r>
      <w:r w:rsidRPr="003F7D24">
        <w:rPr>
          <w:lang w:val="en-CA"/>
        </w:rPr>
        <w:t>.</w:t>
      </w:r>
      <w:r w:rsidR="00E57111">
        <w:rPr>
          <w:rStyle w:val="Appelnotedebasdep"/>
        </w:rPr>
        <w:footnoteReference w:id="16"/>
      </w:r>
      <w:r w:rsidR="00E57111" w:rsidRPr="003F7D24">
        <w:rPr>
          <w:lang w:val="en-CA"/>
        </w:rPr>
        <w:t xml:space="preserve"> </w:t>
      </w:r>
      <w:r w:rsidR="00981BB9">
        <w:rPr>
          <w:lang w:val="en-CA"/>
        </w:rPr>
        <w:t>There is a s</w:t>
      </w:r>
      <w:r w:rsidRPr="003F7D24">
        <w:rPr>
          <w:lang w:val="en-CA"/>
        </w:rPr>
        <w:t xml:space="preserve">ingle exception, in section 159 </w:t>
      </w:r>
      <w:r w:rsidRPr="00981BB9">
        <w:rPr>
          <w:i/>
          <w:lang w:val="en-CA"/>
        </w:rPr>
        <w:t>AAJ</w:t>
      </w:r>
      <w:r w:rsidRPr="003F7D24">
        <w:rPr>
          <w:lang w:val="en-CA"/>
        </w:rPr>
        <w:t xml:space="preserve">, </w:t>
      </w:r>
      <w:r w:rsidR="00E5677B">
        <w:rPr>
          <w:lang w:val="en-CA"/>
        </w:rPr>
        <w:t xml:space="preserve">which </w:t>
      </w:r>
      <w:r w:rsidRPr="003F7D24">
        <w:rPr>
          <w:lang w:val="en-CA"/>
        </w:rPr>
        <w:t>provides for an “appeal” to the Court of Québec from some decisions rendered by the Tribunal.</w:t>
      </w:r>
    </w:p>
    <w:p w14:paraId="4E522881" w14:textId="51605032" w:rsidR="00E57111" w:rsidRPr="003F7D24" w:rsidRDefault="003F7D24" w:rsidP="00E57111">
      <w:pPr>
        <w:pStyle w:val="F02-Texte"/>
        <w:ind w:left="0" w:firstLine="0"/>
        <w:rPr>
          <w:u w:val="single"/>
          <w:lang w:val="en-CA"/>
        </w:rPr>
      </w:pPr>
      <w:r w:rsidRPr="003F7D24">
        <w:rPr>
          <w:lang w:val="en-CA"/>
        </w:rPr>
        <w:t xml:space="preserve">As part of this vast reform, section 35 </w:t>
      </w:r>
      <w:r w:rsidRPr="00981BB9">
        <w:rPr>
          <w:i/>
          <w:lang w:val="en-CA"/>
        </w:rPr>
        <w:t>AFAAC</w:t>
      </w:r>
      <w:r w:rsidRPr="003F7D24">
        <w:rPr>
          <w:lang w:val="en-CA"/>
        </w:rPr>
        <w:t xml:space="preserve"> also provides for </w:t>
      </w:r>
      <w:r w:rsidR="00981BB9" w:rsidRPr="003F7D24">
        <w:rPr>
          <w:lang w:val="en-CA"/>
        </w:rPr>
        <w:t>the</w:t>
      </w:r>
      <w:r w:rsidRPr="003F7D24">
        <w:rPr>
          <w:lang w:val="en-CA"/>
        </w:rPr>
        <w:t xml:space="preserve"> filing of a “proceeding” against a decision </w:t>
      </w:r>
      <w:r w:rsidR="00501A07">
        <w:rPr>
          <w:lang w:val="en-CA"/>
        </w:rPr>
        <w:t>of</w:t>
      </w:r>
      <w:r w:rsidRPr="003F7D24">
        <w:rPr>
          <w:lang w:val="en-CA"/>
        </w:rPr>
        <w:t xml:space="preserve"> the Fonds.</w:t>
      </w:r>
    </w:p>
    <w:p w14:paraId="40E8AC83" w14:textId="61AB34F8" w:rsidR="00E57111" w:rsidRPr="003F7D24" w:rsidRDefault="003F7D24" w:rsidP="00E57111">
      <w:pPr>
        <w:pStyle w:val="F02-Texte"/>
        <w:ind w:left="0" w:firstLine="0"/>
        <w:rPr>
          <w:u w:val="single"/>
          <w:lang w:val="en-CA"/>
        </w:rPr>
      </w:pPr>
      <w:r w:rsidRPr="003F7D24">
        <w:rPr>
          <w:lang w:val="en-CA"/>
        </w:rPr>
        <w:t xml:space="preserve">As the Supreme Court </w:t>
      </w:r>
      <w:r w:rsidR="00E5677B">
        <w:rPr>
          <w:lang w:val="en-CA"/>
        </w:rPr>
        <w:t>indicated</w:t>
      </w:r>
      <w:r w:rsidRPr="003F7D24">
        <w:rPr>
          <w:lang w:val="en-CA"/>
        </w:rPr>
        <w:t xml:space="preserve"> in </w:t>
      </w:r>
      <w:r w:rsidRPr="00981BB9">
        <w:rPr>
          <w:i/>
          <w:lang w:val="en-CA"/>
        </w:rPr>
        <w:t>Vavilov</w:t>
      </w:r>
      <w:r w:rsidRPr="003F7D24">
        <w:rPr>
          <w:lang w:val="en-CA"/>
        </w:rPr>
        <w:t xml:space="preserve">, the </w:t>
      </w:r>
      <w:r w:rsidR="00E5677B">
        <w:rPr>
          <w:lang w:val="en-CA"/>
        </w:rPr>
        <w:t>language chosen</w:t>
      </w:r>
      <w:r w:rsidRPr="003F7D24">
        <w:rPr>
          <w:lang w:val="en-CA"/>
        </w:rPr>
        <w:t xml:space="preserve"> is the best expression of </w:t>
      </w:r>
      <w:r w:rsidR="00693E34">
        <w:rPr>
          <w:lang w:val="en-CA"/>
        </w:rPr>
        <w:t>legislative intent</w:t>
      </w:r>
      <w:r w:rsidRPr="003F7D24">
        <w:rPr>
          <w:lang w:val="en-CA"/>
        </w:rPr>
        <w:t>.</w:t>
      </w:r>
      <w:r w:rsidR="00E57111" w:rsidRPr="003F7D24">
        <w:rPr>
          <w:lang w:val="en-CA"/>
        </w:rPr>
        <w:t xml:space="preserve"> </w:t>
      </w:r>
      <w:r w:rsidRPr="003F7D24">
        <w:rPr>
          <w:lang w:val="en-CA"/>
        </w:rPr>
        <w:t xml:space="preserve">When it created this proceeding before this Tribunal, </w:t>
      </w:r>
      <w:r w:rsidR="00693E34">
        <w:rPr>
          <w:lang w:val="en-CA"/>
        </w:rPr>
        <w:t>the legislature</w:t>
      </w:r>
      <w:r w:rsidRPr="003F7D24">
        <w:rPr>
          <w:lang w:val="en-CA"/>
        </w:rPr>
        <w:t xml:space="preserve"> stopped characterizing it as an appeal, to reserve that word for proceedings brought only before courts of justice.</w:t>
      </w:r>
    </w:p>
    <w:p w14:paraId="392EFAA7" w14:textId="292CC996" w:rsidR="00E57111" w:rsidRPr="003F7D24" w:rsidRDefault="00A06EB4" w:rsidP="00E57111">
      <w:pPr>
        <w:pStyle w:val="F02-Texte"/>
        <w:ind w:left="0" w:firstLine="0"/>
        <w:rPr>
          <w:u w:val="single"/>
          <w:lang w:val="en-CA"/>
        </w:rPr>
      </w:pPr>
      <w:r>
        <w:rPr>
          <w:lang w:val="en-CA"/>
        </w:rPr>
        <w:t xml:space="preserve">The </w:t>
      </w:r>
      <w:r w:rsidRPr="00EA3E22">
        <w:rPr>
          <w:lang w:val="en-CA"/>
        </w:rPr>
        <w:t>Supreme Court</w:t>
      </w:r>
      <w:r>
        <w:rPr>
          <w:lang w:val="en-CA"/>
        </w:rPr>
        <w:t xml:space="preserve"> also made that</w:t>
      </w:r>
      <w:r w:rsidR="003F7D24" w:rsidRPr="00EA3E22">
        <w:rPr>
          <w:lang w:val="en-CA"/>
        </w:rPr>
        <w:t xml:space="preserve"> distinction in </w:t>
      </w:r>
      <w:r w:rsidR="003F7D24" w:rsidRPr="00981BB9">
        <w:rPr>
          <w:i/>
          <w:lang w:val="en-CA"/>
        </w:rPr>
        <w:t>Vavilov</w:t>
      </w:r>
      <w:r w:rsidR="003F7D24" w:rsidRPr="00EA3E22">
        <w:rPr>
          <w:lang w:val="en-CA"/>
        </w:rPr>
        <w:t>.</w:t>
      </w:r>
      <w:r w:rsidR="00E57111" w:rsidRPr="003F7D24">
        <w:rPr>
          <w:lang w:val="en-CA"/>
        </w:rPr>
        <w:t xml:space="preserve"> </w:t>
      </w:r>
      <w:r>
        <w:rPr>
          <w:lang w:val="en-CA"/>
        </w:rPr>
        <w:t>A</w:t>
      </w:r>
      <w:r w:rsidR="003F7D24" w:rsidRPr="003F7D24">
        <w:rPr>
          <w:lang w:val="en-CA"/>
        </w:rPr>
        <w:t>ppeal</w:t>
      </w:r>
      <w:r>
        <w:rPr>
          <w:lang w:val="en-CA"/>
        </w:rPr>
        <w:t>s</w:t>
      </w:r>
      <w:r w:rsidR="003F7D24" w:rsidRPr="003F7D24">
        <w:rPr>
          <w:lang w:val="en-CA"/>
        </w:rPr>
        <w:t xml:space="preserve"> that require the standard of review argued by </w:t>
      </w:r>
      <w:r w:rsidR="00981BB9" w:rsidRPr="003F7D24">
        <w:rPr>
          <w:lang w:val="en-CA"/>
        </w:rPr>
        <w:t>the</w:t>
      </w:r>
      <w:r w:rsidR="003F7D24" w:rsidRPr="003F7D24">
        <w:rPr>
          <w:lang w:val="en-CA"/>
        </w:rPr>
        <w:t xml:space="preserve"> Fonds </w:t>
      </w:r>
      <w:r>
        <w:rPr>
          <w:lang w:val="en-CA"/>
        </w:rPr>
        <w:t>are those</w:t>
      </w:r>
      <w:r w:rsidR="003F7D24" w:rsidRPr="003F7D24">
        <w:rPr>
          <w:lang w:val="en-CA"/>
        </w:rPr>
        <w:t xml:space="preserve"> brought before </w:t>
      </w:r>
      <w:r>
        <w:rPr>
          <w:lang w:val="en-CA"/>
        </w:rPr>
        <w:t xml:space="preserve">the </w:t>
      </w:r>
      <w:r w:rsidR="003F7D24" w:rsidRPr="003F7D24">
        <w:rPr>
          <w:lang w:val="en-CA"/>
        </w:rPr>
        <w:t>courts of justice.</w:t>
      </w:r>
      <w:r w:rsidR="00E57111" w:rsidRPr="003F7D24">
        <w:rPr>
          <w:lang w:val="en-CA"/>
        </w:rPr>
        <w:t xml:space="preserve"> </w:t>
      </w:r>
      <w:r w:rsidR="003F7D24" w:rsidRPr="00EA3E22">
        <w:rPr>
          <w:lang w:val="en-CA"/>
        </w:rPr>
        <w:t>This Tribunal is not a court of justice.</w:t>
      </w:r>
      <w:r w:rsidR="00E57111" w:rsidRPr="003F7D24">
        <w:rPr>
          <w:lang w:val="en-CA"/>
        </w:rPr>
        <w:t xml:space="preserve"> </w:t>
      </w:r>
      <w:r w:rsidR="003F7D24" w:rsidRPr="003F7D24">
        <w:rPr>
          <w:lang w:val="en-CA"/>
        </w:rPr>
        <w:t>The Court of Appeal decided that it was so</w:t>
      </w:r>
      <w:r w:rsidR="006400DD">
        <w:rPr>
          <w:lang w:val="en-CA"/>
        </w:rPr>
        <w:t>,</w:t>
      </w:r>
      <w:r w:rsidR="00E57111">
        <w:rPr>
          <w:rStyle w:val="Appelnotedebasdep"/>
        </w:rPr>
        <w:footnoteReference w:id="17"/>
      </w:r>
      <w:r w:rsidR="003F7D24" w:rsidRPr="003F7D24">
        <w:rPr>
          <w:lang w:val="en-CA"/>
        </w:rPr>
        <w:t xml:space="preserve"> and this Tribunal is not included in the </w:t>
      </w:r>
      <w:r w:rsidR="003F7D24" w:rsidRPr="00981BB9">
        <w:rPr>
          <w:i/>
          <w:lang w:val="en-CA"/>
        </w:rPr>
        <w:t>Courts of Justice Act</w:t>
      </w:r>
      <w:r w:rsidR="003F7D24" w:rsidRPr="003F7D24">
        <w:rPr>
          <w:lang w:val="en-CA"/>
        </w:rPr>
        <w:t>.</w:t>
      </w:r>
      <w:r w:rsidR="00E57111">
        <w:rPr>
          <w:rStyle w:val="Appelnotedebasdep"/>
        </w:rPr>
        <w:footnoteReference w:id="18"/>
      </w:r>
    </w:p>
    <w:p w14:paraId="5A52A312" w14:textId="77777777" w:rsidR="00E57111" w:rsidRPr="003F7D24" w:rsidRDefault="003F7D24" w:rsidP="00E57111">
      <w:pPr>
        <w:pStyle w:val="F02-Texte"/>
        <w:ind w:left="0" w:firstLine="0"/>
        <w:rPr>
          <w:u w:val="single"/>
          <w:lang w:val="en-CA"/>
        </w:rPr>
      </w:pPr>
      <w:r w:rsidRPr="003F7D24">
        <w:rPr>
          <w:lang w:val="en-CA"/>
        </w:rPr>
        <w:lastRenderedPageBreak/>
        <w:t xml:space="preserve">This observation is enough to find that the proceeding filed by the Fonds with this Tribunal is not an appeal subject to the standard of review adopted in </w:t>
      </w:r>
      <w:r w:rsidRPr="00B00BFD">
        <w:rPr>
          <w:i/>
          <w:lang w:val="en-CA"/>
        </w:rPr>
        <w:t>Vavilov</w:t>
      </w:r>
      <w:r w:rsidRPr="003F7D24">
        <w:rPr>
          <w:lang w:val="en-CA"/>
        </w:rPr>
        <w:t>.</w:t>
      </w:r>
    </w:p>
    <w:p w14:paraId="2F46D18A" w14:textId="3D3F1A54" w:rsidR="00E57111" w:rsidRPr="003F7D24" w:rsidRDefault="003F7D24" w:rsidP="00E57111">
      <w:pPr>
        <w:pStyle w:val="F02-Texte"/>
        <w:ind w:left="0" w:firstLine="0"/>
        <w:rPr>
          <w:u w:val="single"/>
          <w:lang w:val="en-CA"/>
        </w:rPr>
      </w:pPr>
      <w:r w:rsidRPr="003F7D24">
        <w:rPr>
          <w:lang w:val="en-CA"/>
        </w:rPr>
        <w:t xml:space="preserve">This Tribunal also notes, at the </w:t>
      </w:r>
      <w:r w:rsidR="00B00BFD" w:rsidRPr="003F7D24">
        <w:rPr>
          <w:lang w:val="en-CA"/>
        </w:rPr>
        <w:t>Fonds’s</w:t>
      </w:r>
      <w:r w:rsidRPr="003F7D24">
        <w:rPr>
          <w:lang w:val="en-CA"/>
        </w:rPr>
        <w:t xml:space="preserve"> suggestion, that scholarly commentary and the case law have regularly chosen the word “appeal” to identify proceeding</w:t>
      </w:r>
      <w:r w:rsidR="00661259">
        <w:rPr>
          <w:lang w:val="en-CA"/>
        </w:rPr>
        <w:t>s</w:t>
      </w:r>
      <w:r w:rsidRPr="003F7D24">
        <w:rPr>
          <w:lang w:val="en-CA"/>
        </w:rPr>
        <w:t xml:space="preserve"> brought before an administrative tribunal.</w:t>
      </w:r>
      <w:r w:rsidR="00E57111" w:rsidRPr="003F7D24">
        <w:rPr>
          <w:lang w:val="en-CA"/>
        </w:rPr>
        <w:t xml:space="preserve"> </w:t>
      </w:r>
      <w:r w:rsidRPr="003F7D24">
        <w:rPr>
          <w:lang w:val="en-CA"/>
        </w:rPr>
        <w:t>But, as the Supreme Court recalled,</w:t>
      </w:r>
      <w:r w:rsidR="00E57111">
        <w:rPr>
          <w:rStyle w:val="Appelnotedebasdep"/>
        </w:rPr>
        <w:footnoteReference w:id="19"/>
      </w:r>
      <w:r w:rsidRPr="003F7D24">
        <w:rPr>
          <w:lang w:val="en-CA"/>
        </w:rPr>
        <w:t xml:space="preserve"> the context in which this word is used is important.</w:t>
      </w:r>
      <w:r w:rsidR="00E57111" w:rsidRPr="003F7D24">
        <w:rPr>
          <w:lang w:val="en-CA"/>
        </w:rPr>
        <w:t xml:space="preserve"> </w:t>
      </w:r>
      <w:r w:rsidRPr="003F7D24">
        <w:rPr>
          <w:lang w:val="en-CA"/>
        </w:rPr>
        <w:t xml:space="preserve">An appeal to a court of justice and </w:t>
      </w:r>
      <w:r w:rsidR="00B00BFD">
        <w:rPr>
          <w:lang w:val="en-CA"/>
        </w:rPr>
        <w:t xml:space="preserve">an </w:t>
      </w:r>
      <w:r w:rsidRPr="003F7D24">
        <w:rPr>
          <w:lang w:val="en-CA"/>
        </w:rPr>
        <w:t>administrative appeal are two different concepts.</w:t>
      </w:r>
      <w:r w:rsidR="00E57111" w:rsidRPr="003F7D24">
        <w:rPr>
          <w:lang w:val="en-CA"/>
        </w:rPr>
        <w:t xml:space="preserve"> </w:t>
      </w:r>
      <w:r w:rsidRPr="003F7D24">
        <w:rPr>
          <w:lang w:val="en-CA"/>
        </w:rPr>
        <w:t xml:space="preserve">Here is an illustration drawn from a judgment of </w:t>
      </w:r>
      <w:r w:rsidR="00B00BFD" w:rsidRPr="003F7D24">
        <w:rPr>
          <w:lang w:val="en-CA"/>
        </w:rPr>
        <w:t>the</w:t>
      </w:r>
      <w:r w:rsidRPr="003F7D24">
        <w:rPr>
          <w:lang w:val="en-CA"/>
        </w:rPr>
        <w:t xml:space="preserve"> Court of Appeal in 1989, which in turn, repeated this quote:</w:t>
      </w:r>
    </w:p>
    <w:p w14:paraId="4AE17978" w14:textId="77777777" w:rsidR="00E57111" w:rsidRPr="000D0A88" w:rsidRDefault="003F7D24" w:rsidP="00E57111">
      <w:pPr>
        <w:pStyle w:val="F04-Retrait"/>
        <w:ind w:right="931"/>
        <w:rPr>
          <w:i w:val="0"/>
          <w:sz w:val="22"/>
          <w:szCs w:val="22"/>
          <w:lang w:val="en-CA"/>
        </w:rPr>
      </w:pPr>
      <w:r>
        <w:rPr>
          <w:i w:val="0"/>
          <w:sz w:val="22"/>
          <w:szCs w:val="22"/>
          <w:lang w:val="en-CA"/>
        </w:rPr>
        <w:t>The application to the Board for review is not an appeal in the usual sense; it is not a trial of the first decision; it is like a trial de novo, or rather ab origine because there is no hearing at all before the assessor.</w:t>
      </w:r>
      <w:r w:rsidR="00E57111">
        <w:rPr>
          <w:rStyle w:val="Appelnotedebasdep"/>
          <w:i w:val="0"/>
          <w:sz w:val="22"/>
          <w:szCs w:val="22"/>
        </w:rPr>
        <w:footnoteReference w:id="20"/>
      </w:r>
    </w:p>
    <w:p w14:paraId="46FDBE5F" w14:textId="77777777" w:rsidR="00E57111" w:rsidRPr="00155065" w:rsidRDefault="003F7D24" w:rsidP="00E57111">
      <w:pPr>
        <w:pStyle w:val="F02-Texte"/>
        <w:tabs>
          <w:tab w:val="left" w:pos="851"/>
        </w:tabs>
        <w:ind w:left="0" w:firstLine="0"/>
        <w:rPr>
          <w:u w:val="single"/>
        </w:rPr>
      </w:pPr>
      <w:r w:rsidRPr="003F7D24">
        <w:rPr>
          <w:lang w:val="en-CA"/>
        </w:rPr>
        <w:t xml:space="preserve">Two eminent administrative law professors, who are also the authors of reports that were used as the genesis for the </w:t>
      </w:r>
      <w:r w:rsidRPr="00B00BFD">
        <w:rPr>
          <w:i/>
          <w:lang w:val="en-CA"/>
        </w:rPr>
        <w:t>AAJ</w:t>
      </w:r>
      <w:r w:rsidRPr="003F7D24">
        <w:rPr>
          <w:lang w:val="en-CA"/>
        </w:rPr>
        <w:t>, expressed themselves on the true nature of the “appeal” before this Tribunal.</w:t>
      </w:r>
      <w:r w:rsidR="00E57111" w:rsidRPr="003F7D24">
        <w:rPr>
          <w:lang w:val="en-CA"/>
        </w:rPr>
        <w:t xml:space="preserve"> </w:t>
      </w:r>
      <w:r w:rsidRPr="00EA3E22">
        <w:t>Professor Ouellette wrote the following:</w:t>
      </w:r>
    </w:p>
    <w:p w14:paraId="2B4E0681" w14:textId="2BF1D0EA" w:rsidR="00B00BFD" w:rsidRDefault="00B00BFD" w:rsidP="00E57111">
      <w:pPr>
        <w:pStyle w:val="F04-Retrait"/>
        <w:ind w:right="931"/>
        <w:rPr>
          <w:i w:val="0"/>
          <w:sz w:val="22"/>
          <w:szCs w:val="22"/>
          <w:lang w:val="en-CA"/>
        </w:rPr>
      </w:pPr>
      <w:r>
        <w:rPr>
          <w:i w:val="0"/>
          <w:sz w:val="22"/>
          <w:szCs w:val="22"/>
          <w:lang w:val="en-CA"/>
        </w:rPr>
        <w:t>[</w:t>
      </w:r>
      <w:r w:rsidRPr="00B00BFD">
        <w:rPr>
          <w:i w:val="0"/>
          <w:smallCaps/>
          <w:sz w:val="22"/>
          <w:szCs w:val="22"/>
          <w:lang w:val="en-CA"/>
        </w:rPr>
        <w:t>translation</w:t>
      </w:r>
      <w:r>
        <w:rPr>
          <w:i w:val="0"/>
          <w:sz w:val="22"/>
          <w:szCs w:val="22"/>
          <w:lang w:val="en-CA"/>
        </w:rPr>
        <w:t>]</w:t>
      </w:r>
    </w:p>
    <w:p w14:paraId="0F7D0AD2" w14:textId="6B8092EB" w:rsidR="00E57111" w:rsidRPr="003F7D24" w:rsidRDefault="003F7D24" w:rsidP="00E57111">
      <w:pPr>
        <w:pStyle w:val="F04-Retrait"/>
        <w:ind w:right="931"/>
        <w:rPr>
          <w:i w:val="0"/>
          <w:sz w:val="22"/>
          <w:szCs w:val="22"/>
          <w:lang w:val="en-CA"/>
        </w:rPr>
      </w:pPr>
      <w:r w:rsidRPr="003F7D24">
        <w:rPr>
          <w:i w:val="0"/>
          <w:sz w:val="22"/>
          <w:szCs w:val="22"/>
          <w:lang w:val="en-CA"/>
        </w:rPr>
        <w:t>But the Tribunal admin</w:t>
      </w:r>
      <w:r w:rsidR="00B00BFD">
        <w:rPr>
          <w:i w:val="0"/>
          <w:sz w:val="22"/>
          <w:szCs w:val="22"/>
          <w:lang w:val="en-CA"/>
        </w:rPr>
        <w:t>i</w:t>
      </w:r>
      <w:r w:rsidRPr="003F7D24">
        <w:rPr>
          <w:i w:val="0"/>
          <w:sz w:val="22"/>
          <w:szCs w:val="22"/>
          <w:lang w:val="en-CA"/>
        </w:rPr>
        <w:t>stratif du Q</w:t>
      </w:r>
      <w:r w:rsidR="00B00BFD">
        <w:rPr>
          <w:i w:val="0"/>
          <w:sz w:val="22"/>
          <w:szCs w:val="22"/>
          <w:lang w:val="en-CA"/>
        </w:rPr>
        <w:t>u</w:t>
      </w:r>
      <w:r w:rsidRPr="003F7D24">
        <w:rPr>
          <w:i w:val="0"/>
          <w:sz w:val="22"/>
          <w:szCs w:val="22"/>
          <w:lang w:val="en-CA"/>
        </w:rPr>
        <w:t xml:space="preserve">ébec is not in the same situation as a court of appeal: it does not hear an appeal, but a “proceeding” and one that is </w:t>
      </w:r>
      <w:r w:rsidR="00EF39CC">
        <w:rPr>
          <w:i w:val="0"/>
          <w:sz w:val="22"/>
          <w:szCs w:val="22"/>
          <w:lang w:val="en-CA"/>
        </w:rPr>
        <w:t>of</w:t>
      </w:r>
      <w:r w:rsidRPr="003F7D24">
        <w:rPr>
          <w:i w:val="0"/>
          <w:sz w:val="22"/>
          <w:szCs w:val="22"/>
          <w:lang w:val="en-CA"/>
        </w:rPr>
        <w:t xml:space="preserve"> first instance; it must base its decision on its own record and on the evidence, not </w:t>
      </w:r>
      <w:r w:rsidR="00B00BFD">
        <w:rPr>
          <w:i w:val="0"/>
          <w:sz w:val="22"/>
          <w:szCs w:val="22"/>
          <w:lang w:val="en-CA"/>
        </w:rPr>
        <w:t xml:space="preserve">merely </w:t>
      </w:r>
      <w:r w:rsidRPr="003F7D24">
        <w:rPr>
          <w:i w:val="0"/>
          <w:sz w:val="22"/>
          <w:szCs w:val="22"/>
          <w:lang w:val="en-CA"/>
        </w:rPr>
        <w:t xml:space="preserve">on the information that was put together by the public servants who </w:t>
      </w:r>
      <w:r w:rsidR="00EF39CC">
        <w:rPr>
          <w:i w:val="0"/>
          <w:sz w:val="22"/>
          <w:szCs w:val="22"/>
          <w:lang w:val="en-CA"/>
        </w:rPr>
        <w:t>made</w:t>
      </w:r>
      <w:r w:rsidRPr="003F7D24">
        <w:rPr>
          <w:i w:val="0"/>
          <w:sz w:val="22"/>
          <w:szCs w:val="22"/>
          <w:lang w:val="en-CA"/>
        </w:rPr>
        <w:t xml:space="preserve"> the initial </w:t>
      </w:r>
      <w:r w:rsidR="00B00BFD" w:rsidRPr="003F7D24">
        <w:rPr>
          <w:i w:val="0"/>
          <w:sz w:val="22"/>
          <w:szCs w:val="22"/>
          <w:lang w:val="en-CA"/>
        </w:rPr>
        <w:t>administrative</w:t>
      </w:r>
      <w:r w:rsidRPr="003F7D24">
        <w:rPr>
          <w:i w:val="0"/>
          <w:sz w:val="22"/>
          <w:szCs w:val="22"/>
          <w:lang w:val="en-CA"/>
        </w:rPr>
        <w:t xml:space="preserve"> decision.</w:t>
      </w:r>
    </w:p>
    <w:p w14:paraId="4B14D8A1" w14:textId="381BAA46" w:rsidR="00E57111" w:rsidRPr="00B00BFD" w:rsidRDefault="00B00BFD" w:rsidP="00E57111">
      <w:pPr>
        <w:pStyle w:val="F04-Retrait"/>
        <w:rPr>
          <w:i w:val="0"/>
          <w:sz w:val="22"/>
          <w:szCs w:val="22"/>
          <w:lang w:val="en-CA"/>
        </w:rPr>
      </w:pPr>
      <w:r w:rsidRPr="00B00BFD">
        <w:rPr>
          <w:i w:val="0"/>
          <w:sz w:val="22"/>
          <w:szCs w:val="22"/>
          <w:lang w:val="en-CA"/>
        </w:rPr>
        <w:t>…</w:t>
      </w:r>
    </w:p>
    <w:p w14:paraId="79C7771F" w14:textId="1ED97EA5" w:rsidR="00E57111" w:rsidRPr="003F7D24" w:rsidRDefault="003F7D24" w:rsidP="00E57111">
      <w:pPr>
        <w:pStyle w:val="F04-Retrait"/>
        <w:ind w:right="931"/>
        <w:rPr>
          <w:i w:val="0"/>
          <w:sz w:val="22"/>
          <w:szCs w:val="22"/>
          <w:lang w:val="en-CA"/>
        </w:rPr>
      </w:pPr>
      <w:r w:rsidRPr="003F7D24">
        <w:rPr>
          <w:i w:val="0"/>
          <w:sz w:val="22"/>
          <w:szCs w:val="22"/>
          <w:lang w:val="en-CA"/>
        </w:rPr>
        <w:t xml:space="preserve">In this case, the jurisdiction to “make the decision which, in its opinion, should have been made initially” resembles a </w:t>
      </w:r>
      <w:r w:rsidRPr="00B00BFD">
        <w:rPr>
          <w:sz w:val="22"/>
          <w:szCs w:val="22"/>
          <w:lang w:val="en-CA"/>
        </w:rPr>
        <w:t>Dupont v. I</w:t>
      </w:r>
      <w:r w:rsidR="00B00BFD">
        <w:rPr>
          <w:sz w:val="22"/>
          <w:szCs w:val="22"/>
          <w:lang w:val="en-CA"/>
        </w:rPr>
        <w:t>n</w:t>
      </w:r>
      <w:r w:rsidRPr="00B00BFD">
        <w:rPr>
          <w:sz w:val="22"/>
          <w:szCs w:val="22"/>
          <w:lang w:val="en-CA"/>
        </w:rPr>
        <w:t>glish</w:t>
      </w:r>
      <w:r w:rsidR="00B00BFD">
        <w:rPr>
          <w:i w:val="0"/>
          <w:sz w:val="22"/>
          <w:szCs w:val="22"/>
          <w:lang w:val="en-CA"/>
        </w:rPr>
        <w:t xml:space="preserve"> type review; </w:t>
      </w:r>
      <w:r w:rsidR="00CA4978">
        <w:rPr>
          <w:i w:val="0"/>
          <w:sz w:val="22"/>
          <w:szCs w:val="22"/>
          <w:lang w:val="en-CA"/>
        </w:rPr>
        <w:t>it corresponds exactly to</w:t>
      </w:r>
      <w:r w:rsidRPr="003F7D24">
        <w:rPr>
          <w:i w:val="0"/>
          <w:sz w:val="22"/>
          <w:szCs w:val="22"/>
          <w:lang w:val="en-CA"/>
        </w:rPr>
        <w:t xml:space="preserve"> that of the </w:t>
      </w:r>
      <w:r w:rsidR="00B00BFD" w:rsidRPr="003F7D24">
        <w:rPr>
          <w:i w:val="0"/>
          <w:sz w:val="22"/>
          <w:szCs w:val="22"/>
          <w:lang w:val="en-CA"/>
        </w:rPr>
        <w:t>initial</w:t>
      </w:r>
      <w:r w:rsidRPr="003F7D24">
        <w:rPr>
          <w:i w:val="0"/>
          <w:sz w:val="22"/>
          <w:szCs w:val="22"/>
          <w:lang w:val="en-CA"/>
        </w:rPr>
        <w:t xml:space="preserve"> decision-maker, should concern all the elements of </w:t>
      </w:r>
      <w:r w:rsidR="00B00BFD" w:rsidRPr="003F7D24">
        <w:rPr>
          <w:i w:val="0"/>
          <w:sz w:val="22"/>
          <w:szCs w:val="22"/>
          <w:lang w:val="en-CA"/>
        </w:rPr>
        <w:t>the</w:t>
      </w:r>
      <w:r w:rsidRPr="003F7D24">
        <w:rPr>
          <w:i w:val="0"/>
          <w:sz w:val="22"/>
          <w:szCs w:val="22"/>
          <w:lang w:val="en-CA"/>
        </w:rPr>
        <w:t xml:space="preserve"> case</w:t>
      </w:r>
      <w:r w:rsidR="00CF0149">
        <w:rPr>
          <w:i w:val="0"/>
          <w:sz w:val="22"/>
          <w:szCs w:val="22"/>
          <w:lang w:val="en-CA"/>
        </w:rPr>
        <w:t xml:space="preserve"> –</w:t>
      </w:r>
      <w:r w:rsidRPr="003F7D24">
        <w:rPr>
          <w:i w:val="0"/>
          <w:sz w:val="22"/>
          <w:szCs w:val="22"/>
          <w:lang w:val="en-CA"/>
        </w:rPr>
        <w:t xml:space="preserve"> subject to a provision in the particular enabling </w:t>
      </w:r>
      <w:r w:rsidR="00CA4978">
        <w:rPr>
          <w:i w:val="0"/>
          <w:sz w:val="22"/>
          <w:szCs w:val="22"/>
          <w:lang w:val="en-CA"/>
        </w:rPr>
        <w:t>statute</w:t>
      </w:r>
      <w:r w:rsidRPr="003F7D24">
        <w:rPr>
          <w:i w:val="0"/>
          <w:sz w:val="22"/>
          <w:szCs w:val="22"/>
          <w:lang w:val="en-CA"/>
        </w:rPr>
        <w:t xml:space="preserve"> that might reduce the scope of </w:t>
      </w:r>
      <w:r w:rsidR="00B00BFD" w:rsidRPr="003F7D24">
        <w:rPr>
          <w:i w:val="0"/>
          <w:sz w:val="22"/>
          <w:szCs w:val="22"/>
          <w:lang w:val="en-CA"/>
        </w:rPr>
        <w:t>the</w:t>
      </w:r>
      <w:r w:rsidR="00CF0149">
        <w:rPr>
          <w:i w:val="0"/>
          <w:sz w:val="22"/>
          <w:szCs w:val="22"/>
          <w:lang w:val="en-CA"/>
        </w:rPr>
        <w:t xml:space="preserve"> proceeding –</w:t>
      </w:r>
      <w:r w:rsidRPr="003F7D24">
        <w:rPr>
          <w:i w:val="0"/>
          <w:sz w:val="22"/>
          <w:szCs w:val="22"/>
          <w:lang w:val="en-CA"/>
        </w:rPr>
        <w:t xml:space="preserve"> and allow the records to be updated.</w:t>
      </w:r>
      <w:r w:rsidR="00E57111">
        <w:rPr>
          <w:rStyle w:val="Appelnotedebasdep"/>
          <w:i w:val="0"/>
          <w:sz w:val="22"/>
          <w:szCs w:val="22"/>
        </w:rPr>
        <w:footnoteReference w:id="21"/>
      </w:r>
    </w:p>
    <w:p w14:paraId="7431C9E8" w14:textId="77777777" w:rsidR="00E57111" w:rsidRPr="003F7D24" w:rsidRDefault="003F7D24" w:rsidP="00E57111">
      <w:pPr>
        <w:pStyle w:val="F02-Texte"/>
        <w:ind w:left="0" w:firstLine="0"/>
        <w:rPr>
          <w:u w:val="single"/>
          <w:lang w:val="en-CA"/>
        </w:rPr>
      </w:pPr>
      <w:r w:rsidRPr="003F7D24">
        <w:rPr>
          <w:lang w:val="en-CA"/>
        </w:rPr>
        <w:lastRenderedPageBreak/>
        <w:t>More recently, Professor Garant reiterated the power of the Tribunal to substitute itself for that of the initial decision-maker:</w:t>
      </w:r>
    </w:p>
    <w:p w14:paraId="768EB082" w14:textId="5C589A28" w:rsidR="00CF0149" w:rsidRDefault="00CF0149" w:rsidP="00E57111">
      <w:pPr>
        <w:pStyle w:val="F04-Retrait"/>
        <w:ind w:right="931"/>
        <w:rPr>
          <w:i w:val="0"/>
          <w:sz w:val="22"/>
          <w:szCs w:val="22"/>
          <w:lang w:val="en-CA"/>
        </w:rPr>
      </w:pPr>
      <w:r>
        <w:rPr>
          <w:i w:val="0"/>
          <w:sz w:val="22"/>
          <w:szCs w:val="22"/>
          <w:lang w:val="en-CA"/>
        </w:rPr>
        <w:t>[</w:t>
      </w:r>
      <w:r w:rsidRPr="00CF0149">
        <w:rPr>
          <w:i w:val="0"/>
          <w:smallCaps/>
          <w:sz w:val="22"/>
          <w:szCs w:val="22"/>
          <w:lang w:val="en-CA"/>
        </w:rPr>
        <w:t>translation</w:t>
      </w:r>
      <w:r>
        <w:rPr>
          <w:i w:val="0"/>
          <w:sz w:val="22"/>
          <w:szCs w:val="22"/>
          <w:lang w:val="en-CA"/>
        </w:rPr>
        <w:t>]</w:t>
      </w:r>
    </w:p>
    <w:p w14:paraId="351BCDFB" w14:textId="177EE673" w:rsidR="00E57111" w:rsidRPr="00514596" w:rsidRDefault="00514596" w:rsidP="00E57111">
      <w:pPr>
        <w:pStyle w:val="F04-Retrait"/>
        <w:ind w:right="931"/>
        <w:rPr>
          <w:i w:val="0"/>
          <w:sz w:val="22"/>
          <w:szCs w:val="22"/>
          <w:lang w:val="en-CA"/>
        </w:rPr>
      </w:pPr>
      <w:r w:rsidRPr="00514596">
        <w:rPr>
          <w:i w:val="0"/>
          <w:sz w:val="22"/>
          <w:szCs w:val="22"/>
          <w:lang w:val="en-CA"/>
        </w:rPr>
        <w:t xml:space="preserve">These provisions, especially section 15 of </w:t>
      </w:r>
      <w:r w:rsidR="00CF0149" w:rsidRPr="00514596">
        <w:rPr>
          <w:i w:val="0"/>
          <w:sz w:val="22"/>
          <w:szCs w:val="22"/>
          <w:lang w:val="en-CA"/>
        </w:rPr>
        <w:t>the</w:t>
      </w:r>
      <w:r w:rsidRPr="00514596">
        <w:rPr>
          <w:i w:val="0"/>
          <w:sz w:val="22"/>
          <w:szCs w:val="22"/>
          <w:lang w:val="en-CA"/>
        </w:rPr>
        <w:t xml:space="preserve"> </w:t>
      </w:r>
      <w:r w:rsidRPr="00CF0149">
        <w:rPr>
          <w:sz w:val="22"/>
          <w:szCs w:val="22"/>
          <w:lang w:val="en-CA"/>
        </w:rPr>
        <w:t>Act respecting Administrative Justice</w:t>
      </w:r>
      <w:r w:rsidRPr="00514596">
        <w:rPr>
          <w:i w:val="0"/>
          <w:sz w:val="22"/>
          <w:szCs w:val="22"/>
          <w:lang w:val="en-CA"/>
        </w:rPr>
        <w:t xml:space="preserve"> </w:t>
      </w:r>
      <w:r w:rsidR="00FF57D4">
        <w:rPr>
          <w:i w:val="0"/>
          <w:sz w:val="22"/>
          <w:szCs w:val="22"/>
          <w:lang w:val="en-CA"/>
        </w:rPr>
        <w:t>have given</w:t>
      </w:r>
      <w:r w:rsidRPr="00514596">
        <w:rPr>
          <w:i w:val="0"/>
          <w:sz w:val="22"/>
          <w:szCs w:val="22"/>
          <w:lang w:val="en-CA"/>
        </w:rPr>
        <w:t xml:space="preserve"> rise to a controversy on what has been referred to as the Tribunal’s power </w:t>
      </w:r>
      <w:r w:rsidR="00FF57D4">
        <w:rPr>
          <w:i w:val="0"/>
          <w:sz w:val="22"/>
          <w:szCs w:val="22"/>
          <w:lang w:val="en-CA"/>
        </w:rPr>
        <w:t>of</w:t>
      </w:r>
      <w:r w:rsidRPr="00514596">
        <w:rPr>
          <w:i w:val="0"/>
          <w:sz w:val="22"/>
          <w:szCs w:val="22"/>
          <w:lang w:val="en-CA"/>
        </w:rPr>
        <w:t xml:space="preserve"> substitut</w:t>
      </w:r>
      <w:r w:rsidR="00FF57D4">
        <w:rPr>
          <w:i w:val="0"/>
          <w:sz w:val="22"/>
          <w:szCs w:val="22"/>
          <w:lang w:val="en-CA"/>
        </w:rPr>
        <w:t>ion</w:t>
      </w:r>
      <w:r w:rsidRPr="00514596">
        <w:rPr>
          <w:i w:val="0"/>
          <w:sz w:val="22"/>
          <w:szCs w:val="22"/>
          <w:lang w:val="en-CA"/>
        </w:rPr>
        <w:t>.</w:t>
      </w:r>
      <w:r w:rsidR="00E57111" w:rsidRPr="00514596">
        <w:rPr>
          <w:i w:val="0"/>
          <w:sz w:val="22"/>
          <w:szCs w:val="22"/>
          <w:lang w:val="en-CA"/>
        </w:rPr>
        <w:t xml:space="preserve"> </w:t>
      </w:r>
      <w:r w:rsidRPr="00514596">
        <w:rPr>
          <w:i w:val="0"/>
          <w:sz w:val="22"/>
          <w:szCs w:val="22"/>
          <w:lang w:val="en-CA"/>
        </w:rPr>
        <w:t xml:space="preserve">The case law has stated that appeals in procedural law should not be confused with appeals in administrative law or other forms of contestation that are </w:t>
      </w:r>
      <w:r w:rsidR="00CF0149" w:rsidRPr="00514596">
        <w:rPr>
          <w:i w:val="0"/>
          <w:sz w:val="22"/>
          <w:szCs w:val="22"/>
          <w:lang w:val="en-CA"/>
        </w:rPr>
        <w:t>referred</w:t>
      </w:r>
      <w:r w:rsidRPr="00514596">
        <w:rPr>
          <w:i w:val="0"/>
          <w:sz w:val="22"/>
          <w:szCs w:val="22"/>
          <w:lang w:val="en-CA"/>
        </w:rPr>
        <w:t xml:space="preserve"> to as review</w:t>
      </w:r>
      <w:r w:rsidR="00CE7D9C">
        <w:rPr>
          <w:i w:val="0"/>
          <w:sz w:val="22"/>
          <w:szCs w:val="22"/>
          <w:lang w:val="en-CA"/>
        </w:rPr>
        <w:t xml:space="preserve"> proceedings</w:t>
      </w:r>
      <w:r w:rsidRPr="00514596">
        <w:rPr>
          <w:i w:val="0"/>
          <w:sz w:val="22"/>
          <w:szCs w:val="22"/>
          <w:lang w:val="en-CA"/>
        </w:rPr>
        <w:t>.</w:t>
      </w:r>
      <w:r w:rsidR="00E57111" w:rsidRPr="00514596">
        <w:rPr>
          <w:i w:val="0"/>
          <w:sz w:val="22"/>
          <w:szCs w:val="22"/>
          <w:lang w:val="en-CA"/>
        </w:rPr>
        <w:t xml:space="preserve"> </w:t>
      </w:r>
      <w:r w:rsidRPr="00514596">
        <w:rPr>
          <w:i w:val="0"/>
          <w:sz w:val="22"/>
          <w:szCs w:val="22"/>
          <w:lang w:val="en-CA"/>
        </w:rPr>
        <w:t xml:space="preserve">In a </w:t>
      </w:r>
      <w:r w:rsidR="00CE7D9C">
        <w:rPr>
          <w:i w:val="0"/>
          <w:sz w:val="22"/>
          <w:szCs w:val="22"/>
          <w:lang w:val="en-CA"/>
        </w:rPr>
        <w:t xml:space="preserve">1995 </w:t>
      </w:r>
      <w:r w:rsidRPr="00514596">
        <w:rPr>
          <w:i w:val="0"/>
          <w:sz w:val="22"/>
          <w:szCs w:val="22"/>
          <w:lang w:val="en-CA"/>
        </w:rPr>
        <w:t xml:space="preserve">judgment, the Court of Appeal of Quebec, relying on the Supreme Court, recalled that such a tribunal proceeds </w:t>
      </w:r>
      <w:r w:rsidRPr="00CF0149">
        <w:rPr>
          <w:sz w:val="22"/>
          <w:szCs w:val="22"/>
          <w:lang w:val="en-CA"/>
        </w:rPr>
        <w:t>de novo</w:t>
      </w:r>
      <w:r w:rsidRPr="00514596">
        <w:rPr>
          <w:i w:val="0"/>
          <w:sz w:val="22"/>
          <w:szCs w:val="22"/>
          <w:lang w:val="en-CA"/>
        </w:rPr>
        <w:t xml:space="preserve"> </w:t>
      </w:r>
      <w:r w:rsidR="00CF0149">
        <w:rPr>
          <w:i w:val="0"/>
          <w:sz w:val="22"/>
          <w:szCs w:val="22"/>
          <w:lang w:val="en-CA"/>
        </w:rPr>
        <w:t>when reviewing</w:t>
      </w:r>
      <w:r w:rsidRPr="00514596">
        <w:rPr>
          <w:i w:val="0"/>
          <w:sz w:val="22"/>
          <w:szCs w:val="22"/>
          <w:lang w:val="en-CA"/>
        </w:rPr>
        <w:t xml:space="preserve"> </w:t>
      </w:r>
      <w:r w:rsidR="00CF0149" w:rsidRPr="00514596">
        <w:rPr>
          <w:i w:val="0"/>
          <w:sz w:val="22"/>
          <w:szCs w:val="22"/>
          <w:lang w:val="en-CA"/>
        </w:rPr>
        <w:t>the</w:t>
      </w:r>
      <w:r w:rsidRPr="00514596">
        <w:rPr>
          <w:i w:val="0"/>
          <w:sz w:val="22"/>
          <w:szCs w:val="22"/>
          <w:lang w:val="en-CA"/>
        </w:rPr>
        <w:t xml:space="preserve"> </w:t>
      </w:r>
      <w:r w:rsidR="00CF0149" w:rsidRPr="00514596">
        <w:rPr>
          <w:i w:val="0"/>
          <w:sz w:val="22"/>
          <w:szCs w:val="22"/>
          <w:lang w:val="en-CA"/>
        </w:rPr>
        <w:t>initial</w:t>
      </w:r>
      <w:r w:rsidRPr="00514596">
        <w:rPr>
          <w:i w:val="0"/>
          <w:sz w:val="22"/>
          <w:szCs w:val="22"/>
          <w:lang w:val="en-CA"/>
        </w:rPr>
        <w:t xml:space="preserve"> decision.</w:t>
      </w:r>
    </w:p>
    <w:p w14:paraId="06B9E40A" w14:textId="77777777" w:rsidR="00E57111" w:rsidRPr="007B6CAA" w:rsidRDefault="00E57111" w:rsidP="00E57111">
      <w:pPr>
        <w:pStyle w:val="F04-Retrait"/>
        <w:rPr>
          <w:i w:val="0"/>
          <w:sz w:val="22"/>
          <w:szCs w:val="22"/>
          <w:lang w:val="en-CA"/>
        </w:rPr>
      </w:pPr>
      <w:r w:rsidRPr="007B6CAA">
        <w:rPr>
          <w:i w:val="0"/>
          <w:sz w:val="22"/>
          <w:szCs w:val="22"/>
          <w:lang w:val="en-CA"/>
        </w:rPr>
        <w:t>…</w:t>
      </w:r>
    </w:p>
    <w:p w14:paraId="246DFC8C" w14:textId="3715457F" w:rsidR="00E57111" w:rsidRPr="007B6CAA" w:rsidRDefault="007B6CAA" w:rsidP="00E57111">
      <w:pPr>
        <w:pStyle w:val="F04-Retrait"/>
        <w:ind w:right="931"/>
        <w:rPr>
          <w:i w:val="0"/>
          <w:sz w:val="22"/>
          <w:szCs w:val="22"/>
          <w:lang w:val="en-CA"/>
        </w:rPr>
      </w:pPr>
      <w:r w:rsidRPr="007B6CAA">
        <w:rPr>
          <w:i w:val="0"/>
          <w:sz w:val="22"/>
          <w:szCs w:val="22"/>
          <w:lang w:val="en-CA"/>
        </w:rPr>
        <w:t xml:space="preserve">As the TAQ deems, I believe that there is an argument to be made that an appellate review in </w:t>
      </w:r>
      <w:r w:rsidR="00CF0149" w:rsidRPr="007B6CAA">
        <w:rPr>
          <w:i w:val="0"/>
          <w:sz w:val="22"/>
          <w:szCs w:val="22"/>
          <w:lang w:val="en-CA"/>
        </w:rPr>
        <w:t>administrative</w:t>
      </w:r>
      <w:r w:rsidRPr="007B6CAA">
        <w:rPr>
          <w:i w:val="0"/>
          <w:sz w:val="22"/>
          <w:szCs w:val="22"/>
          <w:lang w:val="en-CA"/>
        </w:rPr>
        <w:t xml:space="preserve"> law before an administrative tribunal is both a review of lawfulness and of appropriateness, when the initial administrative decision-maker had a discretionary power, unless the legislature has issued express restrictions.</w:t>
      </w:r>
      <w:r w:rsidR="00E57111">
        <w:rPr>
          <w:rStyle w:val="Appelnotedebasdep"/>
          <w:i w:val="0"/>
          <w:sz w:val="22"/>
          <w:szCs w:val="22"/>
        </w:rPr>
        <w:footnoteReference w:id="22"/>
      </w:r>
    </w:p>
    <w:p w14:paraId="2A7E4115" w14:textId="2B2B04EE" w:rsidR="00E57111" w:rsidRPr="00973988" w:rsidRDefault="007B6CAA" w:rsidP="00E57111">
      <w:pPr>
        <w:pStyle w:val="F02-Texte"/>
        <w:ind w:left="0" w:firstLine="0"/>
        <w:rPr>
          <w:u w:val="single"/>
          <w:lang w:val="en-CA"/>
        </w:rPr>
      </w:pPr>
      <w:r w:rsidRPr="007B6CAA">
        <w:rPr>
          <w:lang w:val="en-CA"/>
        </w:rPr>
        <w:t xml:space="preserve">The legislature has not </w:t>
      </w:r>
      <w:r w:rsidR="00CF0149">
        <w:rPr>
          <w:lang w:val="en-CA"/>
        </w:rPr>
        <w:t>placed</w:t>
      </w:r>
      <w:r w:rsidRPr="007B6CAA">
        <w:rPr>
          <w:lang w:val="en-CA"/>
        </w:rPr>
        <w:t xml:space="preserve"> any limits or restrictions on the </w:t>
      </w:r>
      <w:r w:rsidR="00CF0149" w:rsidRPr="00CF0149">
        <w:rPr>
          <w:i/>
          <w:lang w:val="en-CA"/>
        </w:rPr>
        <w:t xml:space="preserve">de novo </w:t>
      </w:r>
      <w:r w:rsidRPr="007B6CAA">
        <w:rPr>
          <w:lang w:val="en-CA"/>
        </w:rPr>
        <w:t xml:space="preserve">jurisdiction of this Tribunal to intervene </w:t>
      </w:r>
      <w:r w:rsidR="00CE7D9C">
        <w:rPr>
          <w:lang w:val="en-CA"/>
        </w:rPr>
        <w:t>in</w:t>
      </w:r>
      <w:r w:rsidRPr="007B6CAA">
        <w:rPr>
          <w:lang w:val="en-CA"/>
        </w:rPr>
        <w:t xml:space="preserve"> a decision </w:t>
      </w:r>
      <w:r w:rsidR="00501A07">
        <w:rPr>
          <w:lang w:val="en-CA"/>
        </w:rPr>
        <w:t>of</w:t>
      </w:r>
      <w:r w:rsidRPr="007B6CAA">
        <w:rPr>
          <w:lang w:val="en-CA"/>
        </w:rPr>
        <w:t xml:space="preserve"> </w:t>
      </w:r>
      <w:r w:rsidR="00CF0149" w:rsidRPr="007B6CAA">
        <w:rPr>
          <w:lang w:val="en-CA"/>
        </w:rPr>
        <w:t>the</w:t>
      </w:r>
      <w:r w:rsidRPr="007B6CAA">
        <w:rPr>
          <w:lang w:val="en-CA"/>
        </w:rPr>
        <w:t xml:space="preserve"> Fonds.</w:t>
      </w:r>
      <w:r w:rsidR="00E57111">
        <w:rPr>
          <w:rStyle w:val="Appelnotedebasdep"/>
        </w:rPr>
        <w:footnoteReference w:id="23"/>
      </w:r>
      <w:r w:rsidR="00E57111" w:rsidRPr="007B6CAA">
        <w:rPr>
          <w:rFonts w:cs="Arial"/>
          <w:color w:val="333333"/>
          <w:szCs w:val="24"/>
          <w:shd w:val="clear" w:color="auto" w:fill="FFFFFF"/>
          <w:lang w:val="en-CA"/>
        </w:rPr>
        <w:t xml:space="preserve"> </w:t>
      </w:r>
      <w:r w:rsidRPr="00AB4A77">
        <w:rPr>
          <w:rFonts w:cs="Arial"/>
          <w:szCs w:val="24"/>
          <w:shd w:val="clear" w:color="auto" w:fill="FFFFFF"/>
          <w:lang w:val="en-CA"/>
        </w:rPr>
        <w:t xml:space="preserve">However, should the Tribunal decide that the applicant is entitled to the assistance, it must order the Fonds to grant the assistance after agreement with the applicant or the applicant’s attorney, in </w:t>
      </w:r>
      <w:r w:rsidR="00973988" w:rsidRPr="00AB4A77">
        <w:rPr>
          <w:rFonts w:cs="Arial"/>
          <w:szCs w:val="24"/>
          <w:shd w:val="clear" w:color="auto" w:fill="FFFFFF"/>
          <w:lang w:val="en-CA"/>
        </w:rPr>
        <w:t>accordance</w:t>
      </w:r>
      <w:r w:rsidRPr="00AB4A77">
        <w:rPr>
          <w:rFonts w:cs="Arial"/>
          <w:szCs w:val="24"/>
          <w:shd w:val="clear" w:color="auto" w:fill="FFFFFF"/>
          <w:lang w:val="en-CA"/>
        </w:rPr>
        <w:t xml:space="preserve"> with s. 25 </w:t>
      </w:r>
      <w:r w:rsidRPr="00AB4A77">
        <w:rPr>
          <w:rFonts w:cs="Arial"/>
          <w:i/>
          <w:szCs w:val="24"/>
          <w:shd w:val="clear" w:color="auto" w:fill="FFFFFF"/>
          <w:lang w:val="en-CA"/>
        </w:rPr>
        <w:t>AFAAC</w:t>
      </w:r>
      <w:r w:rsidRPr="00AB4A77">
        <w:rPr>
          <w:rFonts w:cs="Arial"/>
          <w:szCs w:val="24"/>
          <w:shd w:val="clear" w:color="auto" w:fill="FFFFFF"/>
          <w:lang w:val="en-CA"/>
        </w:rPr>
        <w:t>.</w:t>
      </w:r>
      <w:r w:rsidR="00E57111" w:rsidRPr="00973988">
        <w:rPr>
          <w:rStyle w:val="Appelnotedebasdep"/>
        </w:rPr>
        <w:footnoteReference w:id="24"/>
      </w:r>
    </w:p>
    <w:p w14:paraId="48937B46" w14:textId="10F8832E" w:rsidR="00E57111" w:rsidRPr="007B6CAA" w:rsidRDefault="007B6CAA" w:rsidP="00E57111">
      <w:pPr>
        <w:pStyle w:val="F02-Texte"/>
        <w:ind w:left="0" w:firstLine="0"/>
        <w:rPr>
          <w:u w:val="single"/>
          <w:lang w:val="en-CA"/>
        </w:rPr>
      </w:pPr>
      <w:r w:rsidRPr="007B6CAA">
        <w:rPr>
          <w:lang w:val="en-CA"/>
        </w:rPr>
        <w:t xml:space="preserve">As the Court of Appeal recently stated, there are therefore three types of review </w:t>
      </w:r>
      <w:r w:rsidR="00CF0149">
        <w:rPr>
          <w:lang w:val="en-CA"/>
        </w:rPr>
        <w:t>with</w:t>
      </w:r>
      <w:r w:rsidRPr="007B6CAA">
        <w:rPr>
          <w:lang w:val="en-CA"/>
        </w:rPr>
        <w:t>in the “</w:t>
      </w:r>
      <w:r w:rsidR="00CF0149" w:rsidRPr="007B6CAA">
        <w:rPr>
          <w:lang w:val="en-CA"/>
        </w:rPr>
        <w:t>institutional</w:t>
      </w:r>
      <w:r w:rsidRPr="007B6CAA">
        <w:rPr>
          <w:lang w:val="en-CA"/>
        </w:rPr>
        <w:t xml:space="preserve"> </w:t>
      </w:r>
      <w:r w:rsidR="00011C13">
        <w:rPr>
          <w:lang w:val="en-CA"/>
        </w:rPr>
        <w:t>design</w:t>
      </w:r>
      <w:r w:rsidRPr="007B6CAA">
        <w:rPr>
          <w:lang w:val="en-CA"/>
        </w:rPr>
        <w:t>”</w:t>
      </w:r>
      <w:r w:rsidR="00E57111">
        <w:rPr>
          <w:rStyle w:val="Appelnotedebasdep"/>
        </w:rPr>
        <w:footnoteReference w:id="25"/>
      </w:r>
      <w:r w:rsidRPr="007B6CAA">
        <w:rPr>
          <w:lang w:val="en-CA"/>
        </w:rPr>
        <w:t xml:space="preserve"> chosen by </w:t>
      </w:r>
      <w:r w:rsidR="00CF0149" w:rsidRPr="007B6CAA">
        <w:rPr>
          <w:lang w:val="en-CA"/>
        </w:rPr>
        <w:t>the</w:t>
      </w:r>
      <w:r w:rsidRPr="007B6CAA">
        <w:rPr>
          <w:lang w:val="en-CA"/>
        </w:rPr>
        <w:t xml:space="preserve"> legislature.</w:t>
      </w:r>
      <w:r w:rsidR="00E57111" w:rsidRPr="007B6CAA">
        <w:rPr>
          <w:lang w:val="en-CA"/>
        </w:rPr>
        <w:t xml:space="preserve"> </w:t>
      </w:r>
      <w:r w:rsidRPr="007B6CAA">
        <w:rPr>
          <w:lang w:val="en-CA"/>
        </w:rPr>
        <w:t xml:space="preserve">There is the judicial review, the appeal, and finally, the </w:t>
      </w:r>
      <w:r w:rsidRPr="00CF0149">
        <w:rPr>
          <w:i/>
          <w:lang w:val="en-CA"/>
        </w:rPr>
        <w:t>de novo</w:t>
      </w:r>
      <w:r w:rsidRPr="007B6CAA">
        <w:rPr>
          <w:lang w:val="en-CA"/>
        </w:rPr>
        <w:t xml:space="preserve"> proceeding,</w:t>
      </w:r>
      <w:r w:rsidR="00E57111">
        <w:rPr>
          <w:rStyle w:val="Appelnotedebasdep"/>
        </w:rPr>
        <w:footnoteReference w:id="26"/>
      </w:r>
      <w:r w:rsidRPr="007B6CAA">
        <w:rPr>
          <w:lang w:val="en-CA"/>
        </w:rPr>
        <w:t xml:space="preserve"> presented here in decreasing order of deference owed to the impugned decision.</w:t>
      </w:r>
    </w:p>
    <w:p w14:paraId="5CED128E" w14:textId="7A4D7F05" w:rsidR="00E57111" w:rsidRPr="007B6CAA" w:rsidRDefault="007B6CAA" w:rsidP="00E57111">
      <w:pPr>
        <w:pStyle w:val="F02-Texte"/>
        <w:ind w:left="0" w:firstLine="0"/>
        <w:rPr>
          <w:u w:val="single"/>
          <w:lang w:val="en-CA"/>
        </w:rPr>
      </w:pPr>
      <w:r w:rsidRPr="007B6CAA">
        <w:rPr>
          <w:lang w:val="en-CA"/>
        </w:rPr>
        <w:lastRenderedPageBreak/>
        <w:t xml:space="preserve">In short, </w:t>
      </w:r>
      <w:r w:rsidR="0043544F">
        <w:rPr>
          <w:lang w:val="en-CA"/>
        </w:rPr>
        <w:t>an</w:t>
      </w:r>
      <w:r w:rsidRPr="007B6CAA">
        <w:rPr>
          <w:lang w:val="en-CA"/>
        </w:rPr>
        <w:t xml:space="preserve"> “administrative appeal” must be distinguished from </w:t>
      </w:r>
      <w:r w:rsidR="0043544F">
        <w:rPr>
          <w:lang w:val="en-CA"/>
        </w:rPr>
        <w:t>an</w:t>
      </w:r>
      <w:r w:rsidRPr="007B6CAA">
        <w:rPr>
          <w:lang w:val="en-CA"/>
        </w:rPr>
        <w:t xml:space="preserve"> “appeal before a court of justice”.</w:t>
      </w:r>
      <w:r w:rsidR="00E57111" w:rsidRPr="007B6CAA">
        <w:rPr>
          <w:lang w:val="en-CA"/>
        </w:rPr>
        <w:t xml:space="preserve"> </w:t>
      </w:r>
      <w:r w:rsidRPr="007B6CAA">
        <w:rPr>
          <w:lang w:val="en-CA"/>
        </w:rPr>
        <w:t xml:space="preserve">Only the latter is subject to the standard of review stated by the </w:t>
      </w:r>
      <w:r w:rsidR="00CA4EA7" w:rsidRPr="007B6CAA">
        <w:rPr>
          <w:lang w:val="en-CA"/>
        </w:rPr>
        <w:t>Supreme</w:t>
      </w:r>
      <w:r w:rsidRPr="007B6CAA">
        <w:rPr>
          <w:lang w:val="en-CA"/>
        </w:rPr>
        <w:t xml:space="preserve"> Court in </w:t>
      </w:r>
      <w:r w:rsidRPr="008B799D">
        <w:rPr>
          <w:i/>
          <w:lang w:val="en-CA"/>
        </w:rPr>
        <w:t>Vavilov</w:t>
      </w:r>
      <w:r w:rsidRPr="007B6CAA">
        <w:rPr>
          <w:lang w:val="en-CA"/>
        </w:rPr>
        <w:t xml:space="preserve">. That is because the administrative appeal is a fully </w:t>
      </w:r>
      <w:r w:rsidR="00CA4EA7" w:rsidRPr="007B6CAA">
        <w:rPr>
          <w:lang w:val="en-CA"/>
        </w:rPr>
        <w:t>jurisdictional</w:t>
      </w:r>
      <w:r w:rsidRPr="007B6CAA">
        <w:rPr>
          <w:lang w:val="en-CA"/>
        </w:rPr>
        <w:t xml:space="preserve"> review of a citizen’s legal situation on the merits.</w:t>
      </w:r>
      <w:r w:rsidR="00E57111" w:rsidRPr="007B6CAA">
        <w:rPr>
          <w:lang w:val="en-CA"/>
        </w:rPr>
        <w:t xml:space="preserve"> </w:t>
      </w:r>
      <w:r w:rsidRPr="007B6CAA">
        <w:rPr>
          <w:lang w:val="en-CA"/>
        </w:rPr>
        <w:t>As a general rule, as in this case, the</w:t>
      </w:r>
      <w:r w:rsidR="00631824">
        <w:rPr>
          <w:lang w:val="en-CA"/>
        </w:rPr>
        <w:t xml:space="preserve"> </w:t>
      </w:r>
      <w:r w:rsidR="00C65422">
        <w:rPr>
          <w:lang w:val="en-CA"/>
        </w:rPr>
        <w:t>Tribunal’s</w:t>
      </w:r>
      <w:r w:rsidRPr="007B6CAA">
        <w:rPr>
          <w:lang w:val="en-CA"/>
        </w:rPr>
        <w:t xml:space="preserve"> </w:t>
      </w:r>
      <w:r w:rsidRPr="00C65422">
        <w:rPr>
          <w:i/>
          <w:lang w:val="en-CA"/>
        </w:rPr>
        <w:t>de novo</w:t>
      </w:r>
      <w:r w:rsidRPr="007B6CAA">
        <w:rPr>
          <w:lang w:val="en-CA"/>
        </w:rPr>
        <w:t xml:space="preserve"> jurisdiction does not consist in analyzing whether the contested decision is vitiated in any way, but rather to make the necessary decision in light of the circumstances in terms of lawfulness and appropriateness.</w:t>
      </w:r>
    </w:p>
    <w:p w14:paraId="0DEDC188" w14:textId="503B3804" w:rsidR="00E57111" w:rsidRPr="007B6CAA" w:rsidRDefault="007B6CAA" w:rsidP="00E57111">
      <w:pPr>
        <w:pStyle w:val="F02-Texte"/>
        <w:ind w:left="0" w:firstLine="0"/>
        <w:rPr>
          <w:u w:val="single"/>
          <w:lang w:val="en-CA"/>
        </w:rPr>
      </w:pPr>
      <w:r w:rsidRPr="007B6CAA">
        <w:rPr>
          <w:lang w:val="en-CA"/>
        </w:rPr>
        <w:t>This administrative review is performed without deference, first because this Tribunal is part of the executive branch</w:t>
      </w:r>
      <w:r w:rsidR="00E57111">
        <w:rPr>
          <w:rStyle w:val="Appelnotedebasdep"/>
        </w:rPr>
        <w:footnoteReference w:id="27"/>
      </w:r>
      <w:r w:rsidRPr="007B6CAA">
        <w:rPr>
          <w:lang w:val="en-CA"/>
        </w:rPr>
        <w:t xml:space="preserve"> of the State </w:t>
      </w:r>
      <w:r w:rsidR="00552FC6">
        <w:rPr>
          <w:lang w:val="en-CA"/>
        </w:rPr>
        <w:t xml:space="preserve">and </w:t>
      </w:r>
      <w:r w:rsidRPr="007B6CAA">
        <w:rPr>
          <w:lang w:val="en-CA"/>
        </w:rPr>
        <w:t xml:space="preserve">is not, therefore, subject to the principles arising from </w:t>
      </w:r>
      <w:r w:rsidR="00631824">
        <w:rPr>
          <w:lang w:val="en-CA"/>
        </w:rPr>
        <w:t xml:space="preserve">the </w:t>
      </w:r>
      <w:r w:rsidRPr="007B6CAA">
        <w:rPr>
          <w:lang w:val="en-CA"/>
        </w:rPr>
        <w:t>separation of powers.</w:t>
      </w:r>
      <w:r w:rsidR="00E57111">
        <w:rPr>
          <w:rStyle w:val="Appelnotedebasdep"/>
        </w:rPr>
        <w:footnoteReference w:id="28"/>
      </w:r>
    </w:p>
    <w:p w14:paraId="7526401E" w14:textId="77777777" w:rsidR="00E57111" w:rsidRPr="007B6CAA" w:rsidRDefault="007B6CAA" w:rsidP="00E57111">
      <w:pPr>
        <w:pStyle w:val="F02-Texte"/>
        <w:ind w:left="0" w:firstLine="0"/>
        <w:rPr>
          <w:u w:val="single"/>
          <w:lang w:val="en-CA"/>
        </w:rPr>
      </w:pPr>
      <w:r w:rsidRPr="007B6CAA">
        <w:rPr>
          <w:lang w:val="en-CA"/>
        </w:rPr>
        <w:t>There can also be no deference when this Tribunal substitutes itself for the initial decision-maker.</w:t>
      </w:r>
      <w:r w:rsidR="00E57111" w:rsidRPr="007B6CAA">
        <w:rPr>
          <w:lang w:val="en-CA"/>
        </w:rPr>
        <w:t xml:space="preserve"> </w:t>
      </w:r>
      <w:r w:rsidRPr="007B6CAA">
        <w:rPr>
          <w:lang w:val="en-CA"/>
        </w:rPr>
        <w:t>It exercises the same powers as the initial decision-maker and is not required to show any deference.</w:t>
      </w:r>
    </w:p>
    <w:p w14:paraId="5776A433" w14:textId="77777777" w:rsidR="00E57111" w:rsidRPr="007B6CAA" w:rsidRDefault="007B6CAA" w:rsidP="00E57111">
      <w:pPr>
        <w:pStyle w:val="F02-Texte"/>
        <w:ind w:left="0" w:firstLine="0"/>
        <w:rPr>
          <w:u w:val="single"/>
          <w:lang w:val="en-CA"/>
        </w:rPr>
      </w:pPr>
      <w:r w:rsidRPr="007B6CAA">
        <w:rPr>
          <w:lang w:val="en-CA"/>
        </w:rPr>
        <w:t>How could there be deference when this Tribunal can admit evidence and hear any grounds of law or of fact that are relevant to the contestation?</w:t>
      </w:r>
      <w:r w:rsidR="00E57111">
        <w:rPr>
          <w:rStyle w:val="Appelnotedebasdep"/>
        </w:rPr>
        <w:footnoteReference w:id="29"/>
      </w:r>
    </w:p>
    <w:p w14:paraId="7D86288B" w14:textId="45D8FF02" w:rsidR="00E57111" w:rsidRPr="007B6CAA" w:rsidRDefault="007B6CAA" w:rsidP="00E57111">
      <w:pPr>
        <w:pStyle w:val="F02-Texte"/>
        <w:ind w:left="0" w:firstLine="0"/>
        <w:rPr>
          <w:u w:val="single"/>
          <w:lang w:val="en-CA"/>
        </w:rPr>
      </w:pPr>
      <w:r w:rsidRPr="007B6CAA">
        <w:rPr>
          <w:lang w:val="en-CA"/>
        </w:rPr>
        <w:t xml:space="preserve">Finally, deference is justified principally because it is not up to an appellate court to retry the </w:t>
      </w:r>
      <w:r w:rsidR="00D04097">
        <w:rPr>
          <w:lang w:val="en-CA"/>
        </w:rPr>
        <w:t>case</w:t>
      </w:r>
      <w:r w:rsidRPr="007B6CAA">
        <w:rPr>
          <w:lang w:val="en-CA"/>
        </w:rPr>
        <w:t xml:space="preserve"> heard by the initial decision-maker.</w:t>
      </w:r>
      <w:r w:rsidR="00E57111" w:rsidRPr="007B6CAA">
        <w:rPr>
          <w:lang w:val="en-CA"/>
        </w:rPr>
        <w:t xml:space="preserve"> </w:t>
      </w:r>
      <w:r>
        <w:rPr>
          <w:lang w:val="en-CA"/>
        </w:rPr>
        <w:t xml:space="preserve">The Fonds </w:t>
      </w:r>
      <w:r w:rsidR="00804C53">
        <w:rPr>
          <w:lang w:val="en-CA"/>
        </w:rPr>
        <w:t>acknowledges</w:t>
      </w:r>
      <w:r>
        <w:rPr>
          <w:lang w:val="en-CA"/>
        </w:rPr>
        <w:t xml:space="preserve"> that it does not hold hearings </w:t>
      </w:r>
      <w:r w:rsidR="00804C53">
        <w:rPr>
          <w:lang w:val="en-CA"/>
        </w:rPr>
        <w:t>and</w:t>
      </w:r>
      <w:r>
        <w:rPr>
          <w:lang w:val="en-CA"/>
        </w:rPr>
        <w:t xml:space="preserve"> that it may, in some cases but without being compelled to do so, allow citizens to present observations. Many of the Fonds’s decisions are made without any observations </w:t>
      </w:r>
      <w:r w:rsidR="00804C53">
        <w:rPr>
          <w:lang w:val="en-CA"/>
        </w:rPr>
        <w:t>being</w:t>
      </w:r>
      <w:r>
        <w:rPr>
          <w:lang w:val="en-CA"/>
        </w:rPr>
        <w:t xml:space="preserve"> </w:t>
      </w:r>
      <w:r w:rsidR="00314842">
        <w:rPr>
          <w:lang w:val="en-CA"/>
        </w:rPr>
        <w:t>provided beforehand</w:t>
      </w:r>
      <w:r>
        <w:rPr>
          <w:lang w:val="en-CA"/>
        </w:rPr>
        <w:t>.</w:t>
      </w:r>
      <w:r w:rsidR="00E57111" w:rsidRPr="007B6CAA">
        <w:rPr>
          <w:lang w:val="en-CA"/>
        </w:rPr>
        <w:t xml:space="preserve"> </w:t>
      </w:r>
      <w:r w:rsidRPr="007B6CAA">
        <w:rPr>
          <w:lang w:val="en-CA"/>
        </w:rPr>
        <w:t>This Tribunal cannot therefore show deference for a process that does not guarantee that citizens have the right to be heard.</w:t>
      </w:r>
      <w:r w:rsidR="00E57111" w:rsidRPr="007B6CAA">
        <w:rPr>
          <w:lang w:val="en-CA"/>
        </w:rPr>
        <w:t xml:space="preserve"> </w:t>
      </w:r>
      <w:r w:rsidRPr="007B6CAA">
        <w:rPr>
          <w:lang w:val="en-CA"/>
        </w:rPr>
        <w:t xml:space="preserve">This Tribunal is the </w:t>
      </w:r>
      <w:r w:rsidR="00552FC6">
        <w:rPr>
          <w:lang w:val="en-CA"/>
        </w:rPr>
        <w:t>actual</w:t>
      </w:r>
      <w:r w:rsidRPr="007B6CAA">
        <w:rPr>
          <w:lang w:val="en-CA"/>
        </w:rPr>
        <w:t xml:space="preserve"> jurisdictional first instance where facts and law are debated.</w:t>
      </w:r>
      <w:r w:rsidR="00E57111">
        <w:rPr>
          <w:rStyle w:val="Appelnotedebasdep"/>
        </w:rPr>
        <w:footnoteReference w:id="30"/>
      </w:r>
    </w:p>
    <w:p w14:paraId="1ECE4B8B" w14:textId="3BE824F1" w:rsidR="00E57111" w:rsidRPr="007B6CAA" w:rsidRDefault="007B6CAA" w:rsidP="00E57111">
      <w:pPr>
        <w:pStyle w:val="F02-Texte"/>
        <w:ind w:left="0" w:firstLine="0"/>
        <w:rPr>
          <w:u w:val="single"/>
          <w:lang w:val="en-CA"/>
        </w:rPr>
      </w:pPr>
      <w:r w:rsidRPr="007B6CAA">
        <w:rPr>
          <w:lang w:val="en-CA"/>
        </w:rPr>
        <w:t xml:space="preserve">Without deciding the issue, it should be added that three applicants testified </w:t>
      </w:r>
      <w:r w:rsidR="00804C53" w:rsidRPr="007B6CAA">
        <w:rPr>
          <w:lang w:val="en-CA"/>
        </w:rPr>
        <w:t>before</w:t>
      </w:r>
      <w:r w:rsidRPr="007B6CAA">
        <w:rPr>
          <w:lang w:val="en-CA"/>
        </w:rPr>
        <w:t xml:space="preserve"> </w:t>
      </w:r>
      <w:r w:rsidR="00804C53" w:rsidRPr="007B6CAA">
        <w:rPr>
          <w:lang w:val="en-CA"/>
        </w:rPr>
        <w:t>the</w:t>
      </w:r>
      <w:r w:rsidRPr="007B6CAA">
        <w:rPr>
          <w:lang w:val="en-CA"/>
        </w:rPr>
        <w:t xml:space="preserve"> Tribunal </w:t>
      </w:r>
      <w:r w:rsidR="00552FC6">
        <w:rPr>
          <w:lang w:val="en-CA"/>
        </w:rPr>
        <w:t>about</w:t>
      </w:r>
      <w:r w:rsidRPr="007B6CAA">
        <w:rPr>
          <w:lang w:val="en-CA"/>
        </w:rPr>
        <w:t xml:space="preserve"> their feeling of not </w:t>
      </w:r>
      <w:r w:rsidR="00314842">
        <w:rPr>
          <w:lang w:val="en-CA"/>
        </w:rPr>
        <w:t>having been</w:t>
      </w:r>
      <w:r w:rsidRPr="007B6CAA">
        <w:rPr>
          <w:lang w:val="en-CA"/>
        </w:rPr>
        <w:t xml:space="preserve"> adequately heard by the Fonds.</w:t>
      </w:r>
    </w:p>
    <w:p w14:paraId="6B34CE76" w14:textId="2A1E1365" w:rsidR="00E57111" w:rsidRPr="007B6CAA" w:rsidRDefault="007B6CAA" w:rsidP="00E57111">
      <w:pPr>
        <w:pStyle w:val="F02-Texte"/>
        <w:ind w:left="0" w:firstLine="0"/>
        <w:rPr>
          <w:u w:val="single"/>
          <w:lang w:val="en-CA"/>
        </w:rPr>
      </w:pPr>
      <w:r w:rsidRPr="007B6CAA">
        <w:rPr>
          <w:lang w:val="en-CA"/>
        </w:rPr>
        <w:t xml:space="preserve">The Tribunal therefore concludes, </w:t>
      </w:r>
      <w:r w:rsidR="00552FC6">
        <w:rPr>
          <w:lang w:val="en-CA"/>
        </w:rPr>
        <w:t>at this time</w:t>
      </w:r>
      <w:r w:rsidRPr="007B6CAA">
        <w:rPr>
          <w:lang w:val="en-CA"/>
        </w:rPr>
        <w:t xml:space="preserve">, that it </w:t>
      </w:r>
      <w:r w:rsidR="00717F90">
        <w:rPr>
          <w:lang w:val="en-CA"/>
        </w:rPr>
        <w:t xml:space="preserve">need </w:t>
      </w:r>
      <w:r w:rsidRPr="007B6CAA">
        <w:rPr>
          <w:lang w:val="en-CA"/>
        </w:rPr>
        <w:t>not need take into account the applicable appellate standards or defer to the Fonds’s decision.</w:t>
      </w:r>
      <w:r w:rsidR="00E57111" w:rsidRPr="007B6CAA">
        <w:rPr>
          <w:lang w:val="en-CA"/>
        </w:rPr>
        <w:t xml:space="preserve"> </w:t>
      </w:r>
      <w:r w:rsidRPr="007B6CAA">
        <w:rPr>
          <w:lang w:val="en-CA"/>
        </w:rPr>
        <w:t xml:space="preserve">It may intervene if it </w:t>
      </w:r>
      <w:r w:rsidRPr="007B6CAA">
        <w:rPr>
          <w:lang w:val="en-CA"/>
        </w:rPr>
        <w:lastRenderedPageBreak/>
        <w:t xml:space="preserve">deems </w:t>
      </w:r>
      <w:r w:rsidR="00717F90">
        <w:rPr>
          <w:lang w:val="en-CA"/>
        </w:rPr>
        <w:t>it</w:t>
      </w:r>
      <w:r w:rsidRPr="007B6CAA">
        <w:rPr>
          <w:lang w:val="en-CA"/>
        </w:rPr>
        <w:t xml:space="preserve"> justified in the circumstances, by lawfulness or appropriateness, according to the criteria set out in the </w:t>
      </w:r>
      <w:r w:rsidRPr="00552FC6">
        <w:rPr>
          <w:i/>
          <w:lang w:val="en-CA"/>
        </w:rPr>
        <w:t>AFAAC</w:t>
      </w:r>
      <w:r w:rsidRPr="007B6CAA">
        <w:rPr>
          <w:lang w:val="en-CA"/>
        </w:rPr>
        <w:t>.</w:t>
      </w:r>
    </w:p>
    <w:p w14:paraId="63E18332" w14:textId="77777777" w:rsidR="00E57111" w:rsidRPr="00155065" w:rsidRDefault="00E57111" w:rsidP="00E57111">
      <w:pPr>
        <w:pStyle w:val="F02-Texte"/>
        <w:numPr>
          <w:ilvl w:val="0"/>
          <w:numId w:val="0"/>
        </w:numPr>
        <w:rPr>
          <w:b/>
          <w:i/>
        </w:rPr>
      </w:pPr>
      <w:r w:rsidRPr="00155065">
        <w:rPr>
          <w:b/>
          <w:i/>
        </w:rPr>
        <w:t xml:space="preserve">2) </w:t>
      </w:r>
      <w:r w:rsidR="007B6CAA" w:rsidRPr="00C91005">
        <w:rPr>
          <w:b/>
          <w:i/>
          <w:lang w:val="en-CA"/>
        </w:rPr>
        <w:t>Subsequent facts</w:t>
      </w:r>
    </w:p>
    <w:p w14:paraId="5D72F898" w14:textId="2416F241" w:rsidR="00E57111" w:rsidRPr="007B6CAA" w:rsidRDefault="007B6CAA" w:rsidP="00E57111">
      <w:pPr>
        <w:pStyle w:val="F02-Texte"/>
        <w:ind w:left="0" w:firstLine="0"/>
        <w:rPr>
          <w:u w:val="single"/>
          <w:lang w:val="en-CA"/>
        </w:rPr>
      </w:pPr>
      <w:r w:rsidRPr="007B6CAA">
        <w:rPr>
          <w:lang w:val="en-CA"/>
        </w:rPr>
        <w:t xml:space="preserve">Because the status of representative has not yet been ascribed to the applicants, section 23 </w:t>
      </w:r>
      <w:r w:rsidRPr="00552FC6">
        <w:rPr>
          <w:i/>
          <w:lang w:val="en-CA"/>
        </w:rPr>
        <w:t>AFAAC</w:t>
      </w:r>
      <w:r w:rsidRPr="007B6CAA">
        <w:rPr>
          <w:lang w:val="en-CA"/>
        </w:rPr>
        <w:t xml:space="preserve"> </w:t>
      </w:r>
      <w:r w:rsidR="00552FC6">
        <w:rPr>
          <w:lang w:val="en-CA"/>
        </w:rPr>
        <w:t>sets out</w:t>
      </w:r>
      <w:r w:rsidRPr="007B6CAA">
        <w:rPr>
          <w:lang w:val="en-CA"/>
        </w:rPr>
        <w:t xml:space="preserve"> three criteria for financial assistance to be issued, which themselves include some sub-criteria for application:</w:t>
      </w:r>
    </w:p>
    <w:p w14:paraId="1EB7BA7C" w14:textId="1927F47E" w:rsidR="00E57111" w:rsidRPr="007B6CAA" w:rsidRDefault="00966BB6" w:rsidP="00E57111">
      <w:pPr>
        <w:pStyle w:val="F06-Tiret"/>
        <w:numPr>
          <w:ilvl w:val="0"/>
          <w:numId w:val="0"/>
        </w:numPr>
        <w:tabs>
          <w:tab w:val="left" w:pos="1418"/>
        </w:tabs>
        <w:ind w:left="1069"/>
        <w:rPr>
          <w:lang w:val="en-CA"/>
        </w:rPr>
      </w:pPr>
      <w:r>
        <w:rPr>
          <w:lang w:val="en-CA"/>
        </w:rPr>
        <w:t>(</w:t>
      </w:r>
      <w:r w:rsidR="00E57111" w:rsidRPr="007B6CAA">
        <w:rPr>
          <w:lang w:val="en-CA"/>
        </w:rPr>
        <w:t>1)</w:t>
      </w:r>
      <w:r w:rsidR="00E57111" w:rsidRPr="007B6CAA">
        <w:rPr>
          <w:lang w:val="en-CA"/>
        </w:rPr>
        <w:tab/>
      </w:r>
      <w:r w:rsidR="007B6CAA" w:rsidRPr="007B6CAA">
        <w:rPr>
          <w:lang w:val="en-CA"/>
        </w:rPr>
        <w:t>that the class action cannot be brought or continued without the Fonds’s financial assistance;</w:t>
      </w:r>
    </w:p>
    <w:p w14:paraId="0979E3AB" w14:textId="4D6A4764" w:rsidR="00E57111" w:rsidRPr="007B6CAA" w:rsidRDefault="00966BB6" w:rsidP="00E57111">
      <w:pPr>
        <w:pStyle w:val="F06-Tiret"/>
        <w:numPr>
          <w:ilvl w:val="0"/>
          <w:numId w:val="0"/>
        </w:numPr>
        <w:tabs>
          <w:tab w:val="left" w:pos="1418"/>
        </w:tabs>
        <w:ind w:left="1069"/>
        <w:rPr>
          <w:lang w:val="en-CA"/>
        </w:rPr>
      </w:pPr>
      <w:r>
        <w:rPr>
          <w:lang w:val="en-CA"/>
        </w:rPr>
        <w:t>(</w:t>
      </w:r>
      <w:r w:rsidR="00E57111" w:rsidRPr="007B6CAA">
        <w:rPr>
          <w:lang w:val="en-CA"/>
        </w:rPr>
        <w:t>2)</w:t>
      </w:r>
      <w:r w:rsidR="00E57111" w:rsidRPr="007B6CAA">
        <w:rPr>
          <w:lang w:val="en-CA"/>
        </w:rPr>
        <w:tab/>
      </w:r>
      <w:r w:rsidR="007B6CAA" w:rsidRPr="007B6CAA">
        <w:rPr>
          <w:lang w:val="en-CA"/>
        </w:rPr>
        <w:t>that the Fonds may consider the probabl</w:t>
      </w:r>
      <w:r w:rsidR="005F0349">
        <w:rPr>
          <w:lang w:val="en-CA"/>
        </w:rPr>
        <w:t>e</w:t>
      </w:r>
      <w:r w:rsidR="007B6CAA" w:rsidRPr="007B6CAA">
        <w:rPr>
          <w:lang w:val="en-CA"/>
        </w:rPr>
        <w:t xml:space="preserve"> existence of </w:t>
      </w:r>
      <w:r w:rsidR="00552FC6" w:rsidRPr="007B6CAA">
        <w:rPr>
          <w:lang w:val="en-CA"/>
        </w:rPr>
        <w:t>the</w:t>
      </w:r>
      <w:r w:rsidR="007B6CAA" w:rsidRPr="007B6CAA">
        <w:rPr>
          <w:lang w:val="en-CA"/>
        </w:rPr>
        <w:t xml:space="preserve"> right the applicants intend to assert;</w:t>
      </w:r>
      <w:r w:rsidR="00E55457">
        <w:rPr>
          <w:lang w:val="en-CA"/>
        </w:rPr>
        <w:t xml:space="preserve"> and</w:t>
      </w:r>
    </w:p>
    <w:p w14:paraId="241FC893" w14:textId="26C87E1F" w:rsidR="00E57111" w:rsidRPr="007B6CAA" w:rsidRDefault="00966BB6" w:rsidP="00E57111">
      <w:pPr>
        <w:pStyle w:val="F06-Tiret"/>
        <w:numPr>
          <w:ilvl w:val="0"/>
          <w:numId w:val="0"/>
        </w:numPr>
        <w:tabs>
          <w:tab w:val="left" w:pos="1418"/>
        </w:tabs>
        <w:ind w:left="1069"/>
        <w:rPr>
          <w:lang w:val="en-CA"/>
        </w:rPr>
      </w:pPr>
      <w:r>
        <w:rPr>
          <w:lang w:val="en-CA"/>
        </w:rPr>
        <w:t>(</w:t>
      </w:r>
      <w:r w:rsidR="00E57111" w:rsidRPr="007B6CAA">
        <w:rPr>
          <w:lang w:val="en-CA"/>
        </w:rPr>
        <w:t>3)</w:t>
      </w:r>
      <w:r w:rsidR="00E57111" w:rsidRPr="007B6CAA">
        <w:rPr>
          <w:lang w:val="en-CA"/>
        </w:rPr>
        <w:tab/>
      </w:r>
      <w:r w:rsidR="007B6CAA" w:rsidRPr="007B6CAA">
        <w:rPr>
          <w:lang w:val="en-CA"/>
        </w:rPr>
        <w:t>the probability that the class action will be brought.</w:t>
      </w:r>
    </w:p>
    <w:p w14:paraId="725E84BE" w14:textId="1FC8FA22" w:rsidR="00E57111" w:rsidRPr="007B6CAA" w:rsidRDefault="007B6CAA" w:rsidP="00E57111">
      <w:pPr>
        <w:pStyle w:val="F02-Texte"/>
        <w:tabs>
          <w:tab w:val="left" w:pos="851"/>
          <w:tab w:val="num" w:pos="1134"/>
          <w:tab w:val="left" w:pos="1418"/>
        </w:tabs>
        <w:ind w:left="0" w:firstLine="0"/>
        <w:rPr>
          <w:u w:val="single"/>
          <w:lang w:val="en-CA"/>
        </w:rPr>
      </w:pPr>
      <w:r w:rsidRPr="007B6CAA">
        <w:rPr>
          <w:lang w:val="en-CA"/>
        </w:rPr>
        <w:t>This third criterion requires an examination of the composition of the group concerned by the class action, as will be discussed below.</w:t>
      </w:r>
      <w:r w:rsidR="00E57111" w:rsidRPr="007B6CAA">
        <w:rPr>
          <w:lang w:val="en-CA"/>
        </w:rPr>
        <w:t xml:space="preserve"> </w:t>
      </w:r>
      <w:r w:rsidRPr="007B6CAA">
        <w:rPr>
          <w:lang w:val="en-CA"/>
        </w:rPr>
        <w:t xml:space="preserve">This assessment raises a preliminary issue, however, that </w:t>
      </w:r>
      <w:r w:rsidR="00552FC6" w:rsidRPr="007B6CAA">
        <w:rPr>
          <w:lang w:val="en-CA"/>
        </w:rPr>
        <w:t>should</w:t>
      </w:r>
      <w:r w:rsidRPr="007B6CAA">
        <w:rPr>
          <w:lang w:val="en-CA"/>
        </w:rPr>
        <w:t xml:space="preserve"> be analyzed now because it is related to the previous issue on the nature of the proceeding filed.</w:t>
      </w:r>
    </w:p>
    <w:p w14:paraId="2F1768F5" w14:textId="17E67CBB" w:rsidR="00E57111" w:rsidRPr="007B6CAA" w:rsidRDefault="007B6CAA" w:rsidP="00E57111">
      <w:pPr>
        <w:pStyle w:val="F02-Texte"/>
        <w:tabs>
          <w:tab w:val="left" w:pos="851"/>
          <w:tab w:val="num" w:pos="1134"/>
        </w:tabs>
        <w:ind w:left="0" w:firstLine="0"/>
        <w:rPr>
          <w:u w:val="single"/>
          <w:lang w:val="en-CA"/>
        </w:rPr>
      </w:pPr>
      <w:r w:rsidRPr="007B6CAA">
        <w:rPr>
          <w:lang w:val="en-CA"/>
        </w:rPr>
        <w:t xml:space="preserve">In its reasons for refusal dated April 16, 2020, the Fonds emphasized the vagueness of the description </w:t>
      </w:r>
      <w:r w:rsidR="00401CC8" w:rsidRPr="007B6CAA">
        <w:rPr>
          <w:lang w:val="en-CA"/>
        </w:rPr>
        <w:t>of</w:t>
      </w:r>
      <w:r w:rsidRPr="007B6CAA">
        <w:rPr>
          <w:lang w:val="en-CA"/>
        </w:rPr>
        <w:t xml:space="preserve"> the group concerned, particularly with respect to the element of connection to the province of Quebec.</w:t>
      </w:r>
      <w:r w:rsidR="00E57111" w:rsidRPr="007B6CAA">
        <w:rPr>
          <w:lang w:val="en-CA"/>
        </w:rPr>
        <w:t xml:space="preserve"> </w:t>
      </w:r>
      <w:r w:rsidRPr="007B6CAA">
        <w:rPr>
          <w:lang w:val="en-CA"/>
        </w:rPr>
        <w:t>The Fonds asks the following question: (e) must persons have purchased/leased or used the telephone in Quebec or must they reside there?</w:t>
      </w:r>
      <w:r w:rsidR="00E57111">
        <w:rPr>
          <w:rStyle w:val="Appelnotedebasdep"/>
        </w:rPr>
        <w:footnoteReference w:id="31"/>
      </w:r>
    </w:p>
    <w:p w14:paraId="30224344" w14:textId="0B4AFC62" w:rsidR="00E57111" w:rsidRPr="007B6CAA" w:rsidRDefault="007B6CAA" w:rsidP="00E57111">
      <w:pPr>
        <w:pStyle w:val="F02-Texte"/>
        <w:tabs>
          <w:tab w:val="left" w:pos="851"/>
          <w:tab w:val="num" w:pos="1134"/>
        </w:tabs>
        <w:ind w:left="0" w:firstLine="0"/>
        <w:rPr>
          <w:u w:val="single"/>
          <w:lang w:val="en-CA"/>
        </w:rPr>
      </w:pPr>
      <w:r w:rsidRPr="007B6CAA">
        <w:rPr>
          <w:lang w:val="en-CA"/>
        </w:rPr>
        <w:t>On August 13, 2020, the applicants once again amended their application for authorization to institute a class action filed before the Superior Court.</w:t>
      </w:r>
      <w:r w:rsidR="00E57111" w:rsidRPr="007B6CAA">
        <w:rPr>
          <w:lang w:val="en-CA"/>
        </w:rPr>
        <w:t xml:space="preserve"> </w:t>
      </w:r>
      <w:r w:rsidRPr="007B6CAA">
        <w:rPr>
          <w:lang w:val="en-CA"/>
        </w:rPr>
        <w:t xml:space="preserve">An amendment was brought, in particular, to the description </w:t>
      </w:r>
      <w:r w:rsidR="00594FC2" w:rsidRPr="007B6CAA">
        <w:rPr>
          <w:lang w:val="en-CA"/>
        </w:rPr>
        <w:t>of</w:t>
      </w:r>
      <w:r w:rsidRPr="007B6CAA">
        <w:rPr>
          <w:lang w:val="en-CA"/>
        </w:rPr>
        <w:t xml:space="preserve"> the group to </w:t>
      </w:r>
      <w:r w:rsidR="00594FC2" w:rsidRPr="007B6CAA">
        <w:rPr>
          <w:lang w:val="en-CA"/>
        </w:rPr>
        <w:t>specify</w:t>
      </w:r>
      <w:r w:rsidRPr="007B6CAA">
        <w:rPr>
          <w:lang w:val="en-CA"/>
        </w:rPr>
        <w:t xml:space="preserve"> that the persons concerned must have been “at any time residing” in the province of </w:t>
      </w:r>
      <w:r w:rsidR="00594FC2" w:rsidRPr="007B6CAA">
        <w:rPr>
          <w:lang w:val="en-CA"/>
        </w:rPr>
        <w:t>Quebec</w:t>
      </w:r>
      <w:r w:rsidRPr="007B6CAA">
        <w:rPr>
          <w:lang w:val="en-CA"/>
        </w:rPr>
        <w:t>.</w:t>
      </w:r>
      <w:r w:rsidR="00E57111" w:rsidRPr="007B6CAA">
        <w:rPr>
          <w:lang w:val="en-CA"/>
        </w:rPr>
        <w:t xml:space="preserve"> </w:t>
      </w:r>
      <w:r w:rsidRPr="007B6CAA">
        <w:rPr>
          <w:lang w:val="en-CA"/>
        </w:rPr>
        <w:t>References to Canada</w:t>
      </w:r>
      <w:r w:rsidR="00946E03">
        <w:rPr>
          <w:lang w:val="en-CA"/>
        </w:rPr>
        <w:t>,</w:t>
      </w:r>
      <w:r w:rsidRPr="007B6CAA">
        <w:rPr>
          <w:lang w:val="en-CA"/>
        </w:rPr>
        <w:t xml:space="preserve"> </w:t>
      </w:r>
      <w:r w:rsidR="00946E03" w:rsidRPr="007B6CAA">
        <w:rPr>
          <w:lang w:val="en-CA"/>
        </w:rPr>
        <w:t>which created confusi</w:t>
      </w:r>
      <w:r w:rsidR="00946E03">
        <w:rPr>
          <w:lang w:val="en-CA"/>
        </w:rPr>
        <w:t>on</w:t>
      </w:r>
      <w:r w:rsidR="00946E03" w:rsidRPr="007B6CAA">
        <w:rPr>
          <w:lang w:val="en-CA"/>
        </w:rPr>
        <w:t xml:space="preserve"> according to the Fonds</w:t>
      </w:r>
      <w:r w:rsidR="00946E03">
        <w:rPr>
          <w:lang w:val="en-CA"/>
        </w:rPr>
        <w:t>, were</w:t>
      </w:r>
      <w:r w:rsidRPr="007B6CAA">
        <w:rPr>
          <w:lang w:val="en-CA"/>
        </w:rPr>
        <w:t xml:space="preserve"> also struc</w:t>
      </w:r>
      <w:r w:rsidR="00946E03">
        <w:rPr>
          <w:lang w:val="en-CA"/>
        </w:rPr>
        <w:t>k</w:t>
      </w:r>
      <w:r w:rsidRPr="007B6CAA">
        <w:rPr>
          <w:lang w:val="en-CA"/>
        </w:rPr>
        <w:t>.</w:t>
      </w:r>
    </w:p>
    <w:p w14:paraId="2D7B4D63" w14:textId="77777777" w:rsidR="00E57111" w:rsidRPr="007B6CAA" w:rsidRDefault="007B6CAA" w:rsidP="00E57111">
      <w:pPr>
        <w:pStyle w:val="F02-Texte"/>
        <w:ind w:left="0" w:firstLine="0"/>
        <w:rPr>
          <w:u w:val="single"/>
          <w:lang w:val="en-CA"/>
        </w:rPr>
      </w:pPr>
      <w:r w:rsidRPr="007B6CAA">
        <w:rPr>
          <w:lang w:val="en-CA"/>
        </w:rPr>
        <w:t>This begs the following question: Can this Tribunal consider these amendments that are subsequent to the Fonds’s decision?</w:t>
      </w:r>
    </w:p>
    <w:p w14:paraId="6E54A5F4" w14:textId="7E721C65" w:rsidR="00E57111" w:rsidRPr="007B6CAA" w:rsidRDefault="00946E03" w:rsidP="00E57111">
      <w:pPr>
        <w:pStyle w:val="F02-Texte"/>
        <w:ind w:left="0" w:firstLine="0"/>
        <w:rPr>
          <w:u w:val="single"/>
          <w:lang w:val="en-CA"/>
        </w:rPr>
      </w:pPr>
      <w:r>
        <w:rPr>
          <w:lang w:val="en-CA"/>
        </w:rPr>
        <w:lastRenderedPageBreak/>
        <w:t>The Fonds answers that the Tribunal</w:t>
      </w:r>
      <w:r w:rsidR="007B6CAA" w:rsidRPr="007B6CAA">
        <w:rPr>
          <w:lang w:val="en-CA"/>
        </w:rPr>
        <w:t xml:space="preserve"> should not because the </w:t>
      </w:r>
      <w:r w:rsidR="00594FC2" w:rsidRPr="007B6CAA">
        <w:rPr>
          <w:lang w:val="en-CA"/>
        </w:rPr>
        <w:t>Fonds</w:t>
      </w:r>
      <w:r>
        <w:rPr>
          <w:lang w:val="en-CA"/>
        </w:rPr>
        <w:t>, when making a decision,</w:t>
      </w:r>
      <w:r w:rsidR="007B6CAA" w:rsidRPr="007B6CAA">
        <w:rPr>
          <w:lang w:val="en-CA"/>
        </w:rPr>
        <w:t xml:space="preserve"> should not assume that any deficiencies will later be remedied by the applicants or the Superior Court.</w:t>
      </w:r>
      <w:r w:rsidR="00E57111" w:rsidRPr="007B6CAA">
        <w:rPr>
          <w:lang w:val="en-CA"/>
        </w:rPr>
        <w:t xml:space="preserve"> </w:t>
      </w:r>
      <w:r w:rsidR="007B6CAA">
        <w:rPr>
          <w:lang w:val="en-CA"/>
        </w:rPr>
        <w:t xml:space="preserve">It is of the view that this Tribunal must rule on the merits of the </w:t>
      </w:r>
      <w:r w:rsidR="00594FC2">
        <w:rPr>
          <w:lang w:val="en-CA"/>
        </w:rPr>
        <w:t>Fonds</w:t>
      </w:r>
      <w:r>
        <w:rPr>
          <w:lang w:val="en-CA"/>
        </w:rPr>
        <w:t>’s</w:t>
      </w:r>
      <w:r w:rsidR="007B6CAA">
        <w:rPr>
          <w:lang w:val="en-CA"/>
        </w:rPr>
        <w:t xml:space="preserve"> decision, based on the facts </w:t>
      </w:r>
      <w:r>
        <w:rPr>
          <w:lang w:val="en-CA"/>
        </w:rPr>
        <w:t>that were at</w:t>
      </w:r>
      <w:r w:rsidR="007B6CAA">
        <w:rPr>
          <w:lang w:val="en-CA"/>
        </w:rPr>
        <w:t xml:space="preserve"> </w:t>
      </w:r>
      <w:r w:rsidR="00910452">
        <w:rPr>
          <w:lang w:val="en-CA"/>
        </w:rPr>
        <w:t>the Fonds’s</w:t>
      </w:r>
      <w:r w:rsidR="007B6CAA">
        <w:rPr>
          <w:lang w:val="en-CA"/>
        </w:rPr>
        <w:t xml:space="preserve"> disposal at </w:t>
      </w:r>
      <w:r>
        <w:rPr>
          <w:lang w:val="en-CA"/>
        </w:rPr>
        <w:t>the</w:t>
      </w:r>
      <w:r w:rsidR="007B6CAA">
        <w:rPr>
          <w:lang w:val="en-CA"/>
        </w:rPr>
        <w:t xml:space="preserve"> time.</w:t>
      </w:r>
    </w:p>
    <w:p w14:paraId="406F7D6C" w14:textId="1CADE4B1" w:rsidR="00E57111" w:rsidRPr="007B6CAA" w:rsidRDefault="007B6CAA" w:rsidP="00E57111">
      <w:pPr>
        <w:pStyle w:val="F02-Texte"/>
        <w:ind w:left="0" w:firstLine="0"/>
        <w:rPr>
          <w:u w:val="single"/>
          <w:lang w:val="en-CA"/>
        </w:rPr>
      </w:pPr>
      <w:r w:rsidRPr="007B6CAA">
        <w:rPr>
          <w:lang w:val="en-CA"/>
        </w:rPr>
        <w:t>First, the Tribunal wishes to point out that the correction brought here does not concern an issue with the description of the group due to individual issues, contrary to what was prevalent in the case on which the Fonds relies.</w:t>
      </w:r>
      <w:r w:rsidR="00E57111">
        <w:rPr>
          <w:rStyle w:val="Appelnotedebasdep"/>
        </w:rPr>
        <w:footnoteReference w:id="32"/>
      </w:r>
      <w:r w:rsidRPr="007B6CAA">
        <w:rPr>
          <w:lang w:val="en-CA"/>
        </w:rPr>
        <w:t xml:space="preserve"> Also, this Tribunal has previously stated the following on the possible amendment of </w:t>
      </w:r>
      <w:r w:rsidR="00946E03">
        <w:rPr>
          <w:lang w:val="en-CA"/>
        </w:rPr>
        <w:t>a</w:t>
      </w:r>
      <w:r w:rsidRPr="007B6CAA">
        <w:rPr>
          <w:lang w:val="en-CA"/>
        </w:rPr>
        <w:t xml:space="preserve"> </w:t>
      </w:r>
      <w:r w:rsidR="00946E03" w:rsidRPr="007B6CAA">
        <w:rPr>
          <w:lang w:val="en-CA"/>
        </w:rPr>
        <w:t>group</w:t>
      </w:r>
      <w:r w:rsidRPr="007B6CAA">
        <w:rPr>
          <w:lang w:val="en-CA"/>
        </w:rPr>
        <w:t xml:space="preserve"> in the context of </w:t>
      </w:r>
      <w:r w:rsidR="00946E03">
        <w:rPr>
          <w:lang w:val="en-CA"/>
        </w:rPr>
        <w:t>an</w:t>
      </w:r>
      <w:r w:rsidRPr="007B6CAA">
        <w:rPr>
          <w:lang w:val="en-CA"/>
        </w:rPr>
        <w:t xml:space="preserve"> authorization gra</w:t>
      </w:r>
      <w:r w:rsidR="00946E03">
        <w:rPr>
          <w:lang w:val="en-CA"/>
        </w:rPr>
        <w:t>n</w:t>
      </w:r>
      <w:r w:rsidRPr="007B6CAA">
        <w:rPr>
          <w:lang w:val="en-CA"/>
        </w:rPr>
        <w:t>ted by the Superior Court:</w:t>
      </w:r>
    </w:p>
    <w:p w14:paraId="30729AE9" w14:textId="7DED41C4" w:rsidR="00946E03" w:rsidRDefault="00946E03" w:rsidP="00E57111">
      <w:pPr>
        <w:pStyle w:val="F04-Retrait"/>
        <w:ind w:left="851" w:right="931"/>
        <w:rPr>
          <w:i w:val="0"/>
          <w:sz w:val="22"/>
          <w:szCs w:val="22"/>
          <w:lang w:val="en-CA"/>
        </w:rPr>
      </w:pPr>
      <w:r>
        <w:rPr>
          <w:i w:val="0"/>
          <w:sz w:val="22"/>
          <w:szCs w:val="22"/>
          <w:lang w:val="en-CA"/>
        </w:rPr>
        <w:t>[</w:t>
      </w:r>
      <w:r w:rsidRPr="00946E03">
        <w:rPr>
          <w:i w:val="0"/>
          <w:smallCaps/>
          <w:sz w:val="22"/>
          <w:szCs w:val="22"/>
          <w:lang w:val="en-CA"/>
        </w:rPr>
        <w:t>translation</w:t>
      </w:r>
      <w:r>
        <w:rPr>
          <w:i w:val="0"/>
          <w:sz w:val="22"/>
          <w:szCs w:val="22"/>
          <w:lang w:val="en-CA"/>
        </w:rPr>
        <w:t>]</w:t>
      </w:r>
    </w:p>
    <w:p w14:paraId="102B74C6" w14:textId="57CF9014" w:rsidR="00E57111" w:rsidRPr="007B6CAA" w:rsidRDefault="007B6CAA" w:rsidP="00E57111">
      <w:pPr>
        <w:pStyle w:val="F04-Retrait"/>
        <w:ind w:left="851" w:right="931"/>
        <w:rPr>
          <w:i w:val="0"/>
          <w:sz w:val="22"/>
          <w:szCs w:val="22"/>
          <w:lang w:val="en-CA"/>
        </w:rPr>
      </w:pPr>
      <w:r w:rsidRPr="007B6CAA">
        <w:rPr>
          <w:i w:val="0"/>
          <w:sz w:val="22"/>
          <w:szCs w:val="22"/>
          <w:lang w:val="en-CA"/>
        </w:rPr>
        <w:t xml:space="preserve">[118] As for the composition </w:t>
      </w:r>
      <w:r w:rsidR="00946E03" w:rsidRPr="007B6CAA">
        <w:rPr>
          <w:i w:val="0"/>
          <w:sz w:val="22"/>
          <w:szCs w:val="22"/>
          <w:lang w:val="en-CA"/>
        </w:rPr>
        <w:t>of</w:t>
      </w:r>
      <w:r w:rsidRPr="007B6CAA">
        <w:rPr>
          <w:i w:val="0"/>
          <w:sz w:val="22"/>
          <w:szCs w:val="22"/>
          <w:lang w:val="en-CA"/>
        </w:rPr>
        <w:t xml:space="preserve"> the group itself, art. 1005(</w:t>
      </w:r>
      <w:r w:rsidRPr="00C91005">
        <w:rPr>
          <w:i w:val="0"/>
          <w:sz w:val="22"/>
          <w:szCs w:val="22"/>
          <w:lang w:val="en-CA"/>
        </w:rPr>
        <w:t>a</w:t>
      </w:r>
      <w:r w:rsidRPr="007B6CAA">
        <w:rPr>
          <w:i w:val="0"/>
          <w:sz w:val="22"/>
          <w:szCs w:val="22"/>
          <w:lang w:val="en-CA"/>
        </w:rPr>
        <w:t>) C.C.P. provides that the Superior Court, if it grants the motion, describe</w:t>
      </w:r>
      <w:r w:rsidR="0032407A">
        <w:rPr>
          <w:i w:val="0"/>
          <w:sz w:val="22"/>
          <w:szCs w:val="22"/>
          <w:lang w:val="en-CA"/>
        </w:rPr>
        <w:t>s</w:t>
      </w:r>
      <w:r w:rsidRPr="007B6CAA">
        <w:rPr>
          <w:i w:val="0"/>
          <w:sz w:val="22"/>
          <w:szCs w:val="22"/>
          <w:lang w:val="en-CA"/>
        </w:rPr>
        <w:t xml:space="preserve"> the group whose members will be bound by the judgment.</w:t>
      </w:r>
      <w:r w:rsidR="00E57111" w:rsidRPr="007B6CAA">
        <w:rPr>
          <w:i w:val="0"/>
          <w:sz w:val="22"/>
          <w:szCs w:val="22"/>
          <w:lang w:val="en-CA"/>
        </w:rPr>
        <w:t xml:space="preserve"> </w:t>
      </w:r>
      <w:r w:rsidRPr="007B6CAA">
        <w:rPr>
          <w:i w:val="0"/>
          <w:sz w:val="22"/>
          <w:szCs w:val="22"/>
          <w:lang w:val="en-CA"/>
        </w:rPr>
        <w:t>Moreover, art. 1022 C.C.P. allows the Superior Court, even while hearing the proceeding, to change or divide the group.</w:t>
      </w:r>
      <w:r w:rsidR="00E57111" w:rsidRPr="007B6CAA">
        <w:rPr>
          <w:i w:val="0"/>
          <w:sz w:val="22"/>
          <w:szCs w:val="22"/>
          <w:lang w:val="en-CA"/>
        </w:rPr>
        <w:t xml:space="preserve"> </w:t>
      </w:r>
      <w:r w:rsidRPr="007B6CAA">
        <w:rPr>
          <w:i w:val="0"/>
          <w:sz w:val="22"/>
          <w:szCs w:val="22"/>
          <w:lang w:val="en-CA"/>
        </w:rPr>
        <w:t xml:space="preserve">The Tribunal therefore deems </w:t>
      </w:r>
      <w:r w:rsidR="00910452">
        <w:rPr>
          <w:i w:val="0"/>
          <w:sz w:val="22"/>
          <w:szCs w:val="22"/>
          <w:lang w:val="en-CA"/>
        </w:rPr>
        <w:t xml:space="preserve">it </w:t>
      </w:r>
      <w:r w:rsidRPr="007B6CAA">
        <w:rPr>
          <w:i w:val="0"/>
          <w:sz w:val="22"/>
          <w:szCs w:val="22"/>
          <w:lang w:val="en-CA"/>
        </w:rPr>
        <w:t>inappropriate not to order the payment of assistance on the ground that the composition of the group could change.</w:t>
      </w:r>
      <w:r w:rsidR="00E57111">
        <w:rPr>
          <w:rStyle w:val="Appelnotedebasdep"/>
          <w:i w:val="0"/>
          <w:sz w:val="22"/>
          <w:szCs w:val="22"/>
        </w:rPr>
        <w:footnoteReference w:id="33"/>
      </w:r>
    </w:p>
    <w:p w14:paraId="6E2B8FEA" w14:textId="1D5AD03A" w:rsidR="00E57111" w:rsidRPr="000B7B7C" w:rsidRDefault="007B6CAA" w:rsidP="00E57111">
      <w:pPr>
        <w:pStyle w:val="F02-Texte"/>
        <w:ind w:left="0" w:firstLine="0"/>
        <w:rPr>
          <w:u w:val="single"/>
          <w:lang w:val="en-CA"/>
        </w:rPr>
      </w:pPr>
      <w:r w:rsidRPr="007B6CAA">
        <w:rPr>
          <w:lang w:val="en-CA"/>
        </w:rPr>
        <w:t xml:space="preserve">The Tribunal agrees with this point of view, considering in </w:t>
      </w:r>
      <w:r w:rsidR="00910452" w:rsidRPr="007B6CAA">
        <w:rPr>
          <w:lang w:val="en-CA"/>
        </w:rPr>
        <w:t>particular</w:t>
      </w:r>
      <w:r w:rsidRPr="007B6CAA">
        <w:rPr>
          <w:lang w:val="en-CA"/>
        </w:rPr>
        <w:t xml:space="preserve"> that the new </w:t>
      </w:r>
      <w:r w:rsidRPr="00910452">
        <w:rPr>
          <w:i/>
          <w:lang w:val="en-CA"/>
        </w:rPr>
        <w:t>Code of Civil Procedure</w:t>
      </w:r>
      <w:r w:rsidR="00E57111">
        <w:rPr>
          <w:rStyle w:val="Appelnotedebasdep"/>
        </w:rPr>
        <w:footnoteReference w:id="34"/>
      </w:r>
      <w:r w:rsidRPr="007B6CAA">
        <w:rPr>
          <w:lang w:val="en-CA"/>
        </w:rPr>
        <w:t xml:space="preserve"> (C.C.P.) also confers on the Superior Court the power to describe the class concerned by a possible judgment.</w:t>
      </w:r>
      <w:r w:rsidR="00E57111">
        <w:rPr>
          <w:rStyle w:val="Appelnotedebasdep"/>
        </w:rPr>
        <w:footnoteReference w:id="35"/>
      </w:r>
      <w:r w:rsidR="00E57111" w:rsidRPr="007B6CAA">
        <w:rPr>
          <w:lang w:val="en-CA"/>
        </w:rPr>
        <w:t xml:space="preserve"> </w:t>
      </w:r>
      <w:r w:rsidR="000B7B7C" w:rsidRPr="000B7B7C">
        <w:rPr>
          <w:lang w:val="en-CA"/>
        </w:rPr>
        <w:t xml:space="preserve">That leaves the question of whether the Tribunal has jurisdiction to take into consideration the amendments that the Fonds could not </w:t>
      </w:r>
      <w:r w:rsidR="00FA62CF">
        <w:rPr>
          <w:lang w:val="en-CA"/>
        </w:rPr>
        <w:t>have been aware of</w:t>
      </w:r>
      <w:r w:rsidR="000B7B7C" w:rsidRPr="000B7B7C">
        <w:rPr>
          <w:lang w:val="en-CA"/>
        </w:rPr>
        <w:t xml:space="preserve"> when it made its decision.</w:t>
      </w:r>
    </w:p>
    <w:p w14:paraId="183D08DC" w14:textId="79A9B116" w:rsidR="00E57111" w:rsidRPr="000B7B7C" w:rsidRDefault="000B7B7C" w:rsidP="00E57111">
      <w:pPr>
        <w:pStyle w:val="F02-Texte"/>
        <w:ind w:left="0" w:firstLine="0"/>
        <w:rPr>
          <w:u w:val="single"/>
          <w:lang w:val="en-CA"/>
        </w:rPr>
      </w:pPr>
      <w:r w:rsidRPr="000B7B7C">
        <w:rPr>
          <w:lang w:val="en-CA"/>
        </w:rPr>
        <w:t xml:space="preserve">As explained above, this Tribunal has before it a </w:t>
      </w:r>
      <w:r w:rsidRPr="00910452">
        <w:rPr>
          <w:i/>
          <w:lang w:val="en-CA"/>
        </w:rPr>
        <w:t>de novo</w:t>
      </w:r>
      <w:r w:rsidRPr="000B7B7C">
        <w:rPr>
          <w:lang w:val="en-CA"/>
        </w:rPr>
        <w:t xml:space="preserve"> proceeding contesting the decision made by </w:t>
      </w:r>
      <w:r w:rsidR="00910452" w:rsidRPr="000B7B7C">
        <w:rPr>
          <w:lang w:val="en-CA"/>
        </w:rPr>
        <w:t>the</w:t>
      </w:r>
      <w:r w:rsidRPr="000B7B7C">
        <w:rPr>
          <w:lang w:val="en-CA"/>
        </w:rPr>
        <w:t xml:space="preserve"> Fonds.</w:t>
      </w:r>
      <w:r w:rsidR="00E57111">
        <w:rPr>
          <w:rStyle w:val="Appelnotedebasdep"/>
        </w:rPr>
        <w:footnoteReference w:id="36"/>
      </w:r>
      <w:r w:rsidR="00E57111" w:rsidRPr="000B7B7C">
        <w:rPr>
          <w:lang w:val="en-CA"/>
        </w:rPr>
        <w:t xml:space="preserve"> </w:t>
      </w:r>
      <w:r w:rsidRPr="000B7B7C">
        <w:rPr>
          <w:lang w:val="en-CA"/>
        </w:rPr>
        <w:t xml:space="preserve">It is therefore authorized to substitute itself for the Fonds, by relying on all the elements of </w:t>
      </w:r>
      <w:r w:rsidR="00910452" w:rsidRPr="000B7B7C">
        <w:rPr>
          <w:lang w:val="en-CA"/>
        </w:rPr>
        <w:t>the</w:t>
      </w:r>
      <w:r w:rsidRPr="000B7B7C">
        <w:rPr>
          <w:lang w:val="en-CA"/>
        </w:rPr>
        <w:t xml:space="preserve"> case after having allowed the parties to update their </w:t>
      </w:r>
      <w:r w:rsidR="00910452">
        <w:rPr>
          <w:lang w:val="en-CA"/>
        </w:rPr>
        <w:t>files</w:t>
      </w:r>
      <w:r w:rsidRPr="000B7B7C">
        <w:rPr>
          <w:lang w:val="en-CA"/>
        </w:rPr>
        <w:t>.</w:t>
      </w:r>
      <w:r w:rsidR="00E57111">
        <w:rPr>
          <w:rStyle w:val="Appelnotedebasdep"/>
        </w:rPr>
        <w:footnoteReference w:id="37"/>
      </w:r>
    </w:p>
    <w:p w14:paraId="78899558" w14:textId="7EAE3E0F" w:rsidR="00E57111" w:rsidRPr="000B7B7C" w:rsidRDefault="000B7B7C" w:rsidP="00E57111">
      <w:pPr>
        <w:pStyle w:val="F02-Texte"/>
        <w:ind w:left="0" w:firstLine="0"/>
        <w:rPr>
          <w:u w:val="single"/>
          <w:lang w:val="en-CA"/>
        </w:rPr>
      </w:pPr>
      <w:r w:rsidRPr="000B7B7C">
        <w:rPr>
          <w:lang w:val="en-CA"/>
        </w:rPr>
        <w:t xml:space="preserve">This update of the </w:t>
      </w:r>
      <w:r w:rsidR="00910452">
        <w:rPr>
          <w:lang w:val="en-CA"/>
        </w:rPr>
        <w:t>file</w:t>
      </w:r>
      <w:r w:rsidRPr="000B7B7C">
        <w:rPr>
          <w:lang w:val="en-CA"/>
        </w:rPr>
        <w:t xml:space="preserve"> before </w:t>
      </w:r>
      <w:r w:rsidR="00910452" w:rsidRPr="000B7B7C">
        <w:rPr>
          <w:lang w:val="en-CA"/>
        </w:rPr>
        <w:t>the</w:t>
      </w:r>
      <w:r w:rsidRPr="000B7B7C">
        <w:rPr>
          <w:lang w:val="en-CA"/>
        </w:rPr>
        <w:t xml:space="preserve"> Tribunal is possible when the legislature has expressed, </w:t>
      </w:r>
      <w:r w:rsidR="00910452" w:rsidRPr="000B7B7C">
        <w:rPr>
          <w:lang w:val="en-CA"/>
        </w:rPr>
        <w:t>whether</w:t>
      </w:r>
      <w:r w:rsidRPr="000B7B7C">
        <w:rPr>
          <w:lang w:val="en-CA"/>
        </w:rPr>
        <w:t xml:space="preserve"> </w:t>
      </w:r>
      <w:r w:rsidR="00910452" w:rsidRPr="000B7B7C">
        <w:rPr>
          <w:lang w:val="en-CA"/>
        </w:rPr>
        <w:t>explicitly</w:t>
      </w:r>
      <w:r w:rsidRPr="000B7B7C">
        <w:rPr>
          <w:lang w:val="en-CA"/>
        </w:rPr>
        <w:t xml:space="preserve"> or not, its will to extend the initial decision-making process by creating a proceeding before the Tribunal, </w:t>
      </w:r>
      <w:r w:rsidR="00E833FA">
        <w:rPr>
          <w:lang w:val="en-CA"/>
        </w:rPr>
        <w:t xml:space="preserve">the </w:t>
      </w:r>
      <w:r w:rsidRPr="000B7B7C">
        <w:rPr>
          <w:lang w:val="en-CA"/>
        </w:rPr>
        <w:t xml:space="preserve">last level of </w:t>
      </w:r>
      <w:r w:rsidR="00910452" w:rsidRPr="000B7B7C">
        <w:rPr>
          <w:lang w:val="en-CA"/>
        </w:rPr>
        <w:t>the</w:t>
      </w:r>
      <w:r w:rsidRPr="000B7B7C">
        <w:rPr>
          <w:lang w:val="en-CA"/>
        </w:rPr>
        <w:t xml:space="preserve"> executive branch of the State.</w:t>
      </w:r>
      <w:r w:rsidR="00E57111" w:rsidRPr="000B7B7C">
        <w:rPr>
          <w:lang w:val="en-CA"/>
        </w:rPr>
        <w:t xml:space="preserve"> </w:t>
      </w:r>
      <w:r w:rsidRPr="000B7B7C">
        <w:rPr>
          <w:lang w:val="en-CA"/>
        </w:rPr>
        <w:lastRenderedPageBreak/>
        <w:t xml:space="preserve">Professor Ouellette wrote the following after recalling the distinction between </w:t>
      </w:r>
      <w:r w:rsidR="00E833FA">
        <w:rPr>
          <w:lang w:val="en-CA"/>
        </w:rPr>
        <w:t>an</w:t>
      </w:r>
      <w:r w:rsidRPr="000B7B7C">
        <w:rPr>
          <w:lang w:val="en-CA"/>
        </w:rPr>
        <w:t xml:space="preserve"> appeal on the record exercised by courts and </w:t>
      </w:r>
      <w:r w:rsidR="00E833FA">
        <w:rPr>
          <w:lang w:val="en-CA"/>
        </w:rPr>
        <w:t>a</w:t>
      </w:r>
      <w:r w:rsidRPr="000B7B7C">
        <w:rPr>
          <w:lang w:val="en-CA"/>
        </w:rPr>
        <w:t xml:space="preserve"> </w:t>
      </w:r>
      <w:r w:rsidRPr="00910452">
        <w:rPr>
          <w:i/>
          <w:lang w:val="en-CA"/>
        </w:rPr>
        <w:t>de novo</w:t>
      </w:r>
      <w:r w:rsidRPr="000B7B7C">
        <w:rPr>
          <w:lang w:val="en-CA"/>
        </w:rPr>
        <w:t xml:space="preserve"> type revision:</w:t>
      </w:r>
    </w:p>
    <w:p w14:paraId="0D871228" w14:textId="703614B2" w:rsidR="00910452" w:rsidRDefault="00910452" w:rsidP="00E57111">
      <w:pPr>
        <w:pStyle w:val="F04-Retrait"/>
        <w:ind w:right="931"/>
        <w:rPr>
          <w:i w:val="0"/>
          <w:sz w:val="22"/>
          <w:szCs w:val="22"/>
          <w:lang w:val="en-CA"/>
        </w:rPr>
      </w:pPr>
      <w:r>
        <w:rPr>
          <w:i w:val="0"/>
          <w:sz w:val="22"/>
          <w:szCs w:val="22"/>
          <w:lang w:val="en-CA"/>
        </w:rPr>
        <w:t>[</w:t>
      </w:r>
      <w:r w:rsidRPr="00910452">
        <w:rPr>
          <w:i w:val="0"/>
          <w:smallCaps/>
          <w:sz w:val="22"/>
          <w:szCs w:val="22"/>
          <w:lang w:val="en-CA"/>
        </w:rPr>
        <w:t>translation</w:t>
      </w:r>
      <w:r>
        <w:rPr>
          <w:i w:val="0"/>
          <w:sz w:val="22"/>
          <w:szCs w:val="22"/>
          <w:lang w:val="en-CA"/>
        </w:rPr>
        <w:t>]</w:t>
      </w:r>
    </w:p>
    <w:p w14:paraId="51333E5D" w14:textId="48ADFDEB" w:rsidR="00E57111" w:rsidRPr="00910452" w:rsidRDefault="000B7B7C" w:rsidP="00E57111">
      <w:pPr>
        <w:pStyle w:val="F04-Retrait"/>
        <w:ind w:right="931"/>
        <w:rPr>
          <w:i w:val="0"/>
          <w:sz w:val="22"/>
          <w:szCs w:val="22"/>
          <w:lang w:val="en-CA"/>
        </w:rPr>
      </w:pPr>
      <w:r w:rsidRPr="000B7B7C">
        <w:rPr>
          <w:i w:val="0"/>
          <w:sz w:val="22"/>
          <w:szCs w:val="22"/>
          <w:lang w:val="en-CA"/>
        </w:rPr>
        <w:t>Indeed, if the legislature granted an external review mechanism with a hearing before a body that is reputed to be more independent and competent, it is because</w:t>
      </w:r>
      <w:r w:rsidR="00910452">
        <w:rPr>
          <w:i w:val="0"/>
          <w:sz w:val="22"/>
          <w:szCs w:val="22"/>
          <w:lang w:val="en-CA"/>
        </w:rPr>
        <w:t xml:space="preserve"> </w:t>
      </w:r>
      <w:r w:rsidRPr="000B7B7C">
        <w:rPr>
          <w:i w:val="0"/>
          <w:sz w:val="22"/>
          <w:szCs w:val="22"/>
          <w:lang w:val="en-CA"/>
        </w:rPr>
        <w:t xml:space="preserve">it wanted a more in-depth </w:t>
      </w:r>
      <w:r w:rsidRPr="00910452">
        <w:rPr>
          <w:sz w:val="22"/>
          <w:szCs w:val="22"/>
          <w:lang w:val="en-CA"/>
        </w:rPr>
        <w:t>viva voce</w:t>
      </w:r>
      <w:r w:rsidRPr="000B7B7C">
        <w:rPr>
          <w:i w:val="0"/>
          <w:sz w:val="22"/>
          <w:szCs w:val="22"/>
          <w:lang w:val="en-CA"/>
        </w:rPr>
        <w:t xml:space="preserve"> hearing that was more complete, by an administrative tribunal having </w:t>
      </w:r>
      <w:r w:rsidR="00972CCF">
        <w:rPr>
          <w:i w:val="0"/>
          <w:sz w:val="22"/>
          <w:szCs w:val="22"/>
          <w:lang w:val="en-CA"/>
        </w:rPr>
        <w:t>the best</w:t>
      </w:r>
      <w:r w:rsidRPr="000B7B7C">
        <w:rPr>
          <w:i w:val="0"/>
          <w:sz w:val="22"/>
          <w:szCs w:val="22"/>
          <w:lang w:val="en-CA"/>
        </w:rPr>
        <w:t xml:space="preserve"> information.</w:t>
      </w:r>
      <w:r w:rsidR="00E57111" w:rsidRPr="000B7B7C">
        <w:rPr>
          <w:i w:val="0"/>
          <w:sz w:val="22"/>
          <w:szCs w:val="22"/>
          <w:lang w:val="en-CA"/>
        </w:rPr>
        <w:t xml:space="preserve"> </w:t>
      </w:r>
      <w:r w:rsidR="00910452">
        <w:rPr>
          <w:i w:val="0"/>
          <w:sz w:val="22"/>
          <w:szCs w:val="22"/>
          <w:lang w:val="en-CA"/>
        </w:rPr>
        <w:t xml:space="preserve">In fact, remedial statutes are </w:t>
      </w:r>
      <w:r w:rsidRPr="00910452">
        <w:rPr>
          <w:i w:val="0"/>
          <w:sz w:val="22"/>
          <w:szCs w:val="22"/>
          <w:lang w:val="en-CA"/>
        </w:rPr>
        <w:t>interpreted rather liberally.</w:t>
      </w:r>
    </w:p>
    <w:p w14:paraId="35EC571E" w14:textId="3EE90530" w:rsidR="00E57111" w:rsidRPr="000B7B7C" w:rsidRDefault="000B7B7C" w:rsidP="00E57111">
      <w:pPr>
        <w:pStyle w:val="F04-Retrait"/>
        <w:ind w:right="931"/>
        <w:rPr>
          <w:i w:val="0"/>
          <w:sz w:val="22"/>
          <w:szCs w:val="22"/>
          <w:lang w:val="en-CA"/>
        </w:rPr>
      </w:pPr>
      <w:r w:rsidRPr="000B7B7C">
        <w:rPr>
          <w:i w:val="0"/>
          <w:sz w:val="22"/>
          <w:szCs w:val="22"/>
          <w:lang w:val="en-CA"/>
        </w:rPr>
        <w:t xml:space="preserve">In the same vein, the admissibility into evidence of facts that did not exist when the initial decision was made but that happened subsequently also depends on the wording and purpose of the </w:t>
      </w:r>
      <w:r w:rsidR="00E833FA">
        <w:rPr>
          <w:i w:val="0"/>
          <w:sz w:val="22"/>
          <w:szCs w:val="22"/>
          <w:lang w:val="en-CA"/>
        </w:rPr>
        <w:t xml:space="preserve">stature, the jurisdiction of the </w:t>
      </w:r>
      <w:r w:rsidR="00910452" w:rsidRPr="000B7B7C">
        <w:rPr>
          <w:i w:val="0"/>
          <w:sz w:val="22"/>
          <w:szCs w:val="22"/>
          <w:lang w:val="en-CA"/>
        </w:rPr>
        <w:t>body</w:t>
      </w:r>
      <w:r w:rsidR="005D2C75">
        <w:rPr>
          <w:i w:val="0"/>
          <w:sz w:val="22"/>
          <w:szCs w:val="22"/>
          <w:lang w:val="en-CA"/>
        </w:rPr>
        <w:t>,</w:t>
      </w:r>
      <w:r w:rsidRPr="000B7B7C">
        <w:rPr>
          <w:i w:val="0"/>
          <w:sz w:val="22"/>
          <w:szCs w:val="22"/>
          <w:lang w:val="en-CA"/>
        </w:rPr>
        <w:t xml:space="preserve"> and the scope of its powers.</w:t>
      </w:r>
      <w:r w:rsidR="00E57111" w:rsidRPr="000B7B7C">
        <w:rPr>
          <w:i w:val="0"/>
          <w:sz w:val="22"/>
          <w:szCs w:val="22"/>
          <w:lang w:val="en-CA"/>
        </w:rPr>
        <w:t xml:space="preserve"> </w:t>
      </w:r>
      <w:r w:rsidRPr="000B7B7C">
        <w:rPr>
          <w:i w:val="0"/>
          <w:sz w:val="22"/>
          <w:szCs w:val="22"/>
          <w:lang w:val="en-CA"/>
        </w:rPr>
        <w:t xml:space="preserve">The interpreter must ask </w:t>
      </w:r>
      <w:r w:rsidR="00910452" w:rsidRPr="000B7B7C">
        <w:rPr>
          <w:i w:val="0"/>
          <w:sz w:val="22"/>
          <w:szCs w:val="22"/>
          <w:lang w:val="en-CA"/>
        </w:rPr>
        <w:t>whether</w:t>
      </w:r>
      <w:r w:rsidRPr="000B7B7C">
        <w:rPr>
          <w:i w:val="0"/>
          <w:sz w:val="22"/>
          <w:szCs w:val="22"/>
          <w:lang w:val="en-CA"/>
        </w:rPr>
        <w:t xml:space="preserve"> the legislature considered the external review </w:t>
      </w:r>
      <w:r w:rsidR="006037A1">
        <w:rPr>
          <w:i w:val="0"/>
          <w:sz w:val="22"/>
          <w:szCs w:val="22"/>
          <w:lang w:val="en-CA"/>
        </w:rPr>
        <w:t>to be</w:t>
      </w:r>
      <w:r w:rsidRPr="000B7B7C">
        <w:rPr>
          <w:i w:val="0"/>
          <w:sz w:val="22"/>
          <w:szCs w:val="22"/>
          <w:lang w:val="en-CA"/>
        </w:rPr>
        <w:t xml:space="preserve"> an extension or</w:t>
      </w:r>
      <w:r w:rsidR="006037A1">
        <w:rPr>
          <w:i w:val="0"/>
          <w:sz w:val="22"/>
          <w:szCs w:val="22"/>
          <w:lang w:val="en-CA"/>
        </w:rPr>
        <w:t xml:space="preserve"> a</w:t>
      </w:r>
      <w:r w:rsidRPr="000B7B7C">
        <w:rPr>
          <w:i w:val="0"/>
          <w:sz w:val="22"/>
          <w:szCs w:val="22"/>
          <w:lang w:val="en-CA"/>
        </w:rPr>
        <w:t xml:space="preserve"> supplement of the </w:t>
      </w:r>
      <w:r w:rsidR="00910452" w:rsidRPr="000B7B7C">
        <w:rPr>
          <w:i w:val="0"/>
          <w:sz w:val="22"/>
          <w:szCs w:val="22"/>
          <w:lang w:val="en-CA"/>
        </w:rPr>
        <w:t>initial</w:t>
      </w:r>
      <w:r w:rsidRPr="000B7B7C">
        <w:rPr>
          <w:i w:val="0"/>
          <w:sz w:val="22"/>
          <w:szCs w:val="22"/>
          <w:lang w:val="en-CA"/>
        </w:rPr>
        <w:t xml:space="preserve"> decision-making process. </w:t>
      </w:r>
      <w:r>
        <w:rPr>
          <w:i w:val="0"/>
          <w:sz w:val="22"/>
          <w:szCs w:val="22"/>
          <w:lang w:val="en-CA"/>
        </w:rPr>
        <w:t xml:space="preserve">If the answer is affirmative and the remedy is granted </w:t>
      </w:r>
      <w:r w:rsidR="006037A1">
        <w:rPr>
          <w:i w:val="0"/>
          <w:sz w:val="22"/>
          <w:szCs w:val="22"/>
          <w:lang w:val="en-CA"/>
        </w:rPr>
        <w:t xml:space="preserve">equally </w:t>
      </w:r>
      <w:r>
        <w:rPr>
          <w:i w:val="0"/>
          <w:sz w:val="22"/>
          <w:szCs w:val="22"/>
          <w:lang w:val="en-CA"/>
        </w:rPr>
        <w:t>in the interest of the administration and the public as that of the citizen, the relevant facts that did not exist when the initial decision was made may be admitted.</w:t>
      </w:r>
      <w:r w:rsidR="00E57111">
        <w:rPr>
          <w:rStyle w:val="Appelnotedebasdep"/>
          <w:i w:val="0"/>
          <w:sz w:val="22"/>
          <w:szCs w:val="22"/>
        </w:rPr>
        <w:footnoteReference w:id="38"/>
      </w:r>
    </w:p>
    <w:p w14:paraId="46D6F1DD" w14:textId="1EB5EE3B" w:rsidR="00E57111" w:rsidRPr="000B7B7C" w:rsidRDefault="006037A1" w:rsidP="00E57111">
      <w:pPr>
        <w:pStyle w:val="F02-Texte"/>
        <w:ind w:left="0" w:firstLine="0"/>
        <w:rPr>
          <w:u w:val="single"/>
          <w:lang w:val="en-CA"/>
        </w:rPr>
      </w:pPr>
      <w:r>
        <w:rPr>
          <w:lang w:val="en-CA"/>
        </w:rPr>
        <w:t>T</w:t>
      </w:r>
      <w:r w:rsidRPr="000B7B7C">
        <w:rPr>
          <w:lang w:val="en-CA"/>
        </w:rPr>
        <w:t xml:space="preserve">he Court of Appeal </w:t>
      </w:r>
      <w:r w:rsidR="005D2C75">
        <w:rPr>
          <w:lang w:val="en-CA"/>
        </w:rPr>
        <w:t xml:space="preserve">has </w:t>
      </w:r>
      <w:r>
        <w:rPr>
          <w:lang w:val="en-CA"/>
        </w:rPr>
        <w:t>often repeat</w:t>
      </w:r>
      <w:r w:rsidR="005D2C75">
        <w:rPr>
          <w:lang w:val="en-CA"/>
        </w:rPr>
        <w:t>ed</w:t>
      </w:r>
      <w:r>
        <w:rPr>
          <w:lang w:val="en-CA"/>
        </w:rPr>
        <w:t xml:space="preserve"> the objective of m</w:t>
      </w:r>
      <w:r w:rsidR="000B7B7C" w:rsidRPr="000B7B7C">
        <w:rPr>
          <w:lang w:val="en-CA"/>
        </w:rPr>
        <w:t>aintaining a continuous decision-making process, without steps that compromise access to justice.</w:t>
      </w:r>
      <w:r w:rsidR="00E57111" w:rsidRPr="000B7B7C">
        <w:rPr>
          <w:lang w:val="en-CA"/>
        </w:rPr>
        <w:t xml:space="preserve"> </w:t>
      </w:r>
      <w:r w:rsidR="000B7B7C" w:rsidRPr="000B7B7C">
        <w:rPr>
          <w:lang w:val="en-CA"/>
        </w:rPr>
        <w:t>It states that the citizen should not have to file several proceedings before obtaining a decision that takes into consideration all the relevant information.</w:t>
      </w:r>
      <w:r w:rsidR="00E57111" w:rsidRPr="000B7B7C">
        <w:rPr>
          <w:lang w:val="en-CA"/>
        </w:rPr>
        <w:t xml:space="preserve"> </w:t>
      </w:r>
      <w:r w:rsidR="000B7B7C">
        <w:rPr>
          <w:lang w:val="en-CA"/>
        </w:rPr>
        <w:t xml:space="preserve">Here are a few excerpts of its reasons to </w:t>
      </w:r>
      <w:r w:rsidR="005D2C75">
        <w:rPr>
          <w:lang w:val="en-CA"/>
        </w:rPr>
        <w:t>that effect</w:t>
      </w:r>
      <w:r w:rsidR="000B7B7C">
        <w:rPr>
          <w:lang w:val="en-CA"/>
        </w:rPr>
        <w:t>.</w:t>
      </w:r>
    </w:p>
    <w:p w14:paraId="3F098E91" w14:textId="7CE9C10F" w:rsidR="00E57111" w:rsidRPr="00EA3E22" w:rsidRDefault="000B7B7C" w:rsidP="00E57111">
      <w:pPr>
        <w:pStyle w:val="F02-Texte"/>
        <w:ind w:left="0" w:firstLine="0"/>
        <w:rPr>
          <w:u w:val="single"/>
          <w:lang w:val="en-CA"/>
        </w:rPr>
      </w:pPr>
      <w:r w:rsidRPr="00EA3E22">
        <w:rPr>
          <w:lang w:val="en-CA"/>
        </w:rPr>
        <w:t>In</w:t>
      </w:r>
      <w:r w:rsidRPr="00EA3E22">
        <w:rPr>
          <w:i/>
          <w:lang w:val="en-CA"/>
        </w:rPr>
        <w:t xml:space="preserve"> C.A.L.P. c. Turbide</w:t>
      </w:r>
      <w:r w:rsidR="005D2C75">
        <w:rPr>
          <w:lang w:val="en-CA"/>
        </w:rPr>
        <w:t>,</w:t>
      </w:r>
      <w:r w:rsidR="00E57111" w:rsidRPr="00EA3E22">
        <w:rPr>
          <w:rStyle w:val="Appelnotedebasdep"/>
        </w:rPr>
        <w:footnoteReference w:id="39"/>
      </w:r>
      <w:r w:rsidRPr="00EA3E22">
        <w:rPr>
          <w:lang w:val="en-CA"/>
        </w:rPr>
        <w:t xml:space="preserve"> the Court wrote the following:</w:t>
      </w:r>
    </w:p>
    <w:p w14:paraId="266A6EAE" w14:textId="2E18395A" w:rsidR="005D2C75" w:rsidRPr="005D2C75" w:rsidRDefault="005D2C75" w:rsidP="00E57111">
      <w:pPr>
        <w:pStyle w:val="F04-Retrait"/>
        <w:ind w:right="931"/>
        <w:rPr>
          <w:i w:val="0"/>
          <w:sz w:val="22"/>
          <w:szCs w:val="22"/>
          <w:lang w:val="en-CA"/>
        </w:rPr>
      </w:pPr>
      <w:r>
        <w:rPr>
          <w:i w:val="0"/>
          <w:sz w:val="22"/>
          <w:szCs w:val="22"/>
          <w:lang w:val="en-CA"/>
        </w:rPr>
        <w:t>[</w:t>
      </w:r>
      <w:r>
        <w:rPr>
          <w:i w:val="0"/>
          <w:smallCaps/>
          <w:sz w:val="22"/>
          <w:szCs w:val="22"/>
          <w:lang w:val="en-CA"/>
        </w:rPr>
        <w:t>translation</w:t>
      </w:r>
      <w:r>
        <w:rPr>
          <w:i w:val="0"/>
          <w:sz w:val="22"/>
          <w:szCs w:val="22"/>
          <w:lang w:val="en-CA"/>
        </w:rPr>
        <w:t>]</w:t>
      </w:r>
    </w:p>
    <w:p w14:paraId="6CAF1E00" w14:textId="4DD3D753" w:rsidR="00E57111" w:rsidRPr="000B7B7C" w:rsidRDefault="000B7B7C" w:rsidP="00E57111">
      <w:pPr>
        <w:pStyle w:val="F04-Retrait"/>
        <w:ind w:right="931"/>
        <w:rPr>
          <w:i w:val="0"/>
          <w:sz w:val="22"/>
          <w:szCs w:val="22"/>
          <w:lang w:val="en-CA"/>
        </w:rPr>
      </w:pPr>
      <w:r w:rsidRPr="000B7B7C">
        <w:rPr>
          <w:i w:val="0"/>
          <w:sz w:val="22"/>
          <w:szCs w:val="22"/>
          <w:lang w:val="en-CA"/>
        </w:rPr>
        <w:t>Appeals filed befor</w:t>
      </w:r>
      <w:r w:rsidR="006037A1">
        <w:rPr>
          <w:i w:val="0"/>
          <w:sz w:val="22"/>
          <w:szCs w:val="22"/>
          <w:lang w:val="en-CA"/>
        </w:rPr>
        <w:t>e</w:t>
      </w:r>
      <w:r w:rsidRPr="000B7B7C">
        <w:rPr>
          <w:i w:val="0"/>
          <w:sz w:val="22"/>
          <w:szCs w:val="22"/>
          <w:lang w:val="en-CA"/>
        </w:rPr>
        <w:t xml:space="preserve"> </w:t>
      </w:r>
      <w:r w:rsidR="006037A1">
        <w:rPr>
          <w:i w:val="0"/>
          <w:sz w:val="22"/>
          <w:szCs w:val="22"/>
          <w:lang w:val="en-CA"/>
        </w:rPr>
        <w:t>the</w:t>
      </w:r>
      <w:r w:rsidRPr="000B7B7C">
        <w:rPr>
          <w:i w:val="0"/>
          <w:sz w:val="22"/>
          <w:szCs w:val="22"/>
          <w:lang w:val="en-CA"/>
        </w:rPr>
        <w:t xml:space="preserve"> appellant under the </w:t>
      </w:r>
      <w:r w:rsidRPr="006037A1">
        <w:rPr>
          <w:sz w:val="22"/>
          <w:szCs w:val="22"/>
          <w:lang w:val="en-CA"/>
        </w:rPr>
        <w:t>Act respecting industrial accidents and occupational diseases</w:t>
      </w:r>
      <w:r w:rsidRPr="000B7B7C">
        <w:rPr>
          <w:i w:val="0"/>
          <w:sz w:val="22"/>
          <w:szCs w:val="22"/>
          <w:lang w:val="en-CA"/>
        </w:rPr>
        <w:t xml:space="preserve">, R.S.Q., c. A-3.001, s. 359, are </w:t>
      </w:r>
      <w:r w:rsidRPr="000B7B7C">
        <w:rPr>
          <w:b/>
          <w:i w:val="0"/>
          <w:sz w:val="22"/>
          <w:szCs w:val="22"/>
          <w:lang w:val="en-CA"/>
        </w:rPr>
        <w:t xml:space="preserve">de novo </w:t>
      </w:r>
      <w:r w:rsidR="006037A1" w:rsidRPr="000B7B7C">
        <w:rPr>
          <w:i w:val="0"/>
          <w:sz w:val="22"/>
          <w:szCs w:val="22"/>
          <w:lang w:val="en-CA"/>
        </w:rPr>
        <w:t>appeals</w:t>
      </w:r>
      <w:r w:rsidRPr="000B7B7C">
        <w:rPr>
          <w:i w:val="0"/>
          <w:sz w:val="22"/>
          <w:szCs w:val="22"/>
          <w:lang w:val="en-CA"/>
        </w:rPr>
        <w:t xml:space="preserve"> that allow it to update the files to avoid a multiplication of costly and </w:t>
      </w:r>
      <w:r w:rsidR="007C497C">
        <w:rPr>
          <w:i w:val="0"/>
          <w:sz w:val="22"/>
          <w:szCs w:val="22"/>
          <w:lang w:val="en-CA"/>
        </w:rPr>
        <w:t>unnecessary</w:t>
      </w:r>
      <w:r w:rsidRPr="000B7B7C">
        <w:rPr>
          <w:i w:val="0"/>
          <w:sz w:val="22"/>
          <w:szCs w:val="22"/>
          <w:lang w:val="en-CA"/>
        </w:rPr>
        <w:t xml:space="preserve"> proceedings (See the judgment </w:t>
      </w:r>
      <w:r w:rsidR="007C497C">
        <w:rPr>
          <w:i w:val="0"/>
          <w:sz w:val="22"/>
          <w:szCs w:val="22"/>
          <w:lang w:val="en-CA"/>
        </w:rPr>
        <w:t>of</w:t>
      </w:r>
      <w:r w:rsidRPr="000B7B7C">
        <w:rPr>
          <w:i w:val="0"/>
          <w:sz w:val="22"/>
          <w:szCs w:val="22"/>
          <w:lang w:val="en-CA"/>
        </w:rPr>
        <w:t xml:space="preserve"> this Court in </w:t>
      </w:r>
      <w:r w:rsidRPr="000B7B7C">
        <w:rPr>
          <w:sz w:val="22"/>
          <w:szCs w:val="22"/>
          <w:lang w:val="en-CA"/>
        </w:rPr>
        <w:t>Société canadienne des postes c. Morency</w:t>
      </w:r>
      <w:r w:rsidRPr="000B7B7C">
        <w:rPr>
          <w:i w:val="0"/>
          <w:sz w:val="22"/>
          <w:szCs w:val="22"/>
          <w:lang w:val="en-CA"/>
        </w:rPr>
        <w:t>, [1989] R.J.Q.</w:t>
      </w:r>
      <w:r w:rsidR="00E57111" w:rsidRPr="000B7B7C">
        <w:rPr>
          <w:i w:val="0"/>
          <w:sz w:val="22"/>
          <w:szCs w:val="22"/>
          <w:lang w:val="en-CA"/>
        </w:rPr>
        <w:t xml:space="preserve"> </w:t>
      </w:r>
      <w:r w:rsidRPr="00EA3E22">
        <w:rPr>
          <w:i w:val="0"/>
          <w:sz w:val="22"/>
          <w:szCs w:val="22"/>
          <w:lang w:val="en-CA"/>
        </w:rPr>
        <w:t xml:space="preserve">2300 (C.A.); </w:t>
      </w:r>
      <w:r w:rsidRPr="00EA3E22">
        <w:rPr>
          <w:sz w:val="22"/>
          <w:szCs w:val="22"/>
          <w:lang w:val="en-CA"/>
        </w:rPr>
        <w:t>Chaput c. Société des transports de la Communauté urbaine de Montréal</w:t>
      </w:r>
      <w:r w:rsidRPr="00EA3E22">
        <w:rPr>
          <w:i w:val="0"/>
          <w:sz w:val="22"/>
          <w:szCs w:val="22"/>
          <w:lang w:val="en-CA"/>
        </w:rPr>
        <w:t>, [1992] R.J.Q.</w:t>
      </w:r>
      <w:r w:rsidR="00E57111" w:rsidRPr="000B7B7C">
        <w:rPr>
          <w:i w:val="0"/>
          <w:sz w:val="22"/>
          <w:szCs w:val="22"/>
          <w:lang w:val="en-CA"/>
        </w:rPr>
        <w:t xml:space="preserve"> </w:t>
      </w:r>
      <w:r w:rsidRPr="00EA3E22">
        <w:rPr>
          <w:i w:val="0"/>
          <w:sz w:val="22"/>
          <w:szCs w:val="22"/>
          <w:lang w:val="en-CA"/>
        </w:rPr>
        <w:t>1774 (C.A.).</w:t>
      </w:r>
      <w:r w:rsidR="00E57111" w:rsidRPr="000B7B7C">
        <w:rPr>
          <w:i w:val="0"/>
          <w:sz w:val="22"/>
          <w:szCs w:val="22"/>
          <w:lang w:val="en-CA"/>
        </w:rPr>
        <w:t> </w:t>
      </w:r>
    </w:p>
    <w:p w14:paraId="151ED13A" w14:textId="782C7325" w:rsidR="00E57111" w:rsidRPr="00014419" w:rsidRDefault="00014419" w:rsidP="00E57111">
      <w:pPr>
        <w:pStyle w:val="F02-Texte"/>
        <w:ind w:left="0" w:firstLine="0"/>
        <w:rPr>
          <w:u w:val="single"/>
          <w:lang w:val="en-CA"/>
        </w:rPr>
      </w:pPr>
      <w:r w:rsidRPr="00014419">
        <w:rPr>
          <w:lang w:val="en-CA"/>
        </w:rPr>
        <w:lastRenderedPageBreak/>
        <w:t xml:space="preserve">The Court of Appeal expressed this same concern in a case that called into question the Tribunal’s jurisdiction to decide an application that had not been presented to the </w:t>
      </w:r>
      <w:r w:rsidR="00C25824">
        <w:rPr>
          <w:lang w:val="en-CA"/>
        </w:rPr>
        <w:t xml:space="preserve">first </w:t>
      </w:r>
      <w:r w:rsidRPr="00014419">
        <w:rPr>
          <w:lang w:val="en-CA"/>
        </w:rPr>
        <w:t>decision-maker, based on expert reports and evidence not adduced at the start.</w:t>
      </w:r>
      <w:r w:rsidR="00E57111" w:rsidRPr="00014419">
        <w:rPr>
          <w:lang w:val="en-CA"/>
        </w:rPr>
        <w:t xml:space="preserve"> </w:t>
      </w:r>
      <w:r w:rsidRPr="00014419">
        <w:rPr>
          <w:lang w:val="en-CA"/>
        </w:rPr>
        <w:t>Characterizing itself as an</w:t>
      </w:r>
      <w:r w:rsidR="00255E76">
        <w:rPr>
          <w:lang w:val="en-CA"/>
        </w:rPr>
        <w:t xml:space="preserve"> [</w:t>
      </w:r>
      <w:r w:rsidR="00255E76" w:rsidRPr="00255E76">
        <w:rPr>
          <w:smallCaps/>
          <w:lang w:val="en-CA"/>
        </w:rPr>
        <w:t>translation</w:t>
      </w:r>
      <w:r w:rsidR="00255E76">
        <w:rPr>
          <w:lang w:val="en-CA"/>
        </w:rPr>
        <w:t>]</w:t>
      </w:r>
      <w:r w:rsidRPr="00014419">
        <w:rPr>
          <w:lang w:val="en-CA"/>
        </w:rPr>
        <w:t xml:space="preserve"> “appella</w:t>
      </w:r>
      <w:r w:rsidR="00255E76">
        <w:rPr>
          <w:lang w:val="en-CA"/>
        </w:rPr>
        <w:t>te</w:t>
      </w:r>
      <w:r w:rsidRPr="00014419">
        <w:rPr>
          <w:lang w:val="en-CA"/>
        </w:rPr>
        <w:t xml:space="preserve"> </w:t>
      </w:r>
      <w:r w:rsidR="00C25824">
        <w:rPr>
          <w:lang w:val="en-CA"/>
        </w:rPr>
        <w:t>tribunal</w:t>
      </w:r>
      <w:r w:rsidRPr="00014419">
        <w:rPr>
          <w:lang w:val="en-CA"/>
        </w:rPr>
        <w:t>”, the Tribunal had concluded that it did not have jurisdiction to decide an element that had not already been decided by the body in question.</w:t>
      </w:r>
      <w:r w:rsidR="00E57111" w:rsidRPr="00014419">
        <w:rPr>
          <w:lang w:val="en-CA"/>
        </w:rPr>
        <w:t xml:space="preserve"> </w:t>
      </w:r>
      <w:r w:rsidR="001A414D">
        <w:rPr>
          <w:lang w:val="en-CA"/>
        </w:rPr>
        <w:t>The Court of Ap</w:t>
      </w:r>
      <w:r w:rsidRPr="00014419">
        <w:rPr>
          <w:lang w:val="en-CA"/>
        </w:rPr>
        <w:t>peal rejected this approach</w:t>
      </w:r>
      <w:r w:rsidR="00C25824">
        <w:rPr>
          <w:lang w:val="en-CA"/>
        </w:rPr>
        <w:t>,</w:t>
      </w:r>
      <w:r w:rsidRPr="00014419">
        <w:rPr>
          <w:lang w:val="en-CA"/>
        </w:rPr>
        <w:t xml:space="preserve"> giving the following reasons written by the Honourable Lorne Giroux</w:t>
      </w:r>
      <w:r w:rsidR="00C25824">
        <w:rPr>
          <w:lang w:val="en-CA"/>
        </w:rPr>
        <w:t>,</w:t>
      </w:r>
      <w:r w:rsidRPr="00014419">
        <w:rPr>
          <w:lang w:val="en-CA"/>
        </w:rPr>
        <w:t xml:space="preserve"> J.A.</w:t>
      </w:r>
      <w:r w:rsidR="00E57111" w:rsidRPr="00014419">
        <w:rPr>
          <w:lang w:val="en-CA"/>
        </w:rPr>
        <w:t>:</w:t>
      </w:r>
    </w:p>
    <w:p w14:paraId="64BEA41E" w14:textId="3D0134FE" w:rsidR="00D67464" w:rsidRDefault="00D67464" w:rsidP="00E57111">
      <w:pPr>
        <w:pStyle w:val="F04-Retrait"/>
        <w:rPr>
          <w:i w:val="0"/>
          <w:sz w:val="22"/>
          <w:szCs w:val="22"/>
          <w:lang w:val="en-CA"/>
        </w:rPr>
      </w:pPr>
      <w:r>
        <w:rPr>
          <w:i w:val="0"/>
          <w:sz w:val="22"/>
          <w:szCs w:val="22"/>
          <w:lang w:val="en-CA"/>
        </w:rPr>
        <w:t>[</w:t>
      </w:r>
      <w:r w:rsidRPr="00D67464">
        <w:rPr>
          <w:i w:val="0"/>
          <w:smallCaps/>
          <w:sz w:val="22"/>
          <w:szCs w:val="22"/>
          <w:lang w:val="en-CA"/>
        </w:rPr>
        <w:t>translation</w:t>
      </w:r>
      <w:r>
        <w:rPr>
          <w:i w:val="0"/>
          <w:sz w:val="22"/>
          <w:szCs w:val="22"/>
          <w:lang w:val="en-CA"/>
        </w:rPr>
        <w:t>]</w:t>
      </w:r>
    </w:p>
    <w:p w14:paraId="5A4D4ED9" w14:textId="1815C248" w:rsidR="00E57111" w:rsidRPr="00014419" w:rsidRDefault="00014419" w:rsidP="00E57111">
      <w:pPr>
        <w:pStyle w:val="F04-Retrait"/>
        <w:rPr>
          <w:i w:val="0"/>
          <w:sz w:val="22"/>
          <w:szCs w:val="22"/>
          <w:lang w:val="en-CA"/>
        </w:rPr>
      </w:pPr>
      <w:r w:rsidRPr="00EA3E22">
        <w:rPr>
          <w:i w:val="0"/>
          <w:sz w:val="22"/>
          <w:szCs w:val="22"/>
          <w:lang w:val="en-CA"/>
        </w:rPr>
        <w:t xml:space="preserve">[50] According s. 15 of the </w:t>
      </w:r>
      <w:r w:rsidRPr="00D67464">
        <w:rPr>
          <w:sz w:val="22"/>
          <w:szCs w:val="22"/>
          <w:lang w:val="en-CA"/>
        </w:rPr>
        <w:t>AAJ</w:t>
      </w:r>
      <w:r w:rsidRPr="00EA3E22">
        <w:rPr>
          <w:i w:val="0"/>
          <w:sz w:val="22"/>
          <w:szCs w:val="22"/>
          <w:lang w:val="en-CA"/>
        </w:rPr>
        <w:t>, when the TAQ hears a file, it may confirm, vary</w:t>
      </w:r>
      <w:r w:rsidR="00C25824">
        <w:rPr>
          <w:i w:val="0"/>
          <w:sz w:val="22"/>
          <w:szCs w:val="22"/>
          <w:lang w:val="en-CA"/>
        </w:rPr>
        <w:t>,</w:t>
      </w:r>
      <w:r w:rsidRPr="00EA3E22">
        <w:rPr>
          <w:i w:val="0"/>
          <w:sz w:val="22"/>
          <w:szCs w:val="22"/>
          <w:lang w:val="en-CA"/>
        </w:rPr>
        <w:t xml:space="preserve"> or quash the decision contested before it and, if appropriate, make the decision which, in its opinion, should have been made initially.</w:t>
      </w:r>
      <w:r w:rsidR="00E57111" w:rsidRPr="00014419">
        <w:rPr>
          <w:i w:val="0"/>
          <w:sz w:val="22"/>
          <w:szCs w:val="22"/>
          <w:lang w:val="en-CA"/>
        </w:rPr>
        <w:t xml:space="preserve"> </w:t>
      </w:r>
      <w:r w:rsidRPr="00014419">
        <w:rPr>
          <w:i w:val="0"/>
          <w:sz w:val="22"/>
          <w:szCs w:val="22"/>
          <w:lang w:val="en-CA"/>
        </w:rPr>
        <w:t xml:space="preserve">Absent a particular legislative text that would limit its powers by circumscribing the issues that may be the subject of </w:t>
      </w:r>
      <w:r w:rsidR="00500922">
        <w:rPr>
          <w:i w:val="0"/>
          <w:sz w:val="22"/>
          <w:szCs w:val="22"/>
          <w:lang w:val="en-CA"/>
        </w:rPr>
        <w:t>proceedings</w:t>
      </w:r>
      <w:r w:rsidRPr="00014419">
        <w:rPr>
          <w:i w:val="0"/>
          <w:sz w:val="22"/>
          <w:szCs w:val="22"/>
          <w:lang w:val="en-CA"/>
        </w:rPr>
        <w:t xml:space="preserve"> to contest, Professor Villaggi writes that</w:t>
      </w:r>
      <w:r w:rsidR="00D67464">
        <w:rPr>
          <w:i w:val="0"/>
          <w:sz w:val="22"/>
          <w:szCs w:val="22"/>
          <w:lang w:val="en-CA"/>
        </w:rPr>
        <w:t xml:space="preserve"> </w:t>
      </w:r>
      <w:r w:rsidRPr="00014419">
        <w:rPr>
          <w:i w:val="0"/>
          <w:sz w:val="22"/>
          <w:szCs w:val="22"/>
          <w:lang w:val="en-CA"/>
        </w:rPr>
        <w:t xml:space="preserve">the TAQ </w:t>
      </w:r>
      <w:r w:rsidR="00D67464">
        <w:rPr>
          <w:i w:val="0"/>
          <w:sz w:val="22"/>
          <w:szCs w:val="22"/>
          <w:lang w:val="en-CA"/>
        </w:rPr>
        <w:t>[</w:t>
      </w:r>
      <w:r w:rsidR="00D67464" w:rsidRPr="00D67464">
        <w:rPr>
          <w:i w:val="0"/>
          <w:smallCaps/>
          <w:sz w:val="22"/>
          <w:szCs w:val="22"/>
          <w:lang w:val="en-CA"/>
        </w:rPr>
        <w:t>translation</w:t>
      </w:r>
      <w:r w:rsidR="00D67464">
        <w:rPr>
          <w:i w:val="0"/>
          <w:sz w:val="22"/>
          <w:szCs w:val="22"/>
          <w:lang w:val="en-CA"/>
        </w:rPr>
        <w:t xml:space="preserve">] </w:t>
      </w:r>
      <w:r w:rsidRPr="00014419">
        <w:rPr>
          <w:i w:val="0"/>
          <w:sz w:val="22"/>
          <w:szCs w:val="22"/>
          <w:lang w:val="en-CA"/>
        </w:rPr>
        <w:t>“has the same powers and the same discretionary power as the initial decision-maker</w:t>
      </w:r>
      <w:r w:rsidR="00500922">
        <w:rPr>
          <w:i w:val="0"/>
          <w:sz w:val="22"/>
          <w:szCs w:val="22"/>
          <w:lang w:val="en-CA"/>
        </w:rPr>
        <w:t>,</w:t>
      </w:r>
      <w:r w:rsidRPr="00014419">
        <w:rPr>
          <w:i w:val="0"/>
          <w:sz w:val="22"/>
          <w:szCs w:val="22"/>
          <w:lang w:val="en-CA"/>
        </w:rPr>
        <w:t xml:space="preserve"> and its decision concerns all the </w:t>
      </w:r>
      <w:r w:rsidR="00D67464" w:rsidRPr="00014419">
        <w:rPr>
          <w:i w:val="0"/>
          <w:sz w:val="22"/>
          <w:szCs w:val="22"/>
          <w:lang w:val="en-CA"/>
        </w:rPr>
        <w:t>elements</w:t>
      </w:r>
      <w:r w:rsidRPr="00014419">
        <w:rPr>
          <w:i w:val="0"/>
          <w:sz w:val="22"/>
          <w:szCs w:val="22"/>
          <w:lang w:val="en-CA"/>
        </w:rPr>
        <w:t xml:space="preserve"> of </w:t>
      </w:r>
      <w:r w:rsidR="00D67464" w:rsidRPr="00014419">
        <w:rPr>
          <w:i w:val="0"/>
          <w:sz w:val="22"/>
          <w:szCs w:val="22"/>
          <w:lang w:val="en-CA"/>
        </w:rPr>
        <w:t>the</w:t>
      </w:r>
      <w:r w:rsidRPr="00014419">
        <w:rPr>
          <w:i w:val="0"/>
          <w:sz w:val="22"/>
          <w:szCs w:val="22"/>
          <w:lang w:val="en-CA"/>
        </w:rPr>
        <w:t xml:space="preserve"> </w:t>
      </w:r>
      <w:r w:rsidR="00D67464">
        <w:rPr>
          <w:i w:val="0"/>
          <w:sz w:val="22"/>
          <w:szCs w:val="22"/>
          <w:lang w:val="en-CA"/>
        </w:rPr>
        <w:t>file</w:t>
      </w:r>
      <w:r w:rsidRPr="00014419">
        <w:rPr>
          <w:i w:val="0"/>
          <w:sz w:val="22"/>
          <w:szCs w:val="22"/>
          <w:lang w:val="en-CA"/>
        </w:rPr>
        <w:t xml:space="preserve"> that are </w:t>
      </w:r>
      <w:r w:rsidR="00D67464">
        <w:rPr>
          <w:i w:val="0"/>
          <w:sz w:val="22"/>
          <w:szCs w:val="22"/>
          <w:lang w:val="en-CA"/>
        </w:rPr>
        <w:t>contested</w:t>
      </w:r>
      <w:r w:rsidRPr="00014419">
        <w:rPr>
          <w:i w:val="0"/>
          <w:sz w:val="22"/>
          <w:szCs w:val="22"/>
          <w:lang w:val="en-CA"/>
        </w:rPr>
        <w:t xml:space="preserve">, insofar as </w:t>
      </w:r>
      <w:r w:rsidR="00D67464" w:rsidRPr="00014419">
        <w:rPr>
          <w:i w:val="0"/>
          <w:sz w:val="22"/>
          <w:szCs w:val="22"/>
          <w:lang w:val="en-CA"/>
        </w:rPr>
        <w:t>the</w:t>
      </w:r>
      <w:r w:rsidRPr="00014419">
        <w:rPr>
          <w:i w:val="0"/>
          <w:sz w:val="22"/>
          <w:szCs w:val="22"/>
          <w:lang w:val="en-CA"/>
        </w:rPr>
        <w:t xml:space="preserve"> issues raised </w:t>
      </w:r>
      <w:r w:rsidR="00D67464">
        <w:rPr>
          <w:i w:val="0"/>
          <w:sz w:val="22"/>
          <w:szCs w:val="22"/>
          <w:lang w:val="en-CA"/>
        </w:rPr>
        <w:t>should have been</w:t>
      </w:r>
      <w:r w:rsidRPr="00014419">
        <w:rPr>
          <w:i w:val="0"/>
          <w:sz w:val="22"/>
          <w:szCs w:val="22"/>
          <w:lang w:val="en-CA"/>
        </w:rPr>
        <w:t xml:space="preserve"> addressed by the body”.</w:t>
      </w:r>
    </w:p>
    <w:p w14:paraId="62D6BE2F" w14:textId="4555D572" w:rsidR="00E57111" w:rsidRPr="00014419" w:rsidRDefault="00014419" w:rsidP="00E57111">
      <w:pPr>
        <w:pStyle w:val="F04-Retrait"/>
        <w:rPr>
          <w:i w:val="0"/>
          <w:sz w:val="22"/>
          <w:szCs w:val="22"/>
          <w:lang w:val="en-CA"/>
        </w:rPr>
      </w:pPr>
      <w:r w:rsidRPr="00014419">
        <w:rPr>
          <w:i w:val="0"/>
          <w:sz w:val="22"/>
          <w:szCs w:val="22"/>
          <w:lang w:val="en-CA"/>
        </w:rPr>
        <w:t>[51] By declaring itself to be without jurisdiction to decide this question, the TAQ distanced itself from the objectives of quality, promptness</w:t>
      </w:r>
      <w:r w:rsidR="00500922">
        <w:rPr>
          <w:i w:val="0"/>
          <w:sz w:val="22"/>
          <w:szCs w:val="22"/>
          <w:lang w:val="en-CA"/>
        </w:rPr>
        <w:t>,</w:t>
      </w:r>
      <w:r w:rsidRPr="00014419">
        <w:rPr>
          <w:i w:val="0"/>
          <w:sz w:val="22"/>
          <w:szCs w:val="22"/>
          <w:lang w:val="en-CA"/>
        </w:rPr>
        <w:t xml:space="preserve"> and accessibility assigned to administrative justice in the preliminary provision of the </w:t>
      </w:r>
      <w:r w:rsidRPr="00D67464">
        <w:rPr>
          <w:sz w:val="22"/>
          <w:szCs w:val="22"/>
          <w:lang w:val="en-CA"/>
        </w:rPr>
        <w:t>AAJ</w:t>
      </w:r>
      <w:r w:rsidRPr="00014419">
        <w:rPr>
          <w:i w:val="0"/>
          <w:sz w:val="22"/>
          <w:szCs w:val="22"/>
          <w:lang w:val="en-CA"/>
        </w:rPr>
        <w:t>. Nor did it take into account the flexibility of the procedures and evidentiary rules applicable to the</w:t>
      </w:r>
      <w:r w:rsidR="00F42585">
        <w:rPr>
          <w:i w:val="0"/>
          <w:sz w:val="22"/>
          <w:szCs w:val="22"/>
          <w:lang w:val="en-CA"/>
        </w:rPr>
        <w:t xml:space="preserve"> claim-processing</w:t>
      </w:r>
      <w:r w:rsidRPr="00014419">
        <w:rPr>
          <w:i w:val="0"/>
          <w:sz w:val="22"/>
          <w:szCs w:val="22"/>
          <w:lang w:val="en-CA"/>
        </w:rPr>
        <w:t xml:space="preserve"> </w:t>
      </w:r>
      <w:r w:rsidR="00D67464">
        <w:rPr>
          <w:i w:val="0"/>
          <w:sz w:val="22"/>
          <w:szCs w:val="22"/>
          <w:lang w:val="en-CA"/>
        </w:rPr>
        <w:t>scheme</w:t>
      </w:r>
      <w:r w:rsidRPr="00014419">
        <w:rPr>
          <w:i w:val="0"/>
          <w:sz w:val="22"/>
          <w:szCs w:val="22"/>
          <w:lang w:val="en-CA"/>
        </w:rPr>
        <w:t xml:space="preserve"> as noted in the </w:t>
      </w:r>
      <w:r w:rsidRPr="00D67464">
        <w:rPr>
          <w:sz w:val="22"/>
          <w:szCs w:val="22"/>
          <w:lang w:val="en-CA"/>
        </w:rPr>
        <w:t>AAJ</w:t>
      </w:r>
      <w:r w:rsidRPr="00014419">
        <w:rPr>
          <w:i w:val="0"/>
          <w:sz w:val="22"/>
          <w:szCs w:val="22"/>
          <w:lang w:val="en-CA"/>
        </w:rPr>
        <w:t xml:space="preserve"> </w:t>
      </w:r>
      <w:r w:rsidR="00D67464" w:rsidRPr="00014419">
        <w:rPr>
          <w:i w:val="0"/>
          <w:sz w:val="22"/>
          <w:szCs w:val="22"/>
          <w:lang w:val="en-CA"/>
        </w:rPr>
        <w:t>and</w:t>
      </w:r>
      <w:r w:rsidRPr="00014419">
        <w:rPr>
          <w:i w:val="0"/>
          <w:sz w:val="22"/>
          <w:szCs w:val="22"/>
          <w:lang w:val="en-CA"/>
        </w:rPr>
        <w:t xml:space="preserve"> the </w:t>
      </w:r>
      <w:r w:rsidRPr="00D67464">
        <w:rPr>
          <w:sz w:val="22"/>
          <w:szCs w:val="22"/>
          <w:lang w:val="en-CA"/>
        </w:rPr>
        <w:t xml:space="preserve">Regulation respecting the processing of </w:t>
      </w:r>
      <w:r w:rsidR="00500922">
        <w:rPr>
          <w:sz w:val="22"/>
          <w:szCs w:val="22"/>
          <w:lang w:val="en-CA"/>
        </w:rPr>
        <w:t xml:space="preserve">a </w:t>
      </w:r>
      <w:r w:rsidRPr="00D67464">
        <w:rPr>
          <w:sz w:val="22"/>
          <w:szCs w:val="22"/>
          <w:lang w:val="en-CA"/>
        </w:rPr>
        <w:t>claim</w:t>
      </w:r>
      <w:r w:rsidRPr="00014419">
        <w:rPr>
          <w:i w:val="0"/>
          <w:sz w:val="22"/>
          <w:szCs w:val="22"/>
          <w:lang w:val="en-CA"/>
        </w:rPr>
        <w:t>.</w:t>
      </w:r>
    </w:p>
    <w:p w14:paraId="634B0BBB" w14:textId="3F8F0052" w:rsidR="00E57111" w:rsidRPr="00014419" w:rsidRDefault="00014419" w:rsidP="00E57111">
      <w:pPr>
        <w:pStyle w:val="F04-Retrait"/>
        <w:rPr>
          <w:i w:val="0"/>
          <w:sz w:val="22"/>
          <w:szCs w:val="22"/>
          <w:lang w:val="en-CA"/>
        </w:rPr>
      </w:pPr>
      <w:r w:rsidRPr="00014419">
        <w:rPr>
          <w:i w:val="0"/>
          <w:sz w:val="22"/>
          <w:szCs w:val="22"/>
          <w:lang w:val="en-CA"/>
        </w:rPr>
        <w:t xml:space="preserve">[52] </w:t>
      </w:r>
      <w:r w:rsidRPr="00D67464">
        <w:rPr>
          <w:i w:val="0"/>
          <w:sz w:val="22"/>
          <w:szCs w:val="22"/>
          <w:u w:val="single"/>
          <w:lang w:val="en-CA"/>
        </w:rPr>
        <w:t>Adopting such a rigid and inflexible position can only lead to a sterile back and forth between the vario</w:t>
      </w:r>
      <w:r w:rsidR="00777307">
        <w:rPr>
          <w:i w:val="0"/>
          <w:sz w:val="22"/>
          <w:szCs w:val="22"/>
          <w:u w:val="single"/>
          <w:lang w:val="en-CA"/>
        </w:rPr>
        <w:t>us decision-making levels and a</w:t>
      </w:r>
      <w:r w:rsidRPr="00D67464">
        <w:rPr>
          <w:i w:val="0"/>
          <w:sz w:val="22"/>
          <w:szCs w:val="22"/>
          <w:u w:val="single"/>
          <w:lang w:val="en-CA"/>
        </w:rPr>
        <w:t xml:space="preserve"> </w:t>
      </w:r>
      <w:r w:rsidR="00F42585">
        <w:rPr>
          <w:i w:val="0"/>
          <w:sz w:val="22"/>
          <w:szCs w:val="22"/>
          <w:u w:val="single"/>
          <w:lang w:val="en-CA"/>
        </w:rPr>
        <w:t>harmful</w:t>
      </w:r>
      <w:r w:rsidRPr="00D67464">
        <w:rPr>
          <w:i w:val="0"/>
          <w:sz w:val="22"/>
          <w:szCs w:val="22"/>
          <w:u w:val="single"/>
          <w:lang w:val="en-CA"/>
        </w:rPr>
        <w:t xml:space="preserve"> extension of delays to compensate victims</w:t>
      </w:r>
      <w:r w:rsidRPr="00014419">
        <w:rPr>
          <w:i w:val="0"/>
          <w:sz w:val="22"/>
          <w:szCs w:val="22"/>
          <w:lang w:val="en-CA"/>
        </w:rPr>
        <w:t xml:space="preserve"> as has already been demonstrated by our Court on the jurisdiction of the former Commission des affaires sociales in </w:t>
      </w:r>
      <w:r w:rsidRPr="00014419">
        <w:rPr>
          <w:sz w:val="22"/>
          <w:szCs w:val="22"/>
          <w:lang w:val="en-CA"/>
        </w:rPr>
        <w:t>Société canadienne des postes c. Morency</w:t>
      </w:r>
      <w:r w:rsidRPr="00014419">
        <w:rPr>
          <w:i w:val="0"/>
          <w:sz w:val="22"/>
          <w:szCs w:val="22"/>
          <w:lang w:val="en-CA"/>
        </w:rPr>
        <w:t>.</w:t>
      </w:r>
      <w:r w:rsidR="00E57111">
        <w:rPr>
          <w:rStyle w:val="Appelnotedebasdep"/>
          <w:i w:val="0"/>
          <w:sz w:val="22"/>
          <w:szCs w:val="22"/>
        </w:rPr>
        <w:footnoteReference w:id="40"/>
      </w:r>
    </w:p>
    <w:p w14:paraId="510DEC09" w14:textId="617758B5" w:rsidR="00E57111" w:rsidRPr="00EA3E22" w:rsidRDefault="002D2E17" w:rsidP="00E57111">
      <w:pPr>
        <w:pStyle w:val="F04-Retrait"/>
        <w:rPr>
          <w:i w:val="0"/>
        </w:rPr>
      </w:pPr>
      <w:r w:rsidRPr="00EA3E22">
        <w:rPr>
          <w:i w:val="0"/>
        </w:rPr>
        <w:t>[Emphasis added</w:t>
      </w:r>
      <w:r w:rsidR="00F42585">
        <w:rPr>
          <w:i w:val="0"/>
        </w:rPr>
        <w:t>.</w:t>
      </w:r>
      <w:r w:rsidRPr="00EA3E22">
        <w:rPr>
          <w:i w:val="0"/>
        </w:rPr>
        <w:t>]</w:t>
      </w:r>
    </w:p>
    <w:p w14:paraId="1E24ECB7" w14:textId="3074F856" w:rsidR="00E57111" w:rsidRPr="00AC1884" w:rsidRDefault="00AC1884" w:rsidP="00E57111">
      <w:pPr>
        <w:pStyle w:val="F02-Texte"/>
        <w:ind w:left="0" w:firstLine="0"/>
        <w:rPr>
          <w:u w:val="single"/>
          <w:lang w:val="en-CA"/>
        </w:rPr>
      </w:pPr>
      <w:r w:rsidRPr="00AC1884">
        <w:rPr>
          <w:lang w:val="en-CA"/>
        </w:rPr>
        <w:t>Finally, in a different context, the Court of Appeal recently recalled that multi-stage administrative process</w:t>
      </w:r>
      <w:r w:rsidR="00F42585">
        <w:rPr>
          <w:lang w:val="en-CA"/>
        </w:rPr>
        <w:t>es</w:t>
      </w:r>
      <w:r w:rsidRPr="00AC1884">
        <w:rPr>
          <w:lang w:val="en-CA"/>
        </w:rPr>
        <w:t xml:space="preserve"> collide head on with the effectiveness </w:t>
      </w:r>
      <w:r w:rsidR="00F42585">
        <w:rPr>
          <w:lang w:val="en-CA"/>
        </w:rPr>
        <w:t>and</w:t>
      </w:r>
      <w:r w:rsidRPr="00AC1884">
        <w:rPr>
          <w:lang w:val="en-CA"/>
        </w:rPr>
        <w:t xml:space="preserve"> promptness of </w:t>
      </w:r>
      <w:r w:rsidRPr="00AC1884">
        <w:rPr>
          <w:lang w:val="en-CA"/>
        </w:rPr>
        <w:lastRenderedPageBreak/>
        <w:t>administrative justice, frustrat</w:t>
      </w:r>
      <w:r w:rsidR="007940B2">
        <w:rPr>
          <w:lang w:val="en-CA"/>
        </w:rPr>
        <w:t>ing</w:t>
      </w:r>
      <w:r w:rsidRPr="00AC1884">
        <w:rPr>
          <w:lang w:val="en-CA"/>
        </w:rPr>
        <w:t xml:space="preserve"> litigants and ignor</w:t>
      </w:r>
      <w:r w:rsidR="007940B2">
        <w:rPr>
          <w:lang w:val="en-CA"/>
        </w:rPr>
        <w:t>ing</w:t>
      </w:r>
      <w:r w:rsidRPr="00AC1884">
        <w:rPr>
          <w:lang w:val="en-CA"/>
        </w:rPr>
        <w:t xml:space="preserve"> the fundamental principles of administrative law.</w:t>
      </w:r>
      <w:r w:rsidR="00E57111">
        <w:rPr>
          <w:rStyle w:val="Appelnotedebasdep"/>
        </w:rPr>
        <w:footnoteReference w:id="41"/>
      </w:r>
    </w:p>
    <w:p w14:paraId="0999DAFC" w14:textId="4E0F96F6" w:rsidR="00E57111" w:rsidRPr="00AC1884" w:rsidRDefault="00AC1884" w:rsidP="00E57111">
      <w:pPr>
        <w:pStyle w:val="F02-Texte"/>
        <w:ind w:left="0" w:firstLine="0"/>
        <w:rPr>
          <w:u w:val="single"/>
          <w:lang w:val="en-CA"/>
        </w:rPr>
      </w:pPr>
      <w:r w:rsidRPr="00AC1884">
        <w:rPr>
          <w:lang w:val="en-CA"/>
        </w:rPr>
        <w:t xml:space="preserve">Applying these principles to </w:t>
      </w:r>
      <w:r w:rsidR="007940B2">
        <w:rPr>
          <w:lang w:val="en-CA"/>
        </w:rPr>
        <w:t>this</w:t>
      </w:r>
      <w:r w:rsidRPr="00AC1884">
        <w:rPr>
          <w:lang w:val="en-CA"/>
        </w:rPr>
        <w:t xml:space="preserve"> case, the Tribunal is of the view that the legislature entrusted it with the jurisdiction to decide the rights of the applicants to receive financial assistance for their class action, </w:t>
      </w:r>
      <w:r w:rsidR="007940B2">
        <w:rPr>
          <w:lang w:val="en-CA"/>
        </w:rPr>
        <w:t xml:space="preserve">following </w:t>
      </w:r>
      <w:r w:rsidRPr="00AC1884">
        <w:rPr>
          <w:lang w:val="en-CA"/>
        </w:rPr>
        <w:t xml:space="preserve">a continuous decision-making process. </w:t>
      </w:r>
      <w:r w:rsidR="00D67464" w:rsidRPr="00AC1884">
        <w:rPr>
          <w:lang w:val="en-CA"/>
        </w:rPr>
        <w:t>Considering</w:t>
      </w:r>
      <w:r w:rsidRPr="00AC1884">
        <w:rPr>
          <w:lang w:val="en-CA"/>
        </w:rPr>
        <w:t xml:space="preserve"> the rules specific </w:t>
      </w:r>
      <w:r w:rsidR="00D67464" w:rsidRPr="00AC1884">
        <w:rPr>
          <w:lang w:val="en-CA"/>
        </w:rPr>
        <w:t>to</w:t>
      </w:r>
      <w:r w:rsidRPr="00AC1884">
        <w:rPr>
          <w:lang w:val="en-CA"/>
        </w:rPr>
        <w:t xml:space="preserve"> </w:t>
      </w:r>
      <w:r w:rsidR="007940B2">
        <w:rPr>
          <w:lang w:val="en-CA"/>
        </w:rPr>
        <w:t xml:space="preserve">the exercise of </w:t>
      </w:r>
      <w:r w:rsidRPr="00AC1884">
        <w:rPr>
          <w:lang w:val="en-CA"/>
        </w:rPr>
        <w:t>its jurisdictional functions and those applicable to evidence and procedure before the Tribunal, it is better equipped to</w:t>
      </w:r>
      <w:r w:rsidR="00D67464">
        <w:rPr>
          <w:lang w:val="en-CA"/>
        </w:rPr>
        <w:t xml:space="preserve"> ultimately</w:t>
      </w:r>
      <w:r w:rsidRPr="00AC1884">
        <w:rPr>
          <w:lang w:val="en-CA"/>
        </w:rPr>
        <w:t xml:space="preserve"> decide the lawfulness and appropriateness of awarding financial assistance to the applicants, based on </w:t>
      </w:r>
      <w:r w:rsidR="007940B2">
        <w:rPr>
          <w:lang w:val="en-CA"/>
        </w:rPr>
        <w:t xml:space="preserve">the </w:t>
      </w:r>
      <w:r w:rsidRPr="00AC1884">
        <w:rPr>
          <w:lang w:val="en-CA"/>
        </w:rPr>
        <w:t>applicable criteria.</w:t>
      </w:r>
    </w:p>
    <w:p w14:paraId="6E72B95B" w14:textId="39B27F3D" w:rsidR="00E57111" w:rsidRPr="00AC1884" w:rsidRDefault="00AC1884" w:rsidP="00E57111">
      <w:pPr>
        <w:pStyle w:val="F02-Texte"/>
        <w:ind w:left="0" w:firstLine="0"/>
        <w:rPr>
          <w:u w:val="single"/>
          <w:lang w:val="en-CA"/>
        </w:rPr>
      </w:pPr>
      <w:r w:rsidRPr="00AC1884">
        <w:rPr>
          <w:lang w:val="en-CA"/>
        </w:rPr>
        <w:t xml:space="preserve">It would be contrary to the principles of promptness and accessibility of administrative </w:t>
      </w:r>
      <w:r w:rsidR="00D67464" w:rsidRPr="00AC1884">
        <w:rPr>
          <w:lang w:val="en-CA"/>
        </w:rPr>
        <w:t>justice</w:t>
      </w:r>
      <w:r w:rsidR="00E57111">
        <w:rPr>
          <w:rStyle w:val="Appelnotedebasdep"/>
        </w:rPr>
        <w:footnoteReference w:id="42"/>
      </w:r>
      <w:r w:rsidRPr="00AC1884">
        <w:rPr>
          <w:lang w:val="en-CA"/>
        </w:rPr>
        <w:t xml:space="preserve"> </w:t>
      </w:r>
      <w:r w:rsidR="00DA60B9" w:rsidRPr="00AC1884">
        <w:rPr>
          <w:lang w:val="en-CA"/>
        </w:rPr>
        <w:t xml:space="preserve">to </w:t>
      </w:r>
      <w:r w:rsidR="00DA60B9">
        <w:rPr>
          <w:lang w:val="en-CA"/>
        </w:rPr>
        <w:t xml:space="preserve">require </w:t>
      </w:r>
      <w:r w:rsidR="00DA60B9" w:rsidRPr="00AC1884">
        <w:rPr>
          <w:lang w:val="en-CA"/>
        </w:rPr>
        <w:t xml:space="preserve">the applicants </w:t>
      </w:r>
      <w:r w:rsidR="00DA60B9">
        <w:rPr>
          <w:lang w:val="en-CA"/>
        </w:rPr>
        <w:t xml:space="preserve">to </w:t>
      </w:r>
      <w:r w:rsidR="00DA60B9" w:rsidRPr="00AC1884">
        <w:rPr>
          <w:lang w:val="en-CA"/>
        </w:rPr>
        <w:t>file a new application before the Fonds each time they improve their proceedings before the Superior Court to take into account the progress of the file.</w:t>
      </w:r>
      <w:r w:rsidR="00DA60B9">
        <w:rPr>
          <w:lang w:val="en-CA"/>
        </w:rPr>
        <w:t xml:space="preserve"> </w:t>
      </w:r>
      <w:r w:rsidRPr="00AC1884">
        <w:rPr>
          <w:lang w:val="en-CA"/>
        </w:rPr>
        <w:t xml:space="preserve">Such back and forth before the body would unduly </w:t>
      </w:r>
      <w:r w:rsidR="00DA60B9">
        <w:rPr>
          <w:lang w:val="en-CA"/>
        </w:rPr>
        <w:t>delay</w:t>
      </w:r>
      <w:r w:rsidRPr="00AC1884">
        <w:rPr>
          <w:lang w:val="en-CA"/>
        </w:rPr>
        <w:t xml:space="preserve"> a final decision that must be rendered </w:t>
      </w:r>
      <w:r w:rsidR="00D67464" w:rsidRPr="00AC1884">
        <w:rPr>
          <w:lang w:val="en-CA"/>
        </w:rPr>
        <w:t>quickly</w:t>
      </w:r>
      <w:r w:rsidR="00E57111">
        <w:rPr>
          <w:rStyle w:val="Appelnotedebasdep"/>
        </w:rPr>
        <w:footnoteReference w:id="43"/>
      </w:r>
      <w:r w:rsidR="00DA60B9" w:rsidRPr="00AC1884">
        <w:rPr>
          <w:lang w:val="en-CA"/>
        </w:rPr>
        <w:t xml:space="preserve"> and would only frustrate citizens, without improving the quality of justice that would be ensured in the end by the decision of this Tribunal.</w:t>
      </w:r>
      <w:r w:rsidRPr="00AC1884">
        <w:rPr>
          <w:lang w:val="en-CA"/>
        </w:rPr>
        <w:t xml:space="preserve"> </w:t>
      </w:r>
    </w:p>
    <w:p w14:paraId="423DC0A9" w14:textId="31000418" w:rsidR="00E57111" w:rsidRPr="00AC1884" w:rsidRDefault="00AC1884" w:rsidP="00E57111">
      <w:pPr>
        <w:pStyle w:val="F02-Texte"/>
        <w:ind w:left="0" w:firstLine="0"/>
        <w:rPr>
          <w:u w:val="single"/>
          <w:lang w:val="en-CA"/>
        </w:rPr>
      </w:pPr>
      <w:r w:rsidRPr="00AC1884">
        <w:rPr>
          <w:lang w:val="en-CA"/>
        </w:rPr>
        <w:t xml:space="preserve">The </w:t>
      </w:r>
      <w:r w:rsidR="008F7230">
        <w:rPr>
          <w:lang w:val="en-CA"/>
        </w:rPr>
        <w:t>intent</w:t>
      </w:r>
      <w:r w:rsidRPr="00AC1884">
        <w:rPr>
          <w:lang w:val="en-CA"/>
        </w:rPr>
        <w:t xml:space="preserve"> to avoid multiplying applications before</w:t>
      </w:r>
      <w:r w:rsidR="008F7230">
        <w:rPr>
          <w:lang w:val="en-CA"/>
        </w:rPr>
        <w:t xml:space="preserve"> </w:t>
      </w:r>
      <w:r w:rsidR="008F7230" w:rsidRPr="00AC1884">
        <w:rPr>
          <w:lang w:val="en-CA"/>
        </w:rPr>
        <w:t>the</w:t>
      </w:r>
      <w:r w:rsidRPr="00AC1884">
        <w:rPr>
          <w:lang w:val="en-CA"/>
        </w:rPr>
        <w:t xml:space="preserve"> Fonds is very clear.</w:t>
      </w:r>
      <w:r w:rsidR="00E57111" w:rsidRPr="00AC1884">
        <w:rPr>
          <w:lang w:val="en-CA"/>
        </w:rPr>
        <w:t xml:space="preserve"> </w:t>
      </w:r>
      <w:r w:rsidRPr="00AC1884">
        <w:rPr>
          <w:lang w:val="en-CA"/>
        </w:rPr>
        <w:t xml:space="preserve">In fact, as stated by its counsel during the hearing, the body subscribes to this objective when it retroactively finances proceedings instituted by a citizen who </w:t>
      </w:r>
      <w:r w:rsidR="008F7230">
        <w:rPr>
          <w:lang w:val="en-CA"/>
        </w:rPr>
        <w:t>initially</w:t>
      </w:r>
      <w:r w:rsidRPr="00AC1884">
        <w:rPr>
          <w:lang w:val="en-CA"/>
        </w:rPr>
        <w:t xml:space="preserve"> received a refusal from the Fonds, but </w:t>
      </w:r>
      <w:r w:rsidR="008F7230">
        <w:rPr>
          <w:lang w:val="en-CA"/>
        </w:rPr>
        <w:t>whose</w:t>
      </w:r>
      <w:r w:rsidRPr="00AC1884">
        <w:rPr>
          <w:lang w:val="en-CA"/>
        </w:rPr>
        <w:t xml:space="preserve"> </w:t>
      </w:r>
      <w:r w:rsidR="008F7230">
        <w:rPr>
          <w:lang w:val="en-CA"/>
        </w:rPr>
        <w:t xml:space="preserve">class action </w:t>
      </w:r>
      <w:r w:rsidRPr="00AC1884">
        <w:rPr>
          <w:lang w:val="en-CA"/>
        </w:rPr>
        <w:t xml:space="preserve">proceedings </w:t>
      </w:r>
      <w:r w:rsidR="000853CA">
        <w:rPr>
          <w:lang w:val="en-CA"/>
        </w:rPr>
        <w:t xml:space="preserve">are later authorized by </w:t>
      </w:r>
      <w:r w:rsidRPr="00AC1884">
        <w:rPr>
          <w:lang w:val="en-CA"/>
        </w:rPr>
        <w:t>the Superior Court.</w:t>
      </w:r>
      <w:r w:rsidR="00E57111" w:rsidRPr="00AC1884">
        <w:rPr>
          <w:lang w:val="en-CA"/>
        </w:rPr>
        <w:t xml:space="preserve"> </w:t>
      </w:r>
      <w:r w:rsidRPr="00AC1884">
        <w:rPr>
          <w:lang w:val="en-CA"/>
        </w:rPr>
        <w:t xml:space="preserve">The Fonds then revisits its decision due to a subsequent fact </w:t>
      </w:r>
      <w:r w:rsidR="008F7230">
        <w:rPr>
          <w:lang w:val="en-CA"/>
        </w:rPr>
        <w:t>arising</w:t>
      </w:r>
      <w:r w:rsidRPr="00AC1884">
        <w:rPr>
          <w:lang w:val="en-CA"/>
        </w:rPr>
        <w:t xml:space="preserve"> from the Superior Court’s decision.</w:t>
      </w:r>
    </w:p>
    <w:p w14:paraId="5614DCC0" w14:textId="68677524" w:rsidR="00E57111" w:rsidRPr="00546802" w:rsidRDefault="00546802" w:rsidP="00E57111">
      <w:pPr>
        <w:pStyle w:val="F02-Texte"/>
        <w:ind w:left="0" w:firstLine="0"/>
        <w:rPr>
          <w:u w:val="single"/>
          <w:lang w:val="en-CA"/>
        </w:rPr>
      </w:pPr>
      <w:r w:rsidRPr="00546802">
        <w:rPr>
          <w:lang w:val="en-CA"/>
        </w:rPr>
        <w:t>Given the legislative context applicable to this case, the Tribunal, respectfully, does not agree with the opinion that the evidence before it should only be used to understand the situation that prevailed at the time the initial decision was made.</w:t>
      </w:r>
      <w:r w:rsidR="00E57111" w:rsidRPr="00546802">
        <w:rPr>
          <w:lang w:val="en-CA"/>
        </w:rPr>
        <w:t xml:space="preserve"> </w:t>
      </w:r>
      <w:r w:rsidRPr="00546802">
        <w:rPr>
          <w:lang w:val="en-CA"/>
        </w:rPr>
        <w:t xml:space="preserve">The mechanics applicable to Retraite Québec in </w:t>
      </w:r>
      <w:r w:rsidRPr="00546802">
        <w:rPr>
          <w:i/>
          <w:lang w:val="en-CA"/>
        </w:rPr>
        <w:t>Piché</w:t>
      </w:r>
      <w:r w:rsidRPr="00546802">
        <w:rPr>
          <w:lang w:val="en-CA"/>
        </w:rPr>
        <w:t>,</w:t>
      </w:r>
      <w:r w:rsidR="00E57111">
        <w:rPr>
          <w:rStyle w:val="Appelnotedebasdep"/>
        </w:rPr>
        <w:footnoteReference w:id="44"/>
      </w:r>
      <w:r w:rsidRPr="00546802">
        <w:rPr>
          <w:lang w:val="en-CA"/>
        </w:rPr>
        <w:t xml:space="preserve"> which allow it in practice to review its decisions when the </w:t>
      </w:r>
      <w:r w:rsidR="00BB2932" w:rsidRPr="00546802">
        <w:rPr>
          <w:lang w:val="en-CA"/>
        </w:rPr>
        <w:t>beneficiary’s</w:t>
      </w:r>
      <w:r w:rsidRPr="00546802">
        <w:rPr>
          <w:lang w:val="en-CA"/>
        </w:rPr>
        <w:t xml:space="preserve"> situation changes,</w:t>
      </w:r>
      <w:r w:rsidR="00E57111">
        <w:rPr>
          <w:rStyle w:val="Appelnotedebasdep"/>
        </w:rPr>
        <w:footnoteReference w:id="45"/>
      </w:r>
      <w:r w:rsidRPr="00546802">
        <w:rPr>
          <w:lang w:val="en-CA"/>
        </w:rPr>
        <w:t xml:space="preserve"> </w:t>
      </w:r>
      <w:r w:rsidR="00232DA8">
        <w:rPr>
          <w:lang w:val="en-CA"/>
        </w:rPr>
        <w:t>have</w:t>
      </w:r>
      <w:r w:rsidRPr="00546802">
        <w:rPr>
          <w:lang w:val="en-CA"/>
        </w:rPr>
        <w:t xml:space="preserve"> no equivalent in our context and also explain </w:t>
      </w:r>
      <w:r w:rsidR="00BB2932">
        <w:rPr>
          <w:lang w:val="en-CA"/>
        </w:rPr>
        <w:t>why</w:t>
      </w:r>
      <w:r w:rsidRPr="00546802">
        <w:rPr>
          <w:lang w:val="en-CA"/>
        </w:rPr>
        <w:t xml:space="preserve"> the criterion accepted in that decision is difficult to transpose.</w:t>
      </w:r>
    </w:p>
    <w:p w14:paraId="796584EB" w14:textId="3C66F365" w:rsidR="00E57111" w:rsidRPr="00FD416D" w:rsidRDefault="00FD416D" w:rsidP="00E57111">
      <w:pPr>
        <w:pStyle w:val="F02-Texte"/>
        <w:ind w:left="0" w:firstLine="0"/>
        <w:rPr>
          <w:u w:val="single"/>
          <w:lang w:val="en-CA"/>
        </w:rPr>
      </w:pPr>
      <w:r w:rsidRPr="00FD416D">
        <w:rPr>
          <w:lang w:val="en-CA"/>
        </w:rPr>
        <w:lastRenderedPageBreak/>
        <w:t xml:space="preserve">For the Tribunal, the </w:t>
      </w:r>
      <w:r w:rsidRPr="00BB2932">
        <w:rPr>
          <w:i/>
          <w:lang w:val="en-CA"/>
        </w:rPr>
        <w:t>de novo</w:t>
      </w:r>
      <w:r w:rsidRPr="00FD416D">
        <w:rPr>
          <w:lang w:val="en-CA"/>
        </w:rPr>
        <w:t xml:space="preserve"> jurisdiction that confers upon it the same powers as those of the initial decision-maker, is exercised when it hears the case for the purpose of making the best decision based on all the information available at the time.</w:t>
      </w:r>
      <w:r w:rsidR="00E57111" w:rsidRPr="00FD416D">
        <w:rPr>
          <w:lang w:val="en-CA"/>
        </w:rPr>
        <w:t xml:space="preserve"> </w:t>
      </w:r>
      <w:r w:rsidR="00BB2932" w:rsidRPr="00FD416D">
        <w:rPr>
          <w:lang w:val="en-CA"/>
        </w:rPr>
        <w:t>That</w:t>
      </w:r>
      <w:r w:rsidRPr="00FD416D">
        <w:rPr>
          <w:lang w:val="en-CA"/>
        </w:rPr>
        <w:t xml:space="preserve"> is why in </w:t>
      </w:r>
      <w:r w:rsidRPr="00BB2932">
        <w:rPr>
          <w:i/>
          <w:lang w:val="en-CA"/>
        </w:rPr>
        <w:t>J.R. c. Société de l’assurance automobile du Québec (SAAQ)</w:t>
      </w:r>
      <w:r w:rsidRPr="00FD416D">
        <w:rPr>
          <w:lang w:val="en-CA"/>
        </w:rPr>
        <w:t>,</w:t>
      </w:r>
      <w:r w:rsidR="00E57111">
        <w:rPr>
          <w:rStyle w:val="Appelnotedebasdep"/>
        </w:rPr>
        <w:footnoteReference w:id="46"/>
      </w:r>
      <w:r w:rsidRPr="00FD416D">
        <w:rPr>
          <w:lang w:val="en-CA"/>
        </w:rPr>
        <w:t xml:space="preserve"> the Court of Appeal indicated that this Tribunal should rule on evidence of a permanent impairment noted for the first time </w:t>
      </w:r>
      <w:r w:rsidR="00BB2932" w:rsidRPr="00FD416D">
        <w:rPr>
          <w:lang w:val="en-CA"/>
        </w:rPr>
        <w:t xml:space="preserve">in </w:t>
      </w:r>
      <w:r w:rsidR="00972CCF">
        <w:rPr>
          <w:lang w:val="en-CA"/>
        </w:rPr>
        <w:t>an</w:t>
      </w:r>
      <w:r w:rsidR="00BB2932" w:rsidRPr="00FD416D">
        <w:rPr>
          <w:lang w:val="en-CA"/>
        </w:rPr>
        <w:t xml:space="preserve"> expert report</w:t>
      </w:r>
      <w:r w:rsidRPr="00FD416D">
        <w:rPr>
          <w:lang w:val="en-CA"/>
        </w:rPr>
        <w:t xml:space="preserve"> </w:t>
      </w:r>
      <w:r w:rsidR="00972CCF">
        <w:rPr>
          <w:lang w:val="en-CA"/>
        </w:rPr>
        <w:t xml:space="preserve">subsequent to </w:t>
      </w:r>
      <w:r w:rsidRPr="00FD416D">
        <w:rPr>
          <w:lang w:val="en-CA"/>
        </w:rPr>
        <w:t xml:space="preserve">the decision of the SAAQ’s </w:t>
      </w:r>
      <w:r w:rsidR="00972CCF">
        <w:rPr>
          <w:lang w:val="en-CA"/>
        </w:rPr>
        <w:t>compensation officer</w:t>
      </w:r>
      <w:r w:rsidRPr="00FD416D">
        <w:rPr>
          <w:lang w:val="en-CA"/>
        </w:rPr>
        <w:t>.</w:t>
      </w:r>
      <w:r w:rsidR="00E57111" w:rsidRPr="00FD416D">
        <w:rPr>
          <w:lang w:val="en-CA"/>
        </w:rPr>
        <w:t xml:space="preserve"> </w:t>
      </w:r>
      <w:r w:rsidR="00113B20">
        <w:rPr>
          <w:lang w:val="en-CA"/>
        </w:rPr>
        <w:t>At no point</w:t>
      </w:r>
      <w:r w:rsidRPr="00FD416D">
        <w:rPr>
          <w:lang w:val="en-CA"/>
        </w:rPr>
        <w:t xml:space="preserve"> </w:t>
      </w:r>
      <w:r w:rsidR="00113B20">
        <w:rPr>
          <w:lang w:val="en-CA"/>
        </w:rPr>
        <w:t>did</w:t>
      </w:r>
      <w:r w:rsidRPr="00FD416D">
        <w:rPr>
          <w:lang w:val="en-CA"/>
        </w:rPr>
        <w:t xml:space="preserve"> </w:t>
      </w:r>
      <w:r w:rsidR="00113B20">
        <w:rPr>
          <w:lang w:val="en-CA"/>
        </w:rPr>
        <w:t>the Court state or require that evidence be adduced</w:t>
      </w:r>
      <w:r w:rsidRPr="00FD416D">
        <w:rPr>
          <w:lang w:val="en-CA"/>
        </w:rPr>
        <w:t xml:space="preserve"> that this impairments existed at </w:t>
      </w:r>
      <w:r w:rsidR="00113B20" w:rsidRPr="00FD416D">
        <w:rPr>
          <w:lang w:val="en-CA"/>
        </w:rPr>
        <w:t>the</w:t>
      </w:r>
      <w:r w:rsidRPr="00FD416D">
        <w:rPr>
          <w:lang w:val="en-CA"/>
        </w:rPr>
        <w:t xml:space="preserve"> time of </w:t>
      </w:r>
      <w:r w:rsidR="00113B20" w:rsidRPr="00FD416D">
        <w:rPr>
          <w:lang w:val="en-CA"/>
        </w:rPr>
        <w:t>the</w:t>
      </w:r>
      <w:r w:rsidRPr="00FD416D">
        <w:rPr>
          <w:lang w:val="en-CA"/>
        </w:rPr>
        <w:t xml:space="preserve"> first decision.</w:t>
      </w:r>
      <w:r w:rsidR="00E57111" w:rsidRPr="00FD416D">
        <w:rPr>
          <w:lang w:val="en-CA"/>
        </w:rPr>
        <w:t xml:space="preserve"> </w:t>
      </w:r>
      <w:r w:rsidRPr="00FD416D">
        <w:rPr>
          <w:lang w:val="en-CA"/>
        </w:rPr>
        <w:t>The contrary would be sterile inflexibility and would not do justice to the citizen.</w:t>
      </w:r>
    </w:p>
    <w:p w14:paraId="46A91D0A" w14:textId="3522DA07" w:rsidR="00E57111" w:rsidRPr="00BE6BB3" w:rsidRDefault="00BE6BB3" w:rsidP="00E57111">
      <w:pPr>
        <w:pStyle w:val="F02-Texte"/>
        <w:ind w:left="0" w:firstLine="0"/>
        <w:rPr>
          <w:u w:val="single"/>
          <w:lang w:val="en-CA"/>
        </w:rPr>
      </w:pPr>
      <w:r w:rsidRPr="00BE6BB3">
        <w:rPr>
          <w:lang w:val="en-CA"/>
        </w:rPr>
        <w:t>The same rule appears from the Court of Appeal</w:t>
      </w:r>
      <w:r w:rsidR="00577C23">
        <w:rPr>
          <w:lang w:val="en-CA"/>
        </w:rPr>
        <w:t>’s</w:t>
      </w:r>
      <w:r w:rsidRPr="00BE6BB3">
        <w:rPr>
          <w:lang w:val="en-CA"/>
        </w:rPr>
        <w:t xml:space="preserve"> judgment in </w:t>
      </w:r>
      <w:r w:rsidRPr="00BE6BB3">
        <w:rPr>
          <w:i/>
          <w:lang w:val="en-CA"/>
        </w:rPr>
        <w:t>Université de Montréal c. Zompa</w:t>
      </w:r>
      <w:r w:rsidRPr="00BE6BB3">
        <w:rPr>
          <w:lang w:val="en-CA"/>
        </w:rPr>
        <w:t>.</w:t>
      </w:r>
      <w:r w:rsidR="00E57111">
        <w:rPr>
          <w:rStyle w:val="Appelnotedebasdep"/>
        </w:rPr>
        <w:footnoteReference w:id="47"/>
      </w:r>
      <w:r w:rsidR="00E57111" w:rsidRPr="00BE6BB3">
        <w:rPr>
          <w:lang w:val="en-CA"/>
        </w:rPr>
        <w:t xml:space="preserve"> </w:t>
      </w:r>
      <w:r w:rsidRPr="00BE6BB3">
        <w:rPr>
          <w:lang w:val="en-CA"/>
        </w:rPr>
        <w:t>The Université’s Comité de révision, which exercise</w:t>
      </w:r>
      <w:r w:rsidR="009071A8">
        <w:rPr>
          <w:lang w:val="en-CA"/>
        </w:rPr>
        <w:t>d</w:t>
      </w:r>
      <w:r w:rsidRPr="00BE6BB3">
        <w:rPr>
          <w:lang w:val="en-CA"/>
        </w:rPr>
        <w:t xml:space="preserve"> </w:t>
      </w:r>
      <w:r w:rsidRPr="009071A8">
        <w:rPr>
          <w:i/>
          <w:lang w:val="en-CA"/>
        </w:rPr>
        <w:t>de novo</w:t>
      </w:r>
      <w:r w:rsidRPr="00BE6BB3">
        <w:rPr>
          <w:lang w:val="en-CA"/>
        </w:rPr>
        <w:t xml:space="preserve"> jurisdiction, heard evidence of Ms. Zompa’s fraudulent conduct after the contested decision.</w:t>
      </w:r>
      <w:r w:rsidR="00E57111" w:rsidRPr="00BE6BB3">
        <w:rPr>
          <w:lang w:val="en-CA"/>
        </w:rPr>
        <w:t xml:space="preserve"> </w:t>
      </w:r>
      <w:r w:rsidRPr="00EA3E22">
        <w:rPr>
          <w:lang w:val="en-CA"/>
        </w:rPr>
        <w:t>This situation did not exist at the time of the initial decision.</w:t>
      </w:r>
      <w:r w:rsidR="00E57111" w:rsidRPr="00BE6BB3">
        <w:rPr>
          <w:lang w:val="en-CA"/>
        </w:rPr>
        <w:t xml:space="preserve"> </w:t>
      </w:r>
      <w:r w:rsidRPr="00BE6BB3">
        <w:rPr>
          <w:lang w:val="en-CA"/>
        </w:rPr>
        <w:t>The Com</w:t>
      </w:r>
      <w:r w:rsidR="009071A8">
        <w:rPr>
          <w:lang w:val="en-CA"/>
        </w:rPr>
        <w:t>i</w:t>
      </w:r>
      <w:r w:rsidRPr="00BE6BB3">
        <w:rPr>
          <w:lang w:val="en-CA"/>
        </w:rPr>
        <w:t>té was nevertheless well founded to rely on this evidence to increase the sanction imposed.</w:t>
      </w:r>
      <w:r w:rsidR="00E57111" w:rsidRPr="00BE6BB3">
        <w:rPr>
          <w:lang w:val="en-CA"/>
        </w:rPr>
        <w:t xml:space="preserve"> </w:t>
      </w:r>
      <w:r w:rsidRPr="00BE6BB3">
        <w:rPr>
          <w:lang w:val="en-CA"/>
        </w:rPr>
        <w:t xml:space="preserve">Referring to the </w:t>
      </w:r>
      <w:r w:rsidR="009071A8">
        <w:rPr>
          <w:lang w:val="en-CA"/>
        </w:rPr>
        <w:t>oft-</w:t>
      </w:r>
      <w:r w:rsidR="009071A8" w:rsidRPr="00BE6BB3">
        <w:rPr>
          <w:lang w:val="en-CA"/>
        </w:rPr>
        <w:t xml:space="preserve">quoted </w:t>
      </w:r>
      <w:r w:rsidRPr="00BE6BB3">
        <w:rPr>
          <w:lang w:val="en-CA"/>
        </w:rPr>
        <w:t>opinion of</w:t>
      </w:r>
      <w:r w:rsidR="009071A8">
        <w:rPr>
          <w:lang w:val="en-CA"/>
        </w:rPr>
        <w:t xml:space="preserve"> Professor Villaggi</w:t>
      </w:r>
      <w:r w:rsidRPr="00BE6BB3">
        <w:rPr>
          <w:lang w:val="en-CA"/>
        </w:rPr>
        <w:t xml:space="preserve">, the Court of Appeal concluded that </w:t>
      </w:r>
      <w:r w:rsidR="009071A8">
        <w:rPr>
          <w:lang w:val="en-CA"/>
        </w:rPr>
        <w:t>[</w:t>
      </w:r>
      <w:r w:rsidR="009071A8" w:rsidRPr="009071A8">
        <w:rPr>
          <w:smallCaps/>
          <w:lang w:val="en-CA"/>
        </w:rPr>
        <w:t>translation</w:t>
      </w:r>
      <w:r w:rsidR="009071A8">
        <w:rPr>
          <w:lang w:val="en-CA"/>
        </w:rPr>
        <w:t xml:space="preserve">] </w:t>
      </w:r>
      <w:r w:rsidRPr="00BE6BB3">
        <w:rPr>
          <w:lang w:val="en-CA"/>
        </w:rPr>
        <w:t xml:space="preserve">“the decision-maker may hear facts subsequent to the first decision insofar as they are relevant and </w:t>
      </w:r>
      <w:r w:rsidR="008A10B9">
        <w:rPr>
          <w:lang w:val="en-CA"/>
        </w:rPr>
        <w:t>clearly</w:t>
      </w:r>
      <w:r w:rsidRPr="00BE6BB3">
        <w:rPr>
          <w:lang w:val="en-CA"/>
        </w:rPr>
        <w:t xml:space="preserve"> connected to the original decision”.</w:t>
      </w:r>
      <w:r w:rsidR="00E57111">
        <w:rPr>
          <w:rStyle w:val="Appelnotedebasdep"/>
        </w:rPr>
        <w:footnoteReference w:id="48"/>
      </w:r>
    </w:p>
    <w:p w14:paraId="60CBD13D" w14:textId="7050F124" w:rsidR="00E57111" w:rsidRPr="00B23807" w:rsidRDefault="00B23807" w:rsidP="00E57111">
      <w:pPr>
        <w:pStyle w:val="F02-Texte"/>
        <w:ind w:left="0" w:firstLine="0"/>
        <w:rPr>
          <w:u w:val="single"/>
          <w:lang w:val="en-CA"/>
        </w:rPr>
      </w:pPr>
      <w:r w:rsidRPr="00B23807">
        <w:rPr>
          <w:lang w:val="en-CA"/>
        </w:rPr>
        <w:t xml:space="preserve">Drawing inspiration from the remarks of Professor Villaggi, the Tribunal is of the opinion that, insofar as the rules of procedural fairness are respected, evidence of relevant subsequent facts is possible if adducing them into the record does not transform the dispute raised in the original </w:t>
      </w:r>
      <w:r w:rsidR="009071A8" w:rsidRPr="00B23807">
        <w:rPr>
          <w:lang w:val="en-CA"/>
        </w:rPr>
        <w:t>application</w:t>
      </w:r>
      <w:r w:rsidRPr="00B23807">
        <w:rPr>
          <w:lang w:val="en-CA"/>
        </w:rPr>
        <w:t>.</w:t>
      </w:r>
      <w:r w:rsidR="00E57111">
        <w:rPr>
          <w:rStyle w:val="Appelnotedebasdep"/>
        </w:rPr>
        <w:footnoteReference w:id="49"/>
      </w:r>
      <w:r w:rsidR="00E57111" w:rsidRPr="00B23807">
        <w:rPr>
          <w:lang w:val="en-CA"/>
        </w:rPr>
        <w:t xml:space="preserve"> </w:t>
      </w:r>
      <w:r w:rsidRPr="00B23807">
        <w:rPr>
          <w:lang w:val="en-CA"/>
        </w:rPr>
        <w:t>To be restricted to the situation that prevailed when the initial decision was made would be contrary to the fundamental principles of administrative law and the mission entrusted to this Tribunal.</w:t>
      </w:r>
    </w:p>
    <w:p w14:paraId="0626EB61" w14:textId="36113273" w:rsidR="00E57111" w:rsidRPr="00B23807" w:rsidRDefault="00B23807" w:rsidP="00E57111">
      <w:pPr>
        <w:pStyle w:val="F02-Texte"/>
        <w:ind w:left="0" w:firstLine="0"/>
        <w:rPr>
          <w:u w:val="single"/>
          <w:lang w:val="en-CA"/>
        </w:rPr>
      </w:pPr>
      <w:r w:rsidRPr="00B23807">
        <w:rPr>
          <w:lang w:val="en-CA"/>
        </w:rPr>
        <w:t xml:space="preserve">The relevance of the amendments brought by the applicants to their subsequent application </w:t>
      </w:r>
      <w:r w:rsidR="001E0C87">
        <w:rPr>
          <w:lang w:val="en-CA"/>
        </w:rPr>
        <w:t>for</w:t>
      </w:r>
      <w:r w:rsidRPr="00B23807">
        <w:rPr>
          <w:lang w:val="en-CA"/>
        </w:rPr>
        <w:t xml:space="preserve"> authoriz</w:t>
      </w:r>
      <w:r w:rsidR="001E0C87">
        <w:rPr>
          <w:lang w:val="en-CA"/>
        </w:rPr>
        <w:t>ation</w:t>
      </w:r>
      <w:r w:rsidRPr="00B23807">
        <w:rPr>
          <w:lang w:val="en-CA"/>
        </w:rPr>
        <w:t xml:space="preserve"> and their </w:t>
      </w:r>
      <w:r w:rsidR="001E0C87">
        <w:rPr>
          <w:lang w:val="en-CA"/>
        </w:rPr>
        <w:t xml:space="preserve">clear </w:t>
      </w:r>
      <w:r w:rsidRPr="00B23807">
        <w:rPr>
          <w:lang w:val="en-CA"/>
        </w:rPr>
        <w:t>connection with the Fonds’ decision were not contested by its counsel.</w:t>
      </w:r>
      <w:r w:rsidR="00E57111" w:rsidRPr="00B23807">
        <w:rPr>
          <w:lang w:val="en-CA"/>
        </w:rPr>
        <w:t xml:space="preserve"> </w:t>
      </w:r>
      <w:r w:rsidR="001E0C87">
        <w:rPr>
          <w:lang w:val="en-CA"/>
        </w:rPr>
        <w:t>In any event</w:t>
      </w:r>
      <w:r w:rsidRPr="00B23807">
        <w:rPr>
          <w:lang w:val="en-CA"/>
        </w:rPr>
        <w:t xml:space="preserve">, these amendments answer the Fonds’ questions </w:t>
      </w:r>
      <w:r w:rsidR="009071A8" w:rsidRPr="00B23807">
        <w:rPr>
          <w:lang w:val="en-CA"/>
        </w:rPr>
        <w:t>and</w:t>
      </w:r>
      <w:r w:rsidRPr="00B23807">
        <w:rPr>
          <w:lang w:val="en-CA"/>
        </w:rPr>
        <w:t xml:space="preserve"> are directly related to its analysis.</w:t>
      </w:r>
      <w:r w:rsidR="00E57111" w:rsidRPr="00B23807">
        <w:rPr>
          <w:lang w:val="en-CA"/>
        </w:rPr>
        <w:t xml:space="preserve"> </w:t>
      </w:r>
      <w:r>
        <w:rPr>
          <w:lang w:val="en-CA"/>
        </w:rPr>
        <w:t>They are therefore admissible in evidence before the Tribunal</w:t>
      </w:r>
      <w:r w:rsidR="009071A8">
        <w:rPr>
          <w:lang w:val="en-CA"/>
        </w:rPr>
        <w:t>,</w:t>
      </w:r>
      <w:r>
        <w:rPr>
          <w:lang w:val="en-CA"/>
        </w:rPr>
        <w:t xml:space="preserve"> which must consider them to assess whether or not the applicants’ application for financial assistance </w:t>
      </w:r>
      <w:r w:rsidR="001E0C87">
        <w:rPr>
          <w:lang w:val="en-CA"/>
        </w:rPr>
        <w:t>should</w:t>
      </w:r>
      <w:r>
        <w:rPr>
          <w:lang w:val="en-CA"/>
        </w:rPr>
        <w:t xml:space="preserve"> be accepted. </w:t>
      </w:r>
    </w:p>
    <w:p w14:paraId="1E209007" w14:textId="77777777" w:rsidR="00E57111" w:rsidRPr="00155065" w:rsidRDefault="00E57111" w:rsidP="00E57111">
      <w:pPr>
        <w:pStyle w:val="F08-Titre"/>
        <w:rPr>
          <w:i/>
        </w:rPr>
      </w:pPr>
      <w:r w:rsidRPr="00155065">
        <w:rPr>
          <w:i/>
        </w:rPr>
        <w:lastRenderedPageBreak/>
        <w:t xml:space="preserve">3) </w:t>
      </w:r>
      <w:r w:rsidR="00B23807" w:rsidRPr="00EA3E22">
        <w:rPr>
          <w:i/>
        </w:rPr>
        <w:t>Applicable law</w:t>
      </w:r>
    </w:p>
    <w:p w14:paraId="62422153" w14:textId="35FD9D73" w:rsidR="00E57111" w:rsidRPr="001A6097" w:rsidRDefault="001A6097" w:rsidP="00E57111">
      <w:pPr>
        <w:pStyle w:val="F02-Texte"/>
        <w:ind w:left="0" w:firstLine="0"/>
        <w:rPr>
          <w:szCs w:val="22"/>
          <w:lang w:val="en-CA" w:eastAsia="fr-CA"/>
        </w:rPr>
      </w:pPr>
      <w:r w:rsidRPr="001A6097">
        <w:rPr>
          <w:lang w:val="en-CA" w:eastAsia="fr-CA"/>
        </w:rPr>
        <w:t xml:space="preserve">As previously mentioned, the Fonds must </w:t>
      </w:r>
      <w:r w:rsidR="00015FB9">
        <w:rPr>
          <w:lang w:val="en-CA" w:eastAsia="fr-CA"/>
        </w:rPr>
        <w:t>consider</w:t>
      </w:r>
      <w:r w:rsidRPr="001A6097">
        <w:rPr>
          <w:lang w:val="en-CA" w:eastAsia="fr-CA"/>
        </w:rPr>
        <w:t xml:space="preserve"> an application for financial assistance based on three criteria set out in the second paragraph of s. 23 </w:t>
      </w:r>
      <w:r w:rsidRPr="00015FB9">
        <w:rPr>
          <w:i/>
          <w:lang w:val="en-CA" w:eastAsia="fr-CA"/>
        </w:rPr>
        <w:t>AFAAC</w:t>
      </w:r>
      <w:r w:rsidRPr="001A6097">
        <w:rPr>
          <w:lang w:val="en-CA" w:eastAsia="fr-CA"/>
        </w:rPr>
        <w:t>:</w:t>
      </w:r>
    </w:p>
    <w:p w14:paraId="1E05639E" w14:textId="071B095B" w:rsidR="00E57111" w:rsidRPr="001A6097" w:rsidRDefault="00E55457" w:rsidP="00E57111">
      <w:pPr>
        <w:pStyle w:val="F04-Retrait"/>
        <w:tabs>
          <w:tab w:val="left" w:pos="1260"/>
        </w:tabs>
        <w:ind w:left="1253" w:right="0" w:hanging="403"/>
        <w:rPr>
          <w:i w:val="0"/>
          <w:lang w:val="en-CA" w:eastAsia="fr-CA"/>
        </w:rPr>
      </w:pPr>
      <w:r>
        <w:rPr>
          <w:i w:val="0"/>
          <w:lang w:val="en-CA" w:eastAsia="fr-CA"/>
        </w:rPr>
        <w:t>(</w:t>
      </w:r>
      <w:r w:rsidR="00E57111" w:rsidRPr="001A6097">
        <w:rPr>
          <w:i w:val="0"/>
          <w:lang w:val="en-CA" w:eastAsia="fr-CA"/>
        </w:rPr>
        <w:t>1)</w:t>
      </w:r>
      <w:r w:rsidR="00E57111" w:rsidRPr="001A6097">
        <w:rPr>
          <w:i w:val="0"/>
          <w:lang w:val="en-CA" w:eastAsia="fr-CA"/>
        </w:rPr>
        <w:tab/>
      </w:r>
      <w:r w:rsidR="001A6097" w:rsidRPr="001A6097">
        <w:rPr>
          <w:i w:val="0"/>
          <w:lang w:val="en-CA" w:eastAsia="fr-CA"/>
        </w:rPr>
        <w:t>whether the class action may be brought or continued without the assistance sought;</w:t>
      </w:r>
    </w:p>
    <w:p w14:paraId="4FCB5E8B" w14:textId="07FC8920" w:rsidR="00E57111" w:rsidRPr="001A6097" w:rsidRDefault="00E55457" w:rsidP="00E57111">
      <w:pPr>
        <w:pStyle w:val="F04-Retrait"/>
        <w:tabs>
          <w:tab w:val="left" w:pos="1260"/>
        </w:tabs>
        <w:spacing w:before="240"/>
        <w:ind w:left="1253" w:right="0" w:hanging="403"/>
        <w:rPr>
          <w:i w:val="0"/>
          <w:lang w:val="en-CA" w:eastAsia="fr-CA"/>
        </w:rPr>
      </w:pPr>
      <w:r>
        <w:rPr>
          <w:i w:val="0"/>
          <w:lang w:val="en-CA" w:eastAsia="fr-CA"/>
        </w:rPr>
        <w:t>(</w:t>
      </w:r>
      <w:r w:rsidR="00E57111" w:rsidRPr="001A6097">
        <w:rPr>
          <w:i w:val="0"/>
          <w:lang w:val="en-CA" w:eastAsia="fr-CA"/>
        </w:rPr>
        <w:t>2)</w:t>
      </w:r>
      <w:r w:rsidR="00E57111" w:rsidRPr="001A6097">
        <w:rPr>
          <w:i w:val="0"/>
          <w:lang w:val="en-CA" w:eastAsia="fr-CA"/>
        </w:rPr>
        <w:tab/>
      </w:r>
      <w:r w:rsidR="001A6097" w:rsidRPr="001A6097">
        <w:rPr>
          <w:i w:val="0"/>
          <w:lang w:val="en-CA" w:eastAsia="fr-CA"/>
        </w:rPr>
        <w:t>if the status of representative has not yet been ascribed to the applicant, the Fonds assesses the probabl</w:t>
      </w:r>
      <w:r>
        <w:rPr>
          <w:i w:val="0"/>
          <w:lang w:val="en-CA" w:eastAsia="fr-CA"/>
        </w:rPr>
        <w:t>e</w:t>
      </w:r>
      <w:r w:rsidR="001A6097" w:rsidRPr="001A6097">
        <w:rPr>
          <w:i w:val="0"/>
          <w:lang w:val="en-CA" w:eastAsia="fr-CA"/>
        </w:rPr>
        <w:t xml:space="preserve"> existence of the right the applicant intends to assert; and</w:t>
      </w:r>
    </w:p>
    <w:p w14:paraId="47F6D289" w14:textId="5223D52C" w:rsidR="00E57111" w:rsidRPr="001A6097" w:rsidRDefault="00E55457" w:rsidP="00E57111">
      <w:pPr>
        <w:pStyle w:val="F04-Retrait"/>
        <w:tabs>
          <w:tab w:val="left" w:pos="1260"/>
        </w:tabs>
        <w:spacing w:before="240"/>
        <w:ind w:left="1253" w:right="0" w:hanging="403"/>
        <w:rPr>
          <w:i w:val="0"/>
          <w:lang w:val="en-CA" w:eastAsia="fr-CA"/>
        </w:rPr>
      </w:pPr>
      <w:r>
        <w:rPr>
          <w:i w:val="0"/>
          <w:lang w:val="en-CA" w:eastAsia="fr-CA"/>
        </w:rPr>
        <w:t>(</w:t>
      </w:r>
      <w:r w:rsidR="00E57111" w:rsidRPr="001A6097">
        <w:rPr>
          <w:i w:val="0"/>
          <w:lang w:val="en-CA" w:eastAsia="fr-CA"/>
        </w:rPr>
        <w:t>3)</w:t>
      </w:r>
      <w:r w:rsidR="00E57111" w:rsidRPr="001A6097">
        <w:rPr>
          <w:i w:val="0"/>
          <w:lang w:val="en-CA" w:eastAsia="fr-CA"/>
        </w:rPr>
        <w:tab/>
      </w:r>
      <w:r w:rsidR="001A6097" w:rsidRPr="001A6097">
        <w:rPr>
          <w:i w:val="0"/>
          <w:lang w:val="en-CA" w:eastAsia="fr-CA"/>
        </w:rPr>
        <w:t>the probability that the class action will be brought.</w:t>
      </w:r>
    </w:p>
    <w:p w14:paraId="62F7BC04" w14:textId="77777777" w:rsidR="00E57111" w:rsidRPr="001A6097" w:rsidRDefault="001A6097" w:rsidP="00E57111">
      <w:pPr>
        <w:pStyle w:val="F02-Texte"/>
        <w:ind w:left="0" w:firstLine="0"/>
        <w:rPr>
          <w:lang w:val="en-CA"/>
        </w:rPr>
      </w:pPr>
      <w:r w:rsidRPr="001A6097">
        <w:rPr>
          <w:lang w:val="en-CA"/>
        </w:rPr>
        <w:t>In this case, the first criterion concerning the applicants’ financial capacity has been met.</w:t>
      </w:r>
      <w:r w:rsidR="00E57111">
        <w:rPr>
          <w:rStyle w:val="Appelnotedebasdep"/>
        </w:rPr>
        <w:footnoteReference w:id="50"/>
      </w:r>
    </w:p>
    <w:p w14:paraId="54F4D505" w14:textId="5A6B7F0B" w:rsidR="00E57111" w:rsidRPr="000F6D5C" w:rsidRDefault="001A6097" w:rsidP="00E57111">
      <w:pPr>
        <w:pStyle w:val="F02-Texte"/>
        <w:ind w:left="0" w:firstLine="0"/>
        <w:rPr>
          <w:lang w:val="en-CA"/>
        </w:rPr>
      </w:pPr>
      <w:r w:rsidRPr="001A6097">
        <w:rPr>
          <w:lang w:val="en-CA"/>
        </w:rPr>
        <w:t xml:space="preserve">Thus, only the second and third criteria under s. 23 </w:t>
      </w:r>
      <w:r w:rsidRPr="0029154E">
        <w:rPr>
          <w:i/>
          <w:lang w:val="en-CA"/>
        </w:rPr>
        <w:t>AFAAC</w:t>
      </w:r>
      <w:r w:rsidRPr="001A6097">
        <w:rPr>
          <w:lang w:val="en-CA"/>
        </w:rPr>
        <w:t xml:space="preserve"> are in dispute.</w:t>
      </w:r>
      <w:r w:rsidR="00E57111" w:rsidRPr="001A6097">
        <w:rPr>
          <w:lang w:val="en-CA"/>
        </w:rPr>
        <w:t xml:space="preserve"> </w:t>
      </w:r>
      <w:r w:rsidR="000F6D5C" w:rsidRPr="000F6D5C">
        <w:rPr>
          <w:lang w:val="en-CA"/>
        </w:rPr>
        <w:t xml:space="preserve">According </w:t>
      </w:r>
      <w:r w:rsidR="0029154E" w:rsidRPr="000F6D5C">
        <w:rPr>
          <w:lang w:val="en-CA"/>
        </w:rPr>
        <w:t>to</w:t>
      </w:r>
      <w:r w:rsidR="000F6D5C" w:rsidRPr="000F6D5C">
        <w:rPr>
          <w:lang w:val="en-CA"/>
        </w:rPr>
        <w:t xml:space="preserve"> the legislature’s intention and the case law,</w:t>
      </w:r>
      <w:r w:rsidR="00E57111">
        <w:rPr>
          <w:rStyle w:val="Appelnotedebasdep"/>
        </w:rPr>
        <w:footnoteReference w:id="51"/>
      </w:r>
      <w:r w:rsidR="000F6D5C" w:rsidRPr="000F6D5C">
        <w:rPr>
          <w:lang w:val="en-CA"/>
        </w:rPr>
        <w:t xml:space="preserve"> </w:t>
      </w:r>
      <w:r w:rsidR="0081773C" w:rsidRPr="000F6D5C">
        <w:rPr>
          <w:lang w:val="en-CA"/>
        </w:rPr>
        <w:t xml:space="preserve">these two criteria are likened to the criteria </w:t>
      </w:r>
      <w:r w:rsidR="0081773C">
        <w:rPr>
          <w:lang w:val="en-CA"/>
        </w:rPr>
        <w:t>under</w:t>
      </w:r>
      <w:r w:rsidR="0081773C" w:rsidRPr="000F6D5C">
        <w:rPr>
          <w:lang w:val="en-CA"/>
        </w:rPr>
        <w:t xml:space="preserve"> art. 575 </w:t>
      </w:r>
      <w:r w:rsidR="0081773C" w:rsidRPr="00A166AB">
        <w:rPr>
          <w:lang w:val="en-CA"/>
        </w:rPr>
        <w:t>C.C.P</w:t>
      </w:r>
      <w:r w:rsidR="0081773C" w:rsidRPr="000F6D5C">
        <w:rPr>
          <w:lang w:val="en-CA"/>
        </w:rPr>
        <w:t>.,</w:t>
      </w:r>
      <w:r w:rsidR="0081773C">
        <w:rPr>
          <w:lang w:val="en-CA"/>
        </w:rPr>
        <w:t xml:space="preserve"> </w:t>
      </w:r>
      <w:r w:rsidR="0081773C" w:rsidRPr="000F6D5C">
        <w:rPr>
          <w:lang w:val="en-CA"/>
        </w:rPr>
        <w:t>which apply at the authorization stage of the class action:</w:t>
      </w:r>
    </w:p>
    <w:p w14:paraId="4F9D0C6A" w14:textId="77777777" w:rsidR="00E57111" w:rsidRPr="000F6D5C" w:rsidRDefault="00E57111" w:rsidP="00E57111">
      <w:pPr>
        <w:pStyle w:val="F04-Retrait"/>
        <w:tabs>
          <w:tab w:val="left" w:pos="1440"/>
        </w:tabs>
        <w:spacing w:before="240"/>
        <w:rPr>
          <w:i w:val="0"/>
          <w:sz w:val="22"/>
          <w:szCs w:val="22"/>
          <w:lang w:val="en-CA" w:eastAsia="fr-CA"/>
        </w:rPr>
      </w:pPr>
      <w:r w:rsidRPr="000F6D5C">
        <w:rPr>
          <w:b/>
          <w:i w:val="0"/>
          <w:sz w:val="22"/>
          <w:szCs w:val="22"/>
          <w:lang w:val="en-CA" w:eastAsia="fr-CA"/>
        </w:rPr>
        <w:t>575.</w:t>
      </w:r>
      <w:r w:rsidRPr="000F6D5C">
        <w:rPr>
          <w:i w:val="0"/>
          <w:sz w:val="22"/>
          <w:szCs w:val="22"/>
          <w:lang w:val="en-CA" w:eastAsia="fr-CA"/>
        </w:rPr>
        <w:tab/>
      </w:r>
      <w:r w:rsidR="000F6D5C" w:rsidRPr="00EA3E22">
        <w:rPr>
          <w:i w:val="0"/>
          <w:sz w:val="22"/>
          <w:szCs w:val="22"/>
          <w:lang w:val="en-CA" w:eastAsia="fr-CA"/>
        </w:rPr>
        <w:t>The court authorizes the class action and appoints the class member it designates as representative plaintiff if it is of the opinion that</w:t>
      </w:r>
    </w:p>
    <w:p w14:paraId="56F2120D" w14:textId="77777777" w:rsidR="00E57111" w:rsidRPr="000F6D5C" w:rsidRDefault="00E57111" w:rsidP="00E57111">
      <w:pPr>
        <w:pStyle w:val="F04-Retrait"/>
        <w:tabs>
          <w:tab w:val="left" w:pos="990"/>
          <w:tab w:val="left" w:pos="1440"/>
        </w:tabs>
        <w:spacing w:before="160"/>
        <w:rPr>
          <w:i w:val="0"/>
          <w:sz w:val="22"/>
          <w:szCs w:val="22"/>
          <w:lang w:val="en-CA" w:eastAsia="fr-CA"/>
        </w:rPr>
      </w:pPr>
      <w:r w:rsidRPr="000F6D5C">
        <w:rPr>
          <w:i w:val="0"/>
          <w:sz w:val="22"/>
          <w:szCs w:val="22"/>
          <w:lang w:val="en-CA" w:eastAsia="fr-CA"/>
        </w:rPr>
        <w:tab/>
      </w:r>
      <w:r w:rsidR="000F6D5C" w:rsidRPr="00EA3E22">
        <w:rPr>
          <w:i w:val="0"/>
          <w:sz w:val="22"/>
          <w:szCs w:val="22"/>
          <w:lang w:val="en-CA" w:eastAsia="fr-CA"/>
        </w:rPr>
        <w:t>(1)</w:t>
      </w:r>
      <w:r w:rsidRPr="000F6D5C">
        <w:rPr>
          <w:i w:val="0"/>
          <w:sz w:val="22"/>
          <w:szCs w:val="22"/>
          <w:lang w:val="en-CA" w:eastAsia="fr-CA"/>
        </w:rPr>
        <w:tab/>
      </w:r>
      <w:r w:rsidR="000F6D5C" w:rsidRPr="00EA3E22">
        <w:rPr>
          <w:i w:val="0"/>
          <w:sz w:val="22"/>
          <w:szCs w:val="22"/>
          <w:lang w:val="en-CA" w:eastAsia="fr-CA"/>
        </w:rPr>
        <w:t>the claims of the members of the class raise identical, similar or related issues of law or fact;</w:t>
      </w:r>
    </w:p>
    <w:p w14:paraId="1FAB6ADF" w14:textId="77777777" w:rsidR="00E57111" w:rsidRPr="000F6D5C" w:rsidRDefault="00E57111" w:rsidP="00E57111">
      <w:pPr>
        <w:pStyle w:val="F04-Retrait"/>
        <w:tabs>
          <w:tab w:val="left" w:pos="990"/>
          <w:tab w:val="left" w:pos="1440"/>
        </w:tabs>
        <w:spacing w:before="160"/>
        <w:rPr>
          <w:i w:val="0"/>
          <w:sz w:val="22"/>
          <w:szCs w:val="22"/>
          <w:lang w:val="en-CA" w:eastAsia="fr-CA"/>
        </w:rPr>
      </w:pPr>
      <w:r w:rsidRPr="000F6D5C">
        <w:rPr>
          <w:i w:val="0"/>
          <w:sz w:val="22"/>
          <w:szCs w:val="22"/>
          <w:lang w:val="en-CA" w:eastAsia="fr-CA"/>
        </w:rPr>
        <w:tab/>
      </w:r>
      <w:r w:rsidR="000F6D5C" w:rsidRPr="00EA3E22">
        <w:rPr>
          <w:i w:val="0"/>
          <w:sz w:val="22"/>
          <w:szCs w:val="22"/>
          <w:lang w:val="en-CA" w:eastAsia="fr-CA"/>
        </w:rPr>
        <w:t>(2)</w:t>
      </w:r>
      <w:r w:rsidRPr="000F6D5C">
        <w:rPr>
          <w:i w:val="0"/>
          <w:sz w:val="22"/>
          <w:szCs w:val="22"/>
          <w:lang w:val="en-CA" w:eastAsia="fr-CA"/>
        </w:rPr>
        <w:tab/>
      </w:r>
      <w:r w:rsidR="000F6D5C" w:rsidRPr="00EA3E22">
        <w:rPr>
          <w:i w:val="0"/>
          <w:sz w:val="22"/>
          <w:szCs w:val="22"/>
          <w:lang w:val="en-CA" w:eastAsia="fr-CA"/>
        </w:rPr>
        <w:t xml:space="preserve"> the facts alleged appear to justify the conclusions sought;</w:t>
      </w:r>
    </w:p>
    <w:p w14:paraId="0E2FA0F1" w14:textId="77777777" w:rsidR="00E57111" w:rsidRPr="000F6D5C" w:rsidRDefault="00E57111" w:rsidP="00E57111">
      <w:pPr>
        <w:pStyle w:val="F04-Retrait"/>
        <w:tabs>
          <w:tab w:val="left" w:pos="990"/>
          <w:tab w:val="left" w:pos="1440"/>
        </w:tabs>
        <w:spacing w:before="160"/>
        <w:rPr>
          <w:i w:val="0"/>
          <w:sz w:val="22"/>
          <w:szCs w:val="22"/>
          <w:lang w:val="en-CA" w:eastAsia="fr-CA"/>
        </w:rPr>
      </w:pPr>
      <w:r w:rsidRPr="000F6D5C">
        <w:rPr>
          <w:i w:val="0"/>
          <w:sz w:val="22"/>
          <w:szCs w:val="22"/>
          <w:lang w:val="en-CA" w:eastAsia="fr-CA"/>
        </w:rPr>
        <w:tab/>
      </w:r>
      <w:r w:rsidR="000F6D5C" w:rsidRPr="00EA3E22">
        <w:rPr>
          <w:i w:val="0"/>
          <w:sz w:val="22"/>
          <w:szCs w:val="22"/>
          <w:lang w:val="en-CA" w:eastAsia="fr-CA"/>
        </w:rPr>
        <w:t>(3)</w:t>
      </w:r>
      <w:r w:rsidRPr="000F6D5C">
        <w:rPr>
          <w:i w:val="0"/>
          <w:sz w:val="22"/>
          <w:szCs w:val="22"/>
          <w:lang w:val="en-CA" w:eastAsia="fr-CA"/>
        </w:rPr>
        <w:tab/>
      </w:r>
      <w:r w:rsidR="000F6D5C" w:rsidRPr="00EA3E22">
        <w:rPr>
          <w:i w:val="0"/>
          <w:sz w:val="22"/>
          <w:szCs w:val="22"/>
          <w:lang w:val="en-CA" w:eastAsia="fr-CA"/>
        </w:rPr>
        <w:t>the composition of the class makes it difficult or impracticable to apply the rules for mandates to take part in judicial proceedings on behalf of others or for consolidation of proceedings; and</w:t>
      </w:r>
    </w:p>
    <w:p w14:paraId="543DEC4E" w14:textId="77777777" w:rsidR="00E57111" w:rsidRPr="000F6D5C" w:rsidRDefault="00E57111" w:rsidP="00E57111">
      <w:pPr>
        <w:pStyle w:val="F04-Retrait"/>
        <w:tabs>
          <w:tab w:val="left" w:pos="990"/>
          <w:tab w:val="left" w:pos="1440"/>
        </w:tabs>
        <w:spacing w:before="160"/>
        <w:rPr>
          <w:i w:val="0"/>
          <w:sz w:val="22"/>
          <w:szCs w:val="22"/>
          <w:lang w:val="en-CA" w:eastAsia="fr-CA"/>
        </w:rPr>
      </w:pPr>
      <w:r w:rsidRPr="000F6D5C">
        <w:rPr>
          <w:i w:val="0"/>
          <w:sz w:val="22"/>
          <w:szCs w:val="22"/>
          <w:lang w:val="en-CA" w:eastAsia="fr-CA"/>
        </w:rPr>
        <w:tab/>
      </w:r>
      <w:r w:rsidR="000F6D5C" w:rsidRPr="00EA3E22">
        <w:rPr>
          <w:i w:val="0"/>
          <w:sz w:val="22"/>
          <w:szCs w:val="22"/>
          <w:lang w:val="en-CA" w:eastAsia="fr-CA"/>
        </w:rPr>
        <w:t>(4)</w:t>
      </w:r>
      <w:r w:rsidRPr="000F6D5C">
        <w:rPr>
          <w:i w:val="0"/>
          <w:sz w:val="22"/>
          <w:szCs w:val="22"/>
          <w:lang w:val="en-CA" w:eastAsia="fr-CA"/>
        </w:rPr>
        <w:tab/>
      </w:r>
      <w:r w:rsidR="000F6D5C" w:rsidRPr="00EA3E22">
        <w:rPr>
          <w:i w:val="0"/>
          <w:sz w:val="22"/>
          <w:szCs w:val="22"/>
          <w:lang w:val="en-CA" w:eastAsia="fr-CA"/>
        </w:rPr>
        <w:t>the class member appointed as representative plaintiff is in a position to properly represent the class members.</w:t>
      </w:r>
    </w:p>
    <w:p w14:paraId="669F535C" w14:textId="17470E4F" w:rsidR="00E57111" w:rsidRPr="000F6D5C" w:rsidRDefault="000F6D5C" w:rsidP="00E57111">
      <w:pPr>
        <w:pStyle w:val="F02-Texte"/>
        <w:spacing w:before="280"/>
        <w:ind w:left="0" w:firstLine="0"/>
        <w:rPr>
          <w:lang w:val="en-CA"/>
        </w:rPr>
      </w:pPr>
      <w:r w:rsidRPr="000F6D5C">
        <w:rPr>
          <w:lang w:val="en-CA"/>
        </w:rPr>
        <w:lastRenderedPageBreak/>
        <w:t xml:space="preserve">Specifically, the second criterion of s. 23 </w:t>
      </w:r>
      <w:r w:rsidRPr="00C06C73">
        <w:rPr>
          <w:i/>
          <w:lang w:val="en-CA"/>
        </w:rPr>
        <w:t>AFAAC</w:t>
      </w:r>
      <w:r w:rsidRPr="000F6D5C">
        <w:rPr>
          <w:lang w:val="en-CA"/>
        </w:rPr>
        <w:t>, concerning the probabl</w:t>
      </w:r>
      <w:r w:rsidR="00A9558F">
        <w:rPr>
          <w:lang w:val="en-CA"/>
        </w:rPr>
        <w:t>e</w:t>
      </w:r>
      <w:r w:rsidRPr="000F6D5C">
        <w:rPr>
          <w:lang w:val="en-CA"/>
        </w:rPr>
        <w:t xml:space="preserve"> existence of the right corresponds to the second criterion of art. 575 C.C.P., to wit, that the facts alleged appear to justify the conclusions sought.</w:t>
      </w:r>
    </w:p>
    <w:p w14:paraId="094DE743" w14:textId="1EC8764A" w:rsidR="00E57111" w:rsidRPr="000F6D5C" w:rsidRDefault="000F6D5C" w:rsidP="00E57111">
      <w:pPr>
        <w:pStyle w:val="F02-Texte"/>
        <w:spacing w:before="280"/>
        <w:ind w:left="0" w:firstLine="0"/>
        <w:rPr>
          <w:rFonts w:cs="Arial"/>
          <w:i/>
          <w:szCs w:val="24"/>
          <w:lang w:val="en-CA"/>
        </w:rPr>
      </w:pPr>
      <w:r w:rsidRPr="000F6D5C">
        <w:rPr>
          <w:rFonts w:eastAsia="ArialMT" w:cs="Arial"/>
          <w:szCs w:val="24"/>
          <w:lang w:val="en-CA" w:eastAsia="fr-CA"/>
        </w:rPr>
        <w:t xml:space="preserve">At the authorization stage of a class action, the Superior Court </w:t>
      </w:r>
      <w:r w:rsidR="00A9558F">
        <w:rPr>
          <w:rFonts w:eastAsia="ArialMT" w:cs="Arial"/>
          <w:szCs w:val="24"/>
          <w:lang w:val="en-CA" w:eastAsia="fr-CA"/>
        </w:rPr>
        <w:t>plays a filtering role</w:t>
      </w:r>
      <w:r w:rsidRPr="000F6D5C">
        <w:rPr>
          <w:rFonts w:eastAsia="ArialMT" w:cs="Arial"/>
          <w:szCs w:val="24"/>
          <w:lang w:val="en-CA" w:eastAsia="fr-CA"/>
        </w:rPr>
        <w:t xml:space="preserve"> and must merely ensure that the applicant meets the criteria of art. 575 </w:t>
      </w:r>
      <w:r w:rsidRPr="00A166AB">
        <w:rPr>
          <w:rFonts w:eastAsia="ArialMT" w:cs="Arial"/>
          <w:szCs w:val="24"/>
          <w:lang w:val="en-CA" w:eastAsia="fr-CA"/>
        </w:rPr>
        <w:t>C.C.P</w:t>
      </w:r>
      <w:r w:rsidRPr="00A9558F">
        <w:rPr>
          <w:rFonts w:eastAsia="ArialMT" w:cs="Arial"/>
          <w:szCs w:val="24"/>
          <w:lang w:val="en-CA" w:eastAsia="fr-CA"/>
        </w:rPr>
        <w:t>.</w:t>
      </w:r>
      <w:r w:rsidRPr="000F6D5C">
        <w:rPr>
          <w:rFonts w:eastAsia="ArialMT" w:cs="Arial"/>
          <w:szCs w:val="24"/>
          <w:lang w:val="en-CA" w:eastAsia="fr-CA"/>
        </w:rPr>
        <w:t xml:space="preserve">, </w:t>
      </w:r>
      <w:r w:rsidR="008B47EB">
        <w:rPr>
          <w:rFonts w:eastAsia="ArialMT" w:cs="Arial"/>
          <w:szCs w:val="24"/>
          <w:lang w:val="en-CA" w:eastAsia="fr-CA"/>
        </w:rPr>
        <w:t xml:space="preserve">for </w:t>
      </w:r>
      <w:r w:rsidRPr="000F6D5C">
        <w:rPr>
          <w:rFonts w:eastAsia="ArialMT" w:cs="Arial"/>
          <w:szCs w:val="24"/>
          <w:lang w:val="en-CA" w:eastAsia="fr-CA"/>
        </w:rPr>
        <w:t xml:space="preserve">which </w:t>
      </w:r>
      <w:r w:rsidR="008B47EB">
        <w:rPr>
          <w:rFonts w:eastAsia="ArialMT" w:cs="Arial"/>
          <w:szCs w:val="24"/>
          <w:lang w:val="en-CA" w:eastAsia="fr-CA"/>
        </w:rPr>
        <w:t xml:space="preserve">there is </w:t>
      </w:r>
      <w:r w:rsidRPr="000F6D5C">
        <w:rPr>
          <w:rFonts w:eastAsia="ArialMT" w:cs="Arial"/>
          <w:szCs w:val="24"/>
          <w:lang w:val="en-CA" w:eastAsia="fr-CA"/>
        </w:rPr>
        <w:t xml:space="preserve">a low </w:t>
      </w:r>
      <w:r w:rsidR="008B47EB" w:rsidRPr="000F6D5C">
        <w:rPr>
          <w:rFonts w:eastAsia="ArialMT" w:cs="Arial"/>
          <w:szCs w:val="24"/>
          <w:lang w:val="en-CA" w:eastAsia="fr-CA"/>
        </w:rPr>
        <w:t>threshold</w:t>
      </w:r>
      <w:r w:rsidRPr="000F6D5C">
        <w:rPr>
          <w:rFonts w:eastAsia="ArialMT" w:cs="Arial"/>
          <w:szCs w:val="24"/>
          <w:lang w:val="en-CA" w:eastAsia="fr-CA"/>
        </w:rPr>
        <w:t>.</w:t>
      </w:r>
      <w:r w:rsidR="00E57111" w:rsidRPr="000F6D5C">
        <w:rPr>
          <w:rFonts w:eastAsia="ArialMT" w:cs="Arial"/>
          <w:szCs w:val="24"/>
          <w:lang w:val="en-CA" w:eastAsia="fr-CA"/>
        </w:rPr>
        <w:t xml:space="preserve"> </w:t>
      </w:r>
      <w:r w:rsidRPr="00EA3E22">
        <w:rPr>
          <w:rFonts w:eastAsia="ArialMT" w:cs="Arial"/>
          <w:szCs w:val="24"/>
          <w:lang w:val="en-CA" w:eastAsia="fr-CA"/>
        </w:rPr>
        <w:t>It is a procedural decision</w:t>
      </w:r>
      <w:r w:rsidR="00A9558F">
        <w:rPr>
          <w:rFonts w:eastAsia="ArialMT" w:cs="Arial"/>
          <w:szCs w:val="24"/>
          <w:lang w:val="en-CA" w:eastAsia="fr-CA"/>
        </w:rPr>
        <w:t>,</w:t>
      </w:r>
      <w:r w:rsidRPr="00EA3E22">
        <w:rPr>
          <w:rFonts w:eastAsia="ArialMT" w:cs="Arial"/>
          <w:szCs w:val="24"/>
          <w:lang w:val="en-CA" w:eastAsia="fr-CA"/>
        </w:rPr>
        <w:t xml:space="preserve"> and the burden imposed on the applicant at that stage is to establish an arguable case.</w:t>
      </w:r>
      <w:r w:rsidR="00E57111" w:rsidRPr="000F6D5C">
        <w:rPr>
          <w:rFonts w:eastAsia="ArialMT" w:cs="Arial"/>
          <w:szCs w:val="24"/>
          <w:lang w:val="en-CA" w:eastAsia="fr-CA"/>
        </w:rPr>
        <w:t xml:space="preserve"> </w:t>
      </w:r>
      <w:r w:rsidRPr="00EA3E22">
        <w:rPr>
          <w:rFonts w:eastAsia="ArialMT" w:cs="Arial"/>
          <w:szCs w:val="24"/>
          <w:lang w:val="en-CA" w:eastAsia="fr-CA"/>
        </w:rPr>
        <w:t>The allegations of fact on which the proceeding relies must not be vague, general, or imprecise.</w:t>
      </w:r>
      <w:r w:rsidR="00E57111" w:rsidRPr="00A166AB">
        <w:rPr>
          <w:rStyle w:val="Appelnotedebasdep"/>
        </w:rPr>
        <w:footnoteReference w:id="52"/>
      </w:r>
    </w:p>
    <w:p w14:paraId="0CADABF7" w14:textId="6E8A2BFA" w:rsidR="00E57111" w:rsidRPr="000F6D5C" w:rsidRDefault="000F6D5C" w:rsidP="00E57111">
      <w:pPr>
        <w:pStyle w:val="F02-Texte"/>
        <w:spacing w:before="280"/>
        <w:ind w:left="0" w:firstLine="0"/>
        <w:rPr>
          <w:rFonts w:cs="Arial"/>
          <w:i/>
          <w:szCs w:val="24"/>
          <w:lang w:val="en-CA"/>
        </w:rPr>
      </w:pPr>
      <w:r w:rsidRPr="000F6D5C">
        <w:rPr>
          <w:rFonts w:eastAsia="ArialMT" w:cs="Arial"/>
          <w:szCs w:val="24"/>
          <w:lang w:val="en-CA" w:eastAsia="fr-CA"/>
        </w:rPr>
        <w:t xml:space="preserve">In other words, by analogy with that of the Superior Court, the Tribunal’s role is to set aside </w:t>
      </w:r>
      <w:r w:rsidR="008B47EB" w:rsidRPr="000F6D5C">
        <w:rPr>
          <w:rFonts w:eastAsia="ArialMT" w:cs="Arial"/>
          <w:szCs w:val="24"/>
          <w:lang w:val="en-CA" w:eastAsia="fr-CA"/>
        </w:rPr>
        <w:t>only</w:t>
      </w:r>
      <w:r w:rsidRPr="000F6D5C">
        <w:rPr>
          <w:rFonts w:eastAsia="ArialMT" w:cs="Arial"/>
          <w:szCs w:val="24"/>
          <w:lang w:val="en-CA" w:eastAsia="fr-CA"/>
        </w:rPr>
        <w:t xml:space="preserve"> those proceedings that are frivolous, clearly unfounded, or untenable.</w:t>
      </w:r>
      <w:r w:rsidR="00E57111" w:rsidRPr="000F6D5C">
        <w:rPr>
          <w:rFonts w:eastAsia="ArialMT" w:cs="Arial"/>
          <w:szCs w:val="24"/>
          <w:lang w:val="en-CA" w:eastAsia="fr-CA"/>
        </w:rPr>
        <w:t xml:space="preserve"> </w:t>
      </w:r>
      <w:r w:rsidRPr="000F6D5C">
        <w:rPr>
          <w:rFonts w:eastAsia="ArialMT" w:cs="Arial"/>
          <w:szCs w:val="24"/>
          <w:lang w:val="en-CA" w:eastAsia="fr-CA"/>
        </w:rPr>
        <w:t>The applicant must demonstrate the possibility of prevailing on the merits, but not that this possibility is realistic or reasonable.</w:t>
      </w:r>
      <w:r w:rsidR="00E57111" w:rsidRPr="000F6D5C">
        <w:rPr>
          <w:rFonts w:eastAsia="ArialMT" w:cs="Arial"/>
          <w:szCs w:val="24"/>
          <w:lang w:val="en-CA" w:eastAsia="fr-CA"/>
        </w:rPr>
        <w:t xml:space="preserve"> </w:t>
      </w:r>
      <w:r w:rsidRPr="00EA3E22">
        <w:rPr>
          <w:rFonts w:eastAsia="ArialMT" w:cs="Arial"/>
          <w:szCs w:val="24"/>
          <w:lang w:val="en-CA" w:eastAsia="fr-CA"/>
        </w:rPr>
        <w:t xml:space="preserve">The legal syllogism proposed </w:t>
      </w:r>
      <w:r w:rsidR="008B47EB">
        <w:rPr>
          <w:rFonts w:eastAsia="ArialMT" w:cs="Arial"/>
          <w:szCs w:val="24"/>
          <w:lang w:val="en-CA" w:eastAsia="fr-CA"/>
        </w:rPr>
        <w:t>must</w:t>
      </w:r>
      <w:r w:rsidRPr="00EA3E22">
        <w:rPr>
          <w:rFonts w:eastAsia="ArialMT" w:cs="Arial"/>
          <w:szCs w:val="24"/>
          <w:lang w:val="en-CA" w:eastAsia="fr-CA"/>
        </w:rPr>
        <w:t xml:space="preserve"> therefore be tenable.</w:t>
      </w:r>
      <w:r w:rsidR="00E57111" w:rsidRPr="000F6D5C">
        <w:rPr>
          <w:rFonts w:eastAsia="ArialMT" w:cs="Arial"/>
          <w:szCs w:val="24"/>
          <w:lang w:val="en-CA" w:eastAsia="fr-CA"/>
        </w:rPr>
        <w:t xml:space="preserve"> </w:t>
      </w:r>
      <w:r w:rsidR="00A166AB">
        <w:rPr>
          <w:rFonts w:eastAsia="ArialMT" w:cs="Arial"/>
          <w:szCs w:val="24"/>
          <w:lang w:val="en-CA" w:eastAsia="fr-CA"/>
        </w:rPr>
        <w:t>The</w:t>
      </w:r>
      <w:r w:rsidRPr="00EA3E22">
        <w:rPr>
          <w:rFonts w:eastAsia="ArialMT" w:cs="Arial"/>
          <w:szCs w:val="24"/>
          <w:lang w:val="en-CA" w:eastAsia="fr-CA"/>
        </w:rPr>
        <w:t xml:space="preserve"> </w:t>
      </w:r>
      <w:r w:rsidR="00A166AB">
        <w:rPr>
          <w:rFonts w:eastAsia="ArialMT" w:cs="Arial"/>
          <w:szCs w:val="24"/>
          <w:lang w:val="en-CA" w:eastAsia="fr-CA"/>
        </w:rPr>
        <w:t>probable existence of a right</w:t>
      </w:r>
      <w:r w:rsidRPr="00EA3E22">
        <w:rPr>
          <w:rFonts w:eastAsia="ArialMT" w:cs="Arial"/>
          <w:szCs w:val="24"/>
          <w:lang w:val="en-CA" w:eastAsia="fr-CA"/>
        </w:rPr>
        <w:t xml:space="preserve"> must be established.</w:t>
      </w:r>
      <w:r w:rsidR="00E57111" w:rsidRPr="000F6D5C">
        <w:rPr>
          <w:rFonts w:eastAsia="ArialMT" w:cs="Arial"/>
          <w:szCs w:val="24"/>
          <w:lang w:val="en-CA" w:eastAsia="fr-CA"/>
        </w:rPr>
        <w:t xml:space="preserve"> </w:t>
      </w:r>
      <w:r w:rsidRPr="00EA3E22">
        <w:rPr>
          <w:rFonts w:eastAsia="ArialMT" w:cs="Arial"/>
          <w:szCs w:val="24"/>
          <w:lang w:val="en-CA" w:eastAsia="fr-CA"/>
        </w:rPr>
        <w:t xml:space="preserve">The facts alleged must be </w:t>
      </w:r>
      <w:r w:rsidR="008D61D9">
        <w:rPr>
          <w:rFonts w:eastAsia="ArialMT" w:cs="Arial"/>
          <w:szCs w:val="24"/>
          <w:lang w:val="en-CA" w:eastAsia="fr-CA"/>
        </w:rPr>
        <w:t>assumed to be true</w:t>
      </w:r>
      <w:r w:rsidRPr="00EA3E22">
        <w:rPr>
          <w:rFonts w:eastAsia="ArialMT" w:cs="Arial"/>
          <w:szCs w:val="24"/>
          <w:lang w:val="en-CA" w:eastAsia="fr-CA"/>
        </w:rPr>
        <w:t>, if they are sufficiently precise.</w:t>
      </w:r>
      <w:r w:rsidR="00E57111" w:rsidRPr="000F6D5C">
        <w:rPr>
          <w:rFonts w:eastAsia="ArialMT" w:cs="Arial"/>
          <w:szCs w:val="24"/>
          <w:lang w:val="en-CA" w:eastAsia="fr-CA"/>
        </w:rPr>
        <w:t xml:space="preserve"> </w:t>
      </w:r>
      <w:r w:rsidRPr="000F6D5C">
        <w:rPr>
          <w:rFonts w:eastAsia="ArialMT" w:cs="Arial"/>
          <w:szCs w:val="24"/>
          <w:lang w:val="en-CA" w:eastAsia="fr-CA"/>
        </w:rPr>
        <w:t>Vague allegations must absolutely be supported by some documentary evidence to meet the condition of establishing an arguable case.</w:t>
      </w:r>
      <w:r w:rsidR="00E57111" w:rsidRPr="008D61D9">
        <w:rPr>
          <w:rStyle w:val="Appelnotedebasdep"/>
        </w:rPr>
        <w:footnoteReference w:id="53"/>
      </w:r>
    </w:p>
    <w:p w14:paraId="7DAAE62A" w14:textId="1C330467" w:rsidR="00E57111" w:rsidRPr="000F6D5C" w:rsidRDefault="00C86914" w:rsidP="00E57111">
      <w:pPr>
        <w:pStyle w:val="F02-Texte"/>
        <w:spacing w:before="280"/>
        <w:ind w:left="0" w:firstLine="0"/>
        <w:rPr>
          <w:szCs w:val="24"/>
          <w:lang w:val="en-CA"/>
        </w:rPr>
      </w:pPr>
      <w:r>
        <w:rPr>
          <w:szCs w:val="24"/>
          <w:lang w:val="en-CA"/>
        </w:rPr>
        <w:t>T</w:t>
      </w:r>
      <w:r w:rsidR="000F6D5C" w:rsidRPr="000F6D5C">
        <w:rPr>
          <w:szCs w:val="24"/>
          <w:lang w:val="en-CA"/>
        </w:rPr>
        <w:t xml:space="preserve">he third criterion of s. 23 </w:t>
      </w:r>
      <w:r w:rsidR="000F6D5C" w:rsidRPr="008D61D9">
        <w:rPr>
          <w:i/>
          <w:szCs w:val="24"/>
          <w:lang w:val="en-CA"/>
        </w:rPr>
        <w:t>AFAAC</w:t>
      </w:r>
      <w:r w:rsidR="000F6D5C" w:rsidRPr="000F6D5C">
        <w:rPr>
          <w:szCs w:val="24"/>
          <w:lang w:val="en-CA"/>
        </w:rPr>
        <w:t xml:space="preserve">, the probability that the class action will be brought, corresponds to the three other criteria of art. 575 (1), (3), and (4) </w:t>
      </w:r>
      <w:r w:rsidR="000F6D5C" w:rsidRPr="00A166AB">
        <w:rPr>
          <w:szCs w:val="24"/>
          <w:lang w:val="en-CA"/>
        </w:rPr>
        <w:t>C.C.P</w:t>
      </w:r>
      <w:r w:rsidR="000F6D5C" w:rsidRPr="00C86914">
        <w:rPr>
          <w:szCs w:val="24"/>
          <w:lang w:val="en-CA"/>
        </w:rPr>
        <w:t>.</w:t>
      </w:r>
    </w:p>
    <w:p w14:paraId="204CC562" w14:textId="61523290" w:rsidR="00E57111" w:rsidRPr="00EA3E22" w:rsidRDefault="000F6D5C" w:rsidP="00E57111">
      <w:pPr>
        <w:pStyle w:val="F02-Texte"/>
        <w:spacing w:before="280"/>
        <w:ind w:left="0" w:firstLine="0"/>
        <w:rPr>
          <w:szCs w:val="24"/>
          <w:lang w:val="en-CA"/>
        </w:rPr>
      </w:pPr>
      <w:r w:rsidRPr="00EA3E22">
        <w:rPr>
          <w:lang w:val="en-CA"/>
        </w:rPr>
        <w:t>In this case, the first sub-criteri</w:t>
      </w:r>
      <w:r w:rsidR="005F5036">
        <w:rPr>
          <w:lang w:val="en-CA"/>
        </w:rPr>
        <w:t>on</w:t>
      </w:r>
      <w:r w:rsidRPr="00EA3E22">
        <w:rPr>
          <w:lang w:val="en-CA"/>
        </w:rPr>
        <w:t>, that the claims of the members of the class raise identical, similar</w:t>
      </w:r>
      <w:r w:rsidR="005F5036">
        <w:rPr>
          <w:lang w:val="en-CA"/>
        </w:rPr>
        <w:t>,</w:t>
      </w:r>
      <w:r w:rsidRPr="00EA3E22">
        <w:rPr>
          <w:lang w:val="en-CA"/>
        </w:rPr>
        <w:t xml:space="preserve"> or related issues of law or fact (575(1) </w:t>
      </w:r>
      <w:r w:rsidRPr="00A166AB">
        <w:rPr>
          <w:lang w:val="en-CA"/>
        </w:rPr>
        <w:t>C.C.P</w:t>
      </w:r>
      <w:r w:rsidRPr="005F5036">
        <w:rPr>
          <w:lang w:val="en-CA"/>
        </w:rPr>
        <w:t>.</w:t>
      </w:r>
      <w:r w:rsidR="005F5036">
        <w:rPr>
          <w:lang w:val="en-CA"/>
        </w:rPr>
        <w:t>)</w:t>
      </w:r>
      <w:r w:rsidRPr="00EA3E22">
        <w:rPr>
          <w:lang w:val="en-CA"/>
        </w:rPr>
        <w:t xml:space="preserve"> has been met.</w:t>
      </w:r>
      <w:r w:rsidR="00E57111" w:rsidRPr="00EA3E22">
        <w:rPr>
          <w:rStyle w:val="Appelnotedebasdep"/>
        </w:rPr>
        <w:footnoteReference w:id="54"/>
      </w:r>
    </w:p>
    <w:p w14:paraId="3C3CF846" w14:textId="733D1200" w:rsidR="00E57111" w:rsidRPr="000F6D5C" w:rsidRDefault="000F6D5C" w:rsidP="00E57111">
      <w:pPr>
        <w:pStyle w:val="F02-Texte"/>
        <w:spacing w:before="280"/>
        <w:ind w:left="0" w:firstLine="0"/>
        <w:rPr>
          <w:lang w:val="en-CA"/>
        </w:rPr>
      </w:pPr>
      <w:r w:rsidRPr="000F6D5C">
        <w:rPr>
          <w:lang w:val="en-CA"/>
        </w:rPr>
        <w:t xml:space="preserve">Thus, only the third and </w:t>
      </w:r>
      <w:r w:rsidR="008D61D9" w:rsidRPr="000F6D5C">
        <w:rPr>
          <w:lang w:val="en-CA"/>
        </w:rPr>
        <w:t>fourth</w:t>
      </w:r>
      <w:r w:rsidRPr="000F6D5C">
        <w:rPr>
          <w:lang w:val="en-CA"/>
        </w:rPr>
        <w:t xml:space="preserve"> sub-criteria are in dispute, that is, </w:t>
      </w:r>
      <w:r w:rsidR="005F5036">
        <w:rPr>
          <w:lang w:val="en-CA"/>
        </w:rPr>
        <w:t xml:space="preserve">that </w:t>
      </w:r>
      <w:r w:rsidRPr="000F6D5C">
        <w:rPr>
          <w:lang w:val="en-CA"/>
        </w:rPr>
        <w:t xml:space="preserve">the composition of the class makes it difficult or impracticable to apply the rules for mandates to take part in judicial proceedings on behalf of others or for consolidation of proceedings (575(3) </w:t>
      </w:r>
      <w:r w:rsidRPr="00A166AB">
        <w:rPr>
          <w:lang w:val="en-CA"/>
        </w:rPr>
        <w:t>C.C.P</w:t>
      </w:r>
      <w:r w:rsidRPr="005F5036">
        <w:rPr>
          <w:lang w:val="en-CA"/>
        </w:rPr>
        <w:t>.</w:t>
      </w:r>
      <w:r w:rsidRPr="000F6D5C">
        <w:rPr>
          <w:lang w:val="en-CA"/>
        </w:rPr>
        <w:t xml:space="preserve">) and that the class member appointed as representative plaintiff is in a position to properly represent the class members (575(4) </w:t>
      </w:r>
      <w:r w:rsidRPr="00A166AB">
        <w:rPr>
          <w:lang w:val="en-CA"/>
        </w:rPr>
        <w:t>C.C.P</w:t>
      </w:r>
      <w:r w:rsidRPr="005F5036">
        <w:rPr>
          <w:lang w:val="en-CA"/>
        </w:rPr>
        <w:t>.</w:t>
      </w:r>
      <w:r w:rsidRPr="000F6D5C">
        <w:rPr>
          <w:lang w:val="en-CA"/>
        </w:rPr>
        <w:t xml:space="preserve">). </w:t>
      </w:r>
    </w:p>
    <w:p w14:paraId="0A0D6DB3" w14:textId="4C265398" w:rsidR="00E57111" w:rsidRPr="005F5036" w:rsidRDefault="000F6D5C" w:rsidP="00E57111">
      <w:pPr>
        <w:pStyle w:val="F02-Texte"/>
        <w:ind w:left="0" w:firstLine="0"/>
        <w:rPr>
          <w:szCs w:val="24"/>
          <w:lang w:val="en-CA"/>
        </w:rPr>
      </w:pPr>
      <w:r w:rsidRPr="000F6D5C">
        <w:rPr>
          <w:lang w:val="en-CA"/>
        </w:rPr>
        <w:t xml:space="preserve">Specifically, the </w:t>
      </w:r>
      <w:r w:rsidR="008D61D9" w:rsidRPr="000F6D5C">
        <w:rPr>
          <w:lang w:val="en-CA"/>
        </w:rPr>
        <w:t>third</w:t>
      </w:r>
      <w:r w:rsidRPr="000F6D5C">
        <w:rPr>
          <w:lang w:val="en-CA"/>
        </w:rPr>
        <w:t xml:space="preserve"> sub-criterion </w:t>
      </w:r>
      <w:r w:rsidR="005F5036">
        <w:rPr>
          <w:lang w:val="en-CA"/>
        </w:rPr>
        <w:t>dictates</w:t>
      </w:r>
      <w:r w:rsidRPr="000F6D5C">
        <w:rPr>
          <w:lang w:val="en-CA"/>
        </w:rPr>
        <w:t xml:space="preserve"> that the composition of the class meets a certain level of precision, rationality</w:t>
      </w:r>
      <w:r w:rsidR="005F5036">
        <w:rPr>
          <w:lang w:val="en-CA"/>
        </w:rPr>
        <w:t>,</w:t>
      </w:r>
      <w:r w:rsidRPr="000F6D5C">
        <w:rPr>
          <w:lang w:val="en-CA"/>
        </w:rPr>
        <w:t xml:space="preserve"> and objectivity.</w:t>
      </w:r>
      <w:r w:rsidR="00E57111" w:rsidRPr="00A166AB">
        <w:rPr>
          <w:rStyle w:val="Appelnotedebasdep"/>
          <w:szCs w:val="24"/>
        </w:rPr>
        <w:footnoteReference w:id="55"/>
      </w:r>
    </w:p>
    <w:p w14:paraId="40361E74" w14:textId="7E948EC1" w:rsidR="00E57111" w:rsidRPr="000F6D5C" w:rsidRDefault="005F5036" w:rsidP="00E57111">
      <w:pPr>
        <w:pStyle w:val="F02-Texte"/>
        <w:autoSpaceDE w:val="0"/>
        <w:autoSpaceDN w:val="0"/>
        <w:adjustRightInd w:val="0"/>
        <w:spacing w:before="280"/>
        <w:ind w:left="0" w:firstLine="0"/>
        <w:rPr>
          <w:rFonts w:cs="Arial"/>
          <w:szCs w:val="24"/>
          <w:lang w:val="en-CA" w:eastAsia="fr-CA"/>
        </w:rPr>
      </w:pPr>
      <w:r>
        <w:rPr>
          <w:rFonts w:cs="Arial"/>
          <w:szCs w:val="24"/>
          <w:lang w:val="en-CA" w:eastAsia="fr-CA"/>
        </w:rPr>
        <w:lastRenderedPageBreak/>
        <w:t>T</w:t>
      </w:r>
      <w:r w:rsidR="000F6D5C" w:rsidRPr="00EA3E22">
        <w:rPr>
          <w:rFonts w:cs="Arial"/>
          <w:szCs w:val="24"/>
          <w:lang w:val="en-CA" w:eastAsia="fr-CA"/>
        </w:rPr>
        <w:t xml:space="preserve">he fourth sub-criterion regarding the proper representation of the class members is assessed according to three factors: the interest in the suit, competence, and the absence of </w:t>
      </w:r>
      <w:r>
        <w:rPr>
          <w:rFonts w:cs="Arial"/>
          <w:szCs w:val="24"/>
          <w:lang w:val="en-CA" w:eastAsia="fr-CA"/>
        </w:rPr>
        <w:t xml:space="preserve">a </w:t>
      </w:r>
      <w:r w:rsidR="000F6D5C" w:rsidRPr="00EA3E22">
        <w:rPr>
          <w:rFonts w:cs="Arial"/>
          <w:szCs w:val="24"/>
          <w:lang w:val="en-CA" w:eastAsia="fr-CA"/>
        </w:rPr>
        <w:t>conflict</w:t>
      </w:r>
      <w:r>
        <w:rPr>
          <w:rFonts w:cs="Arial"/>
          <w:szCs w:val="24"/>
          <w:lang w:val="en-CA" w:eastAsia="fr-CA"/>
        </w:rPr>
        <w:t xml:space="preserve"> of interest</w:t>
      </w:r>
      <w:r w:rsidR="000F6D5C" w:rsidRPr="00EA3E22">
        <w:rPr>
          <w:rFonts w:cs="Arial"/>
          <w:szCs w:val="24"/>
          <w:lang w:val="en-CA" w:eastAsia="fr-CA"/>
        </w:rPr>
        <w:t xml:space="preserve"> with the class members.</w:t>
      </w:r>
      <w:r w:rsidR="00E57111" w:rsidRPr="00A166AB">
        <w:rPr>
          <w:rStyle w:val="Appelnotedebasdep"/>
        </w:rPr>
        <w:footnoteReference w:id="56"/>
      </w:r>
      <w:r w:rsidR="00E57111" w:rsidRPr="000F6D5C">
        <w:rPr>
          <w:rFonts w:cs="Arial"/>
          <w:szCs w:val="24"/>
          <w:lang w:val="en-CA" w:eastAsia="fr-CA"/>
        </w:rPr>
        <w:t xml:space="preserve"> </w:t>
      </w:r>
      <w:r w:rsidR="000F6D5C" w:rsidRPr="00EA3E22">
        <w:rPr>
          <w:rFonts w:cs="Arial"/>
          <w:szCs w:val="24"/>
          <w:lang w:val="en-CA" w:eastAsia="fr-CA"/>
        </w:rPr>
        <w:t xml:space="preserve">These factors must be </w:t>
      </w:r>
      <w:r w:rsidR="00DD087F">
        <w:rPr>
          <w:rFonts w:cs="Arial"/>
          <w:szCs w:val="24"/>
          <w:lang w:val="en-CA" w:eastAsia="fr-CA"/>
        </w:rPr>
        <w:t>interpreted liberally,</w:t>
      </w:r>
      <w:r w:rsidR="000F6D5C" w:rsidRPr="00EA3E22">
        <w:rPr>
          <w:rFonts w:cs="Arial"/>
          <w:szCs w:val="24"/>
          <w:lang w:val="en-CA" w:eastAsia="fr-CA"/>
        </w:rPr>
        <w:t xml:space="preserve"> and no proposed representative should be excluded unless his or her interest or competence is such that the case could not possibly proceed fairly.</w:t>
      </w:r>
      <w:r w:rsidR="00E57111" w:rsidRPr="00A166AB">
        <w:rPr>
          <w:rStyle w:val="Appelnotedebasdep"/>
        </w:rPr>
        <w:footnoteReference w:id="57"/>
      </w:r>
    </w:p>
    <w:p w14:paraId="773B2B58" w14:textId="77777777" w:rsidR="00E57111" w:rsidRPr="000F6D5C" w:rsidRDefault="000F6D5C" w:rsidP="00E57111">
      <w:pPr>
        <w:pStyle w:val="F02-Texte"/>
        <w:ind w:left="0" w:firstLine="0"/>
        <w:rPr>
          <w:u w:val="single"/>
          <w:lang w:val="en-CA"/>
        </w:rPr>
      </w:pPr>
      <w:r w:rsidRPr="000F6D5C">
        <w:rPr>
          <w:lang w:val="en-CA"/>
        </w:rPr>
        <w:t xml:space="preserve">Finally, the failure to meet just one of the three criteria under s. 23 </w:t>
      </w:r>
      <w:r w:rsidRPr="008D61D9">
        <w:rPr>
          <w:i/>
          <w:lang w:val="en-CA"/>
        </w:rPr>
        <w:t>AFAAC</w:t>
      </w:r>
      <w:r w:rsidRPr="000F6D5C">
        <w:rPr>
          <w:lang w:val="en-CA"/>
        </w:rPr>
        <w:t xml:space="preserve"> is enough to prevent financial assistance from being granted.</w:t>
      </w:r>
      <w:r w:rsidR="00E57111">
        <w:rPr>
          <w:rStyle w:val="Appelnotedebasdep"/>
        </w:rPr>
        <w:footnoteReference w:id="58"/>
      </w:r>
    </w:p>
    <w:p w14:paraId="33FABBB1" w14:textId="77777777" w:rsidR="00E57111" w:rsidRPr="00155065" w:rsidRDefault="00E57111" w:rsidP="00E57111">
      <w:pPr>
        <w:pStyle w:val="F08-Titre"/>
        <w:rPr>
          <w:i/>
        </w:rPr>
      </w:pPr>
      <w:r w:rsidRPr="00155065">
        <w:rPr>
          <w:i/>
        </w:rPr>
        <w:t xml:space="preserve">4) </w:t>
      </w:r>
      <w:r w:rsidR="000F6D5C" w:rsidRPr="00A166AB">
        <w:rPr>
          <w:i/>
          <w:lang w:val="en-CA"/>
        </w:rPr>
        <w:t>Criteria</w:t>
      </w:r>
      <w:r w:rsidR="000F6D5C" w:rsidRPr="00EA3E22">
        <w:rPr>
          <w:i/>
        </w:rPr>
        <w:t xml:space="preserve"> of s. 23 AFAAC</w:t>
      </w:r>
    </w:p>
    <w:p w14:paraId="34FF3E5B" w14:textId="28EF0B96" w:rsidR="00E57111" w:rsidRPr="000F6D5C" w:rsidRDefault="000F6D5C" w:rsidP="00E57111">
      <w:pPr>
        <w:pStyle w:val="F02-Texte"/>
        <w:ind w:left="0" w:firstLine="0"/>
        <w:rPr>
          <w:rFonts w:cs="Arial"/>
          <w:szCs w:val="24"/>
          <w:lang w:val="en-CA"/>
        </w:rPr>
      </w:pPr>
      <w:r w:rsidRPr="000F6D5C">
        <w:rPr>
          <w:lang w:val="en-CA"/>
        </w:rPr>
        <w:t xml:space="preserve">With respect to the application of the criteria of s. 23 </w:t>
      </w:r>
      <w:r w:rsidR="008D61D9" w:rsidRPr="008D61D9">
        <w:rPr>
          <w:i/>
          <w:lang w:val="en-CA"/>
        </w:rPr>
        <w:t>A</w:t>
      </w:r>
      <w:r w:rsidRPr="008D61D9">
        <w:rPr>
          <w:i/>
          <w:lang w:val="en-CA"/>
        </w:rPr>
        <w:t>FAAC</w:t>
      </w:r>
      <w:r w:rsidRPr="000F6D5C">
        <w:rPr>
          <w:lang w:val="en-CA"/>
        </w:rPr>
        <w:t xml:space="preserve">, the applicants argue that the Fonds’s decision contains several errors </w:t>
      </w:r>
      <w:r w:rsidR="00DD087F">
        <w:rPr>
          <w:lang w:val="en-CA"/>
        </w:rPr>
        <w:t>of</w:t>
      </w:r>
      <w:r w:rsidRPr="000F6D5C">
        <w:rPr>
          <w:lang w:val="en-CA"/>
        </w:rPr>
        <w:t xml:space="preserve"> law and </w:t>
      </w:r>
      <w:r w:rsidR="00DD087F">
        <w:rPr>
          <w:lang w:val="en-CA"/>
        </w:rPr>
        <w:t>of</w:t>
      </w:r>
      <w:r w:rsidRPr="000F6D5C">
        <w:rPr>
          <w:lang w:val="en-CA"/>
        </w:rPr>
        <w:t xml:space="preserve"> fact that demonstrate its misunderstanding of the nature of the proposed class action.</w:t>
      </w:r>
      <w:r w:rsidR="00E57111">
        <w:rPr>
          <w:rStyle w:val="Appelnotedebasdep"/>
        </w:rPr>
        <w:footnoteReference w:id="59"/>
      </w:r>
    </w:p>
    <w:p w14:paraId="3F0806B8" w14:textId="786F0604" w:rsidR="00E57111" w:rsidRPr="000F6D5C" w:rsidRDefault="000F6D5C" w:rsidP="00E57111">
      <w:pPr>
        <w:pStyle w:val="F02-Texte"/>
        <w:autoSpaceDE w:val="0"/>
        <w:autoSpaceDN w:val="0"/>
        <w:adjustRightInd w:val="0"/>
        <w:ind w:left="0" w:firstLine="0"/>
        <w:rPr>
          <w:rFonts w:eastAsia="TimesNewRomanPSMT" w:cs="Arial"/>
          <w:szCs w:val="24"/>
          <w:lang w:val="en-CA" w:eastAsia="fr-CA"/>
        </w:rPr>
      </w:pPr>
      <w:r w:rsidRPr="000F6D5C">
        <w:rPr>
          <w:rFonts w:cs="Arial"/>
          <w:szCs w:val="24"/>
          <w:lang w:val="en-CA"/>
        </w:rPr>
        <w:t xml:space="preserve">In short, they argue that their </w:t>
      </w:r>
      <w:r w:rsidR="00DD087F">
        <w:rPr>
          <w:rFonts w:cs="Arial"/>
          <w:szCs w:val="24"/>
          <w:lang w:val="en-CA"/>
        </w:rPr>
        <w:t>proceeding</w:t>
      </w:r>
      <w:r w:rsidRPr="000F6D5C">
        <w:rPr>
          <w:rFonts w:cs="Arial"/>
          <w:szCs w:val="24"/>
          <w:lang w:val="en-CA"/>
        </w:rPr>
        <w:t xml:space="preserve"> is based on three syllogisms</w:t>
      </w:r>
      <w:r w:rsidR="008D61D9">
        <w:rPr>
          <w:rFonts w:cs="Arial"/>
          <w:szCs w:val="24"/>
          <w:lang w:val="en-CA"/>
        </w:rPr>
        <w:t>,</w:t>
      </w:r>
      <w:r w:rsidRPr="000F6D5C">
        <w:rPr>
          <w:rFonts w:cs="Arial"/>
          <w:szCs w:val="24"/>
          <w:lang w:val="en-CA"/>
        </w:rPr>
        <w:t xml:space="preserve"> following the publication of an article in the Chicago Tribune:</w:t>
      </w:r>
      <w:r w:rsidR="00E57111">
        <w:rPr>
          <w:rStyle w:val="Appelnotedebasdep"/>
          <w:szCs w:val="24"/>
        </w:rPr>
        <w:footnoteReference w:id="60"/>
      </w:r>
    </w:p>
    <w:p w14:paraId="31F69CA2" w14:textId="42FE0F80" w:rsidR="00E57111" w:rsidRPr="000F6D5C" w:rsidRDefault="000F6D5C" w:rsidP="00E57111">
      <w:pPr>
        <w:pStyle w:val="F04-Retrait"/>
        <w:ind w:right="931"/>
        <w:rPr>
          <w:rFonts w:eastAsia="TimesNewRomanPSMT"/>
          <w:i w:val="0"/>
          <w:sz w:val="22"/>
          <w:lang w:val="en-CA" w:eastAsia="fr-CA"/>
        </w:rPr>
      </w:pPr>
      <w:r w:rsidRPr="000F6D5C">
        <w:rPr>
          <w:i w:val="0"/>
          <w:sz w:val="22"/>
          <w:lang w:val="en-CA"/>
        </w:rPr>
        <w:t xml:space="preserve">(i) </w:t>
      </w:r>
      <w:r w:rsidR="009B2E83">
        <w:rPr>
          <w:i w:val="0"/>
          <w:sz w:val="22"/>
          <w:lang w:val="en-CA"/>
        </w:rPr>
        <w:t xml:space="preserve">that </w:t>
      </w:r>
      <w:r w:rsidRPr="000F6D5C">
        <w:rPr>
          <w:i w:val="0"/>
          <w:sz w:val="22"/>
          <w:lang w:val="en-CA"/>
        </w:rPr>
        <w:t xml:space="preserve">some Apple </w:t>
      </w:r>
      <w:r w:rsidR="008D61D9" w:rsidRPr="000F6D5C">
        <w:rPr>
          <w:i w:val="0"/>
          <w:sz w:val="22"/>
          <w:lang w:val="en-CA"/>
        </w:rPr>
        <w:t>and</w:t>
      </w:r>
      <w:r w:rsidRPr="000F6D5C">
        <w:rPr>
          <w:i w:val="0"/>
          <w:sz w:val="22"/>
          <w:lang w:val="en-CA"/>
        </w:rPr>
        <w:t xml:space="preserve"> Samsung cell phones emit radio frequencies beyond the 1.6 watt/kilogram limit established by the Federal </w:t>
      </w:r>
      <w:r w:rsidR="008D61D9" w:rsidRPr="000F6D5C">
        <w:rPr>
          <w:i w:val="0"/>
          <w:sz w:val="22"/>
          <w:lang w:val="en-CA"/>
        </w:rPr>
        <w:t>Communications</w:t>
      </w:r>
      <w:r w:rsidRPr="000F6D5C">
        <w:rPr>
          <w:i w:val="0"/>
          <w:sz w:val="22"/>
          <w:lang w:val="en-CA"/>
        </w:rPr>
        <w:t xml:space="preserve"> </w:t>
      </w:r>
      <w:r w:rsidR="008D61D9" w:rsidRPr="000F6D5C">
        <w:rPr>
          <w:i w:val="0"/>
          <w:sz w:val="22"/>
          <w:lang w:val="en-CA"/>
        </w:rPr>
        <w:t>Commission</w:t>
      </w:r>
      <w:r w:rsidRPr="000F6D5C">
        <w:rPr>
          <w:i w:val="0"/>
          <w:sz w:val="22"/>
          <w:lang w:val="en-CA"/>
        </w:rPr>
        <w:t xml:space="preserve"> (FCC) and, consequently, these are misrepresentations</w:t>
      </w:r>
      <w:r w:rsidR="00AF6EF0">
        <w:rPr>
          <w:i w:val="0"/>
          <w:sz w:val="22"/>
          <w:lang w:val="en-CA"/>
        </w:rPr>
        <w:t>,</w:t>
      </w:r>
      <w:r w:rsidRPr="000F6D5C">
        <w:rPr>
          <w:i w:val="0"/>
          <w:sz w:val="22"/>
          <w:lang w:val="en-CA"/>
        </w:rPr>
        <w:t xml:space="preserve"> </w:t>
      </w:r>
      <w:r w:rsidR="008D61D9" w:rsidRPr="000F6D5C">
        <w:rPr>
          <w:i w:val="0"/>
          <w:sz w:val="22"/>
          <w:lang w:val="en-CA"/>
        </w:rPr>
        <w:t>and</w:t>
      </w:r>
      <w:r w:rsidRPr="000F6D5C">
        <w:rPr>
          <w:i w:val="0"/>
          <w:sz w:val="22"/>
          <w:lang w:val="en-CA"/>
        </w:rPr>
        <w:t xml:space="preserve"> Apple </w:t>
      </w:r>
      <w:r w:rsidR="008D61D9" w:rsidRPr="000F6D5C">
        <w:rPr>
          <w:i w:val="0"/>
          <w:sz w:val="22"/>
          <w:lang w:val="en-CA"/>
        </w:rPr>
        <w:t>and</w:t>
      </w:r>
      <w:r w:rsidRPr="000F6D5C">
        <w:rPr>
          <w:i w:val="0"/>
          <w:sz w:val="22"/>
          <w:lang w:val="en-CA"/>
        </w:rPr>
        <w:t xml:space="preserve"> Samsung are well aware of the situation;</w:t>
      </w:r>
    </w:p>
    <w:p w14:paraId="5CE3B9E2" w14:textId="450DBAFC" w:rsidR="00E57111" w:rsidRPr="000F6D5C" w:rsidRDefault="000F6D5C" w:rsidP="00E57111">
      <w:pPr>
        <w:pStyle w:val="F04-Retrait"/>
        <w:ind w:right="931"/>
        <w:rPr>
          <w:rFonts w:eastAsia="TimesNewRomanPSMT"/>
          <w:i w:val="0"/>
          <w:sz w:val="22"/>
          <w:lang w:val="en-CA" w:eastAsia="fr-CA"/>
        </w:rPr>
      </w:pPr>
      <w:r w:rsidRPr="000F6D5C">
        <w:rPr>
          <w:rFonts w:eastAsia="ArialMT"/>
          <w:i w:val="0"/>
          <w:sz w:val="22"/>
          <w:lang w:val="en-CA" w:eastAsia="fr-CA"/>
        </w:rPr>
        <w:t xml:space="preserve">(ii) that at a distance of 2 </w:t>
      </w:r>
      <w:r w:rsidR="008D61D9" w:rsidRPr="000F6D5C">
        <w:rPr>
          <w:rFonts w:eastAsia="ArialMT"/>
          <w:i w:val="0"/>
          <w:sz w:val="22"/>
          <w:lang w:val="en-CA" w:eastAsia="fr-CA"/>
        </w:rPr>
        <w:t>millimetres</w:t>
      </w:r>
      <w:r w:rsidRPr="000F6D5C">
        <w:rPr>
          <w:rFonts w:eastAsia="ArialMT"/>
          <w:i w:val="0"/>
          <w:sz w:val="22"/>
          <w:lang w:val="en-CA" w:eastAsia="fr-CA"/>
        </w:rPr>
        <w:t xml:space="preserve"> or less, the radio frequencies exceed this limit by up to five times; and</w:t>
      </w:r>
    </w:p>
    <w:p w14:paraId="275EF46F" w14:textId="77777777" w:rsidR="00E57111" w:rsidRPr="000F6D5C" w:rsidRDefault="000F6D5C" w:rsidP="00E57111">
      <w:pPr>
        <w:pStyle w:val="F04-Retrait"/>
        <w:ind w:right="931"/>
        <w:rPr>
          <w:rFonts w:eastAsia="TimesNewRomanPSMT"/>
          <w:i w:val="0"/>
          <w:sz w:val="22"/>
          <w:lang w:val="en-CA" w:eastAsia="fr-CA"/>
        </w:rPr>
      </w:pPr>
      <w:r w:rsidRPr="000F6D5C">
        <w:rPr>
          <w:rFonts w:eastAsia="ArialMT"/>
          <w:i w:val="0"/>
          <w:sz w:val="22"/>
          <w:lang w:val="en-CA" w:eastAsia="fr-CA"/>
        </w:rPr>
        <w:t xml:space="preserve">(iii) that this causes serious damage to the health of humans and the environment, which constitutes a failure to respect fundamental rights and the </w:t>
      </w:r>
      <w:r w:rsidRPr="00A166AB">
        <w:rPr>
          <w:rFonts w:eastAsia="ArialMT"/>
          <w:sz w:val="22"/>
          <w:lang w:val="en-CA" w:eastAsia="fr-CA"/>
        </w:rPr>
        <w:t>Charters</w:t>
      </w:r>
      <w:r w:rsidRPr="000F6D5C">
        <w:rPr>
          <w:rFonts w:eastAsia="ArialMT"/>
          <w:i w:val="0"/>
          <w:sz w:val="22"/>
          <w:lang w:val="en-CA" w:eastAsia="fr-CA"/>
        </w:rPr>
        <w:t>, justifying the award of punitive damages.</w:t>
      </w:r>
      <w:r w:rsidR="00E57111" w:rsidRPr="009B2E83">
        <w:rPr>
          <w:rStyle w:val="Appelnotedebasdep"/>
          <w:i w:val="0"/>
          <w:sz w:val="22"/>
        </w:rPr>
        <w:footnoteReference w:id="61"/>
      </w:r>
    </w:p>
    <w:p w14:paraId="00D41E4B" w14:textId="1D577F4E" w:rsidR="00E57111" w:rsidRPr="000F6D5C" w:rsidRDefault="000F6D5C" w:rsidP="00E57111">
      <w:pPr>
        <w:pStyle w:val="F02-Texte"/>
        <w:autoSpaceDE w:val="0"/>
        <w:autoSpaceDN w:val="0"/>
        <w:adjustRightInd w:val="0"/>
        <w:ind w:left="0" w:firstLine="0"/>
        <w:rPr>
          <w:rFonts w:cs="Arial"/>
          <w:szCs w:val="24"/>
          <w:lang w:val="en-CA"/>
        </w:rPr>
      </w:pPr>
      <w:r w:rsidRPr="000F6D5C">
        <w:rPr>
          <w:rFonts w:eastAsia="ArialMT" w:cs="Arial"/>
          <w:szCs w:val="24"/>
          <w:lang w:val="en-CA" w:eastAsia="fr-CA"/>
        </w:rPr>
        <w:t>We note that the Superior Court also accepted that this class action appears to have been</w:t>
      </w:r>
      <w:r w:rsidR="009B2E83">
        <w:rPr>
          <w:rFonts w:eastAsia="ArialMT" w:cs="Arial"/>
          <w:szCs w:val="24"/>
          <w:lang w:val="en-CA" w:eastAsia="fr-CA"/>
        </w:rPr>
        <w:t xml:space="preserve"> </w:t>
      </w:r>
      <w:r w:rsidRPr="000F6D5C">
        <w:rPr>
          <w:rFonts w:eastAsia="ArialMT" w:cs="Arial"/>
          <w:szCs w:val="24"/>
          <w:lang w:val="en-CA" w:eastAsia="fr-CA"/>
        </w:rPr>
        <w:t xml:space="preserve">triggered by an article published on August 22, 2019, in the Chicago Tribune </w:t>
      </w:r>
      <w:r w:rsidRPr="000F6D5C">
        <w:rPr>
          <w:rFonts w:eastAsia="ArialMT" w:cs="Arial"/>
          <w:szCs w:val="24"/>
          <w:lang w:val="en-CA" w:eastAsia="fr-CA"/>
        </w:rPr>
        <w:lastRenderedPageBreak/>
        <w:t>newspaper.</w:t>
      </w:r>
      <w:r w:rsidR="00E57111">
        <w:rPr>
          <w:rStyle w:val="Appelnotedebasdep"/>
          <w:szCs w:val="24"/>
        </w:rPr>
        <w:footnoteReference w:id="62"/>
      </w:r>
      <w:r w:rsidR="00E57111" w:rsidRPr="000F6D5C">
        <w:rPr>
          <w:rFonts w:eastAsia="ArialMT" w:cs="Arial"/>
          <w:szCs w:val="24"/>
          <w:lang w:val="en-CA" w:eastAsia="fr-CA"/>
        </w:rPr>
        <w:t xml:space="preserve"> </w:t>
      </w:r>
      <w:r w:rsidRPr="000F6D5C">
        <w:rPr>
          <w:rFonts w:eastAsia="ArialMT" w:cs="Arial"/>
          <w:szCs w:val="24"/>
          <w:lang w:val="en-CA" w:eastAsia="fr-CA"/>
        </w:rPr>
        <w:t>In fact, an investigative team submitted 12 telephones to an independent laboratory, the RF Exposure Lab, wh</w:t>
      </w:r>
      <w:r w:rsidR="009B2E83">
        <w:rPr>
          <w:rFonts w:eastAsia="ArialMT" w:cs="Arial"/>
          <w:szCs w:val="24"/>
          <w:lang w:val="en-CA" w:eastAsia="fr-CA"/>
        </w:rPr>
        <w:t>ich</w:t>
      </w:r>
      <w:r w:rsidRPr="000F6D5C">
        <w:rPr>
          <w:rFonts w:eastAsia="ArialMT" w:cs="Arial"/>
          <w:szCs w:val="24"/>
          <w:lang w:val="en-CA" w:eastAsia="fr-CA"/>
        </w:rPr>
        <w:t xml:space="preserve"> issued a report finding that the radiation emitted exceeded the levels declared and authorized with respect to Apple and Samsung devices.</w:t>
      </w:r>
      <w:r w:rsidR="00E57111" w:rsidRPr="000F6D5C">
        <w:rPr>
          <w:rFonts w:eastAsia="ArialMT" w:cs="Arial"/>
          <w:szCs w:val="24"/>
          <w:lang w:val="en-CA" w:eastAsia="fr-CA"/>
        </w:rPr>
        <w:t xml:space="preserve"> </w:t>
      </w:r>
      <w:r w:rsidRPr="000F6D5C">
        <w:rPr>
          <w:rFonts w:eastAsia="ArialMT" w:cs="Arial"/>
          <w:szCs w:val="24"/>
          <w:lang w:val="en-CA" w:eastAsia="fr-CA"/>
        </w:rPr>
        <w:t xml:space="preserve">This investigation was </w:t>
      </w:r>
      <w:r w:rsidR="005234E3">
        <w:rPr>
          <w:rFonts w:eastAsia="ArialMT" w:cs="Arial"/>
          <w:szCs w:val="24"/>
          <w:lang w:val="en-CA" w:eastAsia="fr-CA"/>
        </w:rPr>
        <w:t>consistent</w:t>
      </w:r>
      <w:r w:rsidRPr="000F6D5C">
        <w:rPr>
          <w:rFonts w:eastAsia="ArialMT" w:cs="Arial"/>
          <w:szCs w:val="24"/>
          <w:lang w:val="en-CA" w:eastAsia="fr-CA"/>
        </w:rPr>
        <w:t xml:space="preserve"> with studies and news </w:t>
      </w:r>
      <w:r w:rsidR="009B2E83" w:rsidRPr="000F6D5C">
        <w:rPr>
          <w:rFonts w:eastAsia="ArialMT" w:cs="Arial"/>
          <w:szCs w:val="24"/>
          <w:lang w:val="en-CA" w:eastAsia="fr-CA"/>
        </w:rPr>
        <w:t>reports</w:t>
      </w:r>
      <w:r w:rsidRPr="000F6D5C">
        <w:rPr>
          <w:rFonts w:eastAsia="ArialMT" w:cs="Arial"/>
          <w:szCs w:val="24"/>
          <w:lang w:val="en-CA" w:eastAsia="fr-CA"/>
        </w:rPr>
        <w:t xml:space="preserve"> that revealed “similar fraudulent testing by Defendants”. </w:t>
      </w:r>
      <w:r w:rsidR="00A166AB">
        <w:rPr>
          <w:rFonts w:eastAsia="ArialMT" w:cs="Arial"/>
          <w:szCs w:val="24"/>
          <w:lang w:val="en-CA" w:eastAsia="fr-CA"/>
        </w:rPr>
        <w:t>Put simply</w:t>
      </w:r>
      <w:r w:rsidRPr="000F6D5C">
        <w:rPr>
          <w:rFonts w:eastAsia="ArialMT" w:cs="Arial"/>
          <w:szCs w:val="24"/>
          <w:lang w:val="en-CA" w:eastAsia="fr-CA"/>
        </w:rPr>
        <w:t xml:space="preserve">, Apple </w:t>
      </w:r>
      <w:r w:rsidR="009B2E83" w:rsidRPr="000F6D5C">
        <w:rPr>
          <w:rFonts w:eastAsia="ArialMT" w:cs="Arial"/>
          <w:szCs w:val="24"/>
          <w:lang w:val="en-CA" w:eastAsia="fr-CA"/>
        </w:rPr>
        <w:t>and</w:t>
      </w:r>
      <w:r w:rsidRPr="000F6D5C">
        <w:rPr>
          <w:rFonts w:eastAsia="ArialMT" w:cs="Arial"/>
          <w:szCs w:val="24"/>
          <w:lang w:val="en-CA" w:eastAsia="fr-CA"/>
        </w:rPr>
        <w:t xml:space="preserve"> Samsung allegedly rigged the tests to thwart the standards, that is, 1.6 watt/kilogram, governed in the United States by the FCC.</w:t>
      </w:r>
    </w:p>
    <w:p w14:paraId="649AE029" w14:textId="1DECBE06" w:rsidR="00E57111" w:rsidRPr="000F6D5C" w:rsidRDefault="000F6D5C" w:rsidP="00E57111">
      <w:pPr>
        <w:pStyle w:val="F02-Texte"/>
        <w:ind w:left="0" w:firstLine="0"/>
        <w:rPr>
          <w:rFonts w:cs="Arial"/>
          <w:szCs w:val="24"/>
          <w:u w:val="single"/>
          <w:lang w:val="en-CA"/>
        </w:rPr>
      </w:pPr>
      <w:r w:rsidRPr="000F6D5C">
        <w:rPr>
          <w:rFonts w:eastAsia="ArialMT" w:cs="Arial"/>
          <w:szCs w:val="24"/>
          <w:lang w:val="en-CA" w:eastAsia="fr-CA"/>
        </w:rPr>
        <w:t>The Superior Court indicated that the applicants claim compensatory damages of $13,000 per class member, per year, plus the reimbursement of “medical monitoring”, punitive damages</w:t>
      </w:r>
      <w:r w:rsidR="005234E3">
        <w:rPr>
          <w:rFonts w:eastAsia="ArialMT" w:cs="Arial"/>
          <w:szCs w:val="24"/>
          <w:lang w:val="en-CA" w:eastAsia="fr-CA"/>
        </w:rPr>
        <w:t>,</w:t>
      </w:r>
      <w:r w:rsidRPr="000F6D5C">
        <w:rPr>
          <w:rFonts w:eastAsia="ArialMT" w:cs="Arial"/>
          <w:szCs w:val="24"/>
          <w:lang w:val="en-CA" w:eastAsia="fr-CA"/>
        </w:rPr>
        <w:t xml:space="preserve"> </w:t>
      </w:r>
      <w:r w:rsidR="00113160" w:rsidRPr="000F6D5C">
        <w:rPr>
          <w:rFonts w:eastAsia="ArialMT" w:cs="Arial"/>
          <w:szCs w:val="24"/>
          <w:lang w:val="en-CA" w:eastAsia="fr-CA"/>
        </w:rPr>
        <w:t>and</w:t>
      </w:r>
      <w:r w:rsidRPr="000F6D5C">
        <w:rPr>
          <w:rFonts w:eastAsia="ArialMT" w:cs="Arial"/>
          <w:szCs w:val="24"/>
          <w:lang w:val="en-CA" w:eastAsia="fr-CA"/>
        </w:rPr>
        <w:t xml:space="preserve"> the reimbursement of expert and investigation fees.</w:t>
      </w:r>
      <w:r w:rsidR="00E57111" w:rsidRPr="000F6D5C">
        <w:rPr>
          <w:rFonts w:eastAsia="ArialMT" w:cs="Arial"/>
          <w:szCs w:val="24"/>
          <w:lang w:val="en-CA" w:eastAsia="fr-CA"/>
        </w:rPr>
        <w:t xml:space="preserve"> </w:t>
      </w:r>
      <w:r w:rsidRPr="000F6D5C">
        <w:rPr>
          <w:rFonts w:eastAsia="ArialMT" w:cs="Arial"/>
          <w:szCs w:val="24"/>
          <w:lang w:val="en-CA" w:eastAsia="fr-CA"/>
        </w:rPr>
        <w:t xml:space="preserve">They also ask that Apple and Samsung be ordered to reduce the radiation emitted by their </w:t>
      </w:r>
      <w:r w:rsidR="009B2E83">
        <w:rPr>
          <w:rFonts w:eastAsia="ArialMT" w:cs="Arial"/>
          <w:szCs w:val="24"/>
          <w:lang w:val="en-CA" w:eastAsia="fr-CA"/>
        </w:rPr>
        <w:t>cell phones</w:t>
      </w:r>
      <w:r w:rsidR="00113160" w:rsidRPr="00113160">
        <w:rPr>
          <w:rFonts w:eastAsia="ArialMT" w:cs="Arial"/>
          <w:szCs w:val="24"/>
          <w:lang w:val="en-CA" w:eastAsia="fr-CA"/>
        </w:rPr>
        <w:t xml:space="preserve"> </w:t>
      </w:r>
      <w:r w:rsidR="00113160" w:rsidRPr="000F6D5C">
        <w:rPr>
          <w:rFonts w:eastAsia="ArialMT" w:cs="Arial"/>
          <w:szCs w:val="24"/>
          <w:lang w:val="en-CA" w:eastAsia="fr-CA"/>
        </w:rPr>
        <w:t>to prescribed level</w:t>
      </w:r>
      <w:r w:rsidR="00113160">
        <w:rPr>
          <w:rFonts w:eastAsia="ArialMT" w:cs="Arial"/>
          <w:szCs w:val="24"/>
          <w:lang w:val="en-CA" w:eastAsia="fr-CA"/>
        </w:rPr>
        <w:t>s</w:t>
      </w:r>
      <w:r w:rsidRPr="000F6D5C">
        <w:rPr>
          <w:rFonts w:eastAsia="ArialMT" w:cs="Arial"/>
          <w:szCs w:val="24"/>
          <w:lang w:val="en-CA" w:eastAsia="fr-CA"/>
        </w:rPr>
        <w:t xml:space="preserve">, deliver a </w:t>
      </w:r>
      <w:r w:rsidR="00113160" w:rsidRPr="000F6D5C">
        <w:rPr>
          <w:rFonts w:eastAsia="ArialMT" w:cs="Arial"/>
          <w:szCs w:val="24"/>
          <w:lang w:val="en-CA" w:eastAsia="fr-CA"/>
        </w:rPr>
        <w:t>software</w:t>
      </w:r>
      <w:r w:rsidRPr="000F6D5C">
        <w:rPr>
          <w:rFonts w:eastAsia="ArialMT" w:cs="Arial"/>
          <w:szCs w:val="24"/>
          <w:lang w:val="en-CA" w:eastAsia="fr-CA"/>
        </w:rPr>
        <w:t xml:space="preserve"> patch to the class members to correct the radiation levels of their devices</w:t>
      </w:r>
      <w:r w:rsidR="00113160">
        <w:rPr>
          <w:rFonts w:eastAsia="ArialMT" w:cs="Arial"/>
          <w:szCs w:val="24"/>
          <w:lang w:val="en-CA" w:eastAsia="fr-CA"/>
        </w:rPr>
        <w:t>,</w:t>
      </w:r>
      <w:r w:rsidRPr="000F6D5C">
        <w:rPr>
          <w:rFonts w:eastAsia="ArialMT" w:cs="Arial"/>
          <w:szCs w:val="24"/>
          <w:lang w:val="en-CA" w:eastAsia="fr-CA"/>
        </w:rPr>
        <w:t xml:space="preserve"> and</w:t>
      </w:r>
      <w:r w:rsidR="00113160">
        <w:rPr>
          <w:rFonts w:eastAsia="ArialMT" w:cs="Arial"/>
          <w:szCs w:val="24"/>
          <w:lang w:val="en-CA" w:eastAsia="fr-CA"/>
        </w:rPr>
        <w:t xml:space="preserve"> distribute</w:t>
      </w:r>
      <w:r w:rsidRPr="000F6D5C">
        <w:rPr>
          <w:rFonts w:eastAsia="ArialMT" w:cs="Arial"/>
          <w:szCs w:val="24"/>
          <w:lang w:val="en-CA" w:eastAsia="fr-CA"/>
        </w:rPr>
        <w:t xml:space="preserve"> notices to users on the dangers of radiation emitted by the </w:t>
      </w:r>
      <w:r w:rsidR="009B2E83">
        <w:rPr>
          <w:rFonts w:eastAsia="ArialMT" w:cs="Arial"/>
          <w:szCs w:val="24"/>
          <w:lang w:val="en-CA" w:eastAsia="fr-CA"/>
        </w:rPr>
        <w:t>cell phones</w:t>
      </w:r>
      <w:r w:rsidRPr="000F6D5C">
        <w:rPr>
          <w:rFonts w:eastAsia="ArialMT" w:cs="Arial"/>
          <w:szCs w:val="24"/>
          <w:lang w:val="en-CA" w:eastAsia="fr-CA"/>
        </w:rPr>
        <w:t xml:space="preserve"> at issue.</w:t>
      </w:r>
    </w:p>
    <w:p w14:paraId="24967896" w14:textId="496BF35D" w:rsidR="00E57111" w:rsidRPr="000F6D5C" w:rsidRDefault="000F6D5C" w:rsidP="00E57111">
      <w:pPr>
        <w:pStyle w:val="F02-Texte"/>
        <w:ind w:left="0" w:firstLine="0"/>
        <w:rPr>
          <w:rFonts w:cs="Arial"/>
          <w:szCs w:val="24"/>
          <w:u w:val="single"/>
          <w:lang w:val="en-CA"/>
        </w:rPr>
      </w:pPr>
      <w:r w:rsidRPr="000F6D5C">
        <w:rPr>
          <w:lang w:val="en-CA"/>
        </w:rPr>
        <w:t xml:space="preserve">As previously stated, the Fonds refused the application for financial assistance because it considered that the applicants had failed to demonstrate the probable existence of </w:t>
      </w:r>
      <w:r w:rsidR="00341B27">
        <w:rPr>
          <w:lang w:val="en-CA"/>
        </w:rPr>
        <w:t>a</w:t>
      </w:r>
      <w:r w:rsidRPr="000F6D5C">
        <w:rPr>
          <w:lang w:val="en-CA"/>
        </w:rPr>
        <w:t xml:space="preserve"> right and the probability that the class action would be brought.</w:t>
      </w:r>
    </w:p>
    <w:p w14:paraId="3B9CE2D1" w14:textId="472ECC78" w:rsidR="00E57111" w:rsidRPr="000F6D5C" w:rsidRDefault="000F6D5C" w:rsidP="00E57111">
      <w:pPr>
        <w:pStyle w:val="F08-Titre"/>
        <w:rPr>
          <w:i/>
          <w:lang w:val="en-CA"/>
        </w:rPr>
      </w:pPr>
      <w:r w:rsidRPr="00EA3E22">
        <w:rPr>
          <w:i/>
          <w:lang w:val="en-CA"/>
        </w:rPr>
        <w:t>(a)</w:t>
      </w:r>
      <w:r w:rsidR="00E57111" w:rsidRPr="000F6D5C">
        <w:rPr>
          <w:i/>
          <w:lang w:val="en-CA"/>
        </w:rPr>
        <w:t xml:space="preserve"> </w:t>
      </w:r>
      <w:r w:rsidRPr="00EA3E22">
        <w:rPr>
          <w:i/>
          <w:lang w:val="en-CA"/>
        </w:rPr>
        <w:t xml:space="preserve">Second criterion of s. 23 AFAAC: probable existence of </w:t>
      </w:r>
      <w:r w:rsidR="00341B27">
        <w:rPr>
          <w:i/>
          <w:lang w:val="en-CA"/>
        </w:rPr>
        <w:t>a</w:t>
      </w:r>
      <w:r w:rsidRPr="00EA3E22">
        <w:rPr>
          <w:i/>
          <w:lang w:val="en-CA"/>
        </w:rPr>
        <w:t xml:space="preserve"> right</w:t>
      </w:r>
    </w:p>
    <w:p w14:paraId="0CB63AFB" w14:textId="188897EA" w:rsidR="00E57111" w:rsidRPr="00B2312A" w:rsidRDefault="00B2312A" w:rsidP="00E57111">
      <w:pPr>
        <w:pStyle w:val="F02-Texte"/>
        <w:ind w:left="0" w:firstLine="0"/>
        <w:rPr>
          <w:lang w:val="en-CA"/>
        </w:rPr>
      </w:pPr>
      <w:r w:rsidRPr="00B2312A">
        <w:rPr>
          <w:lang w:val="en-CA"/>
        </w:rPr>
        <w:t>The Fonds deems that the allegations of fact in the application for authorization are vague, general, and imprecise, and closer to opinion and hypothesis, prevent</w:t>
      </w:r>
      <w:r w:rsidR="005234E3">
        <w:rPr>
          <w:lang w:val="en-CA"/>
        </w:rPr>
        <w:t>ing</w:t>
      </w:r>
      <w:r w:rsidRPr="00B2312A">
        <w:rPr>
          <w:lang w:val="en-CA"/>
        </w:rPr>
        <w:t xml:space="preserve"> the existence of an arguable case from being established.</w:t>
      </w:r>
      <w:r w:rsidR="00E57111">
        <w:rPr>
          <w:rStyle w:val="Appelnotedebasdep"/>
        </w:rPr>
        <w:footnoteReference w:id="63"/>
      </w:r>
      <w:r w:rsidR="00E57111" w:rsidRPr="00B2312A">
        <w:rPr>
          <w:rFonts w:cs="Arial"/>
          <w:sz w:val="16"/>
          <w:szCs w:val="16"/>
          <w:lang w:val="en-CA" w:eastAsia="fr-CA"/>
        </w:rPr>
        <w:t xml:space="preserve"> </w:t>
      </w:r>
      <w:r w:rsidRPr="00B2312A">
        <w:rPr>
          <w:rFonts w:cs="Arial"/>
          <w:szCs w:val="24"/>
          <w:lang w:val="en-CA" w:eastAsia="fr-CA"/>
        </w:rPr>
        <w:t xml:space="preserve">It also considers that the allegations do not establish </w:t>
      </w:r>
      <w:r w:rsidRPr="00113160">
        <w:rPr>
          <w:rFonts w:cs="Arial"/>
          <w:i/>
          <w:szCs w:val="24"/>
          <w:lang w:val="en-CA" w:eastAsia="fr-CA"/>
        </w:rPr>
        <w:t>prima facie</w:t>
      </w:r>
      <w:r w:rsidRPr="00B2312A">
        <w:rPr>
          <w:rFonts w:cs="Arial"/>
          <w:szCs w:val="24"/>
          <w:lang w:val="en-CA" w:eastAsia="fr-CA"/>
        </w:rPr>
        <w:t xml:space="preserve"> the demonstration of a fault, damage, and a causal connection.</w:t>
      </w:r>
      <w:r w:rsidR="00E57111">
        <w:rPr>
          <w:rStyle w:val="Appelnotedebasdep"/>
        </w:rPr>
        <w:footnoteReference w:id="64"/>
      </w:r>
      <w:r w:rsidRPr="00B2312A">
        <w:rPr>
          <w:rFonts w:cs="Arial"/>
          <w:szCs w:val="24"/>
          <w:lang w:val="en-CA" w:eastAsia="fr-CA"/>
        </w:rPr>
        <w:t xml:space="preserve"> </w:t>
      </w:r>
      <w:r w:rsidR="00E57111" w:rsidRPr="00B2312A">
        <w:rPr>
          <w:rFonts w:cs="Arial"/>
          <w:szCs w:val="24"/>
          <w:lang w:val="en-CA" w:eastAsia="fr-CA"/>
        </w:rPr>
        <w:t xml:space="preserve"> </w:t>
      </w:r>
      <w:r w:rsidRPr="00B2312A">
        <w:rPr>
          <w:rFonts w:cs="Arial"/>
          <w:szCs w:val="24"/>
          <w:lang w:val="en-CA" w:eastAsia="fr-CA"/>
        </w:rPr>
        <w:t>Finally, the legal syllogisms are neither clear</w:t>
      </w:r>
      <w:r w:rsidR="00712077">
        <w:rPr>
          <w:rFonts w:cs="Arial"/>
          <w:szCs w:val="24"/>
          <w:lang w:val="en-CA" w:eastAsia="fr-CA"/>
        </w:rPr>
        <w:t>,</w:t>
      </w:r>
      <w:r w:rsidRPr="00B2312A">
        <w:rPr>
          <w:rFonts w:cs="Arial"/>
          <w:szCs w:val="24"/>
          <w:lang w:val="en-CA" w:eastAsia="fr-CA"/>
        </w:rPr>
        <w:t xml:space="preserve"> nor supported, according to the </w:t>
      </w:r>
      <w:r w:rsidR="00113160" w:rsidRPr="00B2312A">
        <w:rPr>
          <w:rFonts w:cs="Arial"/>
          <w:szCs w:val="24"/>
          <w:lang w:val="en-CA" w:eastAsia="fr-CA"/>
        </w:rPr>
        <w:t>Fonds</w:t>
      </w:r>
      <w:r w:rsidRPr="00B2312A">
        <w:rPr>
          <w:rFonts w:cs="Arial"/>
          <w:szCs w:val="24"/>
          <w:lang w:val="en-CA" w:eastAsia="fr-CA"/>
        </w:rPr>
        <w:t>.</w:t>
      </w:r>
      <w:r w:rsidR="00E57111">
        <w:rPr>
          <w:rStyle w:val="Appelnotedebasdep"/>
        </w:rPr>
        <w:footnoteReference w:id="65"/>
      </w:r>
    </w:p>
    <w:p w14:paraId="4601547F" w14:textId="7186E944" w:rsidR="00E57111" w:rsidRPr="0037197C" w:rsidRDefault="00B2312A" w:rsidP="00E57111">
      <w:pPr>
        <w:pStyle w:val="F02-Texte"/>
        <w:ind w:left="0" w:firstLine="0"/>
        <w:rPr>
          <w:lang w:val="en-CA"/>
        </w:rPr>
      </w:pPr>
      <w:r w:rsidRPr="00B2312A">
        <w:rPr>
          <w:lang w:val="en-CA"/>
        </w:rPr>
        <w:t>The Fonds submits that the probable existence of a right must appear from the proceeding.</w:t>
      </w:r>
      <w:r w:rsidR="00E57111" w:rsidRPr="00B2312A">
        <w:rPr>
          <w:rFonts w:cs="Arial"/>
          <w:szCs w:val="24"/>
          <w:lang w:val="en-CA" w:eastAsia="fr-CA"/>
        </w:rPr>
        <w:t xml:space="preserve"> </w:t>
      </w:r>
      <w:r w:rsidRPr="00B2312A">
        <w:rPr>
          <w:rFonts w:cs="Arial"/>
          <w:szCs w:val="24"/>
          <w:lang w:val="en-CA" w:eastAsia="fr-CA"/>
        </w:rPr>
        <w:t xml:space="preserve">Searching for the probable existence </w:t>
      </w:r>
      <w:r w:rsidR="00712077" w:rsidRPr="00B2312A">
        <w:rPr>
          <w:lang w:val="en-CA"/>
        </w:rPr>
        <w:t xml:space="preserve">of a right </w:t>
      </w:r>
      <w:r w:rsidRPr="00B2312A">
        <w:rPr>
          <w:rFonts w:cs="Arial"/>
          <w:szCs w:val="24"/>
          <w:lang w:val="en-CA" w:eastAsia="fr-CA"/>
        </w:rPr>
        <w:t>should not become</w:t>
      </w:r>
      <w:r w:rsidR="00741A95">
        <w:rPr>
          <w:rFonts w:cs="Arial"/>
          <w:szCs w:val="24"/>
          <w:lang w:val="en-CA" w:eastAsia="fr-CA"/>
        </w:rPr>
        <w:t xml:space="preserve"> a</w:t>
      </w:r>
      <w:r w:rsidRPr="00B2312A">
        <w:rPr>
          <w:rFonts w:cs="Arial"/>
          <w:szCs w:val="24"/>
          <w:lang w:val="en-CA" w:eastAsia="fr-CA"/>
        </w:rPr>
        <w:t xml:space="preserve"> blind search for any cause of action, whether or not it is arguable.</w:t>
      </w:r>
      <w:r w:rsidR="00E57111" w:rsidRPr="00B2312A">
        <w:rPr>
          <w:rFonts w:cs="Arial"/>
          <w:szCs w:val="24"/>
          <w:lang w:val="en-CA" w:eastAsia="fr-CA"/>
        </w:rPr>
        <w:t xml:space="preserve"> </w:t>
      </w:r>
      <w:r w:rsidR="0037197C" w:rsidRPr="0037197C">
        <w:rPr>
          <w:rFonts w:cs="Arial"/>
          <w:szCs w:val="24"/>
          <w:lang w:val="en-CA" w:eastAsia="fr-CA"/>
        </w:rPr>
        <w:t xml:space="preserve">According to art. 99 </w:t>
      </w:r>
      <w:r w:rsidR="0037197C" w:rsidRPr="00A166AB">
        <w:rPr>
          <w:rFonts w:cs="Arial"/>
          <w:szCs w:val="24"/>
          <w:lang w:val="en-CA" w:eastAsia="fr-CA"/>
        </w:rPr>
        <w:t>C.C.P</w:t>
      </w:r>
      <w:r w:rsidR="0037197C" w:rsidRPr="00712077">
        <w:rPr>
          <w:rFonts w:cs="Arial"/>
          <w:szCs w:val="24"/>
          <w:lang w:val="en-CA" w:eastAsia="fr-CA"/>
        </w:rPr>
        <w:t>.</w:t>
      </w:r>
      <w:r w:rsidR="0037197C" w:rsidRPr="0037197C">
        <w:rPr>
          <w:rFonts w:cs="Arial"/>
          <w:szCs w:val="24"/>
          <w:lang w:val="en-CA" w:eastAsia="fr-CA"/>
        </w:rPr>
        <w:t xml:space="preserve">, </w:t>
      </w:r>
      <w:r w:rsidR="00712077">
        <w:rPr>
          <w:rFonts w:cs="Arial"/>
          <w:szCs w:val="24"/>
          <w:lang w:val="en-CA" w:eastAsia="fr-CA"/>
        </w:rPr>
        <w:t>a pleading</w:t>
      </w:r>
      <w:r w:rsidR="0037197C" w:rsidRPr="0037197C">
        <w:rPr>
          <w:rFonts w:cs="Arial"/>
          <w:szCs w:val="24"/>
          <w:lang w:val="en-CA" w:eastAsia="fr-CA"/>
        </w:rPr>
        <w:t xml:space="preserve"> must be clear, precise</w:t>
      </w:r>
      <w:r w:rsidR="00712077">
        <w:rPr>
          <w:rFonts w:cs="Arial"/>
          <w:szCs w:val="24"/>
          <w:lang w:val="en-CA" w:eastAsia="fr-CA"/>
        </w:rPr>
        <w:t>,</w:t>
      </w:r>
      <w:r w:rsidR="0037197C" w:rsidRPr="0037197C">
        <w:rPr>
          <w:rFonts w:cs="Arial"/>
          <w:szCs w:val="24"/>
          <w:lang w:val="en-CA" w:eastAsia="fr-CA"/>
        </w:rPr>
        <w:t xml:space="preserve"> </w:t>
      </w:r>
      <w:r w:rsidR="00741A95" w:rsidRPr="0037197C">
        <w:rPr>
          <w:rFonts w:cs="Arial"/>
          <w:szCs w:val="24"/>
          <w:lang w:val="en-CA" w:eastAsia="fr-CA"/>
        </w:rPr>
        <w:t>concise</w:t>
      </w:r>
      <w:r w:rsidR="0037197C" w:rsidRPr="0037197C">
        <w:rPr>
          <w:rFonts w:cs="Arial"/>
          <w:szCs w:val="24"/>
          <w:lang w:val="en-CA" w:eastAsia="fr-CA"/>
        </w:rPr>
        <w:t xml:space="preserve">, </w:t>
      </w:r>
      <w:r w:rsidR="00712077">
        <w:rPr>
          <w:rFonts w:cs="Arial"/>
          <w:szCs w:val="24"/>
          <w:lang w:val="en-CA" w:eastAsia="fr-CA"/>
        </w:rPr>
        <w:t xml:space="preserve">and </w:t>
      </w:r>
      <w:r w:rsidR="0037197C" w:rsidRPr="0037197C">
        <w:rPr>
          <w:rFonts w:cs="Arial"/>
          <w:szCs w:val="24"/>
          <w:lang w:val="en-CA" w:eastAsia="fr-CA"/>
        </w:rPr>
        <w:t>presented in logical order</w:t>
      </w:r>
      <w:r w:rsidR="00741A95">
        <w:rPr>
          <w:rFonts w:cs="Arial"/>
          <w:szCs w:val="24"/>
          <w:lang w:val="en-CA" w:eastAsia="fr-CA"/>
        </w:rPr>
        <w:t>.</w:t>
      </w:r>
      <w:r w:rsidR="00E57111">
        <w:rPr>
          <w:rStyle w:val="Appelnotedebasdep"/>
        </w:rPr>
        <w:footnoteReference w:id="66"/>
      </w:r>
    </w:p>
    <w:p w14:paraId="3C137782" w14:textId="6D667B74" w:rsidR="00E57111" w:rsidRPr="0037197C" w:rsidRDefault="0037197C" w:rsidP="00E57111">
      <w:pPr>
        <w:pStyle w:val="F02-Texte"/>
        <w:ind w:left="0" w:firstLine="0"/>
        <w:rPr>
          <w:rFonts w:cs="Arial"/>
          <w:u w:val="single"/>
          <w:lang w:val="en-CA"/>
        </w:rPr>
      </w:pPr>
      <w:r w:rsidRPr="0037197C">
        <w:rPr>
          <w:szCs w:val="24"/>
          <w:lang w:val="en-CA" w:eastAsia="fr-CA"/>
        </w:rPr>
        <w:lastRenderedPageBreak/>
        <w:t>First, the Tribunal notes that the applicants’ application</w:t>
      </w:r>
      <w:r w:rsidR="00096506">
        <w:rPr>
          <w:szCs w:val="24"/>
          <w:lang w:val="en-CA" w:eastAsia="fr-CA"/>
        </w:rPr>
        <w:t>,</w:t>
      </w:r>
      <w:r w:rsidRPr="0037197C">
        <w:rPr>
          <w:szCs w:val="24"/>
          <w:lang w:val="en-CA" w:eastAsia="fr-CA"/>
        </w:rPr>
        <w:t xml:space="preserve"> </w:t>
      </w:r>
      <w:r w:rsidR="00096506" w:rsidRPr="0037197C">
        <w:rPr>
          <w:szCs w:val="24"/>
          <w:lang w:val="en-CA" w:eastAsia="fr-CA"/>
        </w:rPr>
        <w:t>with its 233 paragraphs spread over 49 pages</w:t>
      </w:r>
      <w:r w:rsidR="00096506" w:rsidRPr="00096506">
        <w:rPr>
          <w:szCs w:val="24"/>
          <w:lang w:val="en-CA" w:eastAsia="fr-CA"/>
        </w:rPr>
        <w:t xml:space="preserve"> </w:t>
      </w:r>
      <w:r w:rsidR="00096506">
        <w:rPr>
          <w:szCs w:val="24"/>
          <w:lang w:val="en-CA" w:eastAsia="fr-CA"/>
        </w:rPr>
        <w:t>that</w:t>
      </w:r>
      <w:r w:rsidR="00096506" w:rsidRPr="0037197C">
        <w:rPr>
          <w:szCs w:val="24"/>
          <w:lang w:val="en-CA" w:eastAsia="fr-CA"/>
        </w:rPr>
        <w:t xml:space="preserve"> include several opinions and excerpts </w:t>
      </w:r>
      <w:r w:rsidR="00657D96">
        <w:rPr>
          <w:szCs w:val="24"/>
          <w:lang w:val="en-CA" w:eastAsia="fr-CA"/>
        </w:rPr>
        <w:t>from</w:t>
      </w:r>
      <w:r w:rsidR="00096506" w:rsidRPr="0037197C">
        <w:rPr>
          <w:szCs w:val="24"/>
          <w:lang w:val="en-CA" w:eastAsia="fr-CA"/>
        </w:rPr>
        <w:t xml:space="preserve"> case law </w:t>
      </w:r>
      <w:r w:rsidR="00096506">
        <w:rPr>
          <w:szCs w:val="24"/>
          <w:lang w:val="en-CA" w:eastAsia="fr-CA"/>
        </w:rPr>
        <w:t>peppering</w:t>
      </w:r>
      <w:r w:rsidR="00096506" w:rsidRPr="0037197C">
        <w:rPr>
          <w:szCs w:val="24"/>
          <w:lang w:val="en-CA" w:eastAsia="fr-CA"/>
        </w:rPr>
        <w:t xml:space="preserve"> the allegations of fact</w:t>
      </w:r>
      <w:r w:rsidR="00096506">
        <w:rPr>
          <w:szCs w:val="24"/>
          <w:lang w:val="en-CA" w:eastAsia="fr-CA"/>
        </w:rPr>
        <w:t>,</w:t>
      </w:r>
      <w:r w:rsidR="00096506" w:rsidRPr="0037197C">
        <w:rPr>
          <w:szCs w:val="24"/>
          <w:lang w:val="en-CA" w:eastAsia="fr-CA"/>
        </w:rPr>
        <w:t xml:space="preserve"> </w:t>
      </w:r>
      <w:r w:rsidRPr="0037197C">
        <w:rPr>
          <w:szCs w:val="24"/>
          <w:lang w:val="en-CA" w:eastAsia="fr-CA"/>
        </w:rPr>
        <w:t xml:space="preserve">is not </w:t>
      </w:r>
      <w:r w:rsidR="00657D96">
        <w:rPr>
          <w:szCs w:val="24"/>
          <w:lang w:val="en-CA" w:eastAsia="fr-CA"/>
        </w:rPr>
        <w:t>an</w:t>
      </w:r>
      <w:r w:rsidR="00096506">
        <w:rPr>
          <w:szCs w:val="24"/>
          <w:lang w:val="en-CA" w:eastAsia="fr-CA"/>
        </w:rPr>
        <w:t xml:space="preserve"> example</w:t>
      </w:r>
      <w:r w:rsidRPr="0037197C">
        <w:rPr>
          <w:szCs w:val="24"/>
          <w:lang w:val="en-CA" w:eastAsia="fr-CA"/>
        </w:rPr>
        <w:t xml:space="preserve"> of a clear, precise</w:t>
      </w:r>
      <w:r w:rsidR="00657D96">
        <w:rPr>
          <w:szCs w:val="24"/>
          <w:lang w:val="en-CA" w:eastAsia="fr-CA"/>
        </w:rPr>
        <w:t>,</w:t>
      </w:r>
      <w:r w:rsidRPr="0037197C">
        <w:rPr>
          <w:szCs w:val="24"/>
          <w:lang w:val="en-CA" w:eastAsia="fr-CA"/>
        </w:rPr>
        <w:t xml:space="preserve"> and </w:t>
      </w:r>
      <w:r w:rsidR="000D2D3A" w:rsidRPr="0037197C">
        <w:rPr>
          <w:szCs w:val="24"/>
          <w:lang w:val="en-CA" w:eastAsia="fr-CA"/>
        </w:rPr>
        <w:t>concise</w:t>
      </w:r>
      <w:r w:rsidRPr="0037197C">
        <w:rPr>
          <w:szCs w:val="24"/>
          <w:lang w:val="en-CA" w:eastAsia="fr-CA"/>
        </w:rPr>
        <w:t xml:space="preserve"> </w:t>
      </w:r>
      <w:r w:rsidR="00657D96">
        <w:rPr>
          <w:szCs w:val="24"/>
          <w:lang w:val="en-CA" w:eastAsia="fr-CA"/>
        </w:rPr>
        <w:t>pleading</w:t>
      </w:r>
      <w:r w:rsidRPr="0037197C">
        <w:rPr>
          <w:szCs w:val="24"/>
          <w:lang w:val="en-CA" w:eastAsia="fr-CA"/>
        </w:rPr>
        <w:t>.</w:t>
      </w:r>
    </w:p>
    <w:p w14:paraId="51DC9B3B" w14:textId="614D568A" w:rsidR="00E57111" w:rsidRPr="0037197C" w:rsidRDefault="0037197C" w:rsidP="00E57111">
      <w:pPr>
        <w:pStyle w:val="F02-Texte"/>
        <w:ind w:left="0" w:firstLine="0"/>
        <w:rPr>
          <w:rFonts w:cs="Arial"/>
          <w:szCs w:val="24"/>
          <w:lang w:val="en-CA"/>
        </w:rPr>
      </w:pPr>
      <w:r w:rsidRPr="0037197C">
        <w:rPr>
          <w:szCs w:val="24"/>
          <w:lang w:val="en-CA" w:eastAsia="fr-CA"/>
        </w:rPr>
        <w:t xml:space="preserve">In fact, like the </w:t>
      </w:r>
      <w:r w:rsidR="000D2D3A" w:rsidRPr="0037197C">
        <w:rPr>
          <w:szCs w:val="24"/>
          <w:lang w:val="en-CA" w:eastAsia="fr-CA"/>
        </w:rPr>
        <w:t>Fonds</w:t>
      </w:r>
      <w:r w:rsidRPr="0037197C">
        <w:rPr>
          <w:szCs w:val="24"/>
          <w:lang w:val="en-CA" w:eastAsia="fr-CA"/>
        </w:rPr>
        <w:t xml:space="preserve">, the </w:t>
      </w:r>
      <w:r w:rsidR="000D2D3A" w:rsidRPr="0037197C">
        <w:rPr>
          <w:szCs w:val="24"/>
          <w:lang w:val="en-CA" w:eastAsia="fr-CA"/>
        </w:rPr>
        <w:t>Superior</w:t>
      </w:r>
      <w:r w:rsidRPr="0037197C">
        <w:rPr>
          <w:szCs w:val="24"/>
          <w:lang w:val="en-CA" w:eastAsia="fr-CA"/>
        </w:rPr>
        <w:t xml:space="preserve"> Court stated that the application for authorization combined allegations of fact and lengthy arguments</w:t>
      </w:r>
      <w:r w:rsidR="00657D96">
        <w:rPr>
          <w:szCs w:val="24"/>
          <w:lang w:val="en-CA" w:eastAsia="fr-CA"/>
        </w:rPr>
        <w:t xml:space="preserve">. It </w:t>
      </w:r>
      <w:r w:rsidRPr="0037197C">
        <w:rPr>
          <w:szCs w:val="24"/>
          <w:lang w:val="en-CA" w:eastAsia="fr-CA"/>
        </w:rPr>
        <w:t xml:space="preserve">does not comply with art. 99 </w:t>
      </w:r>
      <w:r w:rsidRPr="00A166AB">
        <w:rPr>
          <w:szCs w:val="24"/>
          <w:lang w:val="en-CA" w:eastAsia="fr-CA"/>
        </w:rPr>
        <w:t>C.C.P.</w:t>
      </w:r>
      <w:r w:rsidRPr="0037197C">
        <w:rPr>
          <w:szCs w:val="24"/>
          <w:lang w:val="en-CA" w:eastAsia="fr-CA"/>
        </w:rPr>
        <w:t xml:space="preserve"> and would be perilous to summarize.</w:t>
      </w:r>
      <w:r w:rsidR="00E57111">
        <w:rPr>
          <w:rStyle w:val="Appelnotedebasdep"/>
        </w:rPr>
        <w:footnoteReference w:id="67"/>
      </w:r>
    </w:p>
    <w:p w14:paraId="173BFA95" w14:textId="537ED62D" w:rsidR="00E57111" w:rsidRPr="0037197C" w:rsidRDefault="0037197C" w:rsidP="00E57111">
      <w:pPr>
        <w:pStyle w:val="F02-Texte"/>
        <w:ind w:left="0" w:firstLine="0"/>
        <w:rPr>
          <w:rFonts w:cs="Arial"/>
          <w:szCs w:val="24"/>
          <w:lang w:val="en-CA"/>
        </w:rPr>
      </w:pPr>
      <w:r w:rsidRPr="0037197C">
        <w:rPr>
          <w:rFonts w:cs="Arial"/>
          <w:szCs w:val="24"/>
          <w:lang w:val="en-CA" w:eastAsia="fr-CA"/>
        </w:rPr>
        <w:t xml:space="preserve">That said, the Fonds </w:t>
      </w:r>
      <w:r w:rsidR="00CB1830">
        <w:rPr>
          <w:rFonts w:cs="Arial"/>
          <w:szCs w:val="24"/>
          <w:lang w:val="en-CA" w:eastAsia="fr-CA"/>
        </w:rPr>
        <w:t>repeated</w:t>
      </w:r>
      <w:r w:rsidRPr="0037197C">
        <w:rPr>
          <w:rFonts w:cs="Arial"/>
          <w:szCs w:val="24"/>
          <w:lang w:val="en-CA" w:eastAsia="fr-CA"/>
        </w:rPr>
        <w:t xml:space="preserve"> the principle facts alleged in paragraph [39] of the decision:</w:t>
      </w:r>
    </w:p>
    <w:p w14:paraId="7308D8ED" w14:textId="3ABED641" w:rsidR="00E57111" w:rsidRPr="009B3836" w:rsidRDefault="00E57111" w:rsidP="00E57111">
      <w:pPr>
        <w:pStyle w:val="F04-Retrait"/>
        <w:tabs>
          <w:tab w:val="left" w:pos="1134"/>
        </w:tabs>
        <w:rPr>
          <w:rFonts w:eastAsia="ArialMT" w:cs="Arial"/>
          <w:i w:val="0"/>
          <w:sz w:val="22"/>
          <w:szCs w:val="22"/>
          <w:lang w:val="en-CA" w:eastAsia="fr-CA"/>
        </w:rPr>
      </w:pPr>
      <w:r w:rsidRPr="009B3836">
        <w:rPr>
          <w:rFonts w:eastAsia="ArialMT" w:cs="Arial"/>
          <w:i w:val="0"/>
          <w:sz w:val="22"/>
          <w:szCs w:val="22"/>
          <w:lang w:val="en-CA" w:eastAsia="fr-CA"/>
        </w:rPr>
        <w:t>•</w:t>
      </w:r>
      <w:r w:rsidRPr="009B3836">
        <w:rPr>
          <w:rFonts w:eastAsia="ArialMT" w:cs="Arial"/>
          <w:i w:val="0"/>
          <w:sz w:val="22"/>
          <w:szCs w:val="22"/>
          <w:lang w:val="en-CA" w:eastAsia="fr-CA"/>
        </w:rPr>
        <w:tab/>
      </w:r>
      <w:r w:rsidR="00096506" w:rsidRPr="009B3836">
        <w:rPr>
          <w:rFonts w:eastAsia="ArialMT" w:cs="Arial"/>
          <w:i w:val="0"/>
          <w:sz w:val="22"/>
          <w:szCs w:val="22"/>
          <w:lang w:val="en-CA" w:eastAsia="fr-CA"/>
        </w:rPr>
        <w:t>Apple’s</w:t>
      </w:r>
      <w:r w:rsidR="009B3836" w:rsidRPr="009B3836">
        <w:rPr>
          <w:rFonts w:eastAsia="ArialMT" w:cs="Arial"/>
          <w:i w:val="0"/>
          <w:sz w:val="22"/>
          <w:szCs w:val="22"/>
          <w:lang w:val="en-CA" w:eastAsia="fr-CA"/>
        </w:rPr>
        <w:t xml:space="preserve"> </w:t>
      </w:r>
      <w:r w:rsidR="00096506" w:rsidRPr="009B3836">
        <w:rPr>
          <w:rFonts w:eastAsia="ArialMT" w:cs="Arial"/>
          <w:i w:val="0"/>
          <w:sz w:val="22"/>
          <w:szCs w:val="22"/>
          <w:lang w:val="en-CA" w:eastAsia="fr-CA"/>
        </w:rPr>
        <w:t>advertising</w:t>
      </w:r>
      <w:r w:rsidR="009B3836" w:rsidRPr="009B3836">
        <w:rPr>
          <w:rFonts w:eastAsia="ArialMT" w:cs="Arial"/>
          <w:i w:val="0"/>
          <w:sz w:val="22"/>
          <w:szCs w:val="22"/>
          <w:lang w:val="en-CA" w:eastAsia="fr-CA"/>
        </w:rPr>
        <w:t xml:space="preserve"> shows people holding Apple products in their hands, putting them in their pockets</w:t>
      </w:r>
      <w:r w:rsidR="00CB1830">
        <w:rPr>
          <w:rFonts w:eastAsia="ArialMT" w:cs="Arial"/>
          <w:i w:val="0"/>
          <w:sz w:val="22"/>
          <w:szCs w:val="22"/>
          <w:lang w:val="en-CA" w:eastAsia="fr-CA"/>
        </w:rPr>
        <w:t>,</w:t>
      </w:r>
      <w:r w:rsidR="009B3836" w:rsidRPr="009B3836">
        <w:rPr>
          <w:rFonts w:eastAsia="ArialMT" w:cs="Arial"/>
          <w:i w:val="0"/>
          <w:sz w:val="22"/>
          <w:szCs w:val="22"/>
          <w:lang w:val="en-CA" w:eastAsia="fr-CA"/>
        </w:rPr>
        <w:t xml:space="preserve"> or holding them in bed (paras. 23 to 27);</w:t>
      </w:r>
    </w:p>
    <w:p w14:paraId="35770225" w14:textId="3421F01C" w:rsidR="00E57111" w:rsidRPr="009B3836" w:rsidRDefault="00E57111" w:rsidP="00E57111">
      <w:pPr>
        <w:pStyle w:val="F04-Retrait"/>
        <w:tabs>
          <w:tab w:val="left" w:pos="1134"/>
        </w:tabs>
        <w:rPr>
          <w:rFonts w:eastAsia="ArialMT" w:cs="Arial"/>
          <w:i w:val="0"/>
          <w:sz w:val="22"/>
          <w:szCs w:val="22"/>
          <w:lang w:val="en-CA" w:eastAsia="fr-CA"/>
        </w:rPr>
      </w:pPr>
      <w:r w:rsidRPr="009B3836">
        <w:rPr>
          <w:rFonts w:eastAsia="ArialMT" w:cs="Arial"/>
          <w:i w:val="0"/>
          <w:sz w:val="22"/>
          <w:szCs w:val="22"/>
          <w:lang w:val="en-CA" w:eastAsia="fr-CA"/>
        </w:rPr>
        <w:t>•</w:t>
      </w:r>
      <w:r w:rsidRPr="009B3836">
        <w:rPr>
          <w:rFonts w:eastAsia="ArialMT" w:cs="Arial"/>
          <w:i w:val="0"/>
          <w:sz w:val="22"/>
          <w:szCs w:val="22"/>
          <w:lang w:val="en-CA" w:eastAsia="fr-CA"/>
        </w:rPr>
        <w:tab/>
      </w:r>
      <w:r w:rsidR="009B3836" w:rsidRPr="009B3836">
        <w:rPr>
          <w:rFonts w:eastAsia="ArialMT" w:cs="Arial"/>
          <w:i w:val="0"/>
          <w:sz w:val="22"/>
          <w:szCs w:val="22"/>
          <w:lang w:val="en-CA" w:eastAsia="fr-CA"/>
        </w:rPr>
        <w:t xml:space="preserve">Samsung’s </w:t>
      </w:r>
      <w:r w:rsidR="00096506" w:rsidRPr="009B3836">
        <w:rPr>
          <w:rFonts w:eastAsia="ArialMT" w:cs="Arial"/>
          <w:i w:val="0"/>
          <w:sz w:val="22"/>
          <w:szCs w:val="22"/>
          <w:lang w:val="en-CA" w:eastAsia="fr-CA"/>
        </w:rPr>
        <w:t>advertising</w:t>
      </w:r>
      <w:r w:rsidR="009B3836" w:rsidRPr="009B3836">
        <w:rPr>
          <w:rFonts w:eastAsia="ArialMT" w:cs="Arial"/>
          <w:i w:val="0"/>
          <w:sz w:val="22"/>
          <w:szCs w:val="22"/>
          <w:lang w:val="en-CA" w:eastAsia="fr-CA"/>
        </w:rPr>
        <w:t xml:space="preserve"> shows people using Samsung products near their </w:t>
      </w:r>
      <w:r w:rsidR="00096506" w:rsidRPr="009B3836">
        <w:rPr>
          <w:rFonts w:eastAsia="ArialMT" w:cs="Arial"/>
          <w:i w:val="0"/>
          <w:sz w:val="22"/>
          <w:szCs w:val="22"/>
          <w:lang w:val="en-CA" w:eastAsia="fr-CA"/>
        </w:rPr>
        <w:t>bodies</w:t>
      </w:r>
      <w:r w:rsidR="009B3836" w:rsidRPr="009B3836">
        <w:rPr>
          <w:rFonts w:eastAsia="ArialMT" w:cs="Arial"/>
          <w:i w:val="0"/>
          <w:sz w:val="22"/>
          <w:szCs w:val="22"/>
          <w:lang w:val="en-CA" w:eastAsia="fr-CA"/>
        </w:rPr>
        <w:t xml:space="preserve"> or to perform an ultrasound (paras. 29 to 31);</w:t>
      </w:r>
    </w:p>
    <w:p w14:paraId="319A1DA2" w14:textId="77777777" w:rsidR="00E57111" w:rsidRPr="009B3836" w:rsidRDefault="00E57111" w:rsidP="00E57111">
      <w:pPr>
        <w:pStyle w:val="F04-Retrait"/>
        <w:tabs>
          <w:tab w:val="left" w:pos="1134"/>
        </w:tabs>
        <w:rPr>
          <w:rFonts w:eastAsia="ArialMT" w:cs="Arial"/>
          <w:i w:val="0"/>
          <w:sz w:val="22"/>
          <w:szCs w:val="22"/>
          <w:lang w:val="en-CA" w:eastAsia="fr-CA"/>
        </w:rPr>
      </w:pPr>
      <w:r w:rsidRPr="009B3836">
        <w:rPr>
          <w:rFonts w:eastAsia="ArialMT" w:cs="Arial"/>
          <w:i w:val="0"/>
          <w:sz w:val="22"/>
          <w:szCs w:val="22"/>
          <w:lang w:val="en-CA" w:eastAsia="fr-CA"/>
        </w:rPr>
        <w:t>•</w:t>
      </w:r>
      <w:r w:rsidRPr="009B3836">
        <w:rPr>
          <w:rFonts w:eastAsia="ArialMT" w:cs="Arial"/>
          <w:i w:val="0"/>
          <w:sz w:val="22"/>
          <w:szCs w:val="22"/>
          <w:lang w:val="en-CA" w:eastAsia="fr-CA"/>
        </w:rPr>
        <w:tab/>
      </w:r>
      <w:r w:rsidR="009B3836" w:rsidRPr="009B3836">
        <w:rPr>
          <w:rFonts w:eastAsia="ArialMT" w:cs="Arial"/>
          <w:i w:val="0"/>
          <w:sz w:val="22"/>
          <w:szCs w:val="22"/>
          <w:lang w:val="en-CA" w:eastAsia="fr-CA"/>
        </w:rPr>
        <w:t>The radio frequencies emitted may affect living organisms at lower levels than the national and international directives (para. 38);</w:t>
      </w:r>
    </w:p>
    <w:p w14:paraId="006FA1AD" w14:textId="7729E708" w:rsidR="00E57111" w:rsidRPr="009B2E83" w:rsidRDefault="00E57111" w:rsidP="00E57111">
      <w:pPr>
        <w:pStyle w:val="F04-Retrait"/>
        <w:tabs>
          <w:tab w:val="left" w:pos="1134"/>
        </w:tabs>
        <w:rPr>
          <w:rFonts w:eastAsia="ArialMT" w:cs="Arial"/>
          <w:i w:val="0"/>
          <w:sz w:val="22"/>
          <w:szCs w:val="22"/>
          <w:lang w:val="en-CA" w:eastAsia="fr-CA"/>
        </w:rPr>
      </w:pPr>
      <w:r w:rsidRPr="009B3836">
        <w:rPr>
          <w:rFonts w:eastAsia="ArialMT" w:cs="Arial"/>
          <w:i w:val="0"/>
          <w:sz w:val="22"/>
          <w:szCs w:val="22"/>
          <w:lang w:val="en-CA" w:eastAsia="fr-CA"/>
        </w:rPr>
        <w:t>•</w:t>
      </w:r>
      <w:r w:rsidRPr="009B3836">
        <w:rPr>
          <w:rFonts w:eastAsia="ArialMT" w:cs="Arial"/>
          <w:i w:val="0"/>
          <w:sz w:val="22"/>
          <w:szCs w:val="22"/>
          <w:lang w:val="en-CA" w:eastAsia="fr-CA"/>
        </w:rPr>
        <w:tab/>
      </w:r>
      <w:r w:rsidR="009B3836" w:rsidRPr="009B3836">
        <w:rPr>
          <w:rFonts w:eastAsia="ArialMT" w:cs="Arial"/>
          <w:i w:val="0"/>
          <w:sz w:val="22"/>
          <w:szCs w:val="22"/>
          <w:lang w:val="en-CA" w:eastAsia="fr-CA"/>
        </w:rPr>
        <w:t xml:space="preserve">The </w:t>
      </w:r>
      <w:r w:rsidR="00B574E2">
        <w:rPr>
          <w:rFonts w:eastAsia="ArialMT" w:cs="Arial"/>
          <w:i w:val="0"/>
          <w:sz w:val="22"/>
          <w:szCs w:val="22"/>
          <w:lang w:val="en-CA" w:eastAsia="fr-CA"/>
        </w:rPr>
        <w:t>“</w:t>
      </w:r>
      <w:r w:rsidR="009B3836" w:rsidRPr="009B3836">
        <w:rPr>
          <w:rFonts w:eastAsia="ArialMT" w:cs="Arial"/>
          <w:b/>
          <w:i w:val="0"/>
          <w:sz w:val="22"/>
          <w:szCs w:val="22"/>
          <w:lang w:val="en-CA" w:eastAsia="fr-CA"/>
        </w:rPr>
        <w:t>largest study to date</w:t>
      </w:r>
      <w:r w:rsidR="00B574E2">
        <w:rPr>
          <w:rFonts w:eastAsia="ArialMT" w:cs="Arial"/>
          <w:i w:val="0"/>
          <w:sz w:val="22"/>
          <w:szCs w:val="22"/>
          <w:lang w:val="en-CA" w:eastAsia="fr-CA"/>
        </w:rPr>
        <w:t>”</w:t>
      </w:r>
      <w:r w:rsidR="009B3836" w:rsidRPr="009B3836">
        <w:rPr>
          <w:rFonts w:eastAsia="ArialMT" w:cs="Arial"/>
          <w:i w:val="0"/>
          <w:sz w:val="22"/>
          <w:szCs w:val="22"/>
          <w:lang w:val="en-CA" w:eastAsia="fr-CA"/>
        </w:rPr>
        <w:t xml:space="preserve"> indicates that there is clear evidence of cancerous tumors in the hearts of </w:t>
      </w:r>
      <w:r w:rsidR="009B3836" w:rsidRPr="009B3836">
        <w:rPr>
          <w:rFonts w:eastAsia="ArialMT" w:cs="Arial"/>
          <w:b/>
          <w:i w:val="0"/>
          <w:sz w:val="22"/>
          <w:szCs w:val="22"/>
          <w:lang w:val="en-CA" w:eastAsia="fr-CA"/>
        </w:rPr>
        <w:t xml:space="preserve">male rats </w:t>
      </w:r>
      <w:r w:rsidR="009B3836" w:rsidRPr="009B3836">
        <w:rPr>
          <w:rFonts w:eastAsia="ArialMT" w:cs="Arial"/>
          <w:i w:val="0"/>
          <w:sz w:val="22"/>
          <w:szCs w:val="22"/>
          <w:lang w:val="en-CA" w:eastAsia="fr-CA"/>
        </w:rPr>
        <w:t xml:space="preserve">exposed to the radiofrequencies of </w:t>
      </w:r>
      <w:r w:rsidR="009B2E83">
        <w:rPr>
          <w:rFonts w:eastAsia="ArialMT" w:cs="Arial"/>
          <w:i w:val="0"/>
          <w:sz w:val="22"/>
          <w:szCs w:val="22"/>
          <w:lang w:val="en-CA" w:eastAsia="fr-CA"/>
        </w:rPr>
        <w:t>cell phones</w:t>
      </w:r>
      <w:r w:rsidR="009B3836" w:rsidRPr="009B3836">
        <w:rPr>
          <w:rFonts w:eastAsia="ArialMT" w:cs="Arial"/>
          <w:i w:val="0"/>
          <w:sz w:val="22"/>
          <w:szCs w:val="22"/>
          <w:lang w:val="en-CA" w:eastAsia="fr-CA"/>
        </w:rPr>
        <w:t xml:space="preserve"> (para. </w:t>
      </w:r>
      <w:r w:rsidR="009B3836" w:rsidRPr="009B2E83">
        <w:rPr>
          <w:rFonts w:eastAsia="ArialMT" w:cs="Arial"/>
          <w:i w:val="0"/>
          <w:sz w:val="22"/>
          <w:szCs w:val="22"/>
          <w:lang w:val="en-CA" w:eastAsia="fr-CA"/>
        </w:rPr>
        <w:t>39);</w:t>
      </w:r>
    </w:p>
    <w:p w14:paraId="559A2ACF" w14:textId="77777777" w:rsidR="00E57111" w:rsidRPr="009B2E83" w:rsidRDefault="00E57111" w:rsidP="00E57111">
      <w:pPr>
        <w:pStyle w:val="F04-Retrait"/>
        <w:tabs>
          <w:tab w:val="left" w:pos="1134"/>
        </w:tabs>
        <w:rPr>
          <w:rFonts w:eastAsia="ArialMT" w:cs="Arial"/>
          <w:i w:val="0"/>
          <w:sz w:val="22"/>
          <w:szCs w:val="22"/>
          <w:lang w:val="en-CA" w:eastAsia="fr-CA"/>
        </w:rPr>
      </w:pPr>
      <w:r w:rsidRPr="009B3836">
        <w:rPr>
          <w:rFonts w:eastAsia="ArialMT" w:cs="Arial"/>
          <w:i w:val="0"/>
          <w:sz w:val="22"/>
          <w:szCs w:val="22"/>
          <w:lang w:val="en-CA" w:eastAsia="fr-CA"/>
        </w:rPr>
        <w:t>•</w:t>
      </w:r>
      <w:r w:rsidRPr="009B3836">
        <w:rPr>
          <w:rFonts w:eastAsia="ArialMT" w:cs="Arial"/>
          <w:i w:val="0"/>
          <w:sz w:val="22"/>
          <w:szCs w:val="22"/>
          <w:lang w:val="en-CA" w:eastAsia="fr-CA"/>
        </w:rPr>
        <w:tab/>
      </w:r>
      <w:r w:rsidR="009B3836" w:rsidRPr="009B3836">
        <w:rPr>
          <w:rFonts w:eastAsia="ArialMT" w:cs="Arial"/>
          <w:i w:val="0"/>
          <w:sz w:val="22"/>
          <w:szCs w:val="22"/>
          <w:lang w:val="en-CA" w:eastAsia="fr-CA"/>
        </w:rPr>
        <w:t xml:space="preserve">Radiofrequencies were classified by the International Agency for Research on Cancer as </w:t>
      </w:r>
      <w:r w:rsidR="009B3836" w:rsidRPr="009B3836">
        <w:rPr>
          <w:rFonts w:eastAsia="ArialMT" w:cs="Arial"/>
          <w:b/>
          <w:i w:val="0"/>
          <w:sz w:val="22"/>
          <w:szCs w:val="22"/>
          <w:lang w:val="en-CA" w:eastAsia="fr-CA"/>
        </w:rPr>
        <w:t xml:space="preserve">possibly </w:t>
      </w:r>
      <w:r w:rsidR="009B3836" w:rsidRPr="009B3836">
        <w:rPr>
          <w:rFonts w:eastAsia="ArialMT" w:cs="Arial"/>
          <w:i w:val="0"/>
          <w:sz w:val="22"/>
          <w:szCs w:val="22"/>
          <w:lang w:val="en-CA" w:eastAsia="fr-CA"/>
        </w:rPr>
        <w:t xml:space="preserve">carcinogenic to humans (para. </w:t>
      </w:r>
      <w:r w:rsidR="009B3836" w:rsidRPr="009B2E83">
        <w:rPr>
          <w:rFonts w:eastAsia="ArialMT" w:cs="Arial"/>
          <w:i w:val="0"/>
          <w:sz w:val="22"/>
          <w:szCs w:val="22"/>
          <w:lang w:val="en-CA" w:eastAsia="fr-CA"/>
        </w:rPr>
        <w:t>42);</w:t>
      </w:r>
    </w:p>
    <w:p w14:paraId="1669338D" w14:textId="0E3A467C" w:rsidR="00E57111" w:rsidRPr="006D0CD7" w:rsidRDefault="00E57111" w:rsidP="00E57111">
      <w:pPr>
        <w:pStyle w:val="F04-Retrait"/>
        <w:tabs>
          <w:tab w:val="left" w:pos="1134"/>
        </w:tabs>
        <w:rPr>
          <w:rFonts w:eastAsia="ArialMT" w:cs="Arial"/>
          <w:i w:val="0"/>
          <w:sz w:val="22"/>
          <w:szCs w:val="22"/>
          <w:lang w:val="en-CA" w:eastAsia="fr-CA"/>
        </w:rPr>
      </w:pPr>
      <w:r w:rsidRPr="006D0CD7">
        <w:rPr>
          <w:rFonts w:eastAsia="ArialMT" w:cs="Arial"/>
          <w:i w:val="0"/>
          <w:sz w:val="22"/>
          <w:szCs w:val="22"/>
          <w:lang w:val="en-CA" w:eastAsia="fr-CA"/>
        </w:rPr>
        <w:t>•</w:t>
      </w:r>
      <w:r w:rsidRPr="006D0CD7">
        <w:rPr>
          <w:rFonts w:eastAsia="ArialMT" w:cs="Arial"/>
          <w:i w:val="0"/>
          <w:sz w:val="22"/>
          <w:szCs w:val="22"/>
          <w:lang w:val="en-CA" w:eastAsia="fr-CA"/>
        </w:rPr>
        <w:tab/>
      </w:r>
      <w:r w:rsidR="006D0CD7" w:rsidRPr="006D0CD7">
        <w:rPr>
          <w:rFonts w:eastAsia="ArialMT" w:cs="Arial"/>
          <w:i w:val="0"/>
          <w:sz w:val="22"/>
          <w:szCs w:val="22"/>
          <w:lang w:val="en-CA" w:eastAsia="fr-CA"/>
        </w:rPr>
        <w:t xml:space="preserve">The radio frequencies emitted by the Defendants’ </w:t>
      </w:r>
      <w:r w:rsidR="009B2E83">
        <w:rPr>
          <w:rFonts w:eastAsia="ArialMT" w:cs="Arial"/>
          <w:i w:val="0"/>
          <w:sz w:val="22"/>
          <w:szCs w:val="22"/>
          <w:lang w:val="en-CA" w:eastAsia="fr-CA"/>
        </w:rPr>
        <w:t>cell phones</w:t>
      </w:r>
      <w:r w:rsidR="006D0CD7" w:rsidRPr="006D0CD7">
        <w:rPr>
          <w:rFonts w:eastAsia="ArialMT" w:cs="Arial"/>
          <w:i w:val="0"/>
          <w:sz w:val="22"/>
          <w:szCs w:val="22"/>
          <w:lang w:val="en-CA" w:eastAsia="fr-CA"/>
        </w:rPr>
        <w:t xml:space="preserve"> are higher than the limits established by the </w:t>
      </w:r>
      <w:r w:rsidR="00B574E2">
        <w:rPr>
          <w:rFonts w:eastAsia="ArialMT" w:cs="Arial"/>
          <w:i w:val="0"/>
          <w:sz w:val="22"/>
          <w:szCs w:val="22"/>
          <w:lang w:val="en-CA" w:eastAsia="fr-CA"/>
        </w:rPr>
        <w:t>“</w:t>
      </w:r>
      <w:r w:rsidR="006D0CD7" w:rsidRPr="006D0CD7">
        <w:rPr>
          <w:rFonts w:eastAsia="ArialMT" w:cs="Arial"/>
          <w:i w:val="0"/>
          <w:sz w:val="22"/>
          <w:szCs w:val="22"/>
          <w:lang w:val="en-CA" w:eastAsia="fr-CA"/>
        </w:rPr>
        <w:t>standards</w:t>
      </w:r>
      <w:r w:rsidR="00B574E2">
        <w:rPr>
          <w:rFonts w:eastAsia="ArialMT" w:cs="Arial"/>
          <w:i w:val="0"/>
          <w:sz w:val="22"/>
          <w:szCs w:val="22"/>
          <w:lang w:val="en-CA" w:eastAsia="fr-CA"/>
        </w:rPr>
        <w:t>”</w:t>
      </w:r>
      <w:r w:rsidR="006D0CD7" w:rsidRPr="006D0CD7">
        <w:rPr>
          <w:rFonts w:eastAsia="ArialMT" w:cs="Arial"/>
          <w:i w:val="0"/>
          <w:sz w:val="22"/>
          <w:szCs w:val="22"/>
          <w:lang w:val="en-CA" w:eastAsia="fr-CA"/>
        </w:rPr>
        <w:t xml:space="preserve"> (para. 2), by the </w:t>
      </w:r>
      <w:r w:rsidR="00B574E2">
        <w:rPr>
          <w:rFonts w:eastAsia="ArialMT" w:cs="Arial"/>
          <w:i w:val="0"/>
          <w:sz w:val="22"/>
          <w:szCs w:val="22"/>
          <w:lang w:val="en-CA" w:eastAsia="fr-CA"/>
        </w:rPr>
        <w:t>“</w:t>
      </w:r>
      <w:r w:rsidR="006D0CD7" w:rsidRPr="006D0CD7">
        <w:rPr>
          <w:rFonts w:eastAsia="ArialMT" w:cs="Arial"/>
          <w:i w:val="0"/>
          <w:sz w:val="22"/>
          <w:szCs w:val="22"/>
          <w:lang w:val="en-CA" w:eastAsia="fr-CA"/>
        </w:rPr>
        <w:t>applicable guidelines</w:t>
      </w:r>
      <w:r w:rsidR="00B574E2">
        <w:rPr>
          <w:rFonts w:eastAsia="ArialMT" w:cs="Arial"/>
          <w:i w:val="0"/>
          <w:sz w:val="22"/>
          <w:szCs w:val="22"/>
          <w:lang w:val="en-CA" w:eastAsia="fr-CA"/>
        </w:rPr>
        <w:t>”</w:t>
      </w:r>
      <w:r w:rsidR="006D0CD7" w:rsidRPr="006D0CD7">
        <w:rPr>
          <w:rFonts w:eastAsia="ArialMT" w:cs="Arial"/>
          <w:i w:val="0"/>
          <w:sz w:val="22"/>
          <w:szCs w:val="22"/>
          <w:lang w:val="en-CA" w:eastAsia="fr-CA"/>
        </w:rPr>
        <w:t xml:space="preserve"> (para. 5), by </w:t>
      </w:r>
      <w:r w:rsidR="00B574E2">
        <w:rPr>
          <w:rFonts w:eastAsia="ArialMT" w:cs="Arial"/>
          <w:i w:val="0"/>
          <w:sz w:val="22"/>
          <w:szCs w:val="22"/>
          <w:lang w:val="en-CA" w:eastAsia="fr-CA"/>
        </w:rPr>
        <w:t>“</w:t>
      </w:r>
      <w:r w:rsidR="006D0CD7" w:rsidRPr="006D0CD7">
        <w:rPr>
          <w:rFonts w:eastAsia="ArialMT" w:cs="Arial"/>
          <w:i w:val="0"/>
          <w:sz w:val="22"/>
          <w:szCs w:val="22"/>
          <w:lang w:val="en-CA" w:eastAsia="fr-CA"/>
        </w:rPr>
        <w:t>the final rule adopted by the ... FCC in 1996</w:t>
      </w:r>
      <w:r w:rsidR="00B574E2">
        <w:rPr>
          <w:rFonts w:eastAsia="ArialMT" w:cs="Arial"/>
          <w:i w:val="0"/>
          <w:sz w:val="22"/>
          <w:szCs w:val="22"/>
          <w:lang w:val="en-CA" w:eastAsia="fr-CA"/>
        </w:rPr>
        <w:t>”</w:t>
      </w:r>
      <w:r w:rsidR="006D0CD7" w:rsidRPr="006D0CD7">
        <w:rPr>
          <w:rFonts w:eastAsia="ArialMT" w:cs="Arial"/>
          <w:i w:val="0"/>
          <w:sz w:val="22"/>
          <w:szCs w:val="22"/>
          <w:lang w:val="en-CA" w:eastAsia="fr-CA"/>
        </w:rPr>
        <w:t xml:space="preserve"> (para. 44);</w:t>
      </w:r>
    </w:p>
    <w:p w14:paraId="5CEB59D3" w14:textId="77777777" w:rsidR="00E57111" w:rsidRPr="006D0CD7" w:rsidRDefault="00E57111" w:rsidP="00E57111">
      <w:pPr>
        <w:pStyle w:val="F04-Retrait"/>
        <w:tabs>
          <w:tab w:val="left" w:pos="1134"/>
        </w:tabs>
        <w:rPr>
          <w:rFonts w:eastAsia="ArialMT" w:cs="Arial"/>
          <w:i w:val="0"/>
          <w:sz w:val="22"/>
          <w:szCs w:val="22"/>
          <w:lang w:val="en-CA" w:eastAsia="fr-CA"/>
        </w:rPr>
      </w:pPr>
      <w:r w:rsidRPr="006D0CD7">
        <w:rPr>
          <w:rFonts w:eastAsia="ArialMT" w:cs="Arial"/>
          <w:i w:val="0"/>
          <w:sz w:val="22"/>
          <w:szCs w:val="22"/>
          <w:lang w:val="en-CA" w:eastAsia="fr-CA"/>
        </w:rPr>
        <w:t>•</w:t>
      </w:r>
      <w:r w:rsidRPr="006D0CD7">
        <w:rPr>
          <w:rFonts w:eastAsia="ArialMT" w:cs="Arial"/>
          <w:i w:val="0"/>
          <w:sz w:val="22"/>
          <w:szCs w:val="22"/>
          <w:lang w:val="en-CA" w:eastAsia="fr-CA"/>
        </w:rPr>
        <w:tab/>
      </w:r>
      <w:r w:rsidR="006D0CD7" w:rsidRPr="006D0CD7">
        <w:rPr>
          <w:rFonts w:eastAsia="ArialMT" w:cs="Arial"/>
          <w:i w:val="0"/>
          <w:sz w:val="22"/>
          <w:szCs w:val="22"/>
          <w:lang w:val="en-CA" w:eastAsia="fr-CA"/>
        </w:rPr>
        <w:t>The companies that test a new cell phone do so at a distance of 25 mm from the body depending on how the device is used (para. 46);</w:t>
      </w:r>
    </w:p>
    <w:p w14:paraId="4BE1D6EF" w14:textId="4ADC694F" w:rsidR="00E57111" w:rsidRPr="003059BD" w:rsidRDefault="00E57111" w:rsidP="00E57111">
      <w:pPr>
        <w:pStyle w:val="F04-Retrait"/>
        <w:tabs>
          <w:tab w:val="left" w:pos="1134"/>
        </w:tabs>
        <w:rPr>
          <w:rFonts w:eastAsia="ArialMT" w:cs="Arial"/>
          <w:i w:val="0"/>
          <w:sz w:val="22"/>
          <w:szCs w:val="22"/>
          <w:lang w:val="en-CA" w:eastAsia="fr-CA"/>
        </w:rPr>
      </w:pPr>
      <w:r w:rsidRPr="006D0CD7">
        <w:rPr>
          <w:rFonts w:eastAsia="ArialMT" w:cs="Arial"/>
          <w:i w:val="0"/>
          <w:sz w:val="22"/>
          <w:szCs w:val="22"/>
          <w:lang w:val="en-CA" w:eastAsia="fr-CA"/>
        </w:rPr>
        <w:t>•</w:t>
      </w:r>
      <w:r w:rsidRPr="006D0CD7">
        <w:rPr>
          <w:rFonts w:eastAsia="ArialMT" w:cs="Arial"/>
          <w:i w:val="0"/>
          <w:sz w:val="22"/>
          <w:szCs w:val="22"/>
          <w:lang w:val="en-CA" w:eastAsia="fr-CA"/>
        </w:rPr>
        <w:tab/>
      </w:r>
      <w:r w:rsidR="00C2116C" w:rsidRPr="006D0CD7">
        <w:rPr>
          <w:rFonts w:eastAsia="ArialMT" w:cs="Arial"/>
          <w:i w:val="0"/>
          <w:sz w:val="22"/>
          <w:szCs w:val="22"/>
          <w:lang w:val="en-CA" w:eastAsia="fr-CA"/>
        </w:rPr>
        <w:t>Apple</w:t>
      </w:r>
      <w:r w:rsidR="006D0CD7" w:rsidRPr="006D0CD7">
        <w:rPr>
          <w:rFonts w:eastAsia="ArialMT" w:cs="Arial"/>
          <w:i w:val="0"/>
          <w:sz w:val="22"/>
          <w:szCs w:val="22"/>
          <w:lang w:val="en-CA" w:eastAsia="fr-CA"/>
        </w:rPr>
        <w:t xml:space="preserve"> warned users of the iPhone 4 </w:t>
      </w:r>
      <w:r w:rsidR="00C2116C" w:rsidRPr="006D0CD7">
        <w:rPr>
          <w:rFonts w:eastAsia="ArialMT" w:cs="Arial"/>
          <w:i w:val="0"/>
          <w:sz w:val="22"/>
          <w:szCs w:val="22"/>
          <w:lang w:val="en-CA" w:eastAsia="fr-CA"/>
        </w:rPr>
        <w:t>and</w:t>
      </w:r>
      <w:r w:rsidR="00C2116C">
        <w:rPr>
          <w:rFonts w:eastAsia="ArialMT" w:cs="Arial"/>
          <w:i w:val="0"/>
          <w:sz w:val="22"/>
          <w:szCs w:val="22"/>
          <w:lang w:val="en-CA" w:eastAsia="fr-CA"/>
        </w:rPr>
        <w:t xml:space="preserve"> iPh</w:t>
      </w:r>
      <w:r w:rsidR="006D0CD7" w:rsidRPr="006D0CD7">
        <w:rPr>
          <w:rFonts w:eastAsia="ArialMT" w:cs="Arial"/>
          <w:i w:val="0"/>
          <w:sz w:val="22"/>
          <w:szCs w:val="22"/>
          <w:lang w:val="en-CA" w:eastAsia="fr-CA"/>
        </w:rPr>
        <w:t>one</w:t>
      </w:r>
      <w:r w:rsidR="00C2116C">
        <w:rPr>
          <w:rFonts w:eastAsia="ArialMT" w:cs="Arial"/>
          <w:i w:val="0"/>
          <w:sz w:val="22"/>
          <w:szCs w:val="22"/>
          <w:lang w:val="en-CA" w:eastAsia="fr-CA"/>
        </w:rPr>
        <w:t xml:space="preserve"> </w:t>
      </w:r>
      <w:r w:rsidR="006D0CD7" w:rsidRPr="006D0CD7">
        <w:rPr>
          <w:rFonts w:eastAsia="ArialMT" w:cs="Arial"/>
          <w:i w:val="0"/>
          <w:sz w:val="22"/>
          <w:szCs w:val="22"/>
          <w:lang w:val="en-CA" w:eastAsia="fr-CA"/>
        </w:rPr>
        <w:t xml:space="preserve">4s on </w:t>
      </w:r>
      <w:r w:rsidR="00C2116C" w:rsidRPr="006D0CD7">
        <w:rPr>
          <w:rFonts w:eastAsia="ArialMT" w:cs="Arial"/>
          <w:i w:val="0"/>
          <w:sz w:val="22"/>
          <w:szCs w:val="22"/>
          <w:lang w:val="en-CA" w:eastAsia="fr-CA"/>
        </w:rPr>
        <w:t>their</w:t>
      </w:r>
      <w:r w:rsidR="006D0CD7" w:rsidRPr="006D0CD7">
        <w:rPr>
          <w:rFonts w:eastAsia="ArialMT" w:cs="Arial"/>
          <w:i w:val="0"/>
          <w:sz w:val="22"/>
          <w:szCs w:val="22"/>
          <w:lang w:val="en-CA" w:eastAsia="fr-CA"/>
        </w:rPr>
        <w:t xml:space="preserve"> website to wear their cell phones at least 10 mm </w:t>
      </w:r>
      <w:r w:rsidR="00C2116C">
        <w:rPr>
          <w:rFonts w:eastAsia="ArialMT" w:cs="Arial"/>
          <w:i w:val="0"/>
          <w:sz w:val="22"/>
          <w:szCs w:val="22"/>
          <w:lang w:val="en-CA" w:eastAsia="fr-CA"/>
        </w:rPr>
        <w:t xml:space="preserve">away </w:t>
      </w:r>
      <w:r w:rsidR="006D0CD7" w:rsidRPr="006D0CD7">
        <w:rPr>
          <w:rFonts w:eastAsia="ArialMT" w:cs="Arial"/>
          <w:i w:val="0"/>
          <w:sz w:val="22"/>
          <w:szCs w:val="22"/>
          <w:lang w:val="en-CA" w:eastAsia="fr-CA"/>
        </w:rPr>
        <w:t xml:space="preserve">from their bodies to ensure that exposure to radiofrequencies would be below the limits (para. </w:t>
      </w:r>
      <w:r w:rsidR="006D0CD7" w:rsidRPr="003059BD">
        <w:rPr>
          <w:rFonts w:eastAsia="ArialMT" w:cs="Arial"/>
          <w:i w:val="0"/>
          <w:sz w:val="22"/>
          <w:szCs w:val="22"/>
          <w:lang w:val="en-CA" w:eastAsia="fr-CA"/>
        </w:rPr>
        <w:t>48);</w:t>
      </w:r>
    </w:p>
    <w:p w14:paraId="31FF5C27" w14:textId="0FEE0D17" w:rsidR="00E57111" w:rsidRPr="00A166AB" w:rsidRDefault="00E57111" w:rsidP="00E57111">
      <w:pPr>
        <w:pStyle w:val="F04-Retrait"/>
        <w:tabs>
          <w:tab w:val="left" w:pos="1134"/>
        </w:tabs>
        <w:rPr>
          <w:rFonts w:eastAsia="Arial-BoldMT" w:cs="Arial"/>
          <w:bCs/>
          <w:i w:val="0"/>
          <w:sz w:val="22"/>
          <w:szCs w:val="22"/>
          <w:lang w:val="en-CA" w:eastAsia="fr-CA"/>
        </w:rPr>
      </w:pPr>
      <w:r w:rsidRPr="003059BD">
        <w:rPr>
          <w:rFonts w:eastAsia="ArialMT" w:cs="Arial"/>
          <w:i w:val="0"/>
          <w:sz w:val="22"/>
          <w:szCs w:val="22"/>
          <w:lang w:val="en-CA" w:eastAsia="fr-CA"/>
        </w:rPr>
        <w:lastRenderedPageBreak/>
        <w:t>•</w:t>
      </w:r>
      <w:r w:rsidRPr="003059BD">
        <w:rPr>
          <w:rFonts w:eastAsia="ArialMT" w:cs="Arial"/>
          <w:i w:val="0"/>
          <w:sz w:val="22"/>
          <w:szCs w:val="22"/>
          <w:lang w:val="en-CA" w:eastAsia="fr-CA"/>
        </w:rPr>
        <w:tab/>
      </w:r>
      <w:r w:rsidR="003059BD" w:rsidRPr="003059BD">
        <w:rPr>
          <w:rFonts w:eastAsia="ArialMT" w:cs="Arial"/>
          <w:i w:val="0"/>
          <w:sz w:val="22"/>
          <w:szCs w:val="22"/>
          <w:lang w:val="en-CA" w:eastAsia="fr-CA"/>
        </w:rPr>
        <w:t xml:space="preserve">Tests were </w:t>
      </w:r>
      <w:r w:rsidR="00C2116C" w:rsidRPr="003059BD">
        <w:rPr>
          <w:rFonts w:eastAsia="ArialMT" w:cs="Arial"/>
          <w:i w:val="0"/>
          <w:sz w:val="22"/>
          <w:szCs w:val="22"/>
          <w:lang w:val="en-CA" w:eastAsia="fr-CA"/>
        </w:rPr>
        <w:t>developed</w:t>
      </w:r>
      <w:r w:rsidR="003059BD" w:rsidRPr="003059BD">
        <w:rPr>
          <w:rFonts w:eastAsia="ArialMT" w:cs="Arial"/>
          <w:i w:val="0"/>
          <w:sz w:val="22"/>
          <w:szCs w:val="22"/>
          <w:lang w:val="en-CA" w:eastAsia="fr-CA"/>
        </w:rPr>
        <w:t xml:space="preserve"> by RF Exposure Lab on a series of the Defendants’ telephones at the distances the manufacturers chose for their own tests, that is </w:t>
      </w:r>
      <w:r w:rsidR="003059BD" w:rsidRPr="003059BD">
        <w:rPr>
          <w:rFonts w:eastAsia="ArialMT" w:cs="Arial"/>
          <w:b/>
          <w:i w:val="0"/>
          <w:sz w:val="22"/>
          <w:szCs w:val="22"/>
          <w:lang w:val="en-CA" w:eastAsia="fr-CA"/>
        </w:rPr>
        <w:t>5 to 15 mm</w:t>
      </w:r>
      <w:r w:rsidR="003059BD" w:rsidRPr="003059BD">
        <w:rPr>
          <w:rFonts w:eastAsia="ArialMT" w:cs="Arial"/>
          <w:i w:val="0"/>
          <w:sz w:val="22"/>
          <w:szCs w:val="22"/>
          <w:lang w:val="en-CA" w:eastAsia="fr-CA"/>
        </w:rPr>
        <w:t xml:space="preserve">, (paras. 51 to 55) and revealed that the results were higher for distances between </w:t>
      </w:r>
      <w:r w:rsidR="003059BD" w:rsidRPr="003059BD">
        <w:rPr>
          <w:rFonts w:eastAsia="ArialMT" w:cs="Arial"/>
          <w:b/>
          <w:i w:val="0"/>
          <w:sz w:val="22"/>
          <w:szCs w:val="22"/>
          <w:lang w:val="en-CA" w:eastAsia="fr-CA"/>
        </w:rPr>
        <w:t xml:space="preserve">2 and 5 mm </w:t>
      </w:r>
      <w:r w:rsidR="003059BD" w:rsidRPr="003059BD">
        <w:rPr>
          <w:rFonts w:eastAsia="ArialMT" w:cs="Arial"/>
          <w:i w:val="0"/>
          <w:sz w:val="22"/>
          <w:szCs w:val="22"/>
          <w:lang w:val="en-CA" w:eastAsia="fr-CA"/>
        </w:rPr>
        <w:t xml:space="preserve">(para. </w:t>
      </w:r>
      <w:r w:rsidR="003059BD" w:rsidRPr="00A166AB">
        <w:rPr>
          <w:rFonts w:eastAsia="ArialMT" w:cs="Arial"/>
          <w:i w:val="0"/>
          <w:sz w:val="22"/>
          <w:szCs w:val="22"/>
          <w:lang w:val="en-CA" w:eastAsia="fr-CA"/>
        </w:rPr>
        <w:t>66);</w:t>
      </w:r>
    </w:p>
    <w:p w14:paraId="2C7F0907" w14:textId="52D4B213" w:rsidR="00E57111" w:rsidRPr="003059BD" w:rsidRDefault="00E57111" w:rsidP="00E57111">
      <w:pPr>
        <w:pStyle w:val="F04-Retrait"/>
        <w:tabs>
          <w:tab w:val="left" w:pos="1134"/>
        </w:tabs>
        <w:rPr>
          <w:rFonts w:eastAsia="ArialMT" w:cs="Arial"/>
          <w:i w:val="0"/>
          <w:sz w:val="22"/>
          <w:szCs w:val="22"/>
          <w:lang w:val="en-CA" w:eastAsia="fr-CA"/>
        </w:rPr>
      </w:pPr>
      <w:r w:rsidRPr="003059BD">
        <w:rPr>
          <w:rFonts w:eastAsia="ArialMT" w:cs="Arial"/>
          <w:i w:val="0"/>
          <w:sz w:val="22"/>
          <w:szCs w:val="22"/>
          <w:lang w:val="en-CA" w:eastAsia="fr-CA"/>
        </w:rPr>
        <w:t>•</w:t>
      </w:r>
      <w:r w:rsidRPr="003059BD">
        <w:rPr>
          <w:rFonts w:eastAsia="Arial-BoldMT" w:cs="Arial"/>
          <w:b/>
          <w:bCs/>
          <w:i w:val="0"/>
          <w:sz w:val="22"/>
          <w:szCs w:val="22"/>
          <w:lang w:val="en-CA" w:eastAsia="fr-CA"/>
        </w:rPr>
        <w:tab/>
      </w:r>
      <w:r w:rsidR="003059BD" w:rsidRPr="003059BD">
        <w:rPr>
          <w:rFonts w:eastAsia="ArialMT" w:cs="Arial"/>
          <w:i w:val="0"/>
          <w:sz w:val="22"/>
          <w:szCs w:val="22"/>
          <w:lang w:val="en-CA" w:eastAsia="fr-CA"/>
        </w:rPr>
        <w:t xml:space="preserve">The </w:t>
      </w:r>
      <w:r w:rsidR="00B574E2">
        <w:rPr>
          <w:rFonts w:eastAsia="ArialMT" w:cs="Arial"/>
          <w:i w:val="0"/>
          <w:sz w:val="22"/>
          <w:szCs w:val="22"/>
          <w:lang w:val="en-CA" w:eastAsia="fr-CA"/>
        </w:rPr>
        <w:t>“</w:t>
      </w:r>
      <w:r w:rsidR="003059BD" w:rsidRPr="003059BD">
        <w:rPr>
          <w:rFonts w:eastAsia="ArialMT" w:cs="Arial"/>
          <w:i w:val="0"/>
          <w:sz w:val="22"/>
          <w:szCs w:val="22"/>
          <w:lang w:val="en-CA" w:eastAsia="fr-CA"/>
        </w:rPr>
        <w:t>worst case adult testing</w:t>
      </w:r>
      <w:r w:rsidR="00B574E2">
        <w:rPr>
          <w:rFonts w:eastAsia="ArialMT" w:cs="Arial"/>
          <w:i w:val="0"/>
          <w:sz w:val="22"/>
          <w:szCs w:val="22"/>
          <w:lang w:val="en-CA" w:eastAsia="fr-CA"/>
        </w:rPr>
        <w:t>”</w:t>
      </w:r>
      <w:r w:rsidR="003059BD" w:rsidRPr="003059BD">
        <w:rPr>
          <w:rFonts w:eastAsia="ArialMT" w:cs="Arial"/>
          <w:i w:val="0"/>
          <w:sz w:val="22"/>
          <w:szCs w:val="22"/>
          <w:lang w:val="en-CA" w:eastAsia="fr-CA"/>
        </w:rPr>
        <w:t xml:space="preserve"> </w:t>
      </w:r>
      <w:r w:rsidR="00550742">
        <w:rPr>
          <w:rFonts w:eastAsia="ArialMT" w:cs="Arial"/>
          <w:i w:val="0"/>
          <w:sz w:val="22"/>
          <w:szCs w:val="22"/>
          <w:lang w:val="en-CA" w:eastAsia="fr-CA"/>
        </w:rPr>
        <w:t xml:space="preserve">was </w:t>
      </w:r>
      <w:r w:rsidR="003059BD" w:rsidRPr="003059BD">
        <w:rPr>
          <w:rFonts w:eastAsia="ArialMT" w:cs="Arial"/>
          <w:i w:val="0"/>
          <w:sz w:val="22"/>
          <w:szCs w:val="22"/>
          <w:lang w:val="en-CA" w:eastAsia="fr-CA"/>
        </w:rPr>
        <w:t xml:space="preserve">performed by journalist Wendy Mesley on March 24, 2017, on an iPhone 7 and a Samsung Galaxy 7 </w:t>
      </w:r>
      <w:r w:rsidR="00550742">
        <w:rPr>
          <w:rFonts w:eastAsia="ArialMT" w:cs="Arial"/>
          <w:i w:val="0"/>
          <w:sz w:val="22"/>
          <w:szCs w:val="22"/>
          <w:lang w:val="en-CA" w:eastAsia="fr-CA"/>
        </w:rPr>
        <w:t>“</w:t>
      </w:r>
      <w:r w:rsidR="003059BD" w:rsidRPr="003059BD">
        <w:rPr>
          <w:rFonts w:eastAsia="ArialMT" w:cs="Arial"/>
          <w:i w:val="0"/>
          <w:sz w:val="22"/>
          <w:szCs w:val="22"/>
          <w:lang w:val="en-CA" w:eastAsia="fr-CA"/>
        </w:rPr>
        <w:t>alleg</w:t>
      </w:r>
      <w:r w:rsidR="00550742">
        <w:rPr>
          <w:rFonts w:eastAsia="ArialMT" w:cs="Arial"/>
          <w:i w:val="0"/>
          <w:sz w:val="22"/>
          <w:szCs w:val="22"/>
          <w:lang w:val="en-CA" w:eastAsia="fr-CA"/>
        </w:rPr>
        <w:t>ing”</w:t>
      </w:r>
      <w:r w:rsidR="003059BD" w:rsidRPr="003059BD">
        <w:rPr>
          <w:rFonts w:eastAsia="ArialMT" w:cs="Arial"/>
          <w:i w:val="0"/>
          <w:sz w:val="22"/>
          <w:szCs w:val="22"/>
          <w:lang w:val="en-CA" w:eastAsia="fr-CA"/>
        </w:rPr>
        <w:t xml:space="preserve"> the failure to properly test and inform users of the </w:t>
      </w:r>
      <w:r w:rsidR="00550742">
        <w:rPr>
          <w:rFonts w:eastAsia="ArialMT" w:cs="Arial"/>
          <w:i w:val="0"/>
          <w:sz w:val="22"/>
          <w:szCs w:val="22"/>
          <w:lang w:val="en-CA" w:eastAsia="fr-CA"/>
        </w:rPr>
        <w:t>“</w:t>
      </w:r>
      <w:r w:rsidR="003059BD" w:rsidRPr="003059BD">
        <w:rPr>
          <w:rFonts w:eastAsia="ArialMT" w:cs="Arial"/>
          <w:i w:val="0"/>
          <w:sz w:val="22"/>
          <w:szCs w:val="22"/>
          <w:lang w:val="en-CA" w:eastAsia="fr-CA"/>
        </w:rPr>
        <w:t>health risks</w:t>
      </w:r>
      <w:r w:rsidR="00550742">
        <w:rPr>
          <w:rFonts w:eastAsia="ArialMT" w:cs="Arial"/>
          <w:i w:val="0"/>
          <w:sz w:val="22"/>
          <w:szCs w:val="22"/>
          <w:lang w:val="en-CA" w:eastAsia="fr-CA"/>
        </w:rPr>
        <w:t>”</w:t>
      </w:r>
      <w:r w:rsidR="003059BD" w:rsidRPr="003059BD">
        <w:rPr>
          <w:rFonts w:eastAsia="ArialMT" w:cs="Arial"/>
          <w:i w:val="0"/>
          <w:sz w:val="22"/>
          <w:szCs w:val="22"/>
          <w:lang w:val="en-CA" w:eastAsia="fr-CA"/>
        </w:rPr>
        <w:t xml:space="preserve"> </w:t>
      </w:r>
      <w:r w:rsidR="007D17FD">
        <w:rPr>
          <w:rFonts w:eastAsia="ArialMT" w:cs="Arial"/>
          <w:i w:val="0"/>
          <w:sz w:val="22"/>
          <w:szCs w:val="22"/>
          <w:lang w:val="en-CA" w:eastAsia="fr-CA"/>
        </w:rPr>
        <w:t>resulting from</w:t>
      </w:r>
      <w:r w:rsidR="003059BD" w:rsidRPr="003059BD">
        <w:rPr>
          <w:rFonts w:eastAsia="ArialMT" w:cs="Arial"/>
          <w:i w:val="0"/>
          <w:sz w:val="22"/>
          <w:szCs w:val="22"/>
          <w:lang w:val="en-CA" w:eastAsia="fr-CA"/>
        </w:rPr>
        <w:t xml:space="preserve"> radiofrequency emissions.</w:t>
      </w:r>
      <w:r w:rsidRPr="003059BD">
        <w:rPr>
          <w:rFonts w:eastAsia="ArialMT" w:cs="Arial"/>
          <w:i w:val="0"/>
          <w:sz w:val="22"/>
          <w:szCs w:val="22"/>
          <w:lang w:val="en-CA" w:eastAsia="fr-CA"/>
        </w:rPr>
        <w:t xml:space="preserve"> </w:t>
      </w:r>
      <w:r w:rsidR="003059BD" w:rsidRPr="003059BD">
        <w:rPr>
          <w:rFonts w:eastAsia="ArialMT" w:cs="Arial"/>
          <w:i w:val="0"/>
          <w:sz w:val="22"/>
          <w:szCs w:val="22"/>
          <w:lang w:val="en-CA" w:eastAsia="fr-CA"/>
        </w:rPr>
        <w:t>Brain, breast</w:t>
      </w:r>
      <w:r w:rsidR="007D17FD">
        <w:rPr>
          <w:rFonts w:eastAsia="ArialMT" w:cs="Arial"/>
          <w:i w:val="0"/>
          <w:sz w:val="22"/>
          <w:szCs w:val="22"/>
          <w:lang w:val="en-CA" w:eastAsia="fr-CA"/>
        </w:rPr>
        <w:t>,</w:t>
      </w:r>
      <w:r w:rsidR="003059BD" w:rsidRPr="003059BD">
        <w:rPr>
          <w:rFonts w:eastAsia="ArialMT" w:cs="Arial"/>
          <w:i w:val="0"/>
          <w:sz w:val="22"/>
          <w:szCs w:val="22"/>
          <w:lang w:val="en-CA" w:eastAsia="fr-CA"/>
        </w:rPr>
        <w:t xml:space="preserve"> and </w:t>
      </w:r>
      <w:r w:rsidR="00550742">
        <w:rPr>
          <w:rFonts w:eastAsia="ArialMT" w:cs="Arial"/>
          <w:i w:val="0"/>
          <w:sz w:val="22"/>
          <w:szCs w:val="22"/>
          <w:lang w:val="en-CA" w:eastAsia="fr-CA"/>
        </w:rPr>
        <w:t>“</w:t>
      </w:r>
      <w:r w:rsidR="003059BD" w:rsidRPr="003059BD">
        <w:rPr>
          <w:rFonts w:eastAsia="ArialMT" w:cs="Arial"/>
          <w:i w:val="0"/>
          <w:sz w:val="22"/>
          <w:szCs w:val="22"/>
          <w:lang w:val="en-CA" w:eastAsia="fr-CA"/>
        </w:rPr>
        <w:t>other cancers</w:t>
      </w:r>
      <w:r w:rsidR="00550742">
        <w:rPr>
          <w:rFonts w:eastAsia="ArialMT" w:cs="Arial"/>
          <w:i w:val="0"/>
          <w:sz w:val="22"/>
          <w:szCs w:val="22"/>
          <w:lang w:val="en-CA" w:eastAsia="fr-CA"/>
        </w:rPr>
        <w:t>”</w:t>
      </w:r>
      <w:r w:rsidR="003059BD" w:rsidRPr="003059BD">
        <w:rPr>
          <w:rFonts w:eastAsia="ArialMT" w:cs="Arial"/>
          <w:i w:val="0"/>
          <w:sz w:val="22"/>
          <w:szCs w:val="22"/>
          <w:lang w:val="en-CA" w:eastAsia="fr-CA"/>
        </w:rPr>
        <w:t xml:space="preserve"> are increased (Exhibit P-3B) (para. 69a);</w:t>
      </w:r>
    </w:p>
    <w:p w14:paraId="208A289D" w14:textId="4330F86D" w:rsidR="00E57111" w:rsidRPr="000957A2" w:rsidRDefault="00E57111" w:rsidP="00E57111">
      <w:pPr>
        <w:pStyle w:val="F04-Retrait"/>
        <w:tabs>
          <w:tab w:val="left" w:pos="1134"/>
        </w:tabs>
        <w:rPr>
          <w:rFonts w:eastAsia="ArialMT" w:cs="Arial"/>
          <w:i w:val="0"/>
          <w:sz w:val="22"/>
          <w:szCs w:val="22"/>
          <w:lang w:val="en-CA" w:eastAsia="fr-CA"/>
        </w:rPr>
      </w:pPr>
      <w:r w:rsidRPr="003059BD">
        <w:rPr>
          <w:rFonts w:eastAsia="ArialMT" w:cs="Arial"/>
          <w:i w:val="0"/>
          <w:sz w:val="22"/>
          <w:szCs w:val="22"/>
          <w:lang w:val="en-CA" w:eastAsia="fr-CA"/>
        </w:rPr>
        <w:t>•</w:t>
      </w:r>
      <w:r w:rsidRPr="003059BD">
        <w:rPr>
          <w:rFonts w:eastAsia="ArialMT" w:cs="Arial"/>
          <w:i w:val="0"/>
          <w:sz w:val="22"/>
          <w:szCs w:val="22"/>
          <w:lang w:val="en-CA" w:eastAsia="fr-CA"/>
        </w:rPr>
        <w:tab/>
      </w:r>
      <w:r w:rsidR="003059BD" w:rsidRPr="003059BD">
        <w:rPr>
          <w:rFonts w:eastAsia="ArialMT" w:cs="Arial"/>
          <w:i w:val="0"/>
          <w:sz w:val="22"/>
          <w:szCs w:val="22"/>
          <w:lang w:val="en-CA" w:eastAsia="fr-CA"/>
        </w:rPr>
        <w:t xml:space="preserve">The other series of tests is </w:t>
      </w:r>
      <w:r w:rsidR="00C2116C">
        <w:rPr>
          <w:rFonts w:eastAsia="ArialMT" w:cs="Arial"/>
          <w:i w:val="0"/>
          <w:sz w:val="22"/>
          <w:szCs w:val="22"/>
          <w:lang w:val="en-CA" w:eastAsia="fr-CA"/>
        </w:rPr>
        <w:t>t</w:t>
      </w:r>
      <w:r w:rsidR="003059BD" w:rsidRPr="003059BD">
        <w:rPr>
          <w:rFonts w:eastAsia="ArialMT" w:cs="Arial"/>
          <w:i w:val="0"/>
          <w:sz w:val="22"/>
          <w:szCs w:val="22"/>
          <w:lang w:val="en-CA" w:eastAsia="fr-CA"/>
        </w:rPr>
        <w:t xml:space="preserve">hat of the </w:t>
      </w:r>
      <w:r w:rsidR="00550742">
        <w:rPr>
          <w:rFonts w:eastAsia="ArialMT" w:cs="Arial"/>
          <w:i w:val="0"/>
          <w:sz w:val="22"/>
          <w:szCs w:val="22"/>
          <w:lang w:val="en-CA" w:eastAsia="fr-CA"/>
        </w:rPr>
        <w:t>“</w:t>
      </w:r>
      <w:r w:rsidR="003059BD" w:rsidRPr="003059BD">
        <w:rPr>
          <w:rFonts w:eastAsia="ArialMT" w:cs="Arial"/>
          <w:i w:val="0"/>
          <w:sz w:val="22"/>
          <w:szCs w:val="22"/>
          <w:lang w:val="en-CA" w:eastAsia="fr-CA"/>
        </w:rPr>
        <w:t>French Phonegate</w:t>
      </w:r>
      <w:r w:rsidR="00550742">
        <w:rPr>
          <w:rFonts w:eastAsia="ArialMT" w:cs="Arial"/>
          <w:i w:val="0"/>
          <w:sz w:val="22"/>
          <w:szCs w:val="22"/>
          <w:lang w:val="en-CA" w:eastAsia="fr-CA"/>
        </w:rPr>
        <w:t>”</w:t>
      </w:r>
      <w:r w:rsidR="003059BD" w:rsidRPr="003059BD">
        <w:rPr>
          <w:rFonts w:eastAsia="ArialMT" w:cs="Arial"/>
          <w:i w:val="0"/>
          <w:sz w:val="22"/>
          <w:szCs w:val="22"/>
          <w:lang w:val="en-CA" w:eastAsia="fr-CA"/>
        </w:rPr>
        <w:t xml:space="preserve">, which indicates that European smart phones, including the iPhone 5, failed to meet the far more restrictive European standards (Exhibits P-3C and P-3D) (para. </w:t>
      </w:r>
      <w:r w:rsidR="003059BD" w:rsidRPr="000957A2">
        <w:rPr>
          <w:rFonts w:eastAsia="ArialMT" w:cs="Arial"/>
          <w:i w:val="0"/>
          <w:sz w:val="22"/>
          <w:szCs w:val="22"/>
          <w:lang w:val="en-CA" w:eastAsia="fr-CA"/>
        </w:rPr>
        <w:t>69b);</w:t>
      </w:r>
    </w:p>
    <w:p w14:paraId="6F44C50E" w14:textId="00977EC1" w:rsidR="00E57111" w:rsidRPr="000957A2" w:rsidRDefault="00E57111" w:rsidP="00E57111">
      <w:pPr>
        <w:pStyle w:val="F04-Retrait"/>
        <w:tabs>
          <w:tab w:val="left" w:pos="1134"/>
        </w:tabs>
        <w:rPr>
          <w:rFonts w:eastAsia="ArialMT" w:cs="Arial"/>
          <w:i w:val="0"/>
          <w:sz w:val="22"/>
          <w:szCs w:val="22"/>
          <w:lang w:val="en-CA" w:eastAsia="fr-CA"/>
        </w:rPr>
      </w:pPr>
      <w:r w:rsidRPr="000957A2">
        <w:rPr>
          <w:rFonts w:eastAsia="ArialMT" w:cs="Arial"/>
          <w:i w:val="0"/>
          <w:sz w:val="22"/>
          <w:szCs w:val="22"/>
          <w:lang w:val="en-CA" w:eastAsia="fr-CA"/>
        </w:rPr>
        <w:t>•</w:t>
      </w:r>
      <w:r w:rsidRPr="000957A2">
        <w:rPr>
          <w:rFonts w:eastAsia="ArialMT" w:cs="Arial"/>
          <w:i w:val="0"/>
          <w:sz w:val="22"/>
          <w:szCs w:val="22"/>
          <w:lang w:val="en-CA" w:eastAsia="fr-CA"/>
        </w:rPr>
        <w:tab/>
      </w:r>
      <w:r w:rsidR="000957A2" w:rsidRPr="000957A2">
        <w:rPr>
          <w:rFonts w:eastAsia="ArialMT" w:cs="Arial"/>
          <w:i w:val="0"/>
          <w:sz w:val="22"/>
          <w:szCs w:val="22"/>
          <w:lang w:val="en-CA" w:eastAsia="fr-CA"/>
        </w:rPr>
        <w:t xml:space="preserve">They allege that the Defendants did not give any warnings of </w:t>
      </w:r>
      <w:r w:rsidR="00C2116C" w:rsidRPr="000957A2">
        <w:rPr>
          <w:rFonts w:eastAsia="ArialMT" w:cs="Arial"/>
          <w:i w:val="0"/>
          <w:sz w:val="22"/>
          <w:szCs w:val="22"/>
          <w:lang w:val="en-CA" w:eastAsia="fr-CA"/>
        </w:rPr>
        <w:t>the</w:t>
      </w:r>
      <w:r w:rsidR="000957A2" w:rsidRPr="000957A2">
        <w:rPr>
          <w:rFonts w:eastAsia="ArialMT" w:cs="Arial"/>
          <w:i w:val="0"/>
          <w:sz w:val="22"/>
          <w:szCs w:val="22"/>
          <w:lang w:val="en-CA" w:eastAsia="fr-CA"/>
        </w:rPr>
        <w:t xml:space="preserve"> </w:t>
      </w:r>
      <w:r w:rsidR="00C2116C" w:rsidRPr="000957A2">
        <w:rPr>
          <w:rFonts w:eastAsia="ArialMT" w:cs="Arial"/>
          <w:i w:val="0"/>
          <w:sz w:val="22"/>
          <w:szCs w:val="22"/>
          <w:lang w:val="en-CA" w:eastAsia="fr-CA"/>
        </w:rPr>
        <w:t>dangers</w:t>
      </w:r>
      <w:r w:rsidR="000957A2" w:rsidRPr="000957A2">
        <w:rPr>
          <w:rFonts w:eastAsia="ArialMT" w:cs="Arial"/>
          <w:i w:val="0"/>
          <w:sz w:val="22"/>
          <w:szCs w:val="22"/>
          <w:lang w:val="en-CA" w:eastAsia="fr-CA"/>
        </w:rPr>
        <w:t xml:space="preserve"> </w:t>
      </w:r>
      <w:r w:rsidR="00C2116C">
        <w:rPr>
          <w:rFonts w:eastAsia="ArialMT" w:cs="Arial"/>
          <w:i w:val="0"/>
          <w:sz w:val="22"/>
          <w:szCs w:val="22"/>
          <w:lang w:val="en-CA" w:eastAsia="fr-CA"/>
        </w:rPr>
        <w:t>and</w:t>
      </w:r>
      <w:r w:rsidR="000957A2" w:rsidRPr="000957A2">
        <w:rPr>
          <w:rFonts w:eastAsia="ArialMT" w:cs="Arial"/>
          <w:i w:val="0"/>
          <w:sz w:val="22"/>
          <w:szCs w:val="22"/>
          <w:lang w:val="en-CA" w:eastAsia="fr-CA"/>
        </w:rPr>
        <w:t xml:space="preserve"> did not provide instructions on how to use the products safely (para. 96) and that they have made no effort to protect or warn the owners (paras. 124 and 131);</w:t>
      </w:r>
    </w:p>
    <w:p w14:paraId="3C48A8DD" w14:textId="43A94CA2" w:rsidR="00E57111" w:rsidRPr="00A166AB" w:rsidRDefault="00E57111" w:rsidP="00E57111">
      <w:pPr>
        <w:pStyle w:val="F04-Retrait"/>
        <w:tabs>
          <w:tab w:val="left" w:pos="1134"/>
        </w:tabs>
        <w:rPr>
          <w:rFonts w:eastAsia="ArialMT" w:cs="Arial"/>
          <w:i w:val="0"/>
          <w:sz w:val="22"/>
          <w:szCs w:val="22"/>
          <w:lang w:val="en-CA" w:eastAsia="fr-CA"/>
        </w:rPr>
      </w:pPr>
      <w:r w:rsidRPr="000957A2">
        <w:rPr>
          <w:rFonts w:eastAsia="ArialMT" w:cs="Arial"/>
          <w:i w:val="0"/>
          <w:sz w:val="22"/>
          <w:szCs w:val="22"/>
          <w:lang w:val="en-CA" w:eastAsia="fr-CA"/>
        </w:rPr>
        <w:t>•</w:t>
      </w:r>
      <w:r w:rsidRPr="000957A2">
        <w:rPr>
          <w:rFonts w:eastAsia="ArialMT" w:cs="Arial"/>
          <w:i w:val="0"/>
          <w:sz w:val="22"/>
          <w:szCs w:val="22"/>
          <w:lang w:val="en-CA" w:eastAsia="fr-CA"/>
        </w:rPr>
        <w:tab/>
      </w:r>
      <w:r w:rsidR="000957A2" w:rsidRPr="000957A2">
        <w:rPr>
          <w:rFonts w:eastAsia="ArialMT" w:cs="Arial"/>
          <w:i w:val="0"/>
          <w:sz w:val="22"/>
          <w:szCs w:val="22"/>
          <w:lang w:val="en-CA" w:eastAsia="fr-CA"/>
        </w:rPr>
        <w:t xml:space="preserve">The Defendants are intentionally misleading the users by assuring them that the telephones were properly tested </w:t>
      </w:r>
      <w:r w:rsidR="00C2116C" w:rsidRPr="000957A2">
        <w:rPr>
          <w:rFonts w:eastAsia="ArialMT" w:cs="Arial"/>
          <w:i w:val="0"/>
          <w:sz w:val="22"/>
          <w:szCs w:val="22"/>
          <w:lang w:val="en-CA" w:eastAsia="fr-CA"/>
        </w:rPr>
        <w:t>and</w:t>
      </w:r>
      <w:r w:rsidR="000957A2" w:rsidRPr="000957A2">
        <w:rPr>
          <w:rFonts w:eastAsia="ArialMT" w:cs="Arial"/>
          <w:i w:val="0"/>
          <w:sz w:val="22"/>
          <w:szCs w:val="22"/>
          <w:lang w:val="en-CA" w:eastAsia="fr-CA"/>
        </w:rPr>
        <w:t xml:space="preserve"> that they are safe for use near the body, at any hour of the day or night, despite knowing that exposure to radiofrequencies is linked to cancer and other health risks (paras. </w:t>
      </w:r>
      <w:r w:rsidR="000957A2" w:rsidRPr="00A166AB">
        <w:rPr>
          <w:rFonts w:eastAsia="ArialMT" w:cs="Arial"/>
          <w:i w:val="0"/>
          <w:sz w:val="22"/>
          <w:szCs w:val="22"/>
          <w:lang w:val="en-CA" w:eastAsia="fr-CA"/>
        </w:rPr>
        <w:t xml:space="preserve">123,139, 145, and </w:t>
      </w:r>
      <w:r w:rsidR="00C2116C" w:rsidRPr="00C2116C">
        <w:rPr>
          <w:rFonts w:eastAsia="ArialMT" w:cs="Arial"/>
          <w:i w:val="0"/>
          <w:sz w:val="22"/>
          <w:szCs w:val="22"/>
          <w:lang w:val="en-CA" w:eastAsia="fr-CA"/>
        </w:rPr>
        <w:t>said differently</w:t>
      </w:r>
      <w:r w:rsidR="000957A2" w:rsidRPr="00C2116C">
        <w:rPr>
          <w:rFonts w:eastAsia="ArialMT" w:cs="Arial"/>
          <w:i w:val="0"/>
          <w:sz w:val="22"/>
          <w:szCs w:val="22"/>
          <w:lang w:val="en-CA" w:eastAsia="fr-CA"/>
        </w:rPr>
        <w:t>, at</w:t>
      </w:r>
      <w:r w:rsidR="000957A2" w:rsidRPr="00A166AB">
        <w:rPr>
          <w:rFonts w:eastAsia="ArialMT" w:cs="Arial"/>
          <w:i w:val="0"/>
          <w:sz w:val="22"/>
          <w:szCs w:val="22"/>
          <w:lang w:val="en-CA" w:eastAsia="fr-CA"/>
        </w:rPr>
        <w:t xml:space="preserve"> paras. 166</w:t>
      </w:r>
      <w:r w:rsidR="00B574E2">
        <w:rPr>
          <w:rFonts w:eastAsia="ArialMT" w:cs="Arial"/>
          <w:i w:val="0"/>
          <w:sz w:val="22"/>
          <w:szCs w:val="22"/>
          <w:lang w:val="en-CA" w:eastAsia="fr-CA"/>
        </w:rPr>
        <w:t>–</w:t>
      </w:r>
      <w:r w:rsidR="000957A2" w:rsidRPr="00A166AB">
        <w:rPr>
          <w:rFonts w:eastAsia="ArialMT" w:cs="Arial"/>
          <w:i w:val="0"/>
          <w:sz w:val="22"/>
          <w:szCs w:val="22"/>
          <w:lang w:val="en-CA" w:eastAsia="fr-CA"/>
        </w:rPr>
        <w:t>168, 170, 182, 186</w:t>
      </w:r>
      <w:r w:rsidR="00B574E2">
        <w:rPr>
          <w:rFonts w:eastAsia="ArialMT" w:cs="Arial"/>
          <w:i w:val="0"/>
          <w:sz w:val="22"/>
          <w:szCs w:val="22"/>
          <w:lang w:val="en-CA" w:eastAsia="fr-CA"/>
        </w:rPr>
        <w:t>–</w:t>
      </w:r>
      <w:r w:rsidR="000957A2" w:rsidRPr="00A166AB">
        <w:rPr>
          <w:rFonts w:eastAsia="ArialMT" w:cs="Arial"/>
          <w:i w:val="0"/>
          <w:sz w:val="22"/>
          <w:szCs w:val="22"/>
          <w:lang w:val="en-CA" w:eastAsia="fr-CA"/>
        </w:rPr>
        <w:t>187, and 196);</w:t>
      </w:r>
    </w:p>
    <w:p w14:paraId="4A830D03" w14:textId="0BF434CD" w:rsidR="00E57111" w:rsidRPr="000957A2" w:rsidRDefault="00E57111" w:rsidP="00E57111">
      <w:pPr>
        <w:pStyle w:val="F04-Retrait"/>
        <w:tabs>
          <w:tab w:val="left" w:pos="1134"/>
        </w:tabs>
        <w:rPr>
          <w:rFonts w:eastAsia="ArialMT" w:cs="Arial"/>
          <w:i w:val="0"/>
          <w:sz w:val="22"/>
          <w:szCs w:val="22"/>
          <w:lang w:val="en-CA" w:eastAsia="fr-CA"/>
        </w:rPr>
      </w:pPr>
      <w:r w:rsidRPr="000957A2">
        <w:rPr>
          <w:rFonts w:eastAsia="ArialMT" w:cs="Arial"/>
          <w:i w:val="0"/>
          <w:sz w:val="22"/>
          <w:szCs w:val="22"/>
          <w:lang w:val="en-CA" w:eastAsia="fr-CA"/>
        </w:rPr>
        <w:t>•</w:t>
      </w:r>
      <w:r w:rsidRPr="000957A2">
        <w:rPr>
          <w:rFonts w:eastAsia="ArialMT" w:cs="Arial"/>
          <w:i w:val="0"/>
          <w:sz w:val="22"/>
          <w:szCs w:val="22"/>
          <w:lang w:val="en-CA" w:eastAsia="fr-CA"/>
        </w:rPr>
        <w:tab/>
      </w:r>
      <w:r w:rsidR="000957A2" w:rsidRPr="000957A2">
        <w:rPr>
          <w:rFonts w:eastAsia="ArialMT" w:cs="Arial"/>
          <w:i w:val="0"/>
          <w:sz w:val="22"/>
          <w:szCs w:val="22"/>
          <w:lang w:val="en-CA" w:eastAsia="fr-CA"/>
        </w:rPr>
        <w:t xml:space="preserve">The applicants were exposed to dangerous levels of radiofrequency that </w:t>
      </w:r>
      <w:r w:rsidR="00550742">
        <w:rPr>
          <w:rFonts w:eastAsia="ArialMT" w:cs="Arial"/>
          <w:i w:val="0"/>
          <w:sz w:val="22"/>
          <w:szCs w:val="22"/>
          <w:lang w:val="en-CA" w:eastAsia="fr-CA"/>
        </w:rPr>
        <w:t>“</w:t>
      </w:r>
      <w:r w:rsidR="000957A2" w:rsidRPr="000957A2">
        <w:rPr>
          <w:rFonts w:eastAsia="ArialMT" w:cs="Arial"/>
          <w:i w:val="0"/>
          <w:sz w:val="22"/>
          <w:szCs w:val="22"/>
          <w:lang w:val="en-CA" w:eastAsia="fr-CA"/>
        </w:rPr>
        <w:t>could negatively affect their health</w:t>
      </w:r>
      <w:r w:rsidR="00550742">
        <w:rPr>
          <w:rFonts w:eastAsia="ArialMT" w:cs="Arial"/>
          <w:i w:val="0"/>
          <w:sz w:val="22"/>
          <w:szCs w:val="22"/>
          <w:lang w:val="en-CA" w:eastAsia="fr-CA"/>
        </w:rPr>
        <w:t>”</w:t>
      </w:r>
      <w:r w:rsidR="000957A2" w:rsidRPr="000957A2">
        <w:rPr>
          <w:rFonts w:eastAsia="ArialMT" w:cs="Arial"/>
          <w:i w:val="0"/>
          <w:sz w:val="22"/>
          <w:szCs w:val="22"/>
          <w:lang w:val="en-CA" w:eastAsia="fr-CA"/>
        </w:rPr>
        <w:t xml:space="preserve"> for years to come (paras. 127 and 135, and </w:t>
      </w:r>
      <w:r w:rsidR="005C6F40">
        <w:rPr>
          <w:rFonts w:eastAsia="ArialMT" w:cs="Arial"/>
          <w:i w:val="0"/>
          <w:sz w:val="22"/>
          <w:szCs w:val="22"/>
          <w:lang w:val="en-CA" w:eastAsia="fr-CA"/>
        </w:rPr>
        <w:t>said differently,</w:t>
      </w:r>
      <w:r w:rsidR="000957A2" w:rsidRPr="000957A2">
        <w:rPr>
          <w:rFonts w:eastAsia="ArialMT" w:cs="Arial"/>
          <w:i w:val="0"/>
          <w:sz w:val="22"/>
          <w:szCs w:val="22"/>
          <w:lang w:val="en-CA" w:eastAsia="fr-CA"/>
        </w:rPr>
        <w:t xml:space="preserve"> at paras. 141, 146, </w:t>
      </w:r>
      <w:r w:rsidR="00B574E2">
        <w:rPr>
          <w:rFonts w:eastAsia="ArialMT" w:cs="Arial"/>
          <w:i w:val="0"/>
          <w:sz w:val="22"/>
          <w:szCs w:val="22"/>
          <w:lang w:val="en-CA" w:eastAsia="fr-CA"/>
        </w:rPr>
        <w:t xml:space="preserve">and </w:t>
      </w:r>
      <w:r w:rsidR="000957A2" w:rsidRPr="000957A2">
        <w:rPr>
          <w:rFonts w:eastAsia="ArialMT" w:cs="Arial"/>
          <w:i w:val="0"/>
          <w:sz w:val="22"/>
          <w:szCs w:val="22"/>
          <w:lang w:val="en-CA" w:eastAsia="fr-CA"/>
        </w:rPr>
        <w:t>188);</w:t>
      </w:r>
    </w:p>
    <w:p w14:paraId="2097070E" w14:textId="7EF14F18" w:rsidR="00E57111" w:rsidRPr="000D0A88" w:rsidRDefault="00E57111" w:rsidP="00E57111">
      <w:pPr>
        <w:pStyle w:val="F04-Retrait"/>
        <w:tabs>
          <w:tab w:val="left" w:pos="1134"/>
        </w:tabs>
        <w:rPr>
          <w:rFonts w:eastAsia="ArialMT" w:cs="Arial"/>
          <w:i w:val="0"/>
          <w:sz w:val="22"/>
          <w:szCs w:val="22"/>
          <w:lang w:val="en-CA" w:eastAsia="fr-CA"/>
        </w:rPr>
      </w:pPr>
      <w:r w:rsidRPr="000D0A88">
        <w:rPr>
          <w:rFonts w:eastAsia="ArialMT" w:cs="Arial"/>
          <w:i w:val="0"/>
          <w:sz w:val="22"/>
          <w:szCs w:val="22"/>
          <w:lang w:val="en-CA" w:eastAsia="fr-CA"/>
        </w:rPr>
        <w:t>•</w:t>
      </w:r>
      <w:r w:rsidRPr="000D0A88">
        <w:rPr>
          <w:rFonts w:eastAsia="ArialMT" w:cs="Arial"/>
          <w:i w:val="0"/>
          <w:sz w:val="22"/>
          <w:szCs w:val="22"/>
          <w:lang w:val="en-CA" w:eastAsia="fr-CA"/>
        </w:rPr>
        <w:tab/>
      </w:r>
      <w:r w:rsidR="000957A2">
        <w:rPr>
          <w:rFonts w:eastAsia="ArialMT" w:cs="Arial"/>
          <w:i w:val="0"/>
          <w:sz w:val="22"/>
          <w:szCs w:val="22"/>
          <w:lang w:val="en-CA" w:eastAsia="fr-CA"/>
        </w:rPr>
        <w:t>The applicants relied on the misrepresentations when they bought their telephones</w:t>
      </w:r>
      <w:r w:rsidR="005C6F40">
        <w:rPr>
          <w:rFonts w:eastAsia="ArialMT" w:cs="Arial"/>
          <w:i w:val="0"/>
          <w:sz w:val="22"/>
          <w:szCs w:val="22"/>
          <w:lang w:val="en-CA" w:eastAsia="fr-CA"/>
        </w:rPr>
        <w:t>,</w:t>
      </w:r>
      <w:r w:rsidR="000957A2">
        <w:rPr>
          <w:rFonts w:eastAsia="ArialMT" w:cs="Arial"/>
          <w:i w:val="0"/>
          <w:sz w:val="22"/>
          <w:szCs w:val="22"/>
          <w:lang w:val="en-CA" w:eastAsia="fr-CA"/>
        </w:rPr>
        <w:t xml:space="preserve"> which resulted in their having “suffered an injury-in-fact </w:t>
      </w:r>
      <w:r w:rsidR="005C6F40">
        <w:rPr>
          <w:rFonts w:eastAsia="ArialMT" w:cs="Arial"/>
          <w:i w:val="0"/>
          <w:sz w:val="22"/>
          <w:szCs w:val="22"/>
          <w:lang w:val="en-CA" w:eastAsia="fr-CA"/>
        </w:rPr>
        <w:t>and</w:t>
      </w:r>
      <w:r w:rsidR="000957A2">
        <w:rPr>
          <w:rFonts w:eastAsia="ArialMT" w:cs="Arial"/>
          <w:i w:val="0"/>
          <w:sz w:val="22"/>
          <w:szCs w:val="22"/>
          <w:lang w:val="en-CA" w:eastAsia="fr-CA"/>
        </w:rPr>
        <w:t xml:space="preserve"> lost money” (para. 155), “suffered ascertainable loss, injury-in-fact and/or actual damage” (</w:t>
      </w:r>
      <w:r w:rsidR="00B574E2">
        <w:rPr>
          <w:rFonts w:eastAsia="ArialMT" w:cs="Arial"/>
          <w:i w:val="0"/>
          <w:sz w:val="22"/>
          <w:szCs w:val="22"/>
          <w:lang w:val="en-CA" w:eastAsia="fr-CA"/>
        </w:rPr>
        <w:t>p</w:t>
      </w:r>
      <w:r w:rsidR="000957A2">
        <w:rPr>
          <w:rFonts w:eastAsia="ArialMT" w:cs="Arial"/>
          <w:i w:val="0"/>
          <w:sz w:val="22"/>
          <w:szCs w:val="22"/>
          <w:lang w:val="en-CA" w:eastAsia="fr-CA"/>
        </w:rPr>
        <w:t xml:space="preserve">ara. 190), “overpaid for their smartphones, and/or their smartphone have suffered a diminution in value” (paras. 158 </w:t>
      </w:r>
      <w:r w:rsidR="00B574E2">
        <w:rPr>
          <w:rFonts w:eastAsia="ArialMT" w:cs="Arial"/>
          <w:i w:val="0"/>
          <w:sz w:val="22"/>
          <w:szCs w:val="22"/>
          <w:lang w:val="en-CA" w:eastAsia="fr-CA"/>
        </w:rPr>
        <w:t xml:space="preserve">and </w:t>
      </w:r>
      <w:r w:rsidR="000957A2">
        <w:rPr>
          <w:rFonts w:eastAsia="ArialMT" w:cs="Arial"/>
          <w:i w:val="0"/>
          <w:sz w:val="22"/>
          <w:szCs w:val="22"/>
          <w:lang w:val="en-CA" w:eastAsia="fr-CA"/>
        </w:rPr>
        <w:t>173)</w:t>
      </w:r>
      <w:r w:rsidR="00B574E2">
        <w:rPr>
          <w:rFonts w:eastAsia="ArialMT" w:cs="Arial"/>
          <w:i w:val="0"/>
          <w:sz w:val="22"/>
          <w:szCs w:val="22"/>
          <w:lang w:val="en-CA" w:eastAsia="fr-CA"/>
        </w:rPr>
        <w:t>;</w:t>
      </w:r>
      <w:r w:rsidR="000957A2">
        <w:rPr>
          <w:rFonts w:eastAsia="ArialMT" w:cs="Arial"/>
          <w:i w:val="0"/>
          <w:sz w:val="22"/>
          <w:szCs w:val="22"/>
          <w:lang w:val="en-CA" w:eastAsia="fr-CA"/>
        </w:rPr>
        <w:t xml:space="preserve"> </w:t>
      </w:r>
      <w:r w:rsidR="00B574E2">
        <w:rPr>
          <w:rFonts w:eastAsia="ArialMT" w:cs="Arial"/>
          <w:i w:val="0"/>
          <w:sz w:val="22"/>
          <w:szCs w:val="22"/>
          <w:lang w:val="en-CA" w:eastAsia="fr-CA"/>
        </w:rPr>
        <w:t xml:space="preserve">they </w:t>
      </w:r>
      <w:r w:rsidR="000957A2">
        <w:rPr>
          <w:rFonts w:eastAsia="ArialMT" w:cs="Arial"/>
          <w:i w:val="0"/>
          <w:sz w:val="22"/>
          <w:szCs w:val="22"/>
          <w:lang w:val="en-CA" w:eastAsia="fr-CA"/>
        </w:rPr>
        <w:t xml:space="preserve">“would have purchased or leased less expensive alternative cellphones that did not emit RF radiation exposure at </w:t>
      </w:r>
      <w:r w:rsidR="005C6F40">
        <w:rPr>
          <w:rFonts w:eastAsia="ArialMT" w:cs="Arial"/>
          <w:i w:val="0"/>
          <w:sz w:val="22"/>
          <w:szCs w:val="22"/>
          <w:lang w:val="en-CA" w:eastAsia="fr-CA"/>
        </w:rPr>
        <w:t>unsafe</w:t>
      </w:r>
      <w:r w:rsidR="000957A2">
        <w:rPr>
          <w:rFonts w:eastAsia="ArialMT" w:cs="Arial"/>
          <w:i w:val="0"/>
          <w:sz w:val="22"/>
          <w:szCs w:val="22"/>
          <w:lang w:val="en-CA" w:eastAsia="fr-CA"/>
        </w:rPr>
        <w:t xml:space="preserve"> levels” (paras. 160 and 175) and “would have taken steps to minimize their exposure” (para. 175);</w:t>
      </w:r>
    </w:p>
    <w:p w14:paraId="5CF66B31" w14:textId="77777777" w:rsidR="00E57111" w:rsidRPr="000957A2" w:rsidRDefault="000957A2" w:rsidP="00E57111">
      <w:pPr>
        <w:pStyle w:val="F02-Texte"/>
        <w:ind w:left="0" w:firstLine="0"/>
        <w:rPr>
          <w:rFonts w:cs="Arial"/>
          <w:szCs w:val="24"/>
          <w:lang w:val="en-CA"/>
        </w:rPr>
      </w:pPr>
      <w:r w:rsidRPr="000957A2">
        <w:rPr>
          <w:rFonts w:cs="Arial"/>
          <w:szCs w:val="24"/>
          <w:lang w:val="en-CA" w:eastAsia="fr-CA"/>
        </w:rPr>
        <w:t>The Fonds then summarized the application and the testimony heard at its hearing in paragraphs [40] to [42] of the decision:</w:t>
      </w:r>
    </w:p>
    <w:p w14:paraId="46504EDB" w14:textId="26857BF9" w:rsidR="005C6F40" w:rsidRDefault="005C6F40" w:rsidP="00E57111">
      <w:pPr>
        <w:pStyle w:val="F04-Retrait"/>
        <w:ind w:right="931"/>
        <w:rPr>
          <w:rFonts w:eastAsia="ArialMT"/>
          <w:i w:val="0"/>
          <w:sz w:val="22"/>
          <w:szCs w:val="22"/>
          <w:lang w:val="en-CA" w:eastAsia="fr-CA"/>
        </w:rPr>
      </w:pPr>
      <w:r>
        <w:rPr>
          <w:rFonts w:eastAsia="ArialMT"/>
          <w:i w:val="0"/>
          <w:sz w:val="22"/>
          <w:szCs w:val="22"/>
          <w:lang w:val="en-CA" w:eastAsia="fr-CA"/>
        </w:rPr>
        <w:lastRenderedPageBreak/>
        <w:t>[</w:t>
      </w:r>
      <w:r w:rsidRPr="005C6F40">
        <w:rPr>
          <w:rFonts w:eastAsia="ArialMT"/>
          <w:i w:val="0"/>
          <w:smallCaps/>
          <w:sz w:val="22"/>
          <w:szCs w:val="22"/>
          <w:lang w:val="en-CA" w:eastAsia="fr-CA"/>
        </w:rPr>
        <w:t>translation</w:t>
      </w:r>
      <w:r>
        <w:rPr>
          <w:rFonts w:eastAsia="ArialMT"/>
          <w:i w:val="0"/>
          <w:sz w:val="22"/>
          <w:szCs w:val="22"/>
          <w:lang w:val="en-CA" w:eastAsia="fr-CA"/>
        </w:rPr>
        <w:t>]</w:t>
      </w:r>
    </w:p>
    <w:p w14:paraId="747B1F19" w14:textId="4E43A1FB" w:rsidR="00E57111" w:rsidRPr="002A0F51" w:rsidRDefault="002A0F51" w:rsidP="00E57111">
      <w:pPr>
        <w:pStyle w:val="F04-Retrait"/>
        <w:ind w:right="931"/>
        <w:rPr>
          <w:rFonts w:eastAsia="ArialMT"/>
          <w:i w:val="0"/>
          <w:sz w:val="22"/>
          <w:szCs w:val="22"/>
          <w:lang w:val="en-CA" w:eastAsia="fr-CA"/>
        </w:rPr>
      </w:pPr>
      <w:r w:rsidRPr="002A0F51">
        <w:rPr>
          <w:rFonts w:eastAsia="ArialMT"/>
          <w:i w:val="0"/>
          <w:sz w:val="22"/>
          <w:szCs w:val="22"/>
          <w:lang w:val="en-CA" w:eastAsia="fr-CA"/>
        </w:rPr>
        <w:t xml:space="preserve">[40] </w:t>
      </w:r>
      <w:r w:rsidR="005C6F40" w:rsidRPr="002A0F51">
        <w:rPr>
          <w:rFonts w:eastAsia="ArialMT"/>
          <w:i w:val="0"/>
          <w:sz w:val="22"/>
          <w:szCs w:val="22"/>
          <w:lang w:val="en-CA" w:eastAsia="fr-CA"/>
        </w:rPr>
        <w:t>Essentially</w:t>
      </w:r>
      <w:r w:rsidRPr="002A0F51">
        <w:rPr>
          <w:rFonts w:eastAsia="ArialMT"/>
          <w:i w:val="0"/>
          <w:sz w:val="22"/>
          <w:szCs w:val="22"/>
          <w:lang w:val="en-CA" w:eastAsia="fr-CA"/>
        </w:rPr>
        <w:t xml:space="preserve">, it appears from the Application for authorization and the testimony </w:t>
      </w:r>
      <w:r w:rsidR="006A2397">
        <w:rPr>
          <w:rFonts w:eastAsia="ArialMT"/>
          <w:i w:val="0"/>
          <w:sz w:val="22"/>
          <w:szCs w:val="22"/>
          <w:lang w:val="en-CA" w:eastAsia="fr-CA"/>
        </w:rPr>
        <w:t>given</w:t>
      </w:r>
      <w:r w:rsidRPr="002A0F51">
        <w:rPr>
          <w:rFonts w:eastAsia="ArialMT"/>
          <w:i w:val="0"/>
          <w:sz w:val="22"/>
          <w:szCs w:val="22"/>
          <w:lang w:val="en-CA" w:eastAsia="fr-CA"/>
        </w:rPr>
        <w:t xml:space="preserve"> at the hearing on February 24, 2020, that the applicants intend to  present an action for compensatory and punitive damages to establish the following </w:t>
      </w:r>
      <w:r w:rsidR="005C6F40" w:rsidRPr="002A0F51">
        <w:rPr>
          <w:rFonts w:eastAsia="ArialMT"/>
          <w:i w:val="0"/>
          <w:sz w:val="22"/>
          <w:szCs w:val="22"/>
          <w:lang w:val="en-CA" w:eastAsia="fr-CA"/>
        </w:rPr>
        <w:t>injurious</w:t>
      </w:r>
      <w:r w:rsidRPr="002A0F51">
        <w:rPr>
          <w:rFonts w:eastAsia="ArialMT"/>
          <w:i w:val="0"/>
          <w:sz w:val="22"/>
          <w:szCs w:val="22"/>
          <w:lang w:val="en-CA" w:eastAsia="fr-CA"/>
        </w:rPr>
        <w:t xml:space="preserve"> acts:</w:t>
      </w:r>
    </w:p>
    <w:p w14:paraId="3264FC4B" w14:textId="77777777" w:rsidR="00E57111" w:rsidRPr="002A0F51" w:rsidRDefault="00E57111" w:rsidP="00E57111">
      <w:pPr>
        <w:pStyle w:val="F05-Retrait2"/>
        <w:rPr>
          <w:rFonts w:eastAsia="ArialMT"/>
          <w:i w:val="0"/>
          <w:sz w:val="22"/>
          <w:szCs w:val="22"/>
          <w:lang w:val="en-CA" w:eastAsia="fr-CA"/>
        </w:rPr>
      </w:pPr>
      <w:r w:rsidRPr="002A0F51">
        <w:rPr>
          <w:rFonts w:eastAsia="ArialMT"/>
          <w:i w:val="0"/>
          <w:sz w:val="22"/>
          <w:szCs w:val="22"/>
          <w:lang w:val="en-CA" w:eastAsia="fr-CA"/>
        </w:rPr>
        <w:t>(1)  </w:t>
      </w:r>
      <w:r w:rsidR="002A0F51" w:rsidRPr="002A0F51">
        <w:rPr>
          <w:rFonts w:eastAsia="ArialMT"/>
          <w:i w:val="0"/>
          <w:sz w:val="22"/>
          <w:szCs w:val="22"/>
          <w:lang w:val="en-CA" w:eastAsia="fr-CA"/>
        </w:rPr>
        <w:t>Misrepresenting the results of the tests on the radiofrequency emissions;</w:t>
      </w:r>
    </w:p>
    <w:p w14:paraId="672F869C" w14:textId="0C399697" w:rsidR="00E57111" w:rsidRPr="002A0F51" w:rsidRDefault="00E57111" w:rsidP="00E57111">
      <w:pPr>
        <w:pStyle w:val="F05-Retrait2"/>
        <w:rPr>
          <w:rFonts w:eastAsia="ArialMT"/>
          <w:i w:val="0"/>
          <w:sz w:val="22"/>
          <w:szCs w:val="22"/>
          <w:lang w:val="en-CA" w:eastAsia="fr-CA"/>
        </w:rPr>
      </w:pPr>
      <w:r w:rsidRPr="002A0F51">
        <w:rPr>
          <w:rFonts w:eastAsia="ArialMT"/>
          <w:i w:val="0"/>
          <w:sz w:val="22"/>
          <w:szCs w:val="22"/>
          <w:lang w:val="en-CA" w:eastAsia="fr-CA"/>
        </w:rPr>
        <w:t>(2)  </w:t>
      </w:r>
      <w:r w:rsidR="00E6215D">
        <w:rPr>
          <w:rFonts w:eastAsia="ArialMT"/>
          <w:i w:val="0"/>
          <w:sz w:val="22"/>
          <w:szCs w:val="22"/>
          <w:lang w:val="en-CA" w:eastAsia="fr-CA"/>
        </w:rPr>
        <w:t>Engaging in</w:t>
      </w:r>
      <w:r w:rsidR="002A0F51" w:rsidRPr="002A0F51">
        <w:rPr>
          <w:rFonts w:eastAsia="ArialMT"/>
          <w:i w:val="0"/>
          <w:sz w:val="22"/>
          <w:szCs w:val="22"/>
          <w:lang w:val="en-CA" w:eastAsia="fr-CA"/>
        </w:rPr>
        <w:t xml:space="preserve"> misleading </w:t>
      </w:r>
      <w:r w:rsidR="009953A9" w:rsidRPr="002A0F51">
        <w:rPr>
          <w:rFonts w:eastAsia="ArialMT"/>
          <w:i w:val="0"/>
          <w:sz w:val="22"/>
          <w:szCs w:val="22"/>
          <w:lang w:val="en-CA" w:eastAsia="fr-CA"/>
        </w:rPr>
        <w:t>advertising</w:t>
      </w:r>
      <w:r w:rsidR="002A0F51" w:rsidRPr="002A0F51">
        <w:rPr>
          <w:rFonts w:eastAsia="ArialMT"/>
          <w:i w:val="0"/>
          <w:sz w:val="22"/>
          <w:szCs w:val="22"/>
          <w:lang w:val="en-CA" w:eastAsia="fr-CA"/>
        </w:rPr>
        <w:t xml:space="preserve"> implying that it is safe to use the cellular phone models near the body;</w:t>
      </w:r>
    </w:p>
    <w:p w14:paraId="254C05CF" w14:textId="7A688660" w:rsidR="00E57111" w:rsidRPr="002A0F51" w:rsidRDefault="00E57111" w:rsidP="00E57111">
      <w:pPr>
        <w:pStyle w:val="F05-Retrait2"/>
        <w:rPr>
          <w:rFonts w:eastAsia="ArialMT"/>
          <w:i w:val="0"/>
          <w:sz w:val="22"/>
          <w:szCs w:val="22"/>
          <w:lang w:val="en-CA" w:eastAsia="fr-CA"/>
        </w:rPr>
      </w:pPr>
      <w:r w:rsidRPr="002A0F51">
        <w:rPr>
          <w:rFonts w:eastAsia="ArialMT"/>
          <w:i w:val="0"/>
          <w:sz w:val="22"/>
          <w:szCs w:val="22"/>
          <w:lang w:val="en-CA" w:eastAsia="fr-CA"/>
        </w:rPr>
        <w:t>(3)  </w:t>
      </w:r>
      <w:r w:rsidR="00CC6E2F">
        <w:rPr>
          <w:rFonts w:eastAsia="ArialMT"/>
          <w:i w:val="0"/>
          <w:sz w:val="22"/>
          <w:szCs w:val="22"/>
          <w:lang w:val="en-CA" w:eastAsia="fr-CA"/>
        </w:rPr>
        <w:t xml:space="preserve">Failing to </w:t>
      </w:r>
      <w:r w:rsidR="00CC6E2F" w:rsidRPr="002A0F51">
        <w:rPr>
          <w:rFonts w:eastAsia="ArialMT"/>
          <w:i w:val="0"/>
          <w:sz w:val="22"/>
          <w:szCs w:val="22"/>
          <w:lang w:val="en-CA" w:eastAsia="fr-CA"/>
        </w:rPr>
        <w:t xml:space="preserve">sufficiently </w:t>
      </w:r>
      <w:r w:rsidR="00CC6E2F">
        <w:rPr>
          <w:rFonts w:eastAsia="ArialMT"/>
          <w:i w:val="0"/>
          <w:sz w:val="22"/>
          <w:szCs w:val="22"/>
          <w:lang w:val="en-CA" w:eastAsia="fr-CA"/>
        </w:rPr>
        <w:t>warn</w:t>
      </w:r>
      <w:r w:rsidR="002A0F51" w:rsidRPr="002A0F51">
        <w:rPr>
          <w:rFonts w:eastAsia="ArialMT"/>
          <w:i w:val="0"/>
          <w:sz w:val="22"/>
          <w:szCs w:val="22"/>
          <w:lang w:val="en-CA" w:eastAsia="fr-CA"/>
        </w:rPr>
        <w:t xml:space="preserve"> users of the dangers to their health of using cell phones near the body;</w:t>
      </w:r>
    </w:p>
    <w:p w14:paraId="7087A8B1" w14:textId="112CA972" w:rsidR="00E57111" w:rsidRPr="002A0F51" w:rsidRDefault="00E57111" w:rsidP="00E57111">
      <w:pPr>
        <w:pStyle w:val="F05-Retrait2"/>
        <w:rPr>
          <w:rFonts w:eastAsia="ArialMT"/>
          <w:i w:val="0"/>
          <w:sz w:val="22"/>
          <w:szCs w:val="22"/>
          <w:lang w:val="en-CA" w:eastAsia="fr-CA"/>
        </w:rPr>
      </w:pPr>
      <w:r w:rsidRPr="002A0F51">
        <w:rPr>
          <w:rFonts w:eastAsia="ArialMT"/>
          <w:i w:val="0"/>
          <w:sz w:val="22"/>
          <w:szCs w:val="22"/>
          <w:lang w:val="en-CA" w:eastAsia="fr-CA"/>
        </w:rPr>
        <w:t>(4)  </w:t>
      </w:r>
      <w:r w:rsidR="00CC6E2F">
        <w:rPr>
          <w:rFonts w:eastAsia="ArialMT"/>
          <w:i w:val="0"/>
          <w:sz w:val="22"/>
          <w:szCs w:val="22"/>
          <w:lang w:val="en-CA" w:eastAsia="fr-CA"/>
        </w:rPr>
        <w:t>Emitting</w:t>
      </w:r>
      <w:r w:rsidR="002A0F51" w:rsidRPr="002A0F51">
        <w:rPr>
          <w:rFonts w:eastAsia="ArialMT"/>
          <w:i w:val="0"/>
          <w:sz w:val="22"/>
          <w:szCs w:val="22"/>
          <w:lang w:val="en-CA" w:eastAsia="fr-CA"/>
        </w:rPr>
        <w:t xml:space="preserve"> emissions or </w:t>
      </w:r>
      <w:r w:rsidR="00CC6E2F" w:rsidRPr="002A0F51">
        <w:rPr>
          <w:rFonts w:eastAsia="ArialMT"/>
          <w:i w:val="0"/>
          <w:sz w:val="22"/>
          <w:szCs w:val="22"/>
          <w:lang w:val="en-CA" w:eastAsia="fr-CA"/>
        </w:rPr>
        <w:t>pollutants</w:t>
      </w:r>
      <w:r w:rsidR="002A0F51" w:rsidRPr="002A0F51">
        <w:rPr>
          <w:rFonts w:eastAsia="ArialMT"/>
          <w:i w:val="0"/>
          <w:sz w:val="22"/>
          <w:szCs w:val="22"/>
          <w:lang w:val="en-CA" w:eastAsia="fr-CA"/>
        </w:rPr>
        <w:t xml:space="preserve"> in violation of prescribed standards;</w:t>
      </w:r>
    </w:p>
    <w:p w14:paraId="1F5F8DFB" w14:textId="3A4BAC98" w:rsidR="00E57111" w:rsidRPr="002A0F51" w:rsidRDefault="00E57111" w:rsidP="00E57111">
      <w:pPr>
        <w:pStyle w:val="F05-Retrait2"/>
        <w:rPr>
          <w:rFonts w:eastAsia="ArialMT"/>
          <w:i w:val="0"/>
          <w:sz w:val="22"/>
          <w:szCs w:val="22"/>
          <w:lang w:val="en-CA" w:eastAsia="fr-CA"/>
        </w:rPr>
      </w:pPr>
      <w:r w:rsidRPr="002A0F51">
        <w:rPr>
          <w:rFonts w:eastAsia="ArialMT"/>
          <w:i w:val="0"/>
          <w:sz w:val="22"/>
          <w:szCs w:val="22"/>
          <w:lang w:val="en-CA" w:eastAsia="fr-CA"/>
        </w:rPr>
        <w:t>(5)  </w:t>
      </w:r>
      <w:r w:rsidR="002A0F51" w:rsidRPr="002A0F51">
        <w:rPr>
          <w:rFonts w:eastAsia="ArialMT"/>
          <w:i w:val="0"/>
          <w:sz w:val="22"/>
          <w:szCs w:val="22"/>
          <w:lang w:val="en-CA" w:eastAsia="fr-CA"/>
        </w:rPr>
        <w:t xml:space="preserve">Having intentionally acted in violation of </w:t>
      </w:r>
      <w:r w:rsidR="00CC6E2F" w:rsidRPr="002A0F51">
        <w:rPr>
          <w:rFonts w:eastAsia="ArialMT"/>
          <w:i w:val="0"/>
          <w:sz w:val="22"/>
          <w:szCs w:val="22"/>
          <w:lang w:val="en-CA" w:eastAsia="fr-CA"/>
        </w:rPr>
        <w:t>the</w:t>
      </w:r>
      <w:r w:rsidR="002A0F51" w:rsidRPr="002A0F51">
        <w:rPr>
          <w:rFonts w:eastAsia="ArialMT"/>
          <w:i w:val="0"/>
          <w:sz w:val="22"/>
          <w:szCs w:val="22"/>
          <w:lang w:val="en-CA" w:eastAsia="fr-CA"/>
        </w:rPr>
        <w:t xml:space="preserve"> standards. </w:t>
      </w:r>
    </w:p>
    <w:p w14:paraId="2FD69D71" w14:textId="22F1D299" w:rsidR="00E57111" w:rsidRPr="002A0F51" w:rsidRDefault="002A0F51" w:rsidP="00E57111">
      <w:pPr>
        <w:pStyle w:val="F04-Retrait"/>
        <w:rPr>
          <w:rFonts w:eastAsia="ArialMT"/>
          <w:i w:val="0"/>
          <w:sz w:val="22"/>
          <w:szCs w:val="22"/>
          <w:lang w:val="en-CA" w:eastAsia="fr-CA"/>
        </w:rPr>
      </w:pPr>
      <w:r w:rsidRPr="002A0F51">
        <w:rPr>
          <w:rFonts w:eastAsia="ArialMT"/>
          <w:i w:val="0"/>
          <w:sz w:val="22"/>
          <w:szCs w:val="22"/>
          <w:lang w:val="en-CA" w:eastAsia="fr-CA"/>
        </w:rPr>
        <w:t>[41] They base their actions mainly on the following provisions:</w:t>
      </w:r>
    </w:p>
    <w:p w14:paraId="5762C7EC" w14:textId="77777777" w:rsidR="00E57111" w:rsidRPr="002A0F51" w:rsidRDefault="002A0F51" w:rsidP="00E57111">
      <w:pPr>
        <w:pStyle w:val="F05-Retrait2"/>
        <w:rPr>
          <w:rFonts w:eastAsia="ArialMT"/>
          <w:i w:val="0"/>
          <w:sz w:val="22"/>
          <w:szCs w:val="22"/>
          <w:lang w:val="en-CA" w:eastAsia="fr-CA"/>
        </w:rPr>
      </w:pPr>
      <w:r w:rsidRPr="002A0F51">
        <w:rPr>
          <w:rFonts w:eastAsia="ArialMT"/>
          <w:b/>
          <w:i w:val="0"/>
          <w:sz w:val="22"/>
          <w:szCs w:val="22"/>
          <w:lang w:val="en-CA" w:eastAsia="fr-CA"/>
        </w:rPr>
        <w:t xml:space="preserve">(a) </w:t>
      </w:r>
      <w:r w:rsidRPr="00CC6E2F">
        <w:rPr>
          <w:rFonts w:eastAsia="ArialMT"/>
          <w:i w:val="0"/>
          <w:sz w:val="22"/>
          <w:szCs w:val="22"/>
          <w:lang w:val="en-CA" w:eastAsia="fr-CA"/>
        </w:rPr>
        <w:t xml:space="preserve">2, 8, 37, 53, 216, 223.1, 218, 219, 228, 238(a), 253, and 272 </w:t>
      </w:r>
      <w:r w:rsidRPr="00CC6E2F">
        <w:rPr>
          <w:rFonts w:eastAsia="ArialMT"/>
          <w:sz w:val="22"/>
          <w:szCs w:val="22"/>
          <w:lang w:val="en-CA" w:eastAsia="fr-CA"/>
        </w:rPr>
        <w:t>C.P.A</w:t>
      </w:r>
      <w:r w:rsidRPr="00CC6E2F">
        <w:rPr>
          <w:rFonts w:eastAsia="ArialMT"/>
          <w:i w:val="0"/>
          <w:sz w:val="22"/>
          <w:szCs w:val="22"/>
          <w:lang w:val="en-CA" w:eastAsia="fr-CA"/>
        </w:rPr>
        <w:t>.;</w:t>
      </w:r>
    </w:p>
    <w:p w14:paraId="039C9AB4" w14:textId="77777777" w:rsidR="00E57111" w:rsidRPr="00EA3E22" w:rsidRDefault="002A0F51" w:rsidP="00E57111">
      <w:pPr>
        <w:pStyle w:val="F05-Retrait2"/>
        <w:rPr>
          <w:rFonts w:eastAsia="Arial-BoldMT"/>
          <w:bCs/>
          <w:i w:val="0"/>
          <w:sz w:val="22"/>
          <w:szCs w:val="22"/>
          <w:lang w:val="en-CA" w:eastAsia="fr-CA"/>
        </w:rPr>
      </w:pPr>
      <w:r w:rsidRPr="00EA3E22">
        <w:rPr>
          <w:rFonts w:eastAsia="Arial-BoldMT"/>
          <w:b/>
          <w:bCs/>
          <w:i w:val="0"/>
          <w:sz w:val="22"/>
          <w:szCs w:val="22"/>
          <w:lang w:val="en-CA" w:eastAsia="fr-CA"/>
        </w:rPr>
        <w:t xml:space="preserve">(b) </w:t>
      </w:r>
      <w:r w:rsidRPr="00CC6E2F">
        <w:rPr>
          <w:rFonts w:eastAsia="Arial-BoldMT"/>
          <w:bCs/>
          <w:i w:val="0"/>
          <w:sz w:val="22"/>
          <w:szCs w:val="22"/>
          <w:lang w:val="en-CA" w:eastAsia="fr-CA"/>
        </w:rPr>
        <w:t xml:space="preserve">1457 </w:t>
      </w:r>
      <w:r w:rsidRPr="00A166AB">
        <w:rPr>
          <w:rFonts w:eastAsia="Arial-BoldMT"/>
          <w:bCs/>
          <w:i w:val="0"/>
          <w:sz w:val="22"/>
          <w:szCs w:val="22"/>
          <w:lang w:val="en-CA" w:eastAsia="fr-CA"/>
        </w:rPr>
        <w:t>C.C.Q</w:t>
      </w:r>
      <w:r w:rsidRPr="00E6215D">
        <w:rPr>
          <w:rFonts w:eastAsia="Arial-BoldMT"/>
          <w:bCs/>
          <w:i w:val="0"/>
          <w:sz w:val="22"/>
          <w:szCs w:val="22"/>
          <w:lang w:val="en-CA" w:eastAsia="fr-CA"/>
        </w:rPr>
        <w:t>.</w:t>
      </w:r>
    </w:p>
    <w:p w14:paraId="29E7A96F" w14:textId="4D2FF5FF" w:rsidR="00E57111" w:rsidRPr="002A0F51" w:rsidRDefault="002A0F51" w:rsidP="00E57111">
      <w:pPr>
        <w:pStyle w:val="F05-Retrait2"/>
        <w:rPr>
          <w:rFonts w:eastAsia="ArialMT"/>
          <w:i w:val="0"/>
          <w:sz w:val="22"/>
          <w:szCs w:val="22"/>
          <w:lang w:val="en-CA" w:eastAsia="fr-CA"/>
        </w:rPr>
      </w:pPr>
      <w:r w:rsidRPr="002A0F51">
        <w:rPr>
          <w:rFonts w:eastAsia="Arial-BoldMT"/>
          <w:b/>
          <w:bCs/>
          <w:i w:val="0"/>
          <w:sz w:val="22"/>
          <w:szCs w:val="22"/>
          <w:lang w:val="en-CA" w:eastAsia="fr-CA"/>
        </w:rPr>
        <w:t xml:space="preserve">(c) </w:t>
      </w:r>
      <w:r w:rsidRPr="00CC6E2F">
        <w:rPr>
          <w:rFonts w:eastAsia="Arial-BoldMT"/>
          <w:bCs/>
          <w:i w:val="0"/>
          <w:sz w:val="22"/>
          <w:szCs w:val="22"/>
          <w:lang w:val="en-CA" w:eastAsia="fr-CA"/>
        </w:rPr>
        <w:t xml:space="preserve">19.1 </w:t>
      </w:r>
      <w:r w:rsidR="00CC6E2F" w:rsidRPr="00CC6E2F">
        <w:rPr>
          <w:rFonts w:eastAsia="Arial-BoldMT"/>
          <w:bCs/>
          <w:i w:val="0"/>
          <w:sz w:val="22"/>
          <w:szCs w:val="22"/>
          <w:lang w:val="en-CA" w:eastAsia="fr-CA"/>
        </w:rPr>
        <w:t>and</w:t>
      </w:r>
      <w:r w:rsidRPr="00CC6E2F">
        <w:rPr>
          <w:rFonts w:eastAsia="Arial-BoldMT"/>
          <w:bCs/>
          <w:i w:val="0"/>
          <w:sz w:val="22"/>
          <w:szCs w:val="22"/>
          <w:lang w:val="en-CA" w:eastAsia="fr-CA"/>
        </w:rPr>
        <w:t xml:space="preserve"> 22 </w:t>
      </w:r>
      <w:r w:rsidRPr="00CC6E2F">
        <w:rPr>
          <w:rFonts w:eastAsia="Arial-BoldMT"/>
          <w:bCs/>
          <w:sz w:val="22"/>
          <w:szCs w:val="22"/>
          <w:lang w:val="en-CA" w:eastAsia="fr-CA"/>
        </w:rPr>
        <w:t>E.Q.A</w:t>
      </w:r>
      <w:r w:rsidRPr="00CC6E2F">
        <w:rPr>
          <w:rFonts w:eastAsia="Arial-BoldMT"/>
          <w:bCs/>
          <w:i w:val="0"/>
          <w:sz w:val="22"/>
          <w:szCs w:val="22"/>
          <w:lang w:val="en-CA" w:eastAsia="fr-CA"/>
        </w:rPr>
        <w:t>.;</w:t>
      </w:r>
    </w:p>
    <w:p w14:paraId="375BCA16" w14:textId="77777777" w:rsidR="00E57111" w:rsidRPr="00EA3E22" w:rsidRDefault="002A0F51" w:rsidP="00E57111">
      <w:pPr>
        <w:pStyle w:val="F05-Retrait2"/>
        <w:rPr>
          <w:rFonts w:eastAsia="ArialMT"/>
          <w:i w:val="0"/>
          <w:sz w:val="22"/>
          <w:szCs w:val="22"/>
          <w:lang w:val="en-CA" w:eastAsia="fr-CA"/>
        </w:rPr>
      </w:pPr>
      <w:r w:rsidRPr="00EA3E22">
        <w:rPr>
          <w:rFonts w:eastAsia="Arial-BoldMT"/>
          <w:b/>
          <w:bCs/>
          <w:i w:val="0"/>
          <w:sz w:val="22"/>
          <w:szCs w:val="22"/>
          <w:lang w:val="en-CA" w:eastAsia="fr-CA"/>
        </w:rPr>
        <w:t xml:space="preserve">(d) </w:t>
      </w:r>
      <w:r w:rsidRPr="00CC6E2F">
        <w:rPr>
          <w:rFonts w:eastAsia="Arial-BoldMT"/>
          <w:bCs/>
          <w:i w:val="0"/>
          <w:sz w:val="22"/>
          <w:szCs w:val="22"/>
          <w:lang w:val="en-CA" w:eastAsia="fr-CA"/>
        </w:rPr>
        <w:t xml:space="preserve">1, 6, 7, 24, 39, 46.1, and 49 of the Quebec </w:t>
      </w:r>
      <w:r w:rsidRPr="00CC6E2F">
        <w:rPr>
          <w:rFonts w:eastAsia="Arial-BoldMT"/>
          <w:bCs/>
          <w:sz w:val="22"/>
          <w:szCs w:val="22"/>
          <w:lang w:val="en-CA" w:eastAsia="fr-CA"/>
        </w:rPr>
        <w:t>Charter</w:t>
      </w:r>
      <w:r w:rsidRPr="00CC6E2F">
        <w:rPr>
          <w:rFonts w:eastAsia="Arial-BoldMT"/>
          <w:bCs/>
          <w:i w:val="0"/>
          <w:sz w:val="22"/>
          <w:szCs w:val="22"/>
          <w:lang w:val="en-CA" w:eastAsia="fr-CA"/>
        </w:rPr>
        <w:t>;</w:t>
      </w:r>
    </w:p>
    <w:p w14:paraId="576481C3" w14:textId="77777777" w:rsidR="00E57111" w:rsidRPr="00EA3E22" w:rsidRDefault="002A0F51" w:rsidP="00E57111">
      <w:pPr>
        <w:pStyle w:val="F05-Retrait2"/>
        <w:rPr>
          <w:rFonts w:eastAsia="ArialMT"/>
          <w:i w:val="0"/>
          <w:sz w:val="22"/>
          <w:szCs w:val="22"/>
          <w:lang w:val="en-CA" w:eastAsia="fr-CA"/>
        </w:rPr>
      </w:pPr>
      <w:r w:rsidRPr="00EA3E22">
        <w:rPr>
          <w:rFonts w:eastAsia="Arial-BoldMT"/>
          <w:b/>
          <w:bCs/>
          <w:i w:val="0"/>
          <w:sz w:val="22"/>
          <w:szCs w:val="22"/>
          <w:lang w:val="en-CA" w:eastAsia="fr-CA"/>
        </w:rPr>
        <w:t xml:space="preserve">(e) </w:t>
      </w:r>
      <w:r w:rsidRPr="00CC6E2F">
        <w:rPr>
          <w:rFonts w:eastAsia="Arial-BoldMT"/>
          <w:bCs/>
          <w:i w:val="0"/>
          <w:sz w:val="22"/>
          <w:szCs w:val="22"/>
          <w:lang w:val="en-CA" w:eastAsia="fr-CA"/>
        </w:rPr>
        <w:t xml:space="preserve">52, 74.01, 74.02, and 74.03(5) of the </w:t>
      </w:r>
      <w:r w:rsidRPr="00CC6E2F">
        <w:rPr>
          <w:rFonts w:eastAsia="Arial-BoldMT"/>
          <w:bCs/>
          <w:sz w:val="22"/>
          <w:szCs w:val="22"/>
          <w:lang w:val="en-CA" w:eastAsia="fr-CA"/>
        </w:rPr>
        <w:t>Competition Act</w:t>
      </w:r>
      <w:r w:rsidRPr="00CC6E2F">
        <w:rPr>
          <w:rFonts w:eastAsia="Arial-BoldMT"/>
          <w:bCs/>
          <w:i w:val="0"/>
          <w:sz w:val="22"/>
          <w:szCs w:val="22"/>
          <w:lang w:val="en-CA" w:eastAsia="fr-CA"/>
        </w:rPr>
        <w:t>.</w:t>
      </w:r>
    </w:p>
    <w:p w14:paraId="45D2F287" w14:textId="73D4B6BD" w:rsidR="00E57111" w:rsidRPr="00D37391" w:rsidRDefault="00D37391" w:rsidP="00E57111">
      <w:pPr>
        <w:pStyle w:val="F04-Retrait"/>
        <w:ind w:right="931"/>
        <w:rPr>
          <w:i w:val="0"/>
          <w:sz w:val="22"/>
          <w:szCs w:val="22"/>
          <w:u w:val="single"/>
          <w:lang w:val="en-CA"/>
        </w:rPr>
      </w:pPr>
      <w:r w:rsidRPr="00D37391">
        <w:rPr>
          <w:rFonts w:eastAsia="ArialMT"/>
          <w:i w:val="0"/>
          <w:sz w:val="22"/>
          <w:szCs w:val="22"/>
          <w:lang w:val="en-CA" w:eastAsia="fr-CA"/>
        </w:rPr>
        <w:t>[42] The damages s</w:t>
      </w:r>
      <w:r w:rsidR="00CC6E2F">
        <w:rPr>
          <w:rFonts w:eastAsia="ArialMT"/>
          <w:i w:val="0"/>
          <w:sz w:val="22"/>
          <w:szCs w:val="22"/>
          <w:lang w:val="en-CA" w:eastAsia="fr-CA"/>
        </w:rPr>
        <w:t>ought are generally made up of</w:t>
      </w:r>
      <w:r w:rsidRPr="00D37391">
        <w:rPr>
          <w:rFonts w:eastAsia="ArialMT"/>
          <w:i w:val="0"/>
          <w:sz w:val="22"/>
          <w:szCs w:val="22"/>
          <w:lang w:val="en-CA" w:eastAsia="fr-CA"/>
        </w:rPr>
        <w:t xml:space="preserve"> monetary losses, “injury-in-fact”</w:t>
      </w:r>
      <w:r w:rsidR="00E6215D">
        <w:rPr>
          <w:rFonts w:eastAsia="ArialMT"/>
          <w:i w:val="0"/>
          <w:sz w:val="22"/>
          <w:szCs w:val="22"/>
          <w:lang w:val="en-CA" w:eastAsia="fr-CA"/>
        </w:rPr>
        <w:t>,</w:t>
      </w:r>
      <w:r w:rsidR="00CC6E2F">
        <w:rPr>
          <w:rFonts w:eastAsia="ArialMT"/>
          <w:i w:val="0"/>
          <w:sz w:val="22"/>
          <w:szCs w:val="22"/>
          <w:lang w:val="en-CA" w:eastAsia="fr-CA"/>
        </w:rPr>
        <w:t xml:space="preserve"> and the risk of health</w:t>
      </w:r>
      <w:r w:rsidRPr="00D37391">
        <w:rPr>
          <w:rFonts w:eastAsia="ArialMT"/>
          <w:i w:val="0"/>
          <w:sz w:val="22"/>
          <w:szCs w:val="22"/>
          <w:lang w:val="en-CA" w:eastAsia="fr-CA"/>
        </w:rPr>
        <w:t>care issues.</w:t>
      </w:r>
    </w:p>
    <w:p w14:paraId="48AEF2F8" w14:textId="18957AE8" w:rsidR="00E57111" w:rsidRPr="00131556" w:rsidRDefault="00131556" w:rsidP="00E57111">
      <w:pPr>
        <w:pStyle w:val="F02-Texte"/>
        <w:autoSpaceDE w:val="0"/>
        <w:autoSpaceDN w:val="0"/>
        <w:adjustRightInd w:val="0"/>
        <w:ind w:left="0" w:firstLine="0"/>
        <w:rPr>
          <w:rFonts w:cs="Arial"/>
          <w:szCs w:val="24"/>
          <w:u w:val="single"/>
          <w:lang w:val="en-CA"/>
        </w:rPr>
      </w:pPr>
      <w:r w:rsidRPr="00131556">
        <w:rPr>
          <w:rFonts w:eastAsia="ArialMT" w:cs="Arial"/>
          <w:szCs w:val="24"/>
          <w:lang w:val="en-CA" w:eastAsia="fr-CA"/>
        </w:rPr>
        <w:lastRenderedPageBreak/>
        <w:t>Like the Fonds,</w:t>
      </w:r>
      <w:r w:rsidR="00E57111">
        <w:rPr>
          <w:rStyle w:val="Appelnotedebasdep"/>
        </w:rPr>
        <w:footnoteReference w:id="68"/>
      </w:r>
      <w:r w:rsidRPr="00131556">
        <w:rPr>
          <w:rFonts w:eastAsia="ArialMT" w:cs="Arial"/>
          <w:szCs w:val="24"/>
          <w:lang w:val="en-CA" w:eastAsia="fr-CA"/>
        </w:rPr>
        <w:t xml:space="preserve"> the Tribunal is of the view that there are certain allegations of fact that are vague, general, and imprecise, particularly those relating to </w:t>
      </w:r>
      <w:r w:rsidR="00D76F02">
        <w:rPr>
          <w:rFonts w:eastAsia="ArialMT" w:cs="Arial"/>
          <w:szCs w:val="24"/>
          <w:lang w:val="en-CA" w:eastAsia="fr-CA"/>
        </w:rPr>
        <w:t xml:space="preserve">the third </w:t>
      </w:r>
      <w:r w:rsidRPr="00131556">
        <w:rPr>
          <w:rFonts w:eastAsia="ArialMT" w:cs="Arial"/>
          <w:szCs w:val="24"/>
          <w:lang w:val="en-CA" w:eastAsia="fr-CA"/>
        </w:rPr>
        <w:t>syllogism, that is, the serious injury to health.</w:t>
      </w:r>
    </w:p>
    <w:p w14:paraId="7AABEA55" w14:textId="24D77CF7" w:rsidR="00E57111" w:rsidRPr="00131556" w:rsidRDefault="00131556" w:rsidP="00E57111">
      <w:pPr>
        <w:pStyle w:val="F02-Texte"/>
        <w:tabs>
          <w:tab w:val="num" w:pos="720"/>
        </w:tabs>
        <w:autoSpaceDE w:val="0"/>
        <w:autoSpaceDN w:val="0"/>
        <w:adjustRightInd w:val="0"/>
        <w:spacing w:before="280"/>
        <w:ind w:left="0" w:firstLine="0"/>
        <w:rPr>
          <w:lang w:val="en-CA"/>
        </w:rPr>
      </w:pPr>
      <w:r w:rsidRPr="00131556">
        <w:rPr>
          <w:rFonts w:cs="Arial"/>
          <w:szCs w:val="24"/>
          <w:lang w:val="en-CA" w:eastAsia="fr-CA"/>
        </w:rPr>
        <w:t xml:space="preserve">Indeed, the facts alleged concerning the health issues of applicants Zoe Patton </w:t>
      </w:r>
      <w:r w:rsidR="00CC6E2F" w:rsidRPr="00131556">
        <w:rPr>
          <w:rFonts w:cs="Arial"/>
          <w:szCs w:val="24"/>
          <w:lang w:val="en-CA" w:eastAsia="fr-CA"/>
        </w:rPr>
        <w:t>and</w:t>
      </w:r>
      <w:r w:rsidRPr="00131556">
        <w:rPr>
          <w:rFonts w:cs="Arial"/>
          <w:szCs w:val="24"/>
          <w:lang w:val="en-CA" w:eastAsia="fr-CA"/>
        </w:rPr>
        <w:t xml:space="preserve"> Claire O’Brien reveal the weaknesses that will make it difficult to establish an arguable case in this respect.</w:t>
      </w:r>
    </w:p>
    <w:p w14:paraId="3049C1B4" w14:textId="4536100C" w:rsidR="00E57111" w:rsidRPr="00131556" w:rsidRDefault="00131556" w:rsidP="00E57111">
      <w:pPr>
        <w:pStyle w:val="F02-Texte"/>
        <w:tabs>
          <w:tab w:val="num" w:pos="720"/>
        </w:tabs>
        <w:autoSpaceDE w:val="0"/>
        <w:autoSpaceDN w:val="0"/>
        <w:adjustRightInd w:val="0"/>
        <w:spacing w:before="280"/>
        <w:ind w:left="0" w:firstLine="0"/>
        <w:rPr>
          <w:szCs w:val="24"/>
          <w:lang w:val="en-CA"/>
        </w:rPr>
      </w:pPr>
      <w:r w:rsidRPr="00131556">
        <w:rPr>
          <w:rFonts w:cs="Arial"/>
          <w:szCs w:val="24"/>
          <w:lang w:val="en-CA" w:eastAsia="fr-CA"/>
        </w:rPr>
        <w:t xml:space="preserve">During her testimony before the Tribunal, Zoe Patton confirmed that her physician was unable to connect her menstrual cycle </w:t>
      </w:r>
      <w:r w:rsidR="00E54205" w:rsidRPr="00131556">
        <w:rPr>
          <w:rFonts w:cs="Arial"/>
          <w:szCs w:val="24"/>
          <w:lang w:val="en-CA" w:eastAsia="fr-CA"/>
        </w:rPr>
        <w:t xml:space="preserve">issues </w:t>
      </w:r>
      <w:r w:rsidRPr="00131556">
        <w:rPr>
          <w:rFonts w:cs="Arial"/>
          <w:szCs w:val="24"/>
          <w:lang w:val="en-CA" w:eastAsia="fr-CA"/>
        </w:rPr>
        <w:t xml:space="preserve">to </w:t>
      </w:r>
      <w:r w:rsidR="00E54205">
        <w:rPr>
          <w:rFonts w:cs="Arial"/>
          <w:szCs w:val="24"/>
          <w:lang w:val="en-CA" w:eastAsia="fr-CA"/>
        </w:rPr>
        <w:t>the use of</w:t>
      </w:r>
      <w:r w:rsidRPr="00131556">
        <w:rPr>
          <w:rFonts w:cs="Arial"/>
          <w:szCs w:val="24"/>
          <w:lang w:val="en-CA" w:eastAsia="fr-CA"/>
        </w:rPr>
        <w:t xml:space="preserve"> her cell phone.</w:t>
      </w:r>
      <w:r w:rsidR="00E57111" w:rsidRPr="00131556">
        <w:rPr>
          <w:rFonts w:eastAsia="TimesNewRomanPSMT" w:cs="Arial"/>
          <w:szCs w:val="24"/>
          <w:lang w:val="en-CA" w:eastAsia="fr-CA"/>
        </w:rPr>
        <w:t xml:space="preserve"> </w:t>
      </w:r>
      <w:r w:rsidRPr="00131556">
        <w:rPr>
          <w:rFonts w:eastAsia="TimesNewRomanPSMT" w:cs="Arial"/>
          <w:szCs w:val="24"/>
          <w:lang w:val="en-CA" w:eastAsia="fr-CA"/>
        </w:rPr>
        <w:t xml:space="preserve">As for Claire O’Brien, the facts alleged are based solely on her testimony that using the cell phone </w:t>
      </w:r>
      <w:r w:rsidR="00E54205">
        <w:rPr>
          <w:rFonts w:eastAsia="TimesNewRomanPSMT" w:cs="Arial"/>
          <w:szCs w:val="24"/>
          <w:lang w:val="en-CA" w:eastAsia="fr-CA"/>
        </w:rPr>
        <w:t xml:space="preserve">causes her </w:t>
      </w:r>
      <w:r w:rsidRPr="00131556">
        <w:rPr>
          <w:rFonts w:eastAsia="TimesNewRomanPSMT" w:cs="Arial"/>
          <w:szCs w:val="24"/>
          <w:lang w:val="en-CA" w:eastAsia="fr-CA"/>
        </w:rPr>
        <w:t>stress.</w:t>
      </w:r>
    </w:p>
    <w:p w14:paraId="1898F5ED" w14:textId="3D0E028A" w:rsidR="00E57111" w:rsidRPr="00131556" w:rsidRDefault="00131556" w:rsidP="00E57111">
      <w:pPr>
        <w:pStyle w:val="F02-Texte"/>
        <w:ind w:left="0" w:firstLine="0"/>
        <w:rPr>
          <w:lang w:val="en-CA"/>
        </w:rPr>
      </w:pPr>
      <w:r w:rsidRPr="00131556">
        <w:rPr>
          <w:rFonts w:cs="Arial"/>
          <w:szCs w:val="24"/>
          <w:lang w:val="en-CA" w:eastAsia="fr-CA"/>
        </w:rPr>
        <w:t>However, the Tribunal considers that there are allegations of fact that make it possible to establish the existence of an arguable case regarding</w:t>
      </w:r>
      <w:r w:rsidR="00E54205">
        <w:rPr>
          <w:rFonts w:cs="Arial"/>
          <w:szCs w:val="24"/>
          <w:lang w:val="en-CA" w:eastAsia="fr-CA"/>
        </w:rPr>
        <w:t xml:space="preserve"> the first and second</w:t>
      </w:r>
      <w:r w:rsidRPr="00131556">
        <w:rPr>
          <w:rFonts w:cs="Arial"/>
          <w:szCs w:val="24"/>
          <w:lang w:val="en-CA" w:eastAsia="fr-CA"/>
        </w:rPr>
        <w:t xml:space="preserve"> syllogisms.</w:t>
      </w:r>
    </w:p>
    <w:p w14:paraId="3F1F4F47" w14:textId="6DC7B48C" w:rsidR="00E57111" w:rsidRPr="00E23315" w:rsidRDefault="00E23315" w:rsidP="00E57111">
      <w:pPr>
        <w:pStyle w:val="F02-Texte"/>
        <w:tabs>
          <w:tab w:val="num" w:pos="720"/>
        </w:tabs>
        <w:autoSpaceDE w:val="0"/>
        <w:autoSpaceDN w:val="0"/>
        <w:adjustRightInd w:val="0"/>
        <w:spacing w:before="280"/>
        <w:ind w:left="0" w:firstLine="0"/>
        <w:rPr>
          <w:rFonts w:cs="Arial"/>
          <w:i/>
          <w:szCs w:val="24"/>
          <w:lang w:val="en-CA"/>
        </w:rPr>
      </w:pPr>
      <w:r w:rsidRPr="00E23315">
        <w:rPr>
          <w:rFonts w:eastAsia="ArialMT" w:cs="Arial"/>
          <w:szCs w:val="24"/>
          <w:lang w:val="en-CA" w:eastAsia="fr-CA"/>
        </w:rPr>
        <w:t xml:space="preserve">Indeed, the facts alleged stating that </w:t>
      </w:r>
      <w:r w:rsidR="009B2E83">
        <w:rPr>
          <w:rFonts w:eastAsia="ArialMT" w:cs="Arial"/>
          <w:szCs w:val="24"/>
          <w:lang w:val="en-CA" w:eastAsia="fr-CA"/>
        </w:rPr>
        <w:t>cell phones</w:t>
      </w:r>
      <w:r w:rsidRPr="00E23315">
        <w:rPr>
          <w:rFonts w:eastAsia="ArialMT" w:cs="Arial"/>
          <w:szCs w:val="24"/>
          <w:lang w:val="en-CA" w:eastAsia="fr-CA"/>
        </w:rPr>
        <w:t xml:space="preserve"> emit radiofrequencies at levels that violate standards </w:t>
      </w:r>
      <w:r w:rsidR="00572A57" w:rsidRPr="00E23315">
        <w:rPr>
          <w:rFonts w:eastAsia="ArialMT" w:cs="Arial"/>
          <w:szCs w:val="24"/>
          <w:lang w:val="en-CA" w:eastAsia="fr-CA"/>
        </w:rPr>
        <w:t>and</w:t>
      </w:r>
      <w:r w:rsidRPr="00E23315">
        <w:rPr>
          <w:rFonts w:eastAsia="ArialMT" w:cs="Arial"/>
          <w:szCs w:val="24"/>
          <w:lang w:val="en-CA" w:eastAsia="fr-CA"/>
        </w:rPr>
        <w:t xml:space="preserve"> that they are not safe to use as intended, contrary to the </w:t>
      </w:r>
      <w:r w:rsidR="00572A57" w:rsidRPr="00E23315">
        <w:rPr>
          <w:rFonts w:eastAsia="ArialMT" w:cs="Arial"/>
          <w:szCs w:val="24"/>
          <w:lang w:val="en-CA" w:eastAsia="fr-CA"/>
        </w:rPr>
        <w:t>advertising</w:t>
      </w:r>
      <w:r w:rsidRPr="00E23315">
        <w:rPr>
          <w:rFonts w:eastAsia="ArialMT" w:cs="Arial"/>
          <w:szCs w:val="24"/>
          <w:lang w:val="en-CA" w:eastAsia="fr-CA"/>
        </w:rPr>
        <w:t xml:space="preserve"> promoting use near or against </w:t>
      </w:r>
      <w:r w:rsidR="00572A57" w:rsidRPr="00E23315">
        <w:rPr>
          <w:rFonts w:eastAsia="ArialMT" w:cs="Arial"/>
          <w:szCs w:val="24"/>
          <w:lang w:val="en-CA" w:eastAsia="fr-CA"/>
        </w:rPr>
        <w:t>the</w:t>
      </w:r>
      <w:r w:rsidRPr="00E23315">
        <w:rPr>
          <w:rFonts w:eastAsia="ArialMT" w:cs="Arial"/>
          <w:szCs w:val="24"/>
          <w:lang w:val="en-CA" w:eastAsia="fr-CA"/>
        </w:rPr>
        <w:t xml:space="preserve"> body, are sufficiently </w:t>
      </w:r>
      <w:r w:rsidR="005A2583">
        <w:rPr>
          <w:rFonts w:eastAsia="ArialMT" w:cs="Arial"/>
          <w:szCs w:val="24"/>
          <w:lang w:val="en-CA" w:eastAsia="fr-CA"/>
        </w:rPr>
        <w:t>precise</w:t>
      </w:r>
      <w:r w:rsidRPr="00E23315">
        <w:rPr>
          <w:rFonts w:eastAsia="ArialMT" w:cs="Arial"/>
          <w:szCs w:val="24"/>
          <w:lang w:val="en-CA" w:eastAsia="fr-CA"/>
        </w:rPr>
        <w:t xml:space="preserve"> and supported by documentary evidence to be </w:t>
      </w:r>
      <w:r w:rsidR="00572A57">
        <w:rPr>
          <w:rFonts w:eastAsia="ArialMT" w:cs="Arial"/>
          <w:szCs w:val="24"/>
          <w:lang w:val="en-CA" w:eastAsia="fr-CA"/>
        </w:rPr>
        <w:t>assumed to be true</w:t>
      </w:r>
      <w:r w:rsidRPr="00E23315">
        <w:rPr>
          <w:rFonts w:eastAsia="ArialMT" w:cs="Arial"/>
          <w:szCs w:val="24"/>
          <w:lang w:val="en-CA" w:eastAsia="fr-CA"/>
        </w:rPr>
        <w:t>.</w:t>
      </w:r>
      <w:r w:rsidR="00E57111">
        <w:rPr>
          <w:rStyle w:val="Appelnotedebasdep"/>
        </w:rPr>
        <w:footnoteReference w:id="69"/>
      </w:r>
    </w:p>
    <w:p w14:paraId="2F3129E4" w14:textId="4534E402" w:rsidR="00E57111" w:rsidRPr="00E23315" w:rsidRDefault="00E23315" w:rsidP="00E57111">
      <w:pPr>
        <w:pStyle w:val="F02-Texte"/>
        <w:autoSpaceDE w:val="0"/>
        <w:autoSpaceDN w:val="0"/>
        <w:adjustRightInd w:val="0"/>
        <w:ind w:left="0" w:firstLine="0"/>
        <w:rPr>
          <w:rFonts w:cs="Arial"/>
          <w:szCs w:val="24"/>
          <w:u w:val="single"/>
          <w:lang w:val="en-CA"/>
        </w:rPr>
      </w:pPr>
      <w:r w:rsidRPr="00E23315">
        <w:rPr>
          <w:rFonts w:eastAsia="ArialMT" w:cs="Arial"/>
          <w:szCs w:val="24"/>
          <w:lang w:val="en-CA" w:eastAsia="fr-CA"/>
        </w:rPr>
        <w:t xml:space="preserve">Furthermore, the Tribunal notes </w:t>
      </w:r>
      <w:r w:rsidR="003756CE">
        <w:rPr>
          <w:rFonts w:eastAsia="ArialMT" w:cs="Arial"/>
          <w:szCs w:val="24"/>
          <w:lang w:val="en-CA" w:eastAsia="fr-CA"/>
        </w:rPr>
        <w:t>certain</w:t>
      </w:r>
      <w:r w:rsidRPr="00E23315">
        <w:rPr>
          <w:rFonts w:eastAsia="ArialMT" w:cs="Arial"/>
          <w:szCs w:val="24"/>
          <w:lang w:val="en-CA" w:eastAsia="fr-CA"/>
        </w:rPr>
        <w:t xml:space="preserve"> errors in the </w:t>
      </w:r>
      <w:r w:rsidR="00572A57" w:rsidRPr="00E23315">
        <w:rPr>
          <w:rFonts w:eastAsia="ArialMT" w:cs="Arial"/>
          <w:szCs w:val="24"/>
          <w:lang w:val="en-CA" w:eastAsia="fr-CA"/>
        </w:rPr>
        <w:t>Fonds’s</w:t>
      </w:r>
      <w:r w:rsidRPr="00E23315">
        <w:rPr>
          <w:rFonts w:eastAsia="ArialMT" w:cs="Arial"/>
          <w:szCs w:val="24"/>
          <w:lang w:val="en-CA" w:eastAsia="fr-CA"/>
        </w:rPr>
        <w:t xml:space="preserve"> decision on the analysis of the documents submitted.</w:t>
      </w:r>
    </w:p>
    <w:p w14:paraId="0C20D42B" w14:textId="5E6A8322" w:rsidR="00E57111" w:rsidRPr="00E23315" w:rsidRDefault="00E23315" w:rsidP="00E57111">
      <w:pPr>
        <w:pStyle w:val="F02-Texte"/>
        <w:autoSpaceDE w:val="0"/>
        <w:autoSpaceDN w:val="0"/>
        <w:adjustRightInd w:val="0"/>
        <w:ind w:left="0" w:firstLine="0"/>
        <w:rPr>
          <w:rFonts w:cs="Arial"/>
          <w:szCs w:val="24"/>
          <w:u w:val="single"/>
          <w:lang w:val="en-CA"/>
        </w:rPr>
      </w:pPr>
      <w:r w:rsidRPr="00E23315">
        <w:rPr>
          <w:rFonts w:eastAsia="ArialMT" w:cs="Arial"/>
          <w:szCs w:val="24"/>
          <w:lang w:val="en-CA" w:eastAsia="fr-CA"/>
        </w:rPr>
        <w:t xml:space="preserve">First, contrary to what </w:t>
      </w:r>
      <w:r w:rsidR="00CF3838">
        <w:rPr>
          <w:rFonts w:eastAsia="ArialMT" w:cs="Arial"/>
          <w:szCs w:val="24"/>
          <w:lang w:val="en-CA" w:eastAsia="fr-CA"/>
        </w:rPr>
        <w:t>is</w:t>
      </w:r>
      <w:r w:rsidRPr="00E23315">
        <w:rPr>
          <w:rFonts w:eastAsia="ArialMT" w:cs="Arial"/>
          <w:szCs w:val="24"/>
          <w:lang w:val="en-CA" w:eastAsia="fr-CA"/>
        </w:rPr>
        <w:t xml:space="preserve"> stated in paragraph [46] of </w:t>
      </w:r>
      <w:r w:rsidR="000155E3" w:rsidRPr="00E23315">
        <w:rPr>
          <w:rFonts w:eastAsia="ArialMT" w:cs="Arial"/>
          <w:szCs w:val="24"/>
          <w:lang w:val="en-CA" w:eastAsia="fr-CA"/>
        </w:rPr>
        <w:t>the</w:t>
      </w:r>
      <w:r w:rsidRPr="00E23315">
        <w:rPr>
          <w:rFonts w:eastAsia="ArialMT" w:cs="Arial"/>
          <w:szCs w:val="24"/>
          <w:lang w:val="en-CA" w:eastAsia="fr-CA"/>
        </w:rPr>
        <w:t xml:space="preserve"> Fonds’s decision, the applicants submitted exhibits P-3B, P-3C, and P-3D, which are in Excel and video format, on the USB key sent by their attorney in support of their application for financial assistance.</w:t>
      </w:r>
    </w:p>
    <w:p w14:paraId="62781BE8" w14:textId="461BBD98" w:rsidR="00E57111" w:rsidRPr="00227D1B" w:rsidRDefault="00227D1B" w:rsidP="00E57111">
      <w:pPr>
        <w:pStyle w:val="F02-Texte"/>
        <w:autoSpaceDE w:val="0"/>
        <w:autoSpaceDN w:val="0"/>
        <w:adjustRightInd w:val="0"/>
        <w:ind w:left="0" w:firstLine="0"/>
        <w:rPr>
          <w:rFonts w:eastAsia="ArialMT" w:cs="Arial"/>
          <w:szCs w:val="24"/>
          <w:lang w:val="en-CA" w:eastAsia="fr-CA"/>
        </w:rPr>
      </w:pPr>
      <w:r w:rsidRPr="00227D1B">
        <w:rPr>
          <w:rFonts w:eastAsia="TimesNewRomanPSMT" w:cs="Arial"/>
          <w:szCs w:val="24"/>
          <w:lang w:val="en-CA" w:eastAsia="fr-CA"/>
        </w:rPr>
        <w:t>Second, in connection with paragraph [47] of the Fonds’s decision, the Tribunal is</w:t>
      </w:r>
      <w:r w:rsidR="003756CE">
        <w:rPr>
          <w:rFonts w:eastAsia="TimesNewRomanPSMT" w:cs="Arial"/>
          <w:szCs w:val="24"/>
          <w:lang w:val="en-CA" w:eastAsia="fr-CA"/>
        </w:rPr>
        <w:t xml:space="preserve"> instead</w:t>
      </w:r>
      <w:r w:rsidRPr="00227D1B">
        <w:rPr>
          <w:rFonts w:eastAsia="TimesNewRomanPSMT" w:cs="Arial"/>
          <w:szCs w:val="24"/>
          <w:lang w:val="en-CA" w:eastAsia="fr-CA"/>
        </w:rPr>
        <w:t xml:space="preserve"> of the opinion that exhibit P-3G, the report prepared by expert Pedro Gregorio, contains concrete, precise, and palpable facts</w:t>
      </w:r>
      <w:r w:rsidR="000155E3">
        <w:rPr>
          <w:rFonts w:eastAsia="TimesNewRomanPSMT" w:cs="Arial"/>
          <w:szCs w:val="24"/>
          <w:lang w:val="en-CA" w:eastAsia="fr-CA"/>
        </w:rPr>
        <w:t xml:space="preserve"> </w:t>
      </w:r>
      <w:r w:rsidRPr="00227D1B">
        <w:rPr>
          <w:rFonts w:eastAsia="TimesNewRomanPSMT" w:cs="Arial"/>
          <w:szCs w:val="24"/>
          <w:lang w:val="en-CA" w:eastAsia="fr-CA"/>
        </w:rPr>
        <w:t>given that it was an analysis of tests performed on Apple</w:t>
      </w:r>
      <w:r w:rsidR="000155E3">
        <w:rPr>
          <w:rFonts w:eastAsia="TimesNewRomanPSMT" w:cs="Arial"/>
          <w:szCs w:val="24"/>
          <w:lang w:val="en-CA" w:eastAsia="fr-CA"/>
        </w:rPr>
        <w:t xml:space="preserve"> </w:t>
      </w:r>
      <w:r w:rsidRPr="00227D1B">
        <w:rPr>
          <w:rFonts w:eastAsia="TimesNewRomanPSMT" w:cs="Arial"/>
          <w:szCs w:val="24"/>
          <w:lang w:val="en-CA" w:eastAsia="fr-CA"/>
        </w:rPr>
        <w:t>an</w:t>
      </w:r>
      <w:r w:rsidR="000155E3">
        <w:rPr>
          <w:rFonts w:eastAsia="TimesNewRomanPSMT" w:cs="Arial"/>
          <w:szCs w:val="24"/>
          <w:lang w:val="en-CA" w:eastAsia="fr-CA"/>
        </w:rPr>
        <w:t>d</w:t>
      </w:r>
      <w:r w:rsidRPr="00227D1B">
        <w:rPr>
          <w:rFonts w:eastAsia="TimesNewRomanPSMT" w:cs="Arial"/>
          <w:szCs w:val="24"/>
          <w:lang w:val="en-CA" w:eastAsia="fr-CA"/>
        </w:rPr>
        <w:t xml:space="preserve"> Samsung </w:t>
      </w:r>
      <w:r w:rsidR="009B2E83">
        <w:rPr>
          <w:rFonts w:eastAsia="TimesNewRomanPSMT" w:cs="Arial"/>
          <w:szCs w:val="24"/>
          <w:lang w:val="en-CA" w:eastAsia="fr-CA"/>
        </w:rPr>
        <w:t>cell phones</w:t>
      </w:r>
      <w:r w:rsidRPr="00227D1B">
        <w:rPr>
          <w:rFonts w:eastAsia="TimesNewRomanPSMT" w:cs="Arial"/>
          <w:szCs w:val="24"/>
          <w:lang w:val="en-CA" w:eastAsia="fr-CA"/>
        </w:rPr>
        <w:t xml:space="preserve"> as reported in exhibits P-3A, P-3B, P-3C</w:t>
      </w:r>
      <w:r w:rsidR="003756CE">
        <w:rPr>
          <w:rFonts w:eastAsia="TimesNewRomanPSMT" w:cs="Arial"/>
          <w:szCs w:val="24"/>
          <w:lang w:val="en-CA" w:eastAsia="fr-CA"/>
        </w:rPr>
        <w:t>,</w:t>
      </w:r>
      <w:r w:rsidRPr="00227D1B">
        <w:rPr>
          <w:rFonts w:eastAsia="TimesNewRomanPSMT" w:cs="Arial"/>
          <w:szCs w:val="24"/>
          <w:lang w:val="en-CA" w:eastAsia="fr-CA"/>
        </w:rPr>
        <w:t xml:space="preserve"> </w:t>
      </w:r>
      <w:r w:rsidR="000155E3" w:rsidRPr="00227D1B">
        <w:rPr>
          <w:rFonts w:eastAsia="TimesNewRomanPSMT" w:cs="Arial"/>
          <w:szCs w:val="24"/>
          <w:lang w:val="en-CA" w:eastAsia="fr-CA"/>
        </w:rPr>
        <w:t>and</w:t>
      </w:r>
      <w:r w:rsidRPr="00227D1B">
        <w:rPr>
          <w:rFonts w:eastAsia="TimesNewRomanPSMT" w:cs="Arial"/>
          <w:szCs w:val="24"/>
          <w:lang w:val="en-CA" w:eastAsia="fr-CA"/>
        </w:rPr>
        <w:t xml:space="preserve"> summarized in tables 2 </w:t>
      </w:r>
      <w:r w:rsidR="000155E3" w:rsidRPr="00227D1B">
        <w:rPr>
          <w:rFonts w:eastAsia="TimesNewRomanPSMT" w:cs="Arial"/>
          <w:szCs w:val="24"/>
          <w:lang w:val="en-CA" w:eastAsia="fr-CA"/>
        </w:rPr>
        <w:t>and</w:t>
      </w:r>
      <w:r w:rsidRPr="00227D1B">
        <w:rPr>
          <w:rFonts w:eastAsia="TimesNewRomanPSMT" w:cs="Arial"/>
          <w:szCs w:val="24"/>
          <w:lang w:val="en-CA" w:eastAsia="fr-CA"/>
        </w:rPr>
        <w:t xml:space="preserve"> 3 by indicating in red the radiofrequency results at levels that violate the FCC standard.</w:t>
      </w:r>
    </w:p>
    <w:p w14:paraId="34D38C84" w14:textId="4F2CAAD7" w:rsidR="00E57111" w:rsidRPr="00227D1B" w:rsidRDefault="00227D1B" w:rsidP="00E57111">
      <w:pPr>
        <w:pStyle w:val="F02-Texte"/>
        <w:autoSpaceDE w:val="0"/>
        <w:autoSpaceDN w:val="0"/>
        <w:adjustRightInd w:val="0"/>
        <w:ind w:left="0" w:firstLine="0"/>
        <w:rPr>
          <w:rFonts w:cs="Arial"/>
          <w:szCs w:val="24"/>
          <w:u w:val="single"/>
          <w:lang w:val="en-CA"/>
        </w:rPr>
      </w:pPr>
      <w:r w:rsidRPr="00227D1B">
        <w:rPr>
          <w:rFonts w:cs="Arial"/>
          <w:szCs w:val="24"/>
          <w:lang w:val="en-CA"/>
        </w:rPr>
        <w:lastRenderedPageBreak/>
        <w:t xml:space="preserve">Third, the Tribunal notes that the Fonds confused part of </w:t>
      </w:r>
      <w:r w:rsidR="000155E3" w:rsidRPr="00227D1B">
        <w:rPr>
          <w:rFonts w:cs="Arial"/>
          <w:szCs w:val="24"/>
          <w:lang w:val="en-CA"/>
        </w:rPr>
        <w:t>the</w:t>
      </w:r>
      <w:r w:rsidRPr="00227D1B">
        <w:rPr>
          <w:rFonts w:cs="Arial"/>
          <w:szCs w:val="24"/>
          <w:lang w:val="en-CA"/>
        </w:rPr>
        <w:t xml:space="preserve"> information submitted</w:t>
      </w:r>
      <w:r w:rsidR="006C18D5">
        <w:rPr>
          <w:rFonts w:cs="Arial"/>
          <w:szCs w:val="24"/>
          <w:lang w:val="en-CA"/>
        </w:rPr>
        <w:t>,</w:t>
      </w:r>
      <w:r w:rsidRPr="00227D1B">
        <w:rPr>
          <w:rFonts w:cs="Arial"/>
          <w:szCs w:val="24"/>
          <w:lang w:val="en-CA"/>
        </w:rPr>
        <w:t xml:space="preserve"> given paragraph [48] of the decision.</w:t>
      </w:r>
    </w:p>
    <w:p w14:paraId="32C279BF" w14:textId="17B47E4C" w:rsidR="00E57111" w:rsidRPr="000A7047" w:rsidRDefault="000A7047" w:rsidP="00E57111">
      <w:pPr>
        <w:pStyle w:val="F02-Texte"/>
        <w:autoSpaceDE w:val="0"/>
        <w:autoSpaceDN w:val="0"/>
        <w:adjustRightInd w:val="0"/>
        <w:ind w:left="0" w:firstLine="0"/>
        <w:rPr>
          <w:rFonts w:cs="Arial"/>
          <w:szCs w:val="24"/>
          <w:u w:val="single"/>
          <w:lang w:val="en-CA"/>
        </w:rPr>
      </w:pPr>
      <w:r w:rsidRPr="000A7047">
        <w:rPr>
          <w:rFonts w:cs="Arial"/>
          <w:szCs w:val="24"/>
          <w:lang w:val="en-CA"/>
        </w:rPr>
        <w:t>It is true that the facts allege</w:t>
      </w:r>
      <w:r w:rsidR="006C18D5">
        <w:rPr>
          <w:rFonts w:cs="Arial"/>
          <w:szCs w:val="24"/>
          <w:lang w:val="en-CA"/>
        </w:rPr>
        <w:t>d are not supported by exhibit</w:t>
      </w:r>
      <w:r w:rsidRPr="000A7047">
        <w:rPr>
          <w:rFonts w:cs="Arial"/>
          <w:szCs w:val="24"/>
          <w:lang w:val="en-CA"/>
        </w:rPr>
        <w:t xml:space="preserve"> P-3HB (”Certificate of Testing R&amp;D SAR Evaluation” prepared by RF Exposure Lab), which does not contain the tables of results inserted in paragraph [66] of the application for authorization.</w:t>
      </w:r>
      <w:r w:rsidR="00E57111" w:rsidRPr="000A7047">
        <w:rPr>
          <w:rFonts w:eastAsia="ArialMT" w:cs="Arial"/>
          <w:szCs w:val="24"/>
          <w:lang w:val="en-CA" w:eastAsia="fr-CA"/>
        </w:rPr>
        <w:t xml:space="preserve"> </w:t>
      </w:r>
      <w:r w:rsidRPr="000A7047">
        <w:rPr>
          <w:rFonts w:eastAsia="ArialMT" w:cs="Arial"/>
          <w:szCs w:val="24"/>
          <w:lang w:val="en-CA" w:eastAsia="fr-CA"/>
        </w:rPr>
        <w:t>In fact, these are tests performed on December 4, 2019, concerning the iPhone 11 Pro.</w:t>
      </w:r>
    </w:p>
    <w:p w14:paraId="69C56D66" w14:textId="5892CC70" w:rsidR="00E57111" w:rsidRPr="005D775B" w:rsidRDefault="005D775B" w:rsidP="00E57111">
      <w:pPr>
        <w:pStyle w:val="F02-Texte"/>
        <w:autoSpaceDE w:val="0"/>
        <w:autoSpaceDN w:val="0"/>
        <w:adjustRightInd w:val="0"/>
        <w:ind w:left="0" w:firstLine="0"/>
        <w:rPr>
          <w:rFonts w:cs="Arial"/>
          <w:szCs w:val="24"/>
          <w:u w:val="single"/>
          <w:lang w:val="en-CA"/>
        </w:rPr>
      </w:pPr>
      <w:r w:rsidRPr="005D775B">
        <w:rPr>
          <w:rFonts w:eastAsia="ArialMT" w:cs="Arial"/>
          <w:szCs w:val="24"/>
          <w:lang w:val="en-CA" w:eastAsia="fr-CA"/>
        </w:rPr>
        <w:t>However, it cannot be found that paragraphs [51] to [66] of the application for authorization imply that they are the same results and that they originate from this exhibit, because these paragraphs refer only to exhibit P-3A.</w:t>
      </w:r>
      <w:r w:rsidR="00E57111" w:rsidRPr="005D775B">
        <w:rPr>
          <w:rFonts w:eastAsia="ArialMT" w:cs="Arial"/>
          <w:szCs w:val="24"/>
          <w:lang w:val="en-CA" w:eastAsia="fr-CA"/>
        </w:rPr>
        <w:t xml:space="preserve"> </w:t>
      </w:r>
      <w:r w:rsidRPr="005D775B">
        <w:rPr>
          <w:rFonts w:eastAsia="ArialMT" w:cs="Arial"/>
          <w:szCs w:val="24"/>
          <w:lang w:val="en-CA" w:eastAsia="fr-CA"/>
        </w:rPr>
        <w:t>Exhibit P-3A is the Chicago Tribune article published on August 22, 2019, concerning the tes</w:t>
      </w:r>
      <w:r w:rsidR="006C18D5">
        <w:rPr>
          <w:rFonts w:eastAsia="ArialMT" w:cs="Arial"/>
          <w:szCs w:val="24"/>
          <w:lang w:val="en-CA" w:eastAsia="fr-CA"/>
        </w:rPr>
        <w:t>ts performed in 2018 on several</w:t>
      </w:r>
      <w:r w:rsidRPr="005D775B">
        <w:rPr>
          <w:rFonts w:eastAsia="ArialMT" w:cs="Arial"/>
          <w:szCs w:val="24"/>
          <w:lang w:val="en-CA" w:eastAsia="fr-CA"/>
        </w:rPr>
        <w:t xml:space="preserve"> Apple and Samsung </w:t>
      </w:r>
      <w:r w:rsidR="009B2E83">
        <w:rPr>
          <w:rFonts w:eastAsia="ArialMT" w:cs="Arial"/>
          <w:szCs w:val="24"/>
          <w:lang w:val="en-CA" w:eastAsia="fr-CA"/>
        </w:rPr>
        <w:t>cell phone</w:t>
      </w:r>
      <w:r w:rsidR="006C18D5" w:rsidRPr="006C18D5">
        <w:rPr>
          <w:rFonts w:eastAsia="ArialMT" w:cs="Arial"/>
          <w:szCs w:val="24"/>
          <w:lang w:val="en-CA" w:eastAsia="fr-CA"/>
        </w:rPr>
        <w:t xml:space="preserve"> </w:t>
      </w:r>
      <w:r w:rsidR="006C18D5" w:rsidRPr="005D775B">
        <w:rPr>
          <w:rFonts w:eastAsia="ArialMT" w:cs="Arial"/>
          <w:szCs w:val="24"/>
          <w:lang w:val="en-CA" w:eastAsia="fr-CA"/>
        </w:rPr>
        <w:t>models</w:t>
      </w:r>
      <w:r w:rsidRPr="005D775B">
        <w:rPr>
          <w:rFonts w:eastAsia="ArialMT" w:cs="Arial"/>
          <w:szCs w:val="24"/>
          <w:lang w:val="en-CA" w:eastAsia="fr-CA"/>
        </w:rPr>
        <w:t>.</w:t>
      </w:r>
    </w:p>
    <w:p w14:paraId="5602DA2A" w14:textId="7F2DF345" w:rsidR="00E57111" w:rsidRPr="005D775B" w:rsidRDefault="005D775B" w:rsidP="00E57111">
      <w:pPr>
        <w:pStyle w:val="F02-Texte"/>
        <w:autoSpaceDE w:val="0"/>
        <w:autoSpaceDN w:val="0"/>
        <w:adjustRightInd w:val="0"/>
        <w:spacing w:before="280"/>
        <w:ind w:left="0" w:firstLine="0"/>
        <w:rPr>
          <w:rFonts w:cs="Arial"/>
          <w:szCs w:val="24"/>
          <w:u w:val="single"/>
          <w:lang w:val="en-CA"/>
        </w:rPr>
      </w:pPr>
      <w:r w:rsidRPr="005D775B">
        <w:rPr>
          <w:rFonts w:cs="Arial"/>
          <w:szCs w:val="24"/>
          <w:lang w:val="en-CA"/>
        </w:rPr>
        <w:t xml:space="preserve">Finally, contrary to what is said in paragraph [49] of </w:t>
      </w:r>
      <w:r w:rsidR="006C18D5" w:rsidRPr="005D775B">
        <w:rPr>
          <w:rFonts w:cs="Arial"/>
          <w:szCs w:val="24"/>
          <w:lang w:val="en-CA"/>
        </w:rPr>
        <w:t>the</w:t>
      </w:r>
      <w:r w:rsidRPr="005D775B">
        <w:rPr>
          <w:rFonts w:cs="Arial"/>
          <w:szCs w:val="24"/>
          <w:lang w:val="en-CA"/>
        </w:rPr>
        <w:t xml:space="preserve"> Fonds’s decision, </w:t>
      </w:r>
      <w:r w:rsidR="006C18D5" w:rsidRPr="005D775B">
        <w:rPr>
          <w:rFonts w:cs="Arial"/>
          <w:szCs w:val="24"/>
          <w:lang w:val="en-CA"/>
        </w:rPr>
        <w:t>paragraph [66]</w:t>
      </w:r>
      <w:r w:rsidR="006C18D5">
        <w:rPr>
          <w:rFonts w:cs="Arial"/>
          <w:szCs w:val="24"/>
          <w:lang w:val="en-CA"/>
        </w:rPr>
        <w:t xml:space="preserve"> of </w:t>
      </w:r>
      <w:r w:rsidRPr="005D775B">
        <w:rPr>
          <w:rFonts w:cs="Arial"/>
          <w:szCs w:val="24"/>
          <w:lang w:val="en-CA"/>
        </w:rPr>
        <w:t>the amended application dated December 15, 2019, refers to the</w:t>
      </w:r>
      <w:r w:rsidR="006C18D5">
        <w:rPr>
          <w:rFonts w:cs="Arial"/>
          <w:szCs w:val="24"/>
          <w:lang w:val="en-CA"/>
        </w:rPr>
        <w:t xml:space="preserve"> FCC’s</w:t>
      </w:r>
      <w:r w:rsidRPr="005D775B">
        <w:rPr>
          <w:rFonts w:cs="Arial"/>
          <w:szCs w:val="24"/>
          <w:lang w:val="en-CA"/>
        </w:rPr>
        <w:t xml:space="preserve"> 1.6 watt/kilogram limit. </w:t>
      </w:r>
    </w:p>
    <w:p w14:paraId="46785D9E" w14:textId="5051ABD2" w:rsidR="00E57111" w:rsidRPr="00D179BD" w:rsidRDefault="006C18D5" w:rsidP="00E57111">
      <w:pPr>
        <w:pStyle w:val="F02-Texte"/>
        <w:autoSpaceDE w:val="0"/>
        <w:autoSpaceDN w:val="0"/>
        <w:adjustRightInd w:val="0"/>
        <w:spacing w:before="280"/>
        <w:ind w:left="0" w:firstLine="0"/>
        <w:rPr>
          <w:rFonts w:cs="Arial"/>
          <w:szCs w:val="24"/>
          <w:u w:val="single"/>
          <w:lang w:val="en-CA"/>
        </w:rPr>
      </w:pPr>
      <w:r>
        <w:rPr>
          <w:rFonts w:cs="Arial"/>
          <w:szCs w:val="24"/>
          <w:lang w:val="en-CA"/>
        </w:rPr>
        <w:t>Concerning</w:t>
      </w:r>
      <w:r w:rsidR="00D179BD" w:rsidRPr="00D179BD">
        <w:rPr>
          <w:rFonts w:cs="Arial"/>
          <w:szCs w:val="24"/>
          <w:lang w:val="en-CA"/>
        </w:rPr>
        <w:t xml:space="preserve"> this limit, given that the FCC does not have jurisdiction over Canadian territory </w:t>
      </w:r>
      <w:r w:rsidRPr="00D179BD">
        <w:rPr>
          <w:rFonts w:cs="Arial"/>
          <w:szCs w:val="24"/>
          <w:lang w:val="en-CA"/>
        </w:rPr>
        <w:t>and</w:t>
      </w:r>
      <w:r w:rsidR="00D179BD" w:rsidRPr="00D179BD">
        <w:rPr>
          <w:rFonts w:cs="Arial"/>
          <w:szCs w:val="24"/>
          <w:lang w:val="en-CA"/>
        </w:rPr>
        <w:t xml:space="preserve"> that the applicants do not expressly argue the Canadian standards, the Superior Court authorized the filing of the guidelines stated in a Health Canada document </w:t>
      </w:r>
      <w:r w:rsidR="00EB1CE1">
        <w:rPr>
          <w:rFonts w:cs="Arial"/>
          <w:szCs w:val="24"/>
          <w:lang w:val="en-CA"/>
        </w:rPr>
        <w:t>titled</w:t>
      </w:r>
      <w:r w:rsidR="00D179BD" w:rsidRPr="00D179BD">
        <w:rPr>
          <w:rFonts w:cs="Arial"/>
          <w:szCs w:val="24"/>
          <w:lang w:val="en-CA"/>
        </w:rPr>
        <w:t xml:space="preserve"> “Safety Code 6 (2015) / Code de sécurité 6 (2015)” and its “Fact Sheet - What is Safety Code 6?”</w:t>
      </w:r>
      <w:r w:rsidR="00E57111" w:rsidRPr="00D179BD">
        <w:rPr>
          <w:rFonts w:eastAsia="ArialMT" w:cs="Arial"/>
          <w:iCs/>
          <w:szCs w:val="24"/>
          <w:lang w:val="en-CA" w:eastAsia="fr-CA"/>
        </w:rPr>
        <w:t xml:space="preserve">. </w:t>
      </w:r>
      <w:r w:rsidR="00D179BD" w:rsidRPr="00EA3E22">
        <w:rPr>
          <w:rFonts w:eastAsia="ArialMT" w:cs="Arial"/>
          <w:iCs/>
          <w:szCs w:val="24"/>
          <w:lang w:val="en-CA" w:eastAsia="fr-CA"/>
        </w:rPr>
        <w:t>It therefore appears that the debate will take place from this perspective.</w:t>
      </w:r>
      <w:r w:rsidR="00E57111" w:rsidRPr="00EA3E22">
        <w:rPr>
          <w:rStyle w:val="Appelnotedebasdep"/>
        </w:rPr>
        <w:footnoteReference w:id="70"/>
      </w:r>
    </w:p>
    <w:p w14:paraId="12AC4081" w14:textId="1C657945" w:rsidR="00E57111" w:rsidRPr="00D179BD" w:rsidRDefault="00D179BD" w:rsidP="00E57111">
      <w:pPr>
        <w:pStyle w:val="F02-Texte"/>
        <w:autoSpaceDE w:val="0"/>
        <w:autoSpaceDN w:val="0"/>
        <w:adjustRightInd w:val="0"/>
        <w:spacing w:before="280"/>
        <w:ind w:left="0" w:firstLine="0"/>
        <w:rPr>
          <w:rFonts w:cs="Arial"/>
          <w:szCs w:val="24"/>
          <w:u w:val="single"/>
          <w:lang w:val="en-CA"/>
        </w:rPr>
      </w:pPr>
      <w:r w:rsidRPr="00D179BD">
        <w:rPr>
          <w:rFonts w:eastAsia="ArialMT" w:cs="Arial"/>
          <w:iCs/>
          <w:szCs w:val="24"/>
          <w:lang w:val="en-CA" w:eastAsia="fr-CA"/>
        </w:rPr>
        <w:t xml:space="preserve">Also, while Apple and Samsung tried to reassure their Quebec buyers by erroneously alleging that American standards had been respected, their </w:t>
      </w:r>
      <w:r w:rsidR="00DF4D6A" w:rsidRPr="00D179BD">
        <w:rPr>
          <w:rFonts w:eastAsia="ArialMT" w:cs="Arial"/>
          <w:iCs/>
          <w:szCs w:val="24"/>
          <w:lang w:val="en-CA" w:eastAsia="fr-CA"/>
        </w:rPr>
        <w:t>failure</w:t>
      </w:r>
      <w:r w:rsidRPr="00D179BD">
        <w:rPr>
          <w:rFonts w:eastAsia="ArialMT" w:cs="Arial"/>
          <w:iCs/>
          <w:szCs w:val="24"/>
          <w:lang w:val="en-CA" w:eastAsia="fr-CA"/>
        </w:rPr>
        <w:t xml:space="preserve"> could </w:t>
      </w:r>
      <w:r w:rsidR="00DF4D6A" w:rsidRPr="00D179BD">
        <w:rPr>
          <w:rFonts w:eastAsia="ArialMT" w:cs="Arial"/>
          <w:iCs/>
          <w:szCs w:val="24"/>
          <w:lang w:val="en-CA" w:eastAsia="fr-CA"/>
        </w:rPr>
        <w:t>constitute</w:t>
      </w:r>
      <w:r w:rsidRPr="00D179BD">
        <w:rPr>
          <w:rFonts w:eastAsia="ArialMT" w:cs="Arial"/>
          <w:iCs/>
          <w:szCs w:val="24"/>
          <w:lang w:val="en-CA" w:eastAsia="fr-CA"/>
        </w:rPr>
        <w:t xml:space="preserve"> misrepresentations or misleading </w:t>
      </w:r>
      <w:r w:rsidR="00DF4D6A" w:rsidRPr="00D179BD">
        <w:rPr>
          <w:rFonts w:eastAsia="ArialMT" w:cs="Arial"/>
          <w:iCs/>
          <w:szCs w:val="24"/>
          <w:lang w:val="en-CA" w:eastAsia="fr-CA"/>
        </w:rPr>
        <w:t>advertising</w:t>
      </w:r>
      <w:r w:rsidRPr="00D179BD">
        <w:rPr>
          <w:rFonts w:eastAsia="ArialMT" w:cs="Arial"/>
          <w:iCs/>
          <w:szCs w:val="24"/>
          <w:lang w:val="en-CA" w:eastAsia="fr-CA"/>
        </w:rPr>
        <w:t xml:space="preserve"> despite </w:t>
      </w:r>
      <w:r w:rsidR="00DF4D6A">
        <w:rPr>
          <w:rFonts w:eastAsia="ArialMT" w:cs="Arial"/>
          <w:iCs/>
          <w:szCs w:val="24"/>
          <w:lang w:val="en-CA" w:eastAsia="fr-CA"/>
        </w:rPr>
        <w:t xml:space="preserve">their </w:t>
      </w:r>
      <w:r w:rsidR="00EB1CE1">
        <w:rPr>
          <w:rFonts w:eastAsia="ArialMT" w:cs="Arial"/>
          <w:iCs/>
          <w:szCs w:val="24"/>
          <w:lang w:val="en-CA" w:eastAsia="fr-CA"/>
        </w:rPr>
        <w:t>reference</w:t>
      </w:r>
      <w:r w:rsidRPr="00D179BD">
        <w:rPr>
          <w:rFonts w:eastAsia="ArialMT" w:cs="Arial"/>
          <w:iCs/>
          <w:szCs w:val="24"/>
          <w:lang w:val="en-CA" w:eastAsia="fr-CA"/>
        </w:rPr>
        <w:t xml:space="preserve"> to standards that do not apply in Quebec.</w:t>
      </w:r>
    </w:p>
    <w:p w14:paraId="753360FD" w14:textId="3F9B2E24" w:rsidR="00E57111" w:rsidRPr="00D179BD" w:rsidRDefault="00D179BD" w:rsidP="00E57111">
      <w:pPr>
        <w:pStyle w:val="F02-Texte"/>
        <w:autoSpaceDE w:val="0"/>
        <w:autoSpaceDN w:val="0"/>
        <w:adjustRightInd w:val="0"/>
        <w:spacing w:before="280"/>
        <w:ind w:left="0" w:firstLine="0"/>
        <w:rPr>
          <w:rFonts w:cs="Arial"/>
          <w:szCs w:val="24"/>
          <w:u w:val="single"/>
          <w:lang w:val="en-CA"/>
        </w:rPr>
      </w:pPr>
      <w:r w:rsidRPr="00D179BD">
        <w:rPr>
          <w:rFonts w:eastAsia="ArialMT" w:cs="Arial"/>
          <w:iCs/>
          <w:szCs w:val="24"/>
          <w:lang w:val="en-CA" w:eastAsia="fr-CA"/>
        </w:rPr>
        <w:t xml:space="preserve">It should be added that to assess the seriousness of the </w:t>
      </w:r>
      <w:r w:rsidR="00DF4D6A" w:rsidRPr="00D179BD">
        <w:rPr>
          <w:rFonts w:eastAsia="ArialMT" w:cs="Arial"/>
          <w:iCs/>
          <w:szCs w:val="24"/>
          <w:lang w:val="en-CA" w:eastAsia="fr-CA"/>
        </w:rPr>
        <w:t xml:space="preserve">contemplated </w:t>
      </w:r>
      <w:r w:rsidRPr="00D179BD">
        <w:rPr>
          <w:rFonts w:eastAsia="ArialMT" w:cs="Arial"/>
          <w:iCs/>
          <w:szCs w:val="24"/>
          <w:lang w:val="en-CA" w:eastAsia="fr-CA"/>
        </w:rPr>
        <w:t>proceeding, this Tribunal must consider the presumptions from which the applicants might benefit to prove their arguments.</w:t>
      </w:r>
      <w:r w:rsidR="00E57111">
        <w:rPr>
          <w:rStyle w:val="Appelnotedebasdep"/>
          <w:rFonts w:eastAsia="ArialMT" w:cs="Arial"/>
          <w:iCs/>
          <w:szCs w:val="24"/>
          <w:lang w:eastAsia="fr-CA"/>
        </w:rPr>
        <w:footnoteReference w:id="71"/>
      </w:r>
      <w:r w:rsidR="00E57111" w:rsidRPr="00D179BD">
        <w:rPr>
          <w:rFonts w:eastAsia="ArialMT" w:cs="Arial"/>
          <w:iCs/>
          <w:szCs w:val="24"/>
          <w:lang w:val="en-CA" w:eastAsia="fr-CA"/>
        </w:rPr>
        <w:t xml:space="preserve"> </w:t>
      </w:r>
      <w:r w:rsidRPr="00D179BD">
        <w:rPr>
          <w:rFonts w:eastAsia="ArialMT" w:cs="Arial"/>
          <w:iCs/>
          <w:szCs w:val="24"/>
          <w:lang w:val="en-CA" w:eastAsia="fr-CA"/>
        </w:rPr>
        <w:t xml:space="preserve">One of them is that Apple </w:t>
      </w:r>
      <w:r w:rsidR="00DF4D6A" w:rsidRPr="00D179BD">
        <w:rPr>
          <w:rFonts w:eastAsia="ArialMT" w:cs="Arial"/>
          <w:iCs/>
          <w:szCs w:val="24"/>
          <w:lang w:val="en-CA" w:eastAsia="fr-CA"/>
        </w:rPr>
        <w:t>and</w:t>
      </w:r>
      <w:r w:rsidRPr="00D179BD">
        <w:rPr>
          <w:rFonts w:eastAsia="ArialMT" w:cs="Arial"/>
          <w:iCs/>
          <w:szCs w:val="24"/>
          <w:lang w:val="en-CA" w:eastAsia="fr-CA"/>
        </w:rPr>
        <w:t xml:space="preserve"> Samsung are presumed to know the risks and dangers created by their product.</w:t>
      </w:r>
      <w:r w:rsidR="00E57111">
        <w:rPr>
          <w:rStyle w:val="Appelnotedebasdep"/>
          <w:rFonts w:eastAsia="ArialMT" w:cs="Arial"/>
          <w:iCs/>
          <w:szCs w:val="24"/>
          <w:lang w:eastAsia="fr-CA"/>
        </w:rPr>
        <w:footnoteReference w:id="72"/>
      </w:r>
      <w:r w:rsidR="00E57111" w:rsidRPr="00D179BD">
        <w:rPr>
          <w:rFonts w:eastAsia="ArialMT" w:cs="Arial"/>
          <w:iCs/>
          <w:szCs w:val="24"/>
          <w:lang w:val="en-CA" w:eastAsia="fr-CA"/>
        </w:rPr>
        <w:t xml:space="preserve"> </w:t>
      </w:r>
      <w:r w:rsidRPr="00D179BD">
        <w:rPr>
          <w:rFonts w:eastAsia="ArialMT" w:cs="Arial"/>
          <w:iCs/>
          <w:szCs w:val="24"/>
          <w:lang w:val="en-CA" w:eastAsia="fr-CA"/>
        </w:rPr>
        <w:t>These manufacturers have the obligation to inform their users accordingly.</w:t>
      </w:r>
      <w:r w:rsidR="00E57111">
        <w:rPr>
          <w:rStyle w:val="Appelnotedebasdep"/>
          <w:rFonts w:eastAsia="ArialMT" w:cs="Arial"/>
          <w:iCs/>
          <w:szCs w:val="24"/>
          <w:lang w:eastAsia="fr-CA"/>
        </w:rPr>
        <w:footnoteReference w:id="73"/>
      </w:r>
    </w:p>
    <w:p w14:paraId="4F1CB8BA" w14:textId="620C4667" w:rsidR="00E57111" w:rsidRPr="00D179BD" w:rsidRDefault="00D179BD" w:rsidP="00E57111">
      <w:pPr>
        <w:pStyle w:val="F02-Texte"/>
        <w:spacing w:before="280"/>
        <w:ind w:left="0" w:firstLine="0"/>
        <w:rPr>
          <w:rFonts w:cs="Arial"/>
          <w:i/>
          <w:szCs w:val="24"/>
          <w:lang w:val="en-CA"/>
        </w:rPr>
      </w:pPr>
      <w:r w:rsidRPr="00D179BD">
        <w:rPr>
          <w:rFonts w:eastAsia="ArialMT" w:cs="Arial"/>
          <w:szCs w:val="24"/>
          <w:lang w:val="en-CA" w:eastAsia="fr-CA"/>
        </w:rPr>
        <w:lastRenderedPageBreak/>
        <w:t xml:space="preserve">Considering that at the authorization stage of a class action, the </w:t>
      </w:r>
      <w:r w:rsidR="00DF4D6A" w:rsidRPr="00D179BD">
        <w:rPr>
          <w:rFonts w:eastAsia="ArialMT" w:cs="Arial"/>
          <w:szCs w:val="24"/>
          <w:lang w:val="en-CA" w:eastAsia="fr-CA"/>
        </w:rPr>
        <w:t>threshold</w:t>
      </w:r>
      <w:r w:rsidRPr="00D179BD">
        <w:rPr>
          <w:rFonts w:eastAsia="ArialMT" w:cs="Arial"/>
          <w:szCs w:val="24"/>
          <w:lang w:val="en-CA" w:eastAsia="fr-CA"/>
        </w:rPr>
        <w:t xml:space="preserve"> to apply art. 575(2) </w:t>
      </w:r>
      <w:r w:rsidRPr="00A166AB">
        <w:rPr>
          <w:rFonts w:eastAsia="ArialMT" w:cs="Arial"/>
          <w:szCs w:val="24"/>
          <w:lang w:val="en-CA" w:eastAsia="fr-CA"/>
        </w:rPr>
        <w:t>C.C.P</w:t>
      </w:r>
      <w:r w:rsidRPr="00D179BD">
        <w:rPr>
          <w:rFonts w:eastAsia="ArialMT" w:cs="Arial"/>
          <w:szCs w:val="24"/>
          <w:lang w:val="en-CA" w:eastAsia="fr-CA"/>
        </w:rPr>
        <w:t xml:space="preserve">., likened to the second criterion of s. 23 </w:t>
      </w:r>
      <w:r w:rsidRPr="00DF4D6A">
        <w:rPr>
          <w:rFonts w:eastAsia="ArialMT" w:cs="Arial"/>
          <w:i/>
          <w:szCs w:val="24"/>
          <w:lang w:val="en-CA" w:eastAsia="fr-CA"/>
        </w:rPr>
        <w:t>AFAAC</w:t>
      </w:r>
      <w:r w:rsidRPr="00D179BD">
        <w:rPr>
          <w:rFonts w:eastAsia="ArialMT" w:cs="Arial"/>
          <w:szCs w:val="24"/>
          <w:lang w:val="en-CA" w:eastAsia="fr-CA"/>
        </w:rPr>
        <w:t xml:space="preserve">, is low, the Tribunal is of the view that the application for authorization </w:t>
      </w:r>
      <w:r w:rsidR="00901140">
        <w:rPr>
          <w:rFonts w:eastAsia="ArialMT" w:cs="Arial"/>
          <w:szCs w:val="24"/>
          <w:lang w:val="en-CA" w:eastAsia="fr-CA"/>
        </w:rPr>
        <w:t>shows</w:t>
      </w:r>
      <w:r w:rsidRPr="00D179BD">
        <w:rPr>
          <w:rFonts w:eastAsia="ArialMT" w:cs="Arial"/>
          <w:szCs w:val="24"/>
          <w:lang w:val="en-CA" w:eastAsia="fr-CA"/>
        </w:rPr>
        <w:t xml:space="preserve"> the probable existence of a right.</w:t>
      </w:r>
      <w:r w:rsidR="00E57111" w:rsidRPr="00D179BD">
        <w:rPr>
          <w:rFonts w:eastAsia="ArialMT" w:cs="Arial"/>
          <w:szCs w:val="24"/>
          <w:lang w:val="en-CA" w:eastAsia="fr-CA"/>
        </w:rPr>
        <w:t xml:space="preserve"> </w:t>
      </w:r>
      <w:r w:rsidRPr="00D179BD">
        <w:rPr>
          <w:rFonts w:eastAsia="ArialMT" w:cs="Arial"/>
          <w:szCs w:val="24"/>
          <w:lang w:val="en-CA" w:eastAsia="fr-CA"/>
        </w:rPr>
        <w:t xml:space="preserve">Indeed, despite the weaknesses in the </w:t>
      </w:r>
      <w:r w:rsidR="00901140">
        <w:rPr>
          <w:rFonts w:eastAsia="ArialMT" w:cs="Arial"/>
          <w:szCs w:val="24"/>
          <w:lang w:val="en-CA" w:eastAsia="fr-CA"/>
        </w:rPr>
        <w:t>pleading</w:t>
      </w:r>
      <w:r w:rsidRPr="00D179BD">
        <w:rPr>
          <w:rFonts w:eastAsia="ArialMT" w:cs="Arial"/>
          <w:szCs w:val="24"/>
          <w:lang w:val="en-CA" w:eastAsia="fr-CA"/>
        </w:rPr>
        <w:t xml:space="preserve">, the Tribunal does not consider that it is necessary to characterize it as frivolous, </w:t>
      </w:r>
      <w:r w:rsidR="00DF4D6A">
        <w:rPr>
          <w:rFonts w:eastAsia="ArialMT" w:cs="Arial"/>
          <w:szCs w:val="24"/>
          <w:lang w:val="en-CA" w:eastAsia="fr-CA"/>
        </w:rPr>
        <w:t>unfounded,</w:t>
      </w:r>
      <w:r w:rsidRPr="00D179BD">
        <w:rPr>
          <w:rFonts w:eastAsia="ArialMT" w:cs="Arial"/>
          <w:szCs w:val="24"/>
          <w:lang w:val="en-CA" w:eastAsia="fr-CA"/>
        </w:rPr>
        <w:t xml:space="preserve"> or untenable.</w:t>
      </w:r>
    </w:p>
    <w:p w14:paraId="1BE7AA4A" w14:textId="25574C9C" w:rsidR="00E57111" w:rsidRPr="00D179BD" w:rsidRDefault="00D179BD" w:rsidP="00E57111">
      <w:pPr>
        <w:pStyle w:val="F02-Texte"/>
        <w:spacing w:before="280"/>
        <w:ind w:left="0" w:firstLine="0"/>
        <w:rPr>
          <w:rFonts w:cs="Arial"/>
          <w:i/>
          <w:szCs w:val="24"/>
          <w:lang w:val="en-CA"/>
        </w:rPr>
      </w:pPr>
      <w:r w:rsidRPr="00D179BD">
        <w:rPr>
          <w:rFonts w:eastAsia="ArialMT" w:cs="Arial"/>
          <w:szCs w:val="24"/>
          <w:lang w:val="en-CA" w:eastAsia="fr-CA"/>
        </w:rPr>
        <w:t xml:space="preserve">Thus, although the </w:t>
      </w:r>
      <w:r w:rsidR="00901140">
        <w:rPr>
          <w:rFonts w:eastAsia="ArialMT" w:cs="Arial"/>
          <w:szCs w:val="24"/>
          <w:lang w:val="en-CA" w:eastAsia="fr-CA"/>
        </w:rPr>
        <w:t>proceeding</w:t>
      </w:r>
      <w:r w:rsidRPr="00D179BD">
        <w:rPr>
          <w:rFonts w:eastAsia="ArialMT" w:cs="Arial"/>
          <w:szCs w:val="24"/>
          <w:lang w:val="en-CA" w:eastAsia="fr-CA"/>
        </w:rPr>
        <w:t xml:space="preserve"> may have weaknesses in certain respects, particularly with respect to the serious damages to health, the applicants have nonetheless shown an arguable case, for example on the </w:t>
      </w:r>
      <w:r w:rsidR="009B2E83">
        <w:rPr>
          <w:rFonts w:eastAsia="ArialMT" w:cs="Arial"/>
          <w:szCs w:val="24"/>
          <w:lang w:val="en-CA" w:eastAsia="fr-CA"/>
        </w:rPr>
        <w:t>cell phones</w:t>
      </w:r>
      <w:r w:rsidRPr="00D179BD">
        <w:rPr>
          <w:rFonts w:eastAsia="ArialMT" w:cs="Arial"/>
          <w:szCs w:val="24"/>
          <w:lang w:val="en-CA" w:eastAsia="fr-CA"/>
        </w:rPr>
        <w:t xml:space="preserve">’ emission of radiofrequencies and the warnings </w:t>
      </w:r>
      <w:r w:rsidR="00E62B20" w:rsidRPr="00D179BD">
        <w:rPr>
          <w:rFonts w:eastAsia="ArialMT" w:cs="Arial"/>
          <w:szCs w:val="24"/>
          <w:lang w:val="en-CA" w:eastAsia="fr-CA"/>
        </w:rPr>
        <w:t>about</w:t>
      </w:r>
      <w:r w:rsidRPr="00D179BD">
        <w:rPr>
          <w:rFonts w:eastAsia="ArialMT" w:cs="Arial"/>
          <w:szCs w:val="24"/>
          <w:lang w:val="en-CA" w:eastAsia="fr-CA"/>
        </w:rPr>
        <w:t xml:space="preserve"> their us</w:t>
      </w:r>
      <w:r w:rsidR="00901140">
        <w:rPr>
          <w:rFonts w:eastAsia="ArialMT" w:cs="Arial"/>
          <w:szCs w:val="24"/>
          <w:lang w:val="en-CA" w:eastAsia="fr-CA"/>
        </w:rPr>
        <w:t>e</w:t>
      </w:r>
      <w:r w:rsidRPr="00D179BD">
        <w:rPr>
          <w:rFonts w:eastAsia="ArialMT" w:cs="Arial"/>
          <w:szCs w:val="24"/>
          <w:lang w:val="en-CA" w:eastAsia="fr-CA"/>
        </w:rPr>
        <w:t>.</w:t>
      </w:r>
    </w:p>
    <w:p w14:paraId="217C8FE2" w14:textId="41A8DD9B" w:rsidR="00E57111" w:rsidRPr="00D179BD" w:rsidRDefault="00D179BD" w:rsidP="00E57111">
      <w:pPr>
        <w:pStyle w:val="F02-Texte"/>
        <w:ind w:left="0" w:firstLine="0"/>
        <w:rPr>
          <w:lang w:val="en-CA"/>
        </w:rPr>
      </w:pPr>
      <w:r w:rsidRPr="00583738">
        <w:rPr>
          <w:rFonts w:eastAsia="TimesNewRomanPSMT"/>
          <w:lang w:val="en-CA" w:eastAsia="fr-CA"/>
        </w:rPr>
        <w:t>Even if the allegations</w:t>
      </w:r>
      <w:r w:rsidRPr="00D179BD">
        <w:rPr>
          <w:rFonts w:eastAsia="TimesNewRomanPSMT"/>
          <w:lang w:val="en-CA" w:eastAsia="fr-CA"/>
        </w:rPr>
        <w:t xml:space="preserve"> of </w:t>
      </w:r>
      <w:r w:rsidR="00E62B20" w:rsidRPr="00D179BD">
        <w:rPr>
          <w:rFonts w:eastAsia="TimesNewRomanPSMT"/>
          <w:lang w:val="en-CA" w:eastAsia="fr-CA"/>
        </w:rPr>
        <w:t>the</w:t>
      </w:r>
      <w:r w:rsidRPr="00D179BD">
        <w:rPr>
          <w:rFonts w:eastAsia="TimesNewRomanPSMT"/>
          <w:lang w:val="en-CA" w:eastAsia="fr-CA"/>
        </w:rPr>
        <w:t xml:space="preserve"> third syllogism are not sufficiently precise to be considered, </w:t>
      </w:r>
      <w:r w:rsidR="00583738">
        <w:rPr>
          <w:rFonts w:eastAsia="TimesNewRomanPSMT"/>
          <w:lang w:val="en-CA" w:eastAsia="fr-CA"/>
        </w:rPr>
        <w:t>th</w:t>
      </w:r>
      <w:r w:rsidR="00B70E94">
        <w:rPr>
          <w:rFonts w:eastAsia="TimesNewRomanPSMT"/>
          <w:lang w:val="en-CA" w:eastAsia="fr-CA"/>
        </w:rPr>
        <w:t>is</w:t>
      </w:r>
      <w:r w:rsidRPr="00D179BD">
        <w:rPr>
          <w:rFonts w:eastAsia="TimesNewRomanPSMT"/>
          <w:lang w:val="en-CA" w:eastAsia="fr-CA"/>
        </w:rPr>
        <w:t xml:space="preserve"> will not necessarily have an impact on the conclusions in mandamus sought by the applicants.</w:t>
      </w:r>
      <w:r w:rsidR="00E57111" w:rsidRPr="00D179BD">
        <w:rPr>
          <w:rFonts w:eastAsia="TimesNewRomanPSMT"/>
          <w:lang w:val="en-CA" w:eastAsia="fr-CA"/>
        </w:rPr>
        <w:t xml:space="preserve"> </w:t>
      </w:r>
      <w:r w:rsidRPr="00D179BD">
        <w:rPr>
          <w:rFonts w:eastAsia="TimesNewRomanPSMT"/>
          <w:lang w:val="en-CA" w:eastAsia="fr-CA"/>
        </w:rPr>
        <w:t xml:space="preserve">The </w:t>
      </w:r>
      <w:r w:rsidR="00B70E94">
        <w:rPr>
          <w:rFonts w:eastAsia="TimesNewRomanPSMT"/>
          <w:lang w:val="en-CA" w:eastAsia="fr-CA"/>
        </w:rPr>
        <w:t xml:space="preserve">right to </w:t>
      </w:r>
      <w:r w:rsidRPr="00D179BD">
        <w:rPr>
          <w:rFonts w:eastAsia="TimesNewRomanPSMT"/>
          <w:lang w:val="en-CA" w:eastAsia="fr-CA"/>
        </w:rPr>
        <w:t>specific performance exists in consumer protection, independently from a lack of prejudice.</w:t>
      </w:r>
      <w:r w:rsidR="00E57111">
        <w:rPr>
          <w:rStyle w:val="Appelnotedebasdep"/>
          <w:rFonts w:eastAsia="TimesNewRomanPSMT" w:cs="Arial"/>
          <w:szCs w:val="24"/>
          <w:lang w:eastAsia="fr-CA"/>
        </w:rPr>
        <w:footnoteReference w:id="74"/>
      </w:r>
      <w:r w:rsidR="00E57111" w:rsidRPr="00D179BD">
        <w:rPr>
          <w:rFonts w:eastAsia="TimesNewRomanPSMT"/>
          <w:lang w:val="en-CA" w:eastAsia="fr-CA"/>
        </w:rPr>
        <w:t xml:space="preserve"> </w:t>
      </w:r>
      <w:r w:rsidRPr="00D179BD">
        <w:rPr>
          <w:rFonts w:eastAsia="TimesNewRomanPSMT"/>
          <w:lang w:val="en-CA" w:eastAsia="fr-CA"/>
        </w:rPr>
        <w:t>The applicants ask, among other things, that the two manufacturers be ordered to publici</w:t>
      </w:r>
      <w:r w:rsidR="00B70E94">
        <w:rPr>
          <w:rFonts w:eastAsia="TimesNewRomanPSMT"/>
          <w:lang w:val="en-CA" w:eastAsia="fr-CA"/>
        </w:rPr>
        <w:t>z</w:t>
      </w:r>
      <w:r w:rsidRPr="00D179BD">
        <w:rPr>
          <w:rFonts w:eastAsia="TimesNewRomanPSMT"/>
          <w:lang w:val="en-CA" w:eastAsia="fr-CA"/>
        </w:rPr>
        <w:t xml:space="preserve">e warnings about the safe use of their </w:t>
      </w:r>
      <w:r w:rsidR="009B2E83">
        <w:rPr>
          <w:rFonts w:eastAsia="TimesNewRomanPSMT"/>
          <w:lang w:val="en-CA" w:eastAsia="fr-CA"/>
        </w:rPr>
        <w:t>cell phones</w:t>
      </w:r>
      <w:r w:rsidRPr="00D179BD">
        <w:rPr>
          <w:rFonts w:eastAsia="TimesNewRomanPSMT"/>
          <w:lang w:val="en-CA" w:eastAsia="fr-CA"/>
        </w:rPr>
        <w:t>.</w:t>
      </w:r>
      <w:r w:rsidR="00E57111" w:rsidRPr="00D179BD">
        <w:rPr>
          <w:rFonts w:eastAsia="TimesNewRomanPSMT"/>
          <w:lang w:val="en-CA" w:eastAsia="fr-CA"/>
        </w:rPr>
        <w:t xml:space="preserve"> </w:t>
      </w:r>
      <w:r w:rsidRPr="00D179BD">
        <w:rPr>
          <w:rFonts w:eastAsia="TimesNewRomanPSMT"/>
          <w:lang w:val="en-CA" w:eastAsia="fr-CA"/>
        </w:rPr>
        <w:t>The right to such a remedy may be based on misrepresentations</w:t>
      </w:r>
      <w:r w:rsidR="00E57111">
        <w:rPr>
          <w:rStyle w:val="Appelnotedebasdep"/>
          <w:rFonts w:eastAsia="TimesNewRomanPSMT"/>
          <w:lang w:eastAsia="fr-CA"/>
        </w:rPr>
        <w:footnoteReference w:id="75"/>
      </w:r>
      <w:r w:rsidRPr="00D179BD">
        <w:rPr>
          <w:rFonts w:eastAsia="TimesNewRomanPSMT"/>
          <w:lang w:val="en-CA" w:eastAsia="fr-CA"/>
        </w:rPr>
        <w:t xml:space="preserve"> or on the manufacturer’s failure to warn consumers against the dangers related to the use of their device </w:t>
      </w:r>
      <w:r w:rsidR="00B70E94">
        <w:rPr>
          <w:rFonts w:eastAsia="TimesNewRomanPSMT"/>
          <w:lang w:val="en-CA" w:eastAsia="fr-CA"/>
        </w:rPr>
        <w:t>of</w:t>
      </w:r>
      <w:r w:rsidRPr="00D179BD">
        <w:rPr>
          <w:rFonts w:eastAsia="TimesNewRomanPSMT"/>
          <w:lang w:val="en-CA" w:eastAsia="fr-CA"/>
        </w:rPr>
        <w:t xml:space="preserve"> which it could personally </w:t>
      </w:r>
      <w:r w:rsidR="00B70E94">
        <w:rPr>
          <w:rFonts w:eastAsia="TimesNewRomanPSMT"/>
          <w:lang w:val="en-CA" w:eastAsia="fr-CA"/>
        </w:rPr>
        <w:t>have been aware</w:t>
      </w:r>
      <w:r w:rsidRPr="00D179BD">
        <w:rPr>
          <w:rFonts w:eastAsia="TimesNewRomanPSMT"/>
          <w:lang w:val="en-CA" w:eastAsia="fr-CA"/>
        </w:rPr>
        <w:t>.</w:t>
      </w:r>
      <w:r w:rsidR="00E57111">
        <w:rPr>
          <w:rStyle w:val="Appelnotedebasdep"/>
          <w:rFonts w:eastAsia="TimesNewRomanPSMT"/>
          <w:lang w:eastAsia="fr-CA"/>
        </w:rPr>
        <w:footnoteReference w:id="76"/>
      </w:r>
      <w:r w:rsidR="00E57111" w:rsidRPr="00D179BD">
        <w:rPr>
          <w:rFonts w:eastAsia="TimesNewRomanPSMT"/>
          <w:lang w:val="en-CA" w:eastAsia="fr-CA"/>
        </w:rPr>
        <w:t xml:space="preserve"> </w:t>
      </w:r>
      <w:r w:rsidRPr="00D179BD">
        <w:rPr>
          <w:rFonts w:eastAsia="TimesNewRomanPSMT"/>
          <w:lang w:val="en-CA" w:eastAsia="fr-CA"/>
        </w:rPr>
        <w:t xml:space="preserve">The applicants’ allegations on this subject are sufficiently </w:t>
      </w:r>
      <w:r w:rsidR="00B70E94">
        <w:rPr>
          <w:rFonts w:eastAsia="TimesNewRomanPSMT"/>
          <w:lang w:val="en-CA" w:eastAsia="fr-CA"/>
        </w:rPr>
        <w:t>precise</w:t>
      </w:r>
      <w:r w:rsidRPr="00D179BD">
        <w:rPr>
          <w:rFonts w:eastAsia="TimesNewRomanPSMT"/>
          <w:lang w:val="en-CA" w:eastAsia="fr-CA"/>
        </w:rPr>
        <w:t xml:space="preserve"> and are worth </w:t>
      </w:r>
      <w:r w:rsidR="00E62B20">
        <w:rPr>
          <w:rFonts w:eastAsia="TimesNewRomanPSMT"/>
          <w:lang w:val="en-CA" w:eastAsia="fr-CA"/>
        </w:rPr>
        <w:t>considering</w:t>
      </w:r>
      <w:r w:rsidRPr="00D179BD">
        <w:rPr>
          <w:rFonts w:eastAsia="TimesNewRomanPSMT"/>
          <w:lang w:val="en-CA" w:eastAsia="fr-CA"/>
        </w:rPr>
        <w:t>.</w:t>
      </w:r>
    </w:p>
    <w:p w14:paraId="42A89104" w14:textId="2224CD93" w:rsidR="00E57111" w:rsidRPr="00D179BD" w:rsidRDefault="00D179BD" w:rsidP="00E57111">
      <w:pPr>
        <w:pStyle w:val="F02-Texte"/>
        <w:ind w:left="0" w:firstLine="0"/>
        <w:rPr>
          <w:lang w:val="en-CA"/>
        </w:rPr>
      </w:pPr>
      <w:r w:rsidRPr="00D179BD">
        <w:rPr>
          <w:rFonts w:eastAsia="TimesNewRomanPSMT"/>
          <w:lang w:val="en-CA" w:eastAsia="fr-CA"/>
        </w:rPr>
        <w:t xml:space="preserve">Purely hypothetically, if a single conclusion among those sought appeared arguable, it </w:t>
      </w:r>
      <w:r w:rsidR="00E62B20" w:rsidRPr="00D179BD">
        <w:rPr>
          <w:rFonts w:eastAsia="TimesNewRomanPSMT"/>
          <w:lang w:val="en-CA" w:eastAsia="fr-CA"/>
        </w:rPr>
        <w:t>would</w:t>
      </w:r>
      <w:r w:rsidRPr="00D179BD">
        <w:rPr>
          <w:rFonts w:eastAsia="TimesNewRomanPSMT"/>
          <w:lang w:val="en-CA" w:eastAsia="fr-CA"/>
        </w:rPr>
        <w:t xml:space="preserve"> be enough to confer the probable existence of </w:t>
      </w:r>
      <w:r w:rsidR="00F452AE">
        <w:rPr>
          <w:rFonts w:eastAsia="TimesNewRomanPSMT"/>
          <w:lang w:val="en-CA" w:eastAsia="fr-CA"/>
        </w:rPr>
        <w:t>a</w:t>
      </w:r>
      <w:r w:rsidRPr="00D179BD">
        <w:rPr>
          <w:rFonts w:eastAsia="TimesNewRomanPSMT"/>
          <w:lang w:val="en-CA" w:eastAsia="fr-CA"/>
        </w:rPr>
        <w:t xml:space="preserve"> right to the </w:t>
      </w:r>
      <w:r w:rsidR="003F7C6D">
        <w:rPr>
          <w:rFonts w:eastAsia="TimesNewRomanPSMT"/>
          <w:lang w:val="en-CA" w:eastAsia="fr-CA"/>
        </w:rPr>
        <w:t>proceeding</w:t>
      </w:r>
      <w:r w:rsidRPr="00D179BD">
        <w:rPr>
          <w:rFonts w:eastAsia="TimesNewRomanPSMT"/>
          <w:lang w:val="en-CA" w:eastAsia="fr-CA"/>
        </w:rPr>
        <w:t>.</w:t>
      </w:r>
    </w:p>
    <w:p w14:paraId="57D01DF8" w14:textId="37C238FA" w:rsidR="00E57111" w:rsidRPr="00D179BD" w:rsidRDefault="00D179BD" w:rsidP="00E57111">
      <w:pPr>
        <w:pStyle w:val="F02-Texte"/>
        <w:autoSpaceDE w:val="0"/>
        <w:autoSpaceDN w:val="0"/>
        <w:adjustRightInd w:val="0"/>
        <w:spacing w:before="280"/>
        <w:ind w:left="0" w:firstLine="0"/>
        <w:rPr>
          <w:rFonts w:cs="Arial"/>
          <w:i/>
          <w:szCs w:val="24"/>
          <w:lang w:val="en-CA"/>
        </w:rPr>
      </w:pPr>
      <w:r w:rsidRPr="00D179BD">
        <w:rPr>
          <w:rFonts w:eastAsia="ArialMT" w:cs="Arial"/>
          <w:bCs/>
          <w:szCs w:val="24"/>
          <w:lang w:val="en-CA" w:eastAsia="fr-CA"/>
        </w:rPr>
        <w:t xml:space="preserve">It remains to be seen if that will be </w:t>
      </w:r>
      <w:r w:rsidR="00E62B20" w:rsidRPr="00D179BD">
        <w:rPr>
          <w:rFonts w:eastAsia="ArialMT" w:cs="Arial"/>
          <w:bCs/>
          <w:szCs w:val="24"/>
          <w:lang w:val="en-CA" w:eastAsia="fr-CA"/>
        </w:rPr>
        <w:t>enough</w:t>
      </w:r>
      <w:r w:rsidRPr="00D179BD">
        <w:rPr>
          <w:rFonts w:eastAsia="ArialMT" w:cs="Arial"/>
          <w:bCs/>
          <w:szCs w:val="24"/>
          <w:lang w:val="en-CA" w:eastAsia="fr-CA"/>
        </w:rPr>
        <w:t xml:space="preserve"> to also convince the Superior </w:t>
      </w:r>
      <w:r w:rsidR="00E62B20" w:rsidRPr="00D179BD">
        <w:rPr>
          <w:rFonts w:eastAsia="ArialMT" w:cs="Arial"/>
          <w:bCs/>
          <w:szCs w:val="24"/>
          <w:lang w:val="en-CA" w:eastAsia="fr-CA"/>
        </w:rPr>
        <w:t>Court</w:t>
      </w:r>
      <w:r w:rsidRPr="00D179BD">
        <w:rPr>
          <w:rFonts w:eastAsia="ArialMT" w:cs="Arial"/>
          <w:bCs/>
          <w:szCs w:val="24"/>
          <w:lang w:val="en-CA" w:eastAsia="fr-CA"/>
        </w:rPr>
        <w:t xml:space="preserve"> that the applicants have an arguable case.</w:t>
      </w:r>
    </w:p>
    <w:p w14:paraId="661A92ED" w14:textId="4849480B" w:rsidR="00E57111" w:rsidRPr="00D179BD" w:rsidRDefault="00D179BD" w:rsidP="00E57111">
      <w:pPr>
        <w:pStyle w:val="F02-Texte"/>
        <w:ind w:left="0" w:firstLine="0"/>
        <w:rPr>
          <w:lang w:val="en-CA"/>
        </w:rPr>
      </w:pPr>
      <w:r w:rsidRPr="00D179BD">
        <w:rPr>
          <w:lang w:val="en-CA"/>
        </w:rPr>
        <w:t xml:space="preserve">Accordingly, the Tribunal considers that there is a probable existence of a right, which leads it to conclude that the </w:t>
      </w:r>
      <w:r w:rsidR="00E62B20" w:rsidRPr="00D179BD">
        <w:rPr>
          <w:lang w:val="en-CA"/>
        </w:rPr>
        <w:t>applicants</w:t>
      </w:r>
      <w:r w:rsidRPr="00D179BD">
        <w:rPr>
          <w:lang w:val="en-CA"/>
        </w:rPr>
        <w:t xml:space="preserve"> meet the second criterion of s. 23 </w:t>
      </w:r>
      <w:r w:rsidRPr="00E62B20">
        <w:rPr>
          <w:i/>
          <w:lang w:val="en-CA"/>
        </w:rPr>
        <w:t>AFAAC</w:t>
      </w:r>
      <w:r w:rsidRPr="00D179BD">
        <w:rPr>
          <w:lang w:val="en-CA"/>
        </w:rPr>
        <w:t>.</w:t>
      </w:r>
    </w:p>
    <w:p w14:paraId="24837427" w14:textId="77777777" w:rsidR="00E57111" w:rsidRPr="00D76B24" w:rsidRDefault="00D179BD" w:rsidP="00E57111">
      <w:pPr>
        <w:pStyle w:val="F08-Titre"/>
        <w:rPr>
          <w:i/>
          <w:spacing w:val="-5"/>
          <w:lang w:val="en-CA"/>
        </w:rPr>
      </w:pPr>
      <w:r w:rsidRPr="00EA3E22">
        <w:rPr>
          <w:i/>
          <w:spacing w:val="-5"/>
          <w:lang w:val="en-CA"/>
        </w:rPr>
        <w:lastRenderedPageBreak/>
        <w:t>(b)</w:t>
      </w:r>
      <w:r w:rsidR="00E57111" w:rsidRPr="00D76B24">
        <w:rPr>
          <w:i/>
          <w:spacing w:val="-5"/>
          <w:lang w:val="en-CA"/>
        </w:rPr>
        <w:t xml:space="preserve"> </w:t>
      </w:r>
      <w:r w:rsidR="00D76B24" w:rsidRPr="00D76B24">
        <w:rPr>
          <w:i/>
          <w:spacing w:val="-5"/>
          <w:lang w:val="en-CA"/>
        </w:rPr>
        <w:t>Third criterion of s. 23 AFAAC: the probability that the class action will be brought</w:t>
      </w:r>
    </w:p>
    <w:p w14:paraId="620BBEC7" w14:textId="476D4E08" w:rsidR="00E57111" w:rsidRPr="00F636A0" w:rsidRDefault="00F872B0" w:rsidP="00E57111">
      <w:pPr>
        <w:pStyle w:val="F02-Texte"/>
        <w:ind w:left="0" w:firstLine="0"/>
        <w:rPr>
          <w:u w:val="single"/>
          <w:lang w:val="en-CA"/>
        </w:rPr>
      </w:pPr>
      <w:r>
        <w:rPr>
          <w:rFonts w:cs="Arial"/>
          <w:szCs w:val="24"/>
          <w:lang w:val="en-CA" w:eastAsia="fr-CA"/>
        </w:rPr>
        <w:t>At the outset</w:t>
      </w:r>
      <w:r w:rsidR="00F636A0" w:rsidRPr="00F636A0">
        <w:rPr>
          <w:rFonts w:cs="Arial"/>
          <w:szCs w:val="24"/>
          <w:lang w:val="en-CA" w:eastAsia="fr-CA"/>
        </w:rPr>
        <w:t xml:space="preserve">, the Fonds considers that the probability that the class action will be brought has not been shown with respect to the sub-criterion of the composition of </w:t>
      </w:r>
      <w:r w:rsidR="00E62B20" w:rsidRPr="00F636A0">
        <w:rPr>
          <w:rFonts w:cs="Arial"/>
          <w:szCs w:val="24"/>
          <w:lang w:val="en-CA" w:eastAsia="fr-CA"/>
        </w:rPr>
        <w:t>the</w:t>
      </w:r>
      <w:r w:rsidR="00F636A0" w:rsidRPr="00F636A0">
        <w:rPr>
          <w:rFonts w:cs="Arial"/>
          <w:szCs w:val="24"/>
          <w:lang w:val="en-CA" w:eastAsia="fr-CA"/>
        </w:rPr>
        <w:t xml:space="preserve"> </w:t>
      </w:r>
      <w:r w:rsidR="00DF4123">
        <w:rPr>
          <w:rFonts w:cs="Arial"/>
          <w:szCs w:val="24"/>
          <w:lang w:val="en-CA" w:eastAsia="fr-CA"/>
        </w:rPr>
        <w:t>class</w:t>
      </w:r>
      <w:r w:rsidR="00F636A0" w:rsidRPr="00F636A0">
        <w:rPr>
          <w:rFonts w:cs="Arial"/>
          <w:szCs w:val="24"/>
          <w:lang w:val="en-CA" w:eastAsia="fr-CA"/>
        </w:rPr>
        <w:t xml:space="preserve"> (575(3) </w:t>
      </w:r>
      <w:r w:rsidR="00F636A0" w:rsidRPr="00AD39D0">
        <w:rPr>
          <w:rFonts w:cs="Arial"/>
          <w:szCs w:val="24"/>
          <w:lang w:val="en-CA" w:eastAsia="fr-CA"/>
        </w:rPr>
        <w:t>C.C.P</w:t>
      </w:r>
      <w:r w:rsidR="00F636A0" w:rsidRPr="00DF4123">
        <w:rPr>
          <w:rFonts w:cs="Arial"/>
          <w:szCs w:val="24"/>
          <w:lang w:val="en-CA" w:eastAsia="fr-CA"/>
        </w:rPr>
        <w:t>.</w:t>
      </w:r>
      <w:r w:rsidR="00F636A0" w:rsidRPr="00F636A0">
        <w:rPr>
          <w:rFonts w:cs="Arial"/>
          <w:szCs w:val="24"/>
          <w:lang w:val="en-CA" w:eastAsia="fr-CA"/>
        </w:rPr>
        <w:t>) because it lacks precision, rationality</w:t>
      </w:r>
      <w:r w:rsidR="00DF4123">
        <w:rPr>
          <w:rFonts w:cs="Arial"/>
          <w:szCs w:val="24"/>
          <w:lang w:val="en-CA" w:eastAsia="fr-CA"/>
        </w:rPr>
        <w:t>,</w:t>
      </w:r>
      <w:r w:rsidR="00F636A0" w:rsidRPr="00F636A0">
        <w:rPr>
          <w:rFonts w:cs="Arial"/>
          <w:szCs w:val="24"/>
          <w:lang w:val="en-CA" w:eastAsia="fr-CA"/>
        </w:rPr>
        <w:t xml:space="preserve"> and objectivity.</w:t>
      </w:r>
      <w:r w:rsidR="00E57111">
        <w:rPr>
          <w:rStyle w:val="Appelnotedebasdep"/>
        </w:rPr>
        <w:footnoteReference w:id="77"/>
      </w:r>
    </w:p>
    <w:p w14:paraId="77A2C47D" w14:textId="26968AEE" w:rsidR="00E57111" w:rsidRPr="00F636A0" w:rsidRDefault="00F636A0" w:rsidP="00E57111">
      <w:pPr>
        <w:pStyle w:val="F02-Texte"/>
        <w:ind w:left="0" w:firstLine="0"/>
        <w:rPr>
          <w:rFonts w:cs="Arial"/>
          <w:szCs w:val="24"/>
          <w:lang w:val="en-CA"/>
        </w:rPr>
      </w:pPr>
      <w:r w:rsidRPr="00F636A0">
        <w:rPr>
          <w:rFonts w:cs="Arial"/>
          <w:szCs w:val="24"/>
          <w:lang w:val="en-CA"/>
        </w:rPr>
        <w:t xml:space="preserve">In particular, the Fonds alleges that the application for authorization includes several descriptions of </w:t>
      </w:r>
      <w:r w:rsidR="00396963" w:rsidRPr="00F636A0">
        <w:rPr>
          <w:rFonts w:cs="Arial"/>
          <w:szCs w:val="24"/>
          <w:lang w:val="en-CA"/>
        </w:rPr>
        <w:t>the</w:t>
      </w:r>
      <w:r w:rsidRPr="00F636A0">
        <w:rPr>
          <w:rFonts w:cs="Arial"/>
          <w:szCs w:val="24"/>
          <w:lang w:val="en-CA"/>
        </w:rPr>
        <w:t xml:space="preserve"> class concerned by the class action</w:t>
      </w:r>
      <w:r w:rsidR="00AA1D1C">
        <w:rPr>
          <w:rFonts w:cs="Arial"/>
          <w:szCs w:val="24"/>
          <w:lang w:val="en-CA"/>
        </w:rPr>
        <w:t>,</w:t>
      </w:r>
      <w:r w:rsidRPr="00F636A0">
        <w:rPr>
          <w:rFonts w:cs="Arial"/>
          <w:szCs w:val="24"/>
          <w:lang w:val="en-CA"/>
        </w:rPr>
        <w:t xml:space="preserve"> including some that are </w:t>
      </w:r>
      <w:r w:rsidR="00AA1D1C">
        <w:rPr>
          <w:rFonts w:cs="Arial"/>
          <w:szCs w:val="24"/>
          <w:lang w:val="en-CA"/>
        </w:rPr>
        <w:t>incompatible</w:t>
      </w:r>
      <w:r w:rsidRPr="00F636A0">
        <w:rPr>
          <w:rFonts w:cs="Arial"/>
          <w:szCs w:val="24"/>
          <w:lang w:val="en-CA"/>
        </w:rPr>
        <w:t xml:space="preserve"> or inconsistent among themselves.</w:t>
      </w:r>
      <w:r w:rsidR="00E57111" w:rsidRPr="00F636A0">
        <w:rPr>
          <w:rFonts w:cs="Arial"/>
          <w:szCs w:val="24"/>
          <w:lang w:val="en-CA" w:eastAsia="fr-CA"/>
        </w:rPr>
        <w:t xml:space="preserve"> </w:t>
      </w:r>
      <w:r w:rsidRPr="00F636A0">
        <w:rPr>
          <w:rFonts w:cs="Arial"/>
          <w:szCs w:val="24"/>
          <w:lang w:val="en-CA" w:eastAsia="fr-CA"/>
        </w:rPr>
        <w:t>The application for authorization also does not establish a connection with Quebec.</w:t>
      </w:r>
    </w:p>
    <w:p w14:paraId="3A58D457" w14:textId="77777777" w:rsidR="00E57111" w:rsidRPr="00F636A0" w:rsidRDefault="00F636A0" w:rsidP="00E57111">
      <w:pPr>
        <w:pStyle w:val="F02-Texte"/>
        <w:ind w:left="0" w:firstLine="0"/>
        <w:rPr>
          <w:rFonts w:cs="Arial"/>
          <w:szCs w:val="24"/>
          <w:lang w:val="en-CA"/>
        </w:rPr>
      </w:pPr>
      <w:r w:rsidRPr="00F636A0">
        <w:rPr>
          <w:rFonts w:cs="Arial"/>
          <w:szCs w:val="24"/>
          <w:lang w:val="en-CA"/>
        </w:rPr>
        <w:t>It submits that paragraphs [64] and [65] of the decision clearly express the lack of precision, rationality, and objectivity of the description of the class concerned:</w:t>
      </w:r>
    </w:p>
    <w:p w14:paraId="6DFA57A5" w14:textId="66670992" w:rsidR="00AA1D1C" w:rsidRDefault="00AA1D1C" w:rsidP="00E57111">
      <w:pPr>
        <w:pStyle w:val="F04-Retrait"/>
        <w:ind w:right="931"/>
        <w:rPr>
          <w:rFonts w:eastAsia="ArialMT"/>
          <w:i w:val="0"/>
          <w:sz w:val="22"/>
          <w:szCs w:val="22"/>
          <w:lang w:val="en-CA" w:eastAsia="fr-CA"/>
        </w:rPr>
      </w:pPr>
      <w:r>
        <w:rPr>
          <w:rFonts w:eastAsia="ArialMT"/>
          <w:i w:val="0"/>
          <w:sz w:val="22"/>
          <w:szCs w:val="22"/>
          <w:lang w:val="en-CA" w:eastAsia="fr-CA"/>
        </w:rPr>
        <w:t>[</w:t>
      </w:r>
      <w:r w:rsidRPr="00AA1D1C">
        <w:rPr>
          <w:rFonts w:eastAsia="ArialMT"/>
          <w:i w:val="0"/>
          <w:smallCaps/>
          <w:sz w:val="22"/>
          <w:szCs w:val="22"/>
          <w:lang w:val="en-CA" w:eastAsia="fr-CA"/>
        </w:rPr>
        <w:t>translation</w:t>
      </w:r>
      <w:r>
        <w:rPr>
          <w:rFonts w:eastAsia="ArialMT"/>
          <w:i w:val="0"/>
          <w:sz w:val="22"/>
          <w:szCs w:val="22"/>
          <w:lang w:val="en-CA" w:eastAsia="fr-CA"/>
        </w:rPr>
        <w:t>]</w:t>
      </w:r>
    </w:p>
    <w:p w14:paraId="7CD6DADA" w14:textId="763F889A" w:rsidR="00E57111" w:rsidRPr="00F1332A" w:rsidRDefault="00F1332A" w:rsidP="00E57111">
      <w:pPr>
        <w:pStyle w:val="F04-Retrait"/>
        <w:ind w:right="931"/>
        <w:rPr>
          <w:i w:val="0"/>
          <w:sz w:val="22"/>
          <w:szCs w:val="22"/>
          <w:lang w:val="en-CA"/>
        </w:rPr>
      </w:pPr>
      <w:r w:rsidRPr="00F1332A">
        <w:rPr>
          <w:rFonts w:eastAsia="ArialMT"/>
          <w:i w:val="0"/>
          <w:sz w:val="22"/>
          <w:szCs w:val="22"/>
          <w:lang w:val="en-CA" w:eastAsia="fr-CA"/>
        </w:rPr>
        <w:t>[64] First, the connection to the province of Quebec is not clear: Do the persons have to have bought/leased or used the telephone in Quebec or must they reside there?</w:t>
      </w:r>
      <w:r w:rsidR="00E57111" w:rsidRPr="00F1332A">
        <w:rPr>
          <w:rFonts w:eastAsia="ArialMT"/>
          <w:i w:val="0"/>
          <w:sz w:val="22"/>
          <w:szCs w:val="22"/>
          <w:lang w:val="en-CA" w:eastAsia="fr-CA"/>
        </w:rPr>
        <w:t xml:space="preserve"> </w:t>
      </w:r>
      <w:r w:rsidRPr="00F1332A">
        <w:rPr>
          <w:rFonts w:eastAsia="ArialMT"/>
          <w:i w:val="0"/>
          <w:sz w:val="22"/>
          <w:szCs w:val="22"/>
          <w:lang w:val="en-CA" w:eastAsia="fr-CA"/>
        </w:rPr>
        <w:t>The absence of a connection to the province of Quebec creates confusion, especially because the applicants often say in their Application for authorization that the</w:t>
      </w:r>
      <w:r w:rsidR="00AA1D1C">
        <w:rPr>
          <w:rFonts w:eastAsia="ArialMT"/>
          <w:i w:val="0"/>
          <w:sz w:val="22"/>
          <w:szCs w:val="22"/>
          <w:lang w:val="en-CA" w:eastAsia="fr-CA"/>
        </w:rPr>
        <w:t>ir</w:t>
      </w:r>
      <w:r w:rsidRPr="00F1332A">
        <w:rPr>
          <w:rFonts w:eastAsia="ArialMT"/>
          <w:i w:val="0"/>
          <w:sz w:val="22"/>
          <w:szCs w:val="22"/>
          <w:lang w:val="en-CA" w:eastAsia="fr-CA"/>
        </w:rPr>
        <w:t xml:space="preserve"> </w:t>
      </w:r>
      <w:r w:rsidR="00AA1D1C">
        <w:rPr>
          <w:rFonts w:eastAsia="ArialMT"/>
          <w:i w:val="0"/>
          <w:sz w:val="22"/>
          <w:szCs w:val="22"/>
          <w:lang w:val="en-CA" w:eastAsia="fr-CA"/>
        </w:rPr>
        <w:t>action</w:t>
      </w:r>
      <w:r w:rsidRPr="00F1332A">
        <w:rPr>
          <w:rFonts w:eastAsia="ArialMT"/>
          <w:i w:val="0"/>
          <w:sz w:val="22"/>
          <w:szCs w:val="22"/>
          <w:lang w:val="en-CA" w:eastAsia="fr-CA"/>
        </w:rPr>
        <w:t xml:space="preserve"> is “nationwide” and concerns “all persons in Canada”;</w:t>
      </w:r>
    </w:p>
    <w:p w14:paraId="5996E7D0" w14:textId="3E02A564" w:rsidR="00E57111" w:rsidRPr="00F1332A" w:rsidRDefault="00F1332A" w:rsidP="00E57111">
      <w:pPr>
        <w:pStyle w:val="F04-Retrait"/>
        <w:ind w:right="931"/>
        <w:rPr>
          <w:i w:val="0"/>
          <w:sz w:val="22"/>
          <w:szCs w:val="22"/>
          <w:lang w:val="en-CA"/>
        </w:rPr>
      </w:pPr>
      <w:r w:rsidRPr="00F1332A">
        <w:rPr>
          <w:rFonts w:eastAsia="ArialMT"/>
          <w:i w:val="0"/>
          <w:sz w:val="22"/>
          <w:szCs w:val="22"/>
          <w:lang w:val="en-CA" w:eastAsia="fr-CA"/>
        </w:rPr>
        <w:t xml:space="preserve">[65] How much time of </w:t>
      </w:r>
      <w:r w:rsidR="008C09DD">
        <w:rPr>
          <w:rFonts w:eastAsia="ArialMT"/>
          <w:i w:val="0"/>
          <w:sz w:val="22"/>
          <w:szCs w:val="22"/>
          <w:lang w:val="en-CA" w:eastAsia="fr-CA"/>
        </w:rPr>
        <w:t xml:space="preserve">telephone </w:t>
      </w:r>
      <w:r w:rsidRPr="00F1332A">
        <w:rPr>
          <w:rFonts w:eastAsia="ArialMT"/>
          <w:i w:val="0"/>
          <w:sz w:val="22"/>
          <w:szCs w:val="22"/>
          <w:lang w:val="en-CA" w:eastAsia="fr-CA"/>
        </w:rPr>
        <w:t>use or lease is required to be concerned by the class?</w:t>
      </w:r>
      <w:r w:rsidR="00E57111" w:rsidRPr="00F1332A">
        <w:rPr>
          <w:rFonts w:eastAsia="ArialMT"/>
          <w:i w:val="0"/>
          <w:sz w:val="22"/>
          <w:szCs w:val="22"/>
          <w:lang w:val="en-CA" w:eastAsia="fr-CA"/>
        </w:rPr>
        <w:t xml:space="preserve"> </w:t>
      </w:r>
      <w:r w:rsidRPr="00EA3E22">
        <w:rPr>
          <w:rFonts w:eastAsia="ArialMT"/>
          <w:i w:val="0"/>
          <w:sz w:val="22"/>
          <w:szCs w:val="22"/>
          <w:lang w:val="en-CA" w:eastAsia="fr-CA"/>
        </w:rPr>
        <w:t>One day?</w:t>
      </w:r>
      <w:r w:rsidR="00E57111" w:rsidRPr="00F1332A">
        <w:rPr>
          <w:rFonts w:eastAsia="ArialMT"/>
          <w:i w:val="0"/>
          <w:sz w:val="22"/>
          <w:szCs w:val="22"/>
          <w:lang w:val="en-CA" w:eastAsia="fr-CA"/>
        </w:rPr>
        <w:t xml:space="preserve"> </w:t>
      </w:r>
      <w:r w:rsidRPr="00EA3E22">
        <w:rPr>
          <w:rFonts w:eastAsia="ArialMT"/>
          <w:i w:val="0"/>
          <w:sz w:val="22"/>
          <w:szCs w:val="22"/>
          <w:lang w:val="en-CA" w:eastAsia="fr-CA"/>
        </w:rPr>
        <w:t>One month?</w:t>
      </w:r>
      <w:r w:rsidR="00E57111" w:rsidRPr="00F1332A">
        <w:rPr>
          <w:rFonts w:eastAsia="ArialMT"/>
          <w:i w:val="0"/>
          <w:sz w:val="22"/>
          <w:szCs w:val="22"/>
          <w:lang w:val="en-CA" w:eastAsia="fr-CA"/>
        </w:rPr>
        <w:t xml:space="preserve"> </w:t>
      </w:r>
      <w:r w:rsidRPr="00F1332A">
        <w:rPr>
          <w:rFonts w:eastAsia="ArialMT"/>
          <w:i w:val="0"/>
          <w:sz w:val="22"/>
          <w:szCs w:val="22"/>
          <w:lang w:val="en-CA" w:eastAsia="fr-CA"/>
        </w:rPr>
        <w:t>If a person in the street borrow</w:t>
      </w:r>
      <w:r w:rsidR="00AA1D1C">
        <w:rPr>
          <w:rFonts w:eastAsia="ArialMT"/>
          <w:i w:val="0"/>
          <w:sz w:val="22"/>
          <w:szCs w:val="22"/>
          <w:lang w:val="en-CA" w:eastAsia="fr-CA"/>
        </w:rPr>
        <w:t>s</w:t>
      </w:r>
      <w:r w:rsidRPr="00F1332A">
        <w:rPr>
          <w:rFonts w:eastAsia="ArialMT"/>
          <w:i w:val="0"/>
          <w:sz w:val="22"/>
          <w:szCs w:val="22"/>
          <w:lang w:val="en-CA" w:eastAsia="fr-CA"/>
        </w:rPr>
        <w:t xml:space="preserve"> a passerby’s telephone, do they qualify?</w:t>
      </w:r>
      <w:r w:rsidR="00E57111" w:rsidRPr="00F1332A">
        <w:rPr>
          <w:rFonts w:eastAsia="ArialMT"/>
          <w:i w:val="0"/>
          <w:sz w:val="22"/>
          <w:szCs w:val="22"/>
          <w:lang w:val="en-CA" w:eastAsia="fr-CA"/>
        </w:rPr>
        <w:t xml:space="preserve"> </w:t>
      </w:r>
      <w:r w:rsidRPr="00F1332A">
        <w:rPr>
          <w:rFonts w:eastAsia="ArialMT"/>
          <w:i w:val="0"/>
          <w:sz w:val="22"/>
          <w:szCs w:val="22"/>
          <w:lang w:val="en-CA" w:eastAsia="fr-CA"/>
        </w:rPr>
        <w:t xml:space="preserve">There is no temporal limit determining the starting point for </w:t>
      </w:r>
      <w:r w:rsidR="003D490A" w:rsidRPr="00F1332A">
        <w:rPr>
          <w:rFonts w:eastAsia="ArialMT"/>
          <w:i w:val="0"/>
          <w:sz w:val="22"/>
          <w:szCs w:val="22"/>
          <w:lang w:val="en-CA" w:eastAsia="fr-CA"/>
        </w:rPr>
        <w:t>the</w:t>
      </w:r>
      <w:r w:rsidRPr="00F1332A">
        <w:rPr>
          <w:rFonts w:eastAsia="ArialMT"/>
          <w:i w:val="0"/>
          <w:sz w:val="22"/>
          <w:szCs w:val="22"/>
          <w:lang w:val="en-CA" w:eastAsia="fr-CA"/>
        </w:rPr>
        <w:t xml:space="preserve"> purchase, lease, or use.</w:t>
      </w:r>
      <w:r w:rsidR="00E57111" w:rsidRPr="00F1332A">
        <w:rPr>
          <w:rFonts w:eastAsia="ArialMT"/>
          <w:i w:val="0"/>
          <w:sz w:val="22"/>
          <w:szCs w:val="22"/>
          <w:lang w:val="en-CA" w:eastAsia="fr-CA"/>
        </w:rPr>
        <w:t xml:space="preserve"> </w:t>
      </w:r>
      <w:r>
        <w:rPr>
          <w:rFonts w:eastAsia="ArialMT"/>
          <w:i w:val="0"/>
          <w:sz w:val="22"/>
          <w:szCs w:val="22"/>
          <w:lang w:val="en-CA" w:eastAsia="fr-CA"/>
        </w:rPr>
        <w:t>The period concerned by the class action is not defined.</w:t>
      </w:r>
    </w:p>
    <w:p w14:paraId="0D47F1E7" w14:textId="436A29B4" w:rsidR="00E57111" w:rsidRPr="00F1332A" w:rsidRDefault="00F1332A" w:rsidP="00E57111">
      <w:pPr>
        <w:pStyle w:val="F02-Texte"/>
        <w:ind w:left="0" w:firstLine="0"/>
        <w:rPr>
          <w:rFonts w:cs="Arial"/>
          <w:szCs w:val="24"/>
          <w:lang w:val="en-CA"/>
        </w:rPr>
      </w:pPr>
      <w:r w:rsidRPr="00F1332A">
        <w:rPr>
          <w:rFonts w:cs="Arial"/>
          <w:szCs w:val="24"/>
          <w:lang w:val="en-CA" w:eastAsia="fr-CA"/>
        </w:rPr>
        <w:t xml:space="preserve">According to the </w:t>
      </w:r>
      <w:r w:rsidR="003D490A" w:rsidRPr="00F1332A">
        <w:rPr>
          <w:rFonts w:cs="Arial"/>
          <w:szCs w:val="24"/>
          <w:lang w:val="en-CA" w:eastAsia="fr-CA"/>
        </w:rPr>
        <w:t>Fonds</w:t>
      </w:r>
      <w:r w:rsidRPr="00F1332A">
        <w:rPr>
          <w:rFonts w:cs="Arial"/>
          <w:szCs w:val="24"/>
          <w:lang w:val="en-CA" w:eastAsia="fr-CA"/>
        </w:rPr>
        <w:t xml:space="preserve">, </w:t>
      </w:r>
      <w:r w:rsidR="003D490A">
        <w:rPr>
          <w:rFonts w:cs="Arial"/>
          <w:szCs w:val="24"/>
          <w:lang w:val="en-CA" w:eastAsia="fr-CA"/>
        </w:rPr>
        <w:t>identifying</w:t>
      </w:r>
      <w:r w:rsidRPr="00F1332A">
        <w:rPr>
          <w:rFonts w:cs="Arial"/>
          <w:szCs w:val="24"/>
          <w:lang w:val="en-CA" w:eastAsia="fr-CA"/>
        </w:rPr>
        <w:t xml:space="preserve"> class member</w:t>
      </w:r>
      <w:r w:rsidR="003D490A">
        <w:rPr>
          <w:rFonts w:cs="Arial"/>
          <w:szCs w:val="24"/>
          <w:lang w:val="en-CA" w:eastAsia="fr-CA"/>
        </w:rPr>
        <w:t>s</w:t>
      </w:r>
      <w:r w:rsidRPr="00F1332A">
        <w:rPr>
          <w:rFonts w:cs="Arial"/>
          <w:szCs w:val="24"/>
          <w:lang w:val="en-CA" w:eastAsia="fr-CA"/>
        </w:rPr>
        <w:t xml:space="preserve"> is problematic </w:t>
      </w:r>
      <w:r w:rsidR="003D490A">
        <w:rPr>
          <w:rFonts w:cs="Arial"/>
          <w:szCs w:val="24"/>
          <w:lang w:val="en-CA" w:eastAsia="fr-CA"/>
        </w:rPr>
        <w:t>with</w:t>
      </w:r>
      <w:r w:rsidRPr="00F1332A">
        <w:rPr>
          <w:rFonts w:cs="Arial"/>
          <w:szCs w:val="24"/>
          <w:lang w:val="en-CA" w:eastAsia="fr-CA"/>
        </w:rPr>
        <w:t xml:space="preserve"> the composition of the class suggested, in particular because anyone who used one of </w:t>
      </w:r>
      <w:r w:rsidR="003D490A" w:rsidRPr="00F1332A">
        <w:rPr>
          <w:rFonts w:cs="Arial"/>
          <w:szCs w:val="24"/>
          <w:lang w:val="en-CA" w:eastAsia="fr-CA"/>
        </w:rPr>
        <w:t>the</w:t>
      </w:r>
      <w:r w:rsidRPr="00F1332A">
        <w:rPr>
          <w:rFonts w:cs="Arial"/>
          <w:szCs w:val="24"/>
          <w:lang w:val="en-CA" w:eastAsia="fr-CA"/>
        </w:rPr>
        <w:t xml:space="preserve"> telephones concerned in Quebec is a member of the class action, whether or not they reside there.</w:t>
      </w:r>
      <w:r w:rsidR="00E57111" w:rsidRPr="00F1332A">
        <w:rPr>
          <w:rFonts w:cs="Arial"/>
          <w:szCs w:val="24"/>
          <w:lang w:val="en-CA" w:eastAsia="fr-CA"/>
        </w:rPr>
        <w:t xml:space="preserve"> </w:t>
      </w:r>
      <w:r w:rsidRPr="00F1332A">
        <w:rPr>
          <w:rFonts w:cs="Arial"/>
          <w:szCs w:val="24"/>
          <w:lang w:val="en-CA" w:eastAsia="fr-CA"/>
        </w:rPr>
        <w:t>It submits that there is no objective criteria or rational basis alleged that justifies including all these persons as class members.</w:t>
      </w:r>
      <w:r w:rsidR="00E57111">
        <w:rPr>
          <w:rStyle w:val="Appelnotedebasdep"/>
        </w:rPr>
        <w:footnoteReference w:id="78"/>
      </w:r>
    </w:p>
    <w:p w14:paraId="1C17EE81" w14:textId="474DE8BC" w:rsidR="00E57111" w:rsidRPr="004D3B44" w:rsidRDefault="004D3B44" w:rsidP="00E57111">
      <w:pPr>
        <w:pStyle w:val="F02-Texte"/>
        <w:ind w:left="0" w:firstLine="0"/>
        <w:rPr>
          <w:rFonts w:cs="Arial"/>
          <w:szCs w:val="24"/>
          <w:u w:val="single"/>
          <w:lang w:val="en-CA"/>
        </w:rPr>
      </w:pPr>
      <w:r w:rsidRPr="004D3B44">
        <w:rPr>
          <w:rFonts w:cs="Arial"/>
          <w:szCs w:val="24"/>
          <w:lang w:val="en-CA" w:eastAsia="fr-CA"/>
        </w:rPr>
        <w:lastRenderedPageBreak/>
        <w:t xml:space="preserve">First, the </w:t>
      </w:r>
      <w:r w:rsidR="003D490A" w:rsidRPr="004D3B44">
        <w:rPr>
          <w:rFonts w:cs="Arial"/>
          <w:szCs w:val="24"/>
          <w:lang w:val="en-CA" w:eastAsia="fr-CA"/>
        </w:rPr>
        <w:t>Fonds’s</w:t>
      </w:r>
      <w:r w:rsidRPr="004D3B44">
        <w:rPr>
          <w:rFonts w:cs="Arial"/>
          <w:szCs w:val="24"/>
          <w:lang w:val="en-CA" w:eastAsia="fr-CA"/>
        </w:rPr>
        <w:t xml:space="preserve"> decision is based on the application for authorization to institute a class action, amended on December 15, 2019.</w:t>
      </w:r>
    </w:p>
    <w:p w14:paraId="5D259E8F" w14:textId="506CBC80" w:rsidR="00E57111" w:rsidRPr="00BC7B4D" w:rsidRDefault="00BC7B4D" w:rsidP="00E57111">
      <w:pPr>
        <w:pStyle w:val="F02-Texte"/>
        <w:ind w:left="0" w:firstLine="0"/>
        <w:rPr>
          <w:u w:val="single"/>
          <w:lang w:val="en-CA"/>
        </w:rPr>
      </w:pPr>
      <w:r w:rsidRPr="00BC7B4D">
        <w:rPr>
          <w:rFonts w:cs="Arial"/>
          <w:szCs w:val="24"/>
          <w:lang w:val="en-CA"/>
        </w:rPr>
        <w:t xml:space="preserve">However, as previously stated, the amendment to the application from August 13, 2020, is admissible </w:t>
      </w:r>
      <w:r w:rsidR="008C09DD">
        <w:rPr>
          <w:rFonts w:cs="Arial"/>
          <w:szCs w:val="24"/>
          <w:lang w:val="en-CA"/>
        </w:rPr>
        <w:t xml:space="preserve">in evidence </w:t>
      </w:r>
      <w:r w:rsidRPr="00BC7B4D">
        <w:rPr>
          <w:rFonts w:cs="Arial"/>
          <w:szCs w:val="24"/>
          <w:lang w:val="en-CA"/>
        </w:rPr>
        <w:t>before the Tribunal.</w:t>
      </w:r>
    </w:p>
    <w:p w14:paraId="0740A9AC" w14:textId="77777777" w:rsidR="00E57111" w:rsidRPr="00BC7B4D" w:rsidRDefault="00BC7B4D" w:rsidP="00E57111">
      <w:pPr>
        <w:pStyle w:val="F02-Texte"/>
        <w:ind w:left="0" w:firstLine="0"/>
        <w:rPr>
          <w:u w:val="single"/>
          <w:lang w:val="en-CA"/>
        </w:rPr>
      </w:pPr>
      <w:r w:rsidRPr="00BC7B4D">
        <w:rPr>
          <w:lang w:val="en-CA"/>
        </w:rPr>
        <w:t>Let us recall that this amendment concerns in particular the definition of the class to specify in the conclusions that the persons concerned must reside in the province of Quebec and to withdraw any references to Canada:</w:t>
      </w:r>
    </w:p>
    <w:p w14:paraId="56B9D72B" w14:textId="076F1E27" w:rsidR="00E57111" w:rsidRPr="000D0A88" w:rsidRDefault="00BC7B4D" w:rsidP="00E57111">
      <w:pPr>
        <w:pStyle w:val="F04-Retrait"/>
        <w:rPr>
          <w:i w:val="0"/>
          <w:sz w:val="22"/>
          <w:szCs w:val="22"/>
          <w:u w:val="single"/>
          <w:lang w:val="en-CA"/>
        </w:rPr>
      </w:pPr>
      <w:r w:rsidRPr="00BC7B4D">
        <w:rPr>
          <w:rFonts w:eastAsia="TimesNewRomanPSMT"/>
          <w:i w:val="0"/>
          <w:sz w:val="22"/>
          <w:szCs w:val="22"/>
          <w:lang w:val="en-CA" w:eastAsia="fr-CA"/>
        </w:rPr>
        <w:t xml:space="preserve">All persons </w:t>
      </w:r>
      <w:r w:rsidRPr="00BC7B4D">
        <w:rPr>
          <w:rFonts w:eastAsia="TimesNewRomanPSMT"/>
          <w:i w:val="0"/>
          <w:sz w:val="22"/>
          <w:szCs w:val="22"/>
          <w:u w:val="single"/>
          <w:lang w:val="en-CA" w:eastAsia="fr-CA"/>
        </w:rPr>
        <w:t>at any time residing</w:t>
      </w:r>
      <w:r w:rsidRPr="00BC7B4D">
        <w:rPr>
          <w:rFonts w:eastAsia="TimesNewRomanPSMT"/>
          <w:i w:val="0"/>
          <w:sz w:val="22"/>
          <w:szCs w:val="22"/>
          <w:lang w:val="en-CA" w:eastAsia="fr-CA"/>
        </w:rPr>
        <w:t xml:space="preserve"> in the Province of Quebec who purchased, leased and/or used the Phones, namely, iPhone 5s, iPhone 5C, iPhone 6, iPhone 6s, iPhone 6s Plus, iPhone SE, iPhone 7, iPhone 7 plus, iPhone 8, iPhone 8 Plus, iPhone X, iPhone XR, iPhone XS, iPhone, XS M ax, iPhone 11, iPhone 11 Pro, iPhone 11 Pro Max, Samsung Galaxy S7, Samsung Galaxy S8, Samsung Galaxy S9, Samsung Galaxy J3, </w:t>
      </w:r>
      <w:r w:rsidRPr="00BC7B4D">
        <w:rPr>
          <w:rFonts w:eastAsia="TimesNewRomanPSMT"/>
          <w:i w:val="0"/>
          <w:sz w:val="22"/>
          <w:szCs w:val="22"/>
          <w:u w:val="single"/>
          <w:lang w:val="en-CA" w:eastAsia="fr-CA"/>
        </w:rPr>
        <w:t>Samsung Galaxy S20</w:t>
      </w:r>
      <w:r w:rsidRPr="00BC7B4D">
        <w:rPr>
          <w:rFonts w:eastAsia="TimesNewRomanPSMT"/>
          <w:i w:val="0"/>
          <w:sz w:val="22"/>
          <w:szCs w:val="22"/>
          <w:lang w:val="en-CA" w:eastAsia="fr-CA"/>
        </w:rPr>
        <w:t xml:space="preserve"> ... and all additional Samsung models sold from 2013 forward, and any other phones sold or marketed by Defendants from 2013 forward.</w:t>
      </w:r>
    </w:p>
    <w:p w14:paraId="3280627D" w14:textId="5AF220B4" w:rsidR="00E57111" w:rsidRPr="00BC7B4D" w:rsidRDefault="00BC7B4D" w:rsidP="00E57111">
      <w:pPr>
        <w:pStyle w:val="F02-Texte"/>
        <w:ind w:left="0" w:firstLine="0"/>
        <w:rPr>
          <w:u w:val="single"/>
          <w:lang w:val="en-CA"/>
        </w:rPr>
      </w:pPr>
      <w:r w:rsidRPr="00BC7B4D">
        <w:rPr>
          <w:lang w:val="en-CA"/>
        </w:rPr>
        <w:t xml:space="preserve">It is clear that these amendments answer the Fonds’s </w:t>
      </w:r>
      <w:r w:rsidR="00E7534A" w:rsidRPr="00BC7B4D">
        <w:rPr>
          <w:lang w:val="en-CA"/>
        </w:rPr>
        <w:t>questions</w:t>
      </w:r>
      <w:r w:rsidRPr="00BC7B4D">
        <w:rPr>
          <w:lang w:val="en-CA"/>
        </w:rPr>
        <w:t>.</w:t>
      </w:r>
    </w:p>
    <w:p w14:paraId="024F3566" w14:textId="5016DFF4" w:rsidR="00E57111" w:rsidRPr="00BC7B4D" w:rsidRDefault="00BC7B4D" w:rsidP="00E57111">
      <w:pPr>
        <w:pStyle w:val="F02-Texte"/>
        <w:autoSpaceDE w:val="0"/>
        <w:autoSpaceDN w:val="0"/>
        <w:adjustRightInd w:val="0"/>
        <w:ind w:left="0" w:firstLine="0"/>
        <w:rPr>
          <w:rFonts w:cs="Arial"/>
          <w:szCs w:val="24"/>
          <w:lang w:val="en-CA"/>
        </w:rPr>
      </w:pPr>
      <w:r w:rsidRPr="00BC7B4D">
        <w:rPr>
          <w:rFonts w:cs="Arial"/>
          <w:szCs w:val="24"/>
          <w:lang w:val="en-CA"/>
        </w:rPr>
        <w:t xml:space="preserve">Furthermore, the Tribunal notes that this description of </w:t>
      </w:r>
      <w:r w:rsidR="00E7534A" w:rsidRPr="00BC7B4D">
        <w:rPr>
          <w:rFonts w:cs="Arial"/>
          <w:szCs w:val="24"/>
          <w:lang w:val="en-CA"/>
        </w:rPr>
        <w:t>the</w:t>
      </w:r>
      <w:r w:rsidRPr="00BC7B4D">
        <w:rPr>
          <w:rFonts w:cs="Arial"/>
          <w:szCs w:val="24"/>
          <w:lang w:val="en-CA"/>
        </w:rPr>
        <w:t xml:space="preserve"> class corresponds to the one accepted by the Superior Court in its judgment rendered on June 18, 2020, with regard to the presentation of evidence, despite </w:t>
      </w:r>
      <w:r w:rsidR="00E7534A" w:rsidRPr="00BC7B4D">
        <w:rPr>
          <w:rFonts w:cs="Arial"/>
          <w:szCs w:val="24"/>
          <w:lang w:val="en-CA"/>
        </w:rPr>
        <w:t>the</w:t>
      </w:r>
      <w:r w:rsidRPr="00BC7B4D">
        <w:rPr>
          <w:rFonts w:cs="Arial"/>
          <w:szCs w:val="24"/>
          <w:lang w:val="en-CA"/>
        </w:rPr>
        <w:t xml:space="preserve"> fact that the amendment of the application was filed subsequently.</w:t>
      </w:r>
    </w:p>
    <w:p w14:paraId="33C03151" w14:textId="671BEB8E" w:rsidR="00E57111" w:rsidRPr="00BC7B4D" w:rsidRDefault="00BC7B4D" w:rsidP="00E57111">
      <w:pPr>
        <w:pStyle w:val="F02-Texte"/>
        <w:autoSpaceDE w:val="0"/>
        <w:autoSpaceDN w:val="0"/>
        <w:adjustRightInd w:val="0"/>
        <w:ind w:left="0" w:firstLine="0"/>
        <w:rPr>
          <w:rFonts w:cs="Arial"/>
          <w:szCs w:val="24"/>
          <w:lang w:val="en-CA"/>
        </w:rPr>
      </w:pPr>
      <w:r w:rsidRPr="00BC7B4D">
        <w:rPr>
          <w:rFonts w:cs="Arial"/>
          <w:szCs w:val="24"/>
          <w:lang w:val="en-CA"/>
        </w:rPr>
        <w:t xml:space="preserve">Indeed, the Court stated that: </w:t>
      </w:r>
      <w:r w:rsidR="00E7534A">
        <w:rPr>
          <w:rFonts w:cs="Arial"/>
          <w:szCs w:val="24"/>
          <w:lang w:val="en-CA"/>
        </w:rPr>
        <w:t>[</w:t>
      </w:r>
      <w:r w:rsidR="00E7534A" w:rsidRPr="00E7534A">
        <w:rPr>
          <w:rFonts w:cs="Arial"/>
          <w:smallCaps/>
          <w:szCs w:val="24"/>
          <w:lang w:val="en-CA"/>
        </w:rPr>
        <w:t>translation</w:t>
      </w:r>
      <w:r w:rsidR="00E7534A">
        <w:rPr>
          <w:rFonts w:cs="Arial"/>
          <w:szCs w:val="24"/>
          <w:lang w:val="en-CA"/>
        </w:rPr>
        <w:t xml:space="preserve">] </w:t>
      </w:r>
      <w:r w:rsidRPr="00BC7B4D">
        <w:rPr>
          <w:rFonts w:cs="Arial"/>
          <w:szCs w:val="24"/>
          <w:lang w:val="en-CA"/>
        </w:rPr>
        <w:t xml:space="preserve">“This class action </w:t>
      </w:r>
      <w:r w:rsidR="00E7534A">
        <w:rPr>
          <w:rFonts w:cs="Arial"/>
          <w:szCs w:val="24"/>
          <w:lang w:val="en-CA"/>
        </w:rPr>
        <w:t>seeks</w:t>
      </w:r>
      <w:r w:rsidRPr="00BC7B4D">
        <w:rPr>
          <w:rFonts w:cs="Arial"/>
          <w:szCs w:val="24"/>
          <w:lang w:val="en-CA"/>
        </w:rPr>
        <w:t xml:space="preserve"> to involve a group of Quebec </w:t>
      </w:r>
      <w:r w:rsidR="00E7534A" w:rsidRPr="00BC7B4D">
        <w:rPr>
          <w:rFonts w:cs="Arial"/>
          <w:szCs w:val="24"/>
          <w:lang w:val="en-CA"/>
        </w:rPr>
        <w:t>residents</w:t>
      </w:r>
      <w:r w:rsidRPr="00BC7B4D">
        <w:rPr>
          <w:rFonts w:cs="Arial"/>
          <w:szCs w:val="24"/>
          <w:lang w:val="en-CA"/>
        </w:rPr>
        <w:t xml:space="preserve"> who have, since 2013, purchased, leased, or used certain cellular telephones manufactured or sold: - by Apple Canada </w:t>
      </w:r>
      <w:r w:rsidR="0023359B">
        <w:rPr>
          <w:rFonts w:cs="Arial"/>
          <w:szCs w:val="24"/>
          <w:lang w:val="en-CA"/>
        </w:rPr>
        <w:t>I</w:t>
      </w:r>
      <w:r w:rsidRPr="00BC7B4D">
        <w:rPr>
          <w:rFonts w:cs="Arial"/>
          <w:szCs w:val="24"/>
          <w:lang w:val="en-CA"/>
        </w:rPr>
        <w:t>nc.; or - Samsung Electronics Canada”.</w:t>
      </w:r>
      <w:r w:rsidR="00E57111">
        <w:rPr>
          <w:rStyle w:val="Appelnotedebasdep"/>
        </w:rPr>
        <w:footnoteReference w:id="79"/>
      </w:r>
    </w:p>
    <w:p w14:paraId="6F30D128" w14:textId="709EE189" w:rsidR="00E57111" w:rsidRPr="00BC7B4D" w:rsidRDefault="008547D2" w:rsidP="00E57111">
      <w:pPr>
        <w:pStyle w:val="F02-Texte"/>
        <w:autoSpaceDE w:val="0"/>
        <w:autoSpaceDN w:val="0"/>
        <w:adjustRightInd w:val="0"/>
        <w:ind w:left="0" w:firstLine="0"/>
        <w:rPr>
          <w:rFonts w:cs="Arial"/>
          <w:szCs w:val="24"/>
          <w:lang w:val="en-CA"/>
        </w:rPr>
      </w:pPr>
      <w:r>
        <w:rPr>
          <w:rFonts w:cs="Arial"/>
          <w:szCs w:val="24"/>
          <w:lang w:val="en-CA"/>
        </w:rPr>
        <w:t>To conclude</w:t>
      </w:r>
      <w:r w:rsidR="00BC7B4D" w:rsidRPr="00BC7B4D">
        <w:rPr>
          <w:rFonts w:cs="Arial"/>
          <w:szCs w:val="24"/>
          <w:lang w:val="en-CA"/>
        </w:rPr>
        <w:t>, as the applicants point out, it is a class similar to the one in a class action for damages against Apple recently authorized by the Superior Court.</w:t>
      </w:r>
      <w:r w:rsidR="00E57111">
        <w:rPr>
          <w:rStyle w:val="Appelnotedebasdep"/>
        </w:rPr>
        <w:footnoteReference w:id="80"/>
      </w:r>
    </w:p>
    <w:p w14:paraId="4517FE25" w14:textId="7350285F" w:rsidR="00E7534A" w:rsidRDefault="00E7534A" w:rsidP="00E57111">
      <w:pPr>
        <w:pStyle w:val="F04-Retrait"/>
        <w:rPr>
          <w:rFonts w:eastAsia="ArialMT"/>
          <w:i w:val="0"/>
          <w:sz w:val="22"/>
          <w:szCs w:val="22"/>
          <w:lang w:val="en-CA" w:eastAsia="fr-CA"/>
        </w:rPr>
      </w:pPr>
      <w:r>
        <w:rPr>
          <w:rFonts w:eastAsia="ArialMT"/>
          <w:i w:val="0"/>
          <w:sz w:val="22"/>
          <w:szCs w:val="22"/>
          <w:lang w:val="en-CA" w:eastAsia="fr-CA"/>
        </w:rPr>
        <w:t>[</w:t>
      </w:r>
      <w:r w:rsidRPr="00E7534A">
        <w:rPr>
          <w:rFonts w:eastAsia="ArialMT"/>
          <w:i w:val="0"/>
          <w:smallCaps/>
          <w:sz w:val="22"/>
          <w:szCs w:val="22"/>
          <w:lang w:val="en-CA" w:eastAsia="fr-CA"/>
        </w:rPr>
        <w:t>translation</w:t>
      </w:r>
      <w:r>
        <w:rPr>
          <w:rFonts w:eastAsia="ArialMT"/>
          <w:i w:val="0"/>
          <w:sz w:val="22"/>
          <w:szCs w:val="22"/>
          <w:lang w:val="en-CA" w:eastAsia="fr-CA"/>
        </w:rPr>
        <w:t>]</w:t>
      </w:r>
    </w:p>
    <w:p w14:paraId="3ED4EF7B" w14:textId="64A82882" w:rsidR="00E57111" w:rsidRPr="00EA3E22" w:rsidRDefault="00BC7B4D" w:rsidP="00E57111">
      <w:pPr>
        <w:pStyle w:val="F04-Retrait"/>
        <w:rPr>
          <w:rFonts w:eastAsia="ArialMT"/>
          <w:i w:val="0"/>
          <w:sz w:val="22"/>
          <w:szCs w:val="22"/>
          <w:lang w:val="en-CA" w:eastAsia="fr-CA"/>
        </w:rPr>
      </w:pPr>
      <w:r w:rsidRPr="00EA3E22">
        <w:rPr>
          <w:rFonts w:eastAsia="ArialMT"/>
          <w:i w:val="0"/>
          <w:sz w:val="22"/>
          <w:szCs w:val="22"/>
          <w:lang w:val="en-CA" w:eastAsia="fr-CA"/>
        </w:rPr>
        <w:lastRenderedPageBreak/>
        <w:t xml:space="preserve">[95] </w:t>
      </w:r>
      <w:r w:rsidRPr="00E7534A">
        <w:rPr>
          <w:rFonts w:eastAsia="ArialMT"/>
          <w:b/>
          <w:i w:val="0"/>
          <w:sz w:val="22"/>
          <w:szCs w:val="22"/>
          <w:lang w:val="en-CA" w:eastAsia="fr-CA"/>
        </w:rPr>
        <w:t>APPOINTS</w:t>
      </w:r>
      <w:r w:rsidRPr="00EA3E22">
        <w:rPr>
          <w:rFonts w:eastAsia="ArialMT"/>
          <w:i w:val="0"/>
          <w:sz w:val="22"/>
          <w:szCs w:val="22"/>
          <w:lang w:val="en-CA" w:eastAsia="fr-CA"/>
        </w:rPr>
        <w:t xml:space="preserve"> </w:t>
      </w:r>
      <w:r w:rsidR="00AD39D0">
        <w:rPr>
          <w:rFonts w:eastAsia="ArialMT"/>
          <w:i w:val="0"/>
          <w:sz w:val="22"/>
          <w:szCs w:val="22"/>
          <w:lang w:val="en-CA" w:eastAsia="fr-CA"/>
        </w:rPr>
        <w:t xml:space="preserve">the applicants </w:t>
      </w:r>
      <w:r w:rsidRPr="00EA3E22">
        <w:rPr>
          <w:rFonts w:eastAsia="ArialMT"/>
          <w:i w:val="0"/>
          <w:sz w:val="22"/>
          <w:szCs w:val="22"/>
          <w:lang w:val="en-CA" w:eastAsia="fr-CA"/>
        </w:rPr>
        <w:t xml:space="preserve">and </w:t>
      </w:r>
      <w:r w:rsidRPr="00E7534A">
        <w:rPr>
          <w:rFonts w:eastAsia="ArialMT"/>
          <w:b/>
          <w:i w:val="0"/>
          <w:sz w:val="22"/>
          <w:szCs w:val="22"/>
          <w:lang w:val="en-CA" w:eastAsia="fr-CA"/>
        </w:rPr>
        <w:t>ASCRIBES</w:t>
      </w:r>
      <w:r w:rsidRPr="00EA3E22">
        <w:rPr>
          <w:rFonts w:eastAsia="ArialMT"/>
          <w:i w:val="0"/>
          <w:sz w:val="22"/>
          <w:szCs w:val="22"/>
          <w:lang w:val="en-CA" w:eastAsia="fr-CA"/>
        </w:rPr>
        <w:t xml:space="preserve"> </w:t>
      </w:r>
      <w:r w:rsidR="00AD39D0">
        <w:rPr>
          <w:rFonts w:eastAsia="ArialMT"/>
          <w:i w:val="0"/>
          <w:sz w:val="22"/>
          <w:szCs w:val="22"/>
          <w:lang w:val="en-CA" w:eastAsia="fr-CA"/>
        </w:rPr>
        <w:t xml:space="preserve">to them </w:t>
      </w:r>
      <w:r w:rsidRPr="00EA3E22">
        <w:rPr>
          <w:rFonts w:eastAsia="ArialMT"/>
          <w:i w:val="0"/>
          <w:sz w:val="22"/>
          <w:szCs w:val="22"/>
          <w:lang w:val="en-CA" w:eastAsia="fr-CA"/>
        </w:rPr>
        <w:t>the status of representative for the purpose of bringing these class actions on behalf of the groups described hereinafter:</w:t>
      </w:r>
    </w:p>
    <w:p w14:paraId="09F41695" w14:textId="77777777" w:rsidR="00E57111" w:rsidRPr="00BC7B4D" w:rsidRDefault="00BC7B4D" w:rsidP="00E57111">
      <w:pPr>
        <w:pStyle w:val="F04-Retrait"/>
        <w:rPr>
          <w:rFonts w:eastAsia="ArialMT"/>
          <w:i w:val="0"/>
          <w:sz w:val="22"/>
          <w:szCs w:val="22"/>
          <w:u w:val="single"/>
          <w:lang w:val="en-CA" w:eastAsia="fr-CA"/>
        </w:rPr>
      </w:pPr>
      <w:r w:rsidRPr="00BC7B4D">
        <w:rPr>
          <w:rFonts w:eastAsia="ArialMT"/>
          <w:i w:val="0"/>
          <w:sz w:val="22"/>
          <w:szCs w:val="22"/>
          <w:u w:val="single"/>
          <w:lang w:val="en-CA" w:eastAsia="fr-CA"/>
        </w:rPr>
        <w:t>Apple rechargeable batteries group:</w:t>
      </w:r>
    </w:p>
    <w:p w14:paraId="7412FDE2" w14:textId="28F7F71A" w:rsidR="00E57111" w:rsidRPr="00BC7B4D" w:rsidRDefault="00BC7B4D" w:rsidP="00E57111">
      <w:pPr>
        <w:pStyle w:val="F04-Retrait"/>
        <w:rPr>
          <w:rFonts w:eastAsia="ArialMT"/>
          <w:i w:val="0"/>
          <w:sz w:val="22"/>
          <w:szCs w:val="22"/>
          <w:lang w:val="en-CA" w:eastAsia="fr-CA"/>
        </w:rPr>
      </w:pPr>
      <w:r w:rsidRPr="00BC7B4D">
        <w:rPr>
          <w:rFonts w:eastAsia="ArialMT"/>
          <w:i w:val="0"/>
          <w:sz w:val="22"/>
          <w:szCs w:val="22"/>
          <w:lang w:val="en-CA" w:eastAsia="fr-CA"/>
        </w:rPr>
        <w:t>Every consumer who</w:t>
      </w:r>
      <w:r w:rsidR="00292274">
        <w:rPr>
          <w:rFonts w:eastAsia="ArialMT"/>
          <w:i w:val="0"/>
          <w:sz w:val="22"/>
          <w:szCs w:val="22"/>
          <w:lang w:val="en-CA" w:eastAsia="fr-CA"/>
        </w:rPr>
        <w:t>,</w:t>
      </w:r>
      <w:r w:rsidRPr="00BC7B4D">
        <w:rPr>
          <w:rFonts w:eastAsia="ArialMT"/>
          <w:i w:val="0"/>
          <w:sz w:val="22"/>
          <w:szCs w:val="22"/>
          <w:lang w:val="en-CA" w:eastAsia="fr-CA"/>
        </w:rPr>
        <w:t xml:space="preserve"> </w:t>
      </w:r>
      <w:r w:rsidR="00292274" w:rsidRPr="00BC7B4D">
        <w:rPr>
          <w:rFonts w:eastAsia="ArialMT"/>
          <w:i w:val="0"/>
          <w:sz w:val="22"/>
          <w:szCs w:val="22"/>
          <w:lang w:val="en-CA" w:eastAsia="fr-CA"/>
        </w:rPr>
        <w:t xml:space="preserve">since December 29, 2014, </w:t>
      </w:r>
      <w:r w:rsidRPr="00BC7B4D">
        <w:rPr>
          <w:rFonts w:eastAsia="ArialMT"/>
          <w:i w:val="0"/>
          <w:sz w:val="22"/>
          <w:szCs w:val="22"/>
          <w:lang w:val="en-CA" w:eastAsia="fr-CA"/>
        </w:rPr>
        <w:t xml:space="preserve">has purchased an Apple product, including an iPhone, Apple Watch, iPad, iPod </w:t>
      </w:r>
      <w:r w:rsidR="00E7534A" w:rsidRPr="00BC7B4D">
        <w:rPr>
          <w:rFonts w:eastAsia="ArialMT"/>
          <w:i w:val="0"/>
          <w:sz w:val="22"/>
          <w:szCs w:val="22"/>
          <w:lang w:val="en-CA" w:eastAsia="fr-CA"/>
        </w:rPr>
        <w:t>and</w:t>
      </w:r>
      <w:r w:rsidRPr="00BC7B4D">
        <w:rPr>
          <w:rFonts w:eastAsia="ArialMT"/>
          <w:i w:val="0"/>
          <w:sz w:val="22"/>
          <w:szCs w:val="22"/>
          <w:lang w:val="en-CA" w:eastAsia="fr-CA"/>
        </w:rPr>
        <w:t>/or MacBook equipped with a rechargeable battery;</w:t>
      </w:r>
    </w:p>
    <w:p w14:paraId="17A2CA4E" w14:textId="77777777" w:rsidR="00E57111" w:rsidRPr="00195307" w:rsidRDefault="00BC7B4D" w:rsidP="00E57111">
      <w:pPr>
        <w:pStyle w:val="F04-Retrait"/>
        <w:rPr>
          <w:rFonts w:eastAsia="ArialMT"/>
          <w:i w:val="0"/>
          <w:sz w:val="22"/>
          <w:szCs w:val="22"/>
          <w:u w:val="single"/>
          <w:lang w:val="en-CA" w:eastAsia="fr-CA"/>
        </w:rPr>
      </w:pPr>
      <w:r w:rsidRPr="00195307">
        <w:rPr>
          <w:rFonts w:eastAsia="ArialMT"/>
          <w:i w:val="0"/>
          <w:sz w:val="22"/>
          <w:szCs w:val="22"/>
          <w:u w:val="single"/>
          <w:lang w:val="en-CA" w:eastAsia="fr-CA"/>
        </w:rPr>
        <w:t>AppleCare group:</w:t>
      </w:r>
    </w:p>
    <w:p w14:paraId="5B37C7E9" w14:textId="14365351" w:rsidR="00E57111" w:rsidRPr="00BC7B4D" w:rsidRDefault="00BC7B4D" w:rsidP="00E57111">
      <w:pPr>
        <w:pStyle w:val="F04-Retrait"/>
        <w:rPr>
          <w:rFonts w:cs="Arial"/>
          <w:i w:val="0"/>
          <w:sz w:val="22"/>
          <w:szCs w:val="22"/>
          <w:lang w:val="en-CA"/>
        </w:rPr>
      </w:pPr>
      <w:r w:rsidRPr="00BC7B4D">
        <w:rPr>
          <w:rFonts w:eastAsia="ArialMT"/>
          <w:i w:val="0"/>
          <w:sz w:val="22"/>
          <w:szCs w:val="22"/>
          <w:lang w:val="en-CA" w:eastAsia="fr-CA"/>
        </w:rPr>
        <w:t xml:space="preserve">Every consumer who, since December 20, 2015, has purchased “AppleCare” </w:t>
      </w:r>
      <w:r w:rsidR="00292274" w:rsidRPr="00BC7B4D">
        <w:rPr>
          <w:rFonts w:eastAsia="ArialMT"/>
          <w:i w:val="0"/>
          <w:sz w:val="22"/>
          <w:szCs w:val="22"/>
          <w:lang w:val="en-CA" w:eastAsia="fr-CA"/>
        </w:rPr>
        <w:t>and</w:t>
      </w:r>
      <w:r w:rsidRPr="00BC7B4D">
        <w:rPr>
          <w:rFonts w:eastAsia="ArialMT"/>
          <w:i w:val="0"/>
          <w:sz w:val="22"/>
          <w:szCs w:val="22"/>
          <w:lang w:val="en-CA" w:eastAsia="fr-CA"/>
        </w:rPr>
        <w:t xml:space="preserve">/or “AppleCare +” for an Apple product, including an iPhone, Apple Watch, iPad, iPod and/or MacBook and who were not informed of their legal warranty under the </w:t>
      </w:r>
      <w:r w:rsidR="00292274" w:rsidRPr="00292274">
        <w:rPr>
          <w:rFonts w:eastAsia="ArialMT"/>
          <w:sz w:val="22"/>
          <w:szCs w:val="22"/>
          <w:lang w:val="en-CA" w:eastAsia="fr-CA"/>
        </w:rPr>
        <w:t>Consumer</w:t>
      </w:r>
      <w:r w:rsidRPr="00292274">
        <w:rPr>
          <w:rFonts w:eastAsia="ArialMT"/>
          <w:sz w:val="22"/>
          <w:szCs w:val="22"/>
          <w:lang w:val="en-CA" w:eastAsia="fr-CA"/>
        </w:rPr>
        <w:t xml:space="preserve"> Protection Act</w:t>
      </w:r>
      <w:r w:rsidRPr="00BC7B4D">
        <w:rPr>
          <w:rFonts w:eastAsia="ArialMT"/>
          <w:i w:val="0"/>
          <w:sz w:val="22"/>
          <w:szCs w:val="22"/>
          <w:lang w:val="en-CA" w:eastAsia="fr-CA"/>
        </w:rPr>
        <w:t xml:space="preserve"> at the time of purchase;</w:t>
      </w:r>
    </w:p>
    <w:p w14:paraId="05FD0A9E" w14:textId="6AA10D5B" w:rsidR="00E57111" w:rsidRPr="00BC7B4D" w:rsidRDefault="00BC7B4D" w:rsidP="00E57111">
      <w:pPr>
        <w:pStyle w:val="F02-Texte"/>
        <w:tabs>
          <w:tab w:val="left" w:pos="851"/>
        </w:tabs>
        <w:ind w:left="0" w:firstLine="0"/>
        <w:rPr>
          <w:lang w:val="en-CA"/>
        </w:rPr>
      </w:pPr>
      <w:r w:rsidRPr="00BC7B4D">
        <w:rPr>
          <w:rFonts w:eastAsia="ArialMT" w:cs="Arial"/>
          <w:szCs w:val="24"/>
          <w:lang w:val="en-CA" w:eastAsia="fr-CA"/>
        </w:rPr>
        <w:t xml:space="preserve">Accordingly, the Tribunal considers that the </w:t>
      </w:r>
      <w:r w:rsidR="00292274">
        <w:rPr>
          <w:rFonts w:eastAsia="ArialMT" w:cs="Arial"/>
          <w:szCs w:val="24"/>
          <w:lang w:val="en-CA" w:eastAsia="fr-CA"/>
        </w:rPr>
        <w:t>description of the</w:t>
      </w:r>
      <w:r w:rsidR="00292274" w:rsidRPr="00BC7B4D">
        <w:rPr>
          <w:rFonts w:eastAsia="ArialMT" w:cs="Arial"/>
          <w:szCs w:val="24"/>
          <w:lang w:val="en-CA" w:eastAsia="fr-CA"/>
        </w:rPr>
        <w:t xml:space="preserve"> </w:t>
      </w:r>
      <w:r w:rsidRPr="00BC7B4D">
        <w:rPr>
          <w:rFonts w:eastAsia="ArialMT" w:cs="Arial"/>
          <w:szCs w:val="24"/>
          <w:lang w:val="en-CA" w:eastAsia="fr-CA"/>
        </w:rPr>
        <w:t xml:space="preserve">group is sufficiently </w:t>
      </w:r>
      <w:r w:rsidR="00F872B0">
        <w:rPr>
          <w:rFonts w:eastAsia="ArialMT" w:cs="Arial"/>
          <w:szCs w:val="24"/>
          <w:lang w:val="en-CA" w:eastAsia="fr-CA"/>
        </w:rPr>
        <w:t>precise</w:t>
      </w:r>
      <w:r w:rsidRPr="00BC7B4D">
        <w:rPr>
          <w:rFonts w:eastAsia="ArialMT" w:cs="Arial"/>
          <w:szCs w:val="24"/>
          <w:lang w:val="en-CA" w:eastAsia="fr-CA"/>
        </w:rPr>
        <w:t>, rational and objective.</w:t>
      </w:r>
    </w:p>
    <w:p w14:paraId="578D0220" w14:textId="2DA09CB5" w:rsidR="00E57111" w:rsidRPr="00BC7B4D" w:rsidRDefault="00BC7B4D" w:rsidP="00E57111">
      <w:pPr>
        <w:pStyle w:val="F02-Texte"/>
        <w:tabs>
          <w:tab w:val="left" w:pos="851"/>
        </w:tabs>
        <w:ind w:left="0" w:firstLine="0"/>
        <w:rPr>
          <w:u w:val="single"/>
          <w:lang w:val="en-CA"/>
        </w:rPr>
      </w:pPr>
      <w:r w:rsidRPr="00BC7B4D">
        <w:rPr>
          <w:rFonts w:cs="Arial"/>
          <w:szCs w:val="24"/>
          <w:lang w:val="en-CA" w:eastAsia="fr-CA"/>
        </w:rPr>
        <w:t xml:space="preserve">Second, the Fonds considers that the probability that the class action will be brought has not been demonstrated with regard to the sub-criterion of the proper representation of the members (575(4) </w:t>
      </w:r>
      <w:r w:rsidRPr="00195307">
        <w:rPr>
          <w:rFonts w:cs="Arial"/>
          <w:szCs w:val="24"/>
          <w:lang w:val="en-CA" w:eastAsia="fr-CA"/>
        </w:rPr>
        <w:t>C.C.P</w:t>
      </w:r>
      <w:r w:rsidRPr="00F872B0">
        <w:rPr>
          <w:rFonts w:cs="Arial"/>
          <w:szCs w:val="24"/>
          <w:lang w:val="en-CA" w:eastAsia="fr-CA"/>
        </w:rPr>
        <w:t>.</w:t>
      </w:r>
      <w:r w:rsidR="00F872B0">
        <w:rPr>
          <w:rFonts w:cs="Arial"/>
          <w:szCs w:val="24"/>
          <w:lang w:val="en-CA" w:eastAsia="fr-CA"/>
        </w:rPr>
        <w:t>)</w:t>
      </w:r>
      <w:r w:rsidRPr="00BC7B4D">
        <w:rPr>
          <w:rFonts w:cs="Arial"/>
          <w:szCs w:val="24"/>
          <w:lang w:val="en-CA" w:eastAsia="fr-CA"/>
        </w:rPr>
        <w:t xml:space="preserve">, because in the absence of an interest </w:t>
      </w:r>
      <w:r w:rsidR="00F872B0">
        <w:rPr>
          <w:rFonts w:cs="Arial"/>
          <w:szCs w:val="24"/>
          <w:lang w:val="en-CA" w:eastAsia="fr-CA"/>
        </w:rPr>
        <w:t>in the suit</w:t>
      </w:r>
      <w:r w:rsidRPr="00BC7B4D">
        <w:rPr>
          <w:rFonts w:cs="Arial"/>
          <w:szCs w:val="24"/>
          <w:lang w:val="en-CA" w:eastAsia="fr-CA"/>
        </w:rPr>
        <w:t xml:space="preserve">, the applicants cannot be considered to be </w:t>
      </w:r>
      <w:r w:rsidR="00292274">
        <w:rPr>
          <w:rFonts w:cs="Arial"/>
          <w:szCs w:val="24"/>
          <w:lang w:val="en-CA" w:eastAsia="fr-CA"/>
        </w:rPr>
        <w:t>appropriate</w:t>
      </w:r>
      <w:r w:rsidRPr="00BC7B4D">
        <w:rPr>
          <w:rFonts w:cs="Arial"/>
          <w:szCs w:val="24"/>
          <w:lang w:val="en-CA" w:eastAsia="fr-CA"/>
        </w:rPr>
        <w:t xml:space="preserve"> </w:t>
      </w:r>
      <w:r w:rsidR="00F872B0">
        <w:rPr>
          <w:rFonts w:cs="Arial"/>
          <w:szCs w:val="24"/>
          <w:lang w:val="en-CA" w:eastAsia="fr-CA"/>
        </w:rPr>
        <w:t xml:space="preserve">representatives </w:t>
      </w:r>
      <w:r w:rsidRPr="00BC7B4D">
        <w:rPr>
          <w:rFonts w:cs="Arial"/>
          <w:szCs w:val="24"/>
          <w:lang w:val="en-CA" w:eastAsia="fr-CA"/>
        </w:rPr>
        <w:t>of the members of the class action.</w:t>
      </w:r>
      <w:r w:rsidR="00E57111">
        <w:rPr>
          <w:rStyle w:val="Appelnotedebasdep"/>
        </w:rPr>
        <w:footnoteReference w:id="81"/>
      </w:r>
    </w:p>
    <w:p w14:paraId="57975E57" w14:textId="06C707F2" w:rsidR="00E57111" w:rsidRPr="00BC7B4D" w:rsidRDefault="00BC7B4D" w:rsidP="00E57111">
      <w:pPr>
        <w:pStyle w:val="F02-Texte"/>
        <w:ind w:left="0" w:firstLine="0"/>
        <w:rPr>
          <w:rFonts w:cs="Arial"/>
          <w:szCs w:val="24"/>
          <w:lang w:val="en-CA"/>
        </w:rPr>
      </w:pPr>
      <w:r w:rsidRPr="00BC7B4D">
        <w:rPr>
          <w:rFonts w:eastAsia="ArialMT" w:cs="Arial"/>
          <w:szCs w:val="24"/>
          <w:lang w:val="en-CA" w:eastAsia="fr-CA"/>
        </w:rPr>
        <w:t xml:space="preserve">In other words, the Fonds is of the view that the applicants have no interest </w:t>
      </w:r>
      <w:r w:rsidR="00341B27">
        <w:rPr>
          <w:rFonts w:eastAsia="ArialMT" w:cs="Arial"/>
          <w:szCs w:val="24"/>
          <w:lang w:val="en-CA" w:eastAsia="fr-CA"/>
        </w:rPr>
        <w:t xml:space="preserve">in the suit </w:t>
      </w:r>
      <w:r w:rsidRPr="00BC7B4D">
        <w:rPr>
          <w:rFonts w:eastAsia="ArialMT" w:cs="Arial"/>
          <w:szCs w:val="24"/>
          <w:lang w:val="en-CA" w:eastAsia="fr-CA"/>
        </w:rPr>
        <w:t xml:space="preserve">because they have failed to prove the probable existence of </w:t>
      </w:r>
      <w:r w:rsidR="00F452AE">
        <w:rPr>
          <w:rFonts w:eastAsia="ArialMT" w:cs="Arial"/>
          <w:szCs w:val="24"/>
          <w:lang w:val="en-CA" w:eastAsia="fr-CA"/>
        </w:rPr>
        <w:t>a</w:t>
      </w:r>
      <w:r w:rsidRPr="00BC7B4D">
        <w:rPr>
          <w:rFonts w:eastAsia="ArialMT" w:cs="Arial"/>
          <w:szCs w:val="24"/>
          <w:lang w:val="en-CA" w:eastAsia="fr-CA"/>
        </w:rPr>
        <w:t xml:space="preserve"> right, that is</w:t>
      </w:r>
      <w:r w:rsidR="001C3635">
        <w:rPr>
          <w:rFonts w:eastAsia="ArialMT" w:cs="Arial"/>
          <w:szCs w:val="24"/>
          <w:lang w:val="en-CA" w:eastAsia="fr-CA"/>
        </w:rPr>
        <w:t>,</w:t>
      </w:r>
      <w:r w:rsidRPr="00BC7B4D">
        <w:rPr>
          <w:rFonts w:eastAsia="ArialMT" w:cs="Arial"/>
          <w:szCs w:val="24"/>
          <w:lang w:val="en-CA" w:eastAsia="fr-CA"/>
        </w:rPr>
        <w:t xml:space="preserve"> the existence of an arguable case.</w:t>
      </w:r>
      <w:r w:rsidR="00E57111" w:rsidRPr="00BC7B4D">
        <w:rPr>
          <w:rFonts w:eastAsia="ArialMT" w:cs="Arial"/>
          <w:szCs w:val="24"/>
          <w:lang w:val="en-CA" w:eastAsia="fr-CA"/>
        </w:rPr>
        <w:t xml:space="preserve"> </w:t>
      </w:r>
      <w:r w:rsidRPr="00BC7B4D">
        <w:rPr>
          <w:rFonts w:eastAsia="ArialMT" w:cs="Arial"/>
          <w:szCs w:val="24"/>
          <w:lang w:val="en-CA" w:eastAsia="fr-CA"/>
        </w:rPr>
        <w:t>Accordingly, grant</w:t>
      </w:r>
      <w:r w:rsidR="00341B27">
        <w:rPr>
          <w:rFonts w:eastAsia="ArialMT" w:cs="Arial"/>
          <w:szCs w:val="24"/>
          <w:lang w:val="en-CA" w:eastAsia="fr-CA"/>
        </w:rPr>
        <w:t>ing</w:t>
      </w:r>
      <w:r w:rsidRPr="00BC7B4D">
        <w:rPr>
          <w:rFonts w:eastAsia="ArialMT" w:cs="Arial"/>
          <w:szCs w:val="24"/>
          <w:lang w:val="en-CA" w:eastAsia="fr-CA"/>
        </w:rPr>
        <w:t xml:space="preserve"> them the status of representative would be unfair </w:t>
      </w:r>
      <w:r w:rsidR="001C3635">
        <w:rPr>
          <w:rFonts w:eastAsia="ArialMT" w:cs="Arial"/>
          <w:szCs w:val="24"/>
          <w:lang w:val="en-CA" w:eastAsia="fr-CA"/>
        </w:rPr>
        <w:t>to</w:t>
      </w:r>
      <w:r w:rsidRPr="00BC7B4D">
        <w:rPr>
          <w:rFonts w:eastAsia="ArialMT" w:cs="Arial"/>
          <w:szCs w:val="24"/>
          <w:lang w:val="en-CA" w:eastAsia="fr-CA"/>
        </w:rPr>
        <w:t xml:space="preserve"> the other members of </w:t>
      </w:r>
      <w:r w:rsidR="00292274" w:rsidRPr="00BC7B4D">
        <w:rPr>
          <w:rFonts w:eastAsia="ArialMT" w:cs="Arial"/>
          <w:szCs w:val="24"/>
          <w:lang w:val="en-CA" w:eastAsia="fr-CA"/>
        </w:rPr>
        <w:t>the</w:t>
      </w:r>
      <w:r w:rsidRPr="00BC7B4D">
        <w:rPr>
          <w:rFonts w:eastAsia="ArialMT" w:cs="Arial"/>
          <w:szCs w:val="24"/>
          <w:lang w:val="en-CA" w:eastAsia="fr-CA"/>
        </w:rPr>
        <w:t xml:space="preserve"> group, who </w:t>
      </w:r>
      <w:r w:rsidR="00292274">
        <w:rPr>
          <w:rFonts w:eastAsia="ArialMT" w:cs="Arial"/>
          <w:szCs w:val="24"/>
          <w:lang w:val="en-CA" w:eastAsia="fr-CA"/>
        </w:rPr>
        <w:t>might</w:t>
      </w:r>
      <w:r w:rsidRPr="00BC7B4D">
        <w:rPr>
          <w:rFonts w:eastAsia="ArialMT" w:cs="Arial"/>
          <w:szCs w:val="24"/>
          <w:lang w:val="en-CA" w:eastAsia="fr-CA"/>
        </w:rPr>
        <w:t xml:space="preserve"> have an arguable case.</w:t>
      </w:r>
    </w:p>
    <w:p w14:paraId="650B0BD7" w14:textId="2F89651B" w:rsidR="00E57111" w:rsidRPr="00BC7B4D" w:rsidRDefault="00BC7B4D" w:rsidP="00E57111">
      <w:pPr>
        <w:pStyle w:val="F02-Texte"/>
        <w:ind w:left="0" w:firstLine="0"/>
        <w:rPr>
          <w:lang w:val="en-CA"/>
        </w:rPr>
      </w:pPr>
      <w:r w:rsidRPr="00BC7B4D">
        <w:rPr>
          <w:lang w:val="en-CA"/>
        </w:rPr>
        <w:t>The Fonds’s refusal with respect to this sub-criterion therefore rests entirely on the absence of interest</w:t>
      </w:r>
      <w:r w:rsidR="00341B27">
        <w:rPr>
          <w:lang w:val="en-CA"/>
        </w:rPr>
        <w:t xml:space="preserve"> in the suit</w:t>
      </w:r>
      <w:r w:rsidRPr="00BC7B4D">
        <w:rPr>
          <w:lang w:val="en-CA"/>
        </w:rPr>
        <w:t>.</w:t>
      </w:r>
      <w:r w:rsidR="00E57111" w:rsidRPr="00BC7B4D">
        <w:rPr>
          <w:lang w:val="en-CA"/>
        </w:rPr>
        <w:t xml:space="preserve"> </w:t>
      </w:r>
      <w:r w:rsidRPr="00BC7B4D">
        <w:rPr>
          <w:lang w:val="en-CA"/>
        </w:rPr>
        <w:t xml:space="preserve">However, given </w:t>
      </w:r>
      <w:r w:rsidR="001C3635" w:rsidRPr="00BC7B4D">
        <w:rPr>
          <w:lang w:val="en-CA"/>
        </w:rPr>
        <w:t>that</w:t>
      </w:r>
      <w:r w:rsidRPr="00BC7B4D">
        <w:rPr>
          <w:lang w:val="en-CA"/>
        </w:rPr>
        <w:t xml:space="preserve"> the Tribunal</w:t>
      </w:r>
      <w:r w:rsidR="001C3635" w:rsidRPr="00BC7B4D">
        <w:rPr>
          <w:lang w:val="en-CA"/>
        </w:rPr>
        <w:t>, contrary to the Fonds,</w:t>
      </w:r>
      <w:r w:rsidRPr="00BC7B4D">
        <w:rPr>
          <w:lang w:val="en-CA"/>
        </w:rPr>
        <w:t xml:space="preserve"> considers that the applicants</w:t>
      </w:r>
      <w:r w:rsidR="001C3635">
        <w:rPr>
          <w:lang w:val="en-CA"/>
        </w:rPr>
        <w:t xml:space="preserve"> have</w:t>
      </w:r>
      <w:r w:rsidRPr="00BC7B4D">
        <w:rPr>
          <w:lang w:val="en-CA"/>
        </w:rPr>
        <w:t xml:space="preserve"> demonstrate</w:t>
      </w:r>
      <w:r w:rsidR="001C3635">
        <w:rPr>
          <w:lang w:val="en-CA"/>
        </w:rPr>
        <w:t>d</w:t>
      </w:r>
      <w:r w:rsidRPr="00BC7B4D">
        <w:rPr>
          <w:lang w:val="en-CA"/>
        </w:rPr>
        <w:t xml:space="preserve"> the probable existence of </w:t>
      </w:r>
      <w:r w:rsidR="00341B27">
        <w:rPr>
          <w:lang w:val="en-CA"/>
        </w:rPr>
        <w:t>a</w:t>
      </w:r>
      <w:r w:rsidRPr="00BC7B4D">
        <w:rPr>
          <w:lang w:val="en-CA"/>
        </w:rPr>
        <w:t xml:space="preserve"> right</w:t>
      </w:r>
      <w:r w:rsidR="001C3635">
        <w:rPr>
          <w:lang w:val="en-CA"/>
        </w:rPr>
        <w:t>,</w:t>
      </w:r>
      <w:r w:rsidRPr="00BC7B4D">
        <w:rPr>
          <w:lang w:val="en-CA"/>
        </w:rPr>
        <w:t xml:space="preserve"> this sole ground of refusal </w:t>
      </w:r>
      <w:r w:rsidR="001C3635">
        <w:rPr>
          <w:lang w:val="en-CA"/>
        </w:rPr>
        <w:t>is now without</w:t>
      </w:r>
      <w:r w:rsidRPr="00BC7B4D">
        <w:rPr>
          <w:lang w:val="en-CA"/>
        </w:rPr>
        <w:t xml:space="preserve"> merit. </w:t>
      </w:r>
      <w:r w:rsidR="001C3635">
        <w:rPr>
          <w:lang w:val="en-CA"/>
        </w:rPr>
        <w:t xml:space="preserve"> </w:t>
      </w:r>
    </w:p>
    <w:p w14:paraId="73D227F2" w14:textId="7D78E901" w:rsidR="00E57111" w:rsidRPr="00BC7B4D" w:rsidRDefault="00BC7B4D" w:rsidP="00E57111">
      <w:pPr>
        <w:pStyle w:val="F02-Texte"/>
        <w:ind w:left="0" w:firstLine="0"/>
        <w:rPr>
          <w:lang w:val="en-CA"/>
        </w:rPr>
      </w:pPr>
      <w:r w:rsidRPr="00BC7B4D">
        <w:rPr>
          <w:lang w:val="en-CA"/>
        </w:rPr>
        <w:t xml:space="preserve">Accordingly, the Tribunal </w:t>
      </w:r>
      <w:r w:rsidR="001C3635" w:rsidRPr="00BC7B4D">
        <w:rPr>
          <w:lang w:val="en-CA"/>
        </w:rPr>
        <w:t>considers</w:t>
      </w:r>
      <w:r w:rsidRPr="00BC7B4D">
        <w:rPr>
          <w:lang w:val="en-CA"/>
        </w:rPr>
        <w:t xml:space="preserve"> that the applicants can properly represent the members.</w:t>
      </w:r>
    </w:p>
    <w:p w14:paraId="60535DE2" w14:textId="29AC8877" w:rsidR="00E57111" w:rsidRPr="00BC7B4D" w:rsidRDefault="00BC7B4D" w:rsidP="00E57111">
      <w:pPr>
        <w:pStyle w:val="F02-Texte"/>
        <w:ind w:left="0" w:firstLine="0"/>
        <w:rPr>
          <w:lang w:val="en-CA"/>
        </w:rPr>
      </w:pPr>
      <w:r w:rsidRPr="00BC7B4D">
        <w:rPr>
          <w:lang w:val="en-CA"/>
        </w:rPr>
        <w:lastRenderedPageBreak/>
        <w:t xml:space="preserve">In the circumstances, </w:t>
      </w:r>
      <w:r w:rsidR="001C3635" w:rsidRPr="00BC7B4D">
        <w:rPr>
          <w:lang w:val="en-CA"/>
        </w:rPr>
        <w:t>the</w:t>
      </w:r>
      <w:r w:rsidRPr="00BC7B4D">
        <w:rPr>
          <w:lang w:val="en-CA"/>
        </w:rPr>
        <w:t xml:space="preserve"> Tribunal concludes that</w:t>
      </w:r>
      <w:r w:rsidR="001C3635">
        <w:rPr>
          <w:lang w:val="en-CA"/>
        </w:rPr>
        <w:t xml:space="preserve"> </w:t>
      </w:r>
      <w:r w:rsidRPr="00BC7B4D">
        <w:rPr>
          <w:lang w:val="en-CA"/>
        </w:rPr>
        <w:t xml:space="preserve">the applicants meet the third criterion of s. 23 </w:t>
      </w:r>
      <w:r w:rsidRPr="001C3635">
        <w:rPr>
          <w:i/>
          <w:lang w:val="en-CA"/>
        </w:rPr>
        <w:t>AFAAC</w:t>
      </w:r>
      <w:r w:rsidRPr="00BC7B4D">
        <w:rPr>
          <w:lang w:val="en-CA"/>
        </w:rPr>
        <w:t>, that is the probability that the class action will be brought.</w:t>
      </w:r>
    </w:p>
    <w:p w14:paraId="79458163" w14:textId="614D4C00" w:rsidR="00E57111" w:rsidRPr="00E57111" w:rsidRDefault="00E57111" w:rsidP="00E57111">
      <w:pPr>
        <w:pStyle w:val="F02-Texte"/>
        <w:ind w:left="0" w:firstLine="0"/>
        <w:rPr>
          <w:lang w:val="en-CA"/>
        </w:rPr>
      </w:pPr>
      <w:r w:rsidRPr="00E57111">
        <w:rPr>
          <w:lang w:val="en-CA"/>
        </w:rPr>
        <w:t xml:space="preserve">In closing, the applicants also allege other grounds of contestation, that is, the violation of the right to be heard, including the language </w:t>
      </w:r>
      <w:r w:rsidR="00FC3327">
        <w:rPr>
          <w:lang w:val="en-CA"/>
        </w:rPr>
        <w:t>of</w:t>
      </w:r>
      <w:r w:rsidRPr="00E57111">
        <w:rPr>
          <w:lang w:val="en-CA"/>
        </w:rPr>
        <w:t xml:space="preserve"> the hearing,</w:t>
      </w:r>
      <w:r>
        <w:rPr>
          <w:rStyle w:val="Appelnotedebasdep"/>
        </w:rPr>
        <w:footnoteReference w:id="82"/>
      </w:r>
      <w:r w:rsidRPr="00E57111">
        <w:rPr>
          <w:rFonts w:cs="Arial"/>
          <w:szCs w:val="24"/>
          <w:lang w:val="en-CA" w:eastAsia="fr-CA"/>
        </w:rPr>
        <w:t xml:space="preserve"> the obligation to provide reasons and </w:t>
      </w:r>
      <w:r w:rsidR="00FC3327">
        <w:rPr>
          <w:rFonts w:cs="Arial"/>
          <w:szCs w:val="24"/>
          <w:lang w:val="en-CA" w:eastAsia="fr-CA"/>
        </w:rPr>
        <w:t xml:space="preserve">the </w:t>
      </w:r>
      <w:r w:rsidRPr="00E57111">
        <w:rPr>
          <w:rFonts w:cs="Arial"/>
          <w:szCs w:val="24"/>
          <w:lang w:val="en-CA" w:eastAsia="fr-CA"/>
        </w:rPr>
        <w:t>insufficiency of the reasons,</w:t>
      </w:r>
      <w:r>
        <w:rPr>
          <w:rStyle w:val="Appelnotedebasdep"/>
        </w:rPr>
        <w:footnoteReference w:id="83"/>
      </w:r>
      <w:r w:rsidRPr="00E57111">
        <w:rPr>
          <w:rFonts w:cs="Arial"/>
          <w:szCs w:val="24"/>
          <w:lang w:val="en-CA" w:eastAsia="fr-CA"/>
        </w:rPr>
        <w:t xml:space="preserve"> as well as the non-compliance with the provisions of the </w:t>
      </w:r>
      <w:r w:rsidRPr="001C3635">
        <w:rPr>
          <w:rFonts w:cs="Arial"/>
          <w:i/>
          <w:szCs w:val="24"/>
          <w:lang w:val="en-CA" w:eastAsia="fr-CA"/>
        </w:rPr>
        <w:t>AAJ</w:t>
      </w:r>
      <w:r w:rsidRPr="00E57111">
        <w:rPr>
          <w:rFonts w:cs="Arial"/>
          <w:szCs w:val="24"/>
          <w:lang w:val="en-CA" w:eastAsia="fr-CA"/>
        </w:rPr>
        <w:t xml:space="preserve"> </w:t>
      </w:r>
      <w:r w:rsidR="001C3635" w:rsidRPr="00E57111">
        <w:rPr>
          <w:rFonts w:cs="Arial"/>
          <w:szCs w:val="24"/>
          <w:lang w:val="en-CA" w:eastAsia="fr-CA"/>
        </w:rPr>
        <w:t>and</w:t>
      </w:r>
      <w:r w:rsidRPr="00E57111">
        <w:rPr>
          <w:rFonts w:cs="Arial"/>
          <w:szCs w:val="24"/>
          <w:lang w:val="en-CA" w:eastAsia="fr-CA"/>
        </w:rPr>
        <w:t xml:space="preserve"> the Quebec </w:t>
      </w:r>
      <w:r w:rsidRPr="001C3635">
        <w:rPr>
          <w:rFonts w:cs="Arial"/>
          <w:i/>
          <w:szCs w:val="24"/>
          <w:lang w:val="en-CA" w:eastAsia="fr-CA"/>
        </w:rPr>
        <w:t>Charter</w:t>
      </w:r>
      <w:r w:rsidRPr="00E57111">
        <w:rPr>
          <w:rFonts w:cs="Arial"/>
          <w:szCs w:val="24"/>
          <w:lang w:val="en-CA" w:eastAsia="fr-CA"/>
        </w:rPr>
        <w:t>.</w:t>
      </w:r>
      <w:r>
        <w:rPr>
          <w:rStyle w:val="Appelnotedebasdep"/>
        </w:rPr>
        <w:footnoteReference w:id="84"/>
      </w:r>
      <w:r w:rsidRPr="00E57111">
        <w:rPr>
          <w:rFonts w:cs="Arial"/>
          <w:szCs w:val="24"/>
          <w:lang w:val="en-CA" w:eastAsia="fr-CA"/>
        </w:rPr>
        <w:t xml:space="preserve"> </w:t>
      </w:r>
      <w:r w:rsidRPr="00EA3E22">
        <w:rPr>
          <w:lang w:val="en-CA"/>
        </w:rPr>
        <w:t xml:space="preserve">Considering the Tribunal’s conclusion regarding s. 23 </w:t>
      </w:r>
      <w:r w:rsidRPr="001C3635">
        <w:rPr>
          <w:i/>
          <w:lang w:val="en-CA"/>
        </w:rPr>
        <w:t>AFAAC</w:t>
      </w:r>
      <w:r w:rsidRPr="00EA3E22">
        <w:rPr>
          <w:lang w:val="en-CA"/>
        </w:rPr>
        <w:t xml:space="preserve">, it is not necessary to rule on these other grounds. </w:t>
      </w:r>
    </w:p>
    <w:p w14:paraId="7A81AE72" w14:textId="6DADB16D" w:rsidR="00E57111" w:rsidRPr="00E57111" w:rsidRDefault="00E57111" w:rsidP="00E57111">
      <w:pPr>
        <w:pStyle w:val="F02-Texte"/>
        <w:ind w:left="0" w:firstLine="0"/>
        <w:rPr>
          <w:u w:val="single"/>
          <w:lang w:val="en-CA"/>
        </w:rPr>
      </w:pPr>
      <w:r w:rsidRPr="00E57111">
        <w:rPr>
          <w:lang w:val="en-CA"/>
        </w:rPr>
        <w:t xml:space="preserve">In short, The Tribunal concludes that all the criteria for awarding financial assistance set out </w:t>
      </w:r>
      <w:r w:rsidR="00FC3327">
        <w:rPr>
          <w:lang w:val="en-CA"/>
        </w:rPr>
        <w:t>in</w:t>
      </w:r>
      <w:r w:rsidRPr="00E57111">
        <w:rPr>
          <w:lang w:val="en-CA"/>
        </w:rPr>
        <w:t xml:space="preserve"> s. 23 </w:t>
      </w:r>
      <w:r w:rsidRPr="001C3635">
        <w:rPr>
          <w:i/>
          <w:lang w:val="en-CA"/>
        </w:rPr>
        <w:t>AFAAC</w:t>
      </w:r>
      <w:r w:rsidRPr="00E57111">
        <w:rPr>
          <w:lang w:val="en-CA"/>
        </w:rPr>
        <w:t xml:space="preserve"> </w:t>
      </w:r>
      <w:r w:rsidR="00FC3327">
        <w:rPr>
          <w:lang w:val="en-CA"/>
        </w:rPr>
        <w:t>are</w:t>
      </w:r>
      <w:r w:rsidRPr="00E57111">
        <w:rPr>
          <w:lang w:val="en-CA"/>
        </w:rPr>
        <w:t xml:space="preserve"> </w:t>
      </w:r>
      <w:r w:rsidR="001C3635">
        <w:rPr>
          <w:lang w:val="en-CA"/>
        </w:rPr>
        <w:t>met</w:t>
      </w:r>
      <w:r w:rsidRPr="00E57111">
        <w:rPr>
          <w:lang w:val="en-CA"/>
        </w:rPr>
        <w:t xml:space="preserve"> and, accordingly, grants the proceeding, sets aside the decision </w:t>
      </w:r>
      <w:r w:rsidR="001C3635" w:rsidRPr="00E57111">
        <w:rPr>
          <w:lang w:val="en-CA"/>
        </w:rPr>
        <w:t>of</w:t>
      </w:r>
      <w:r w:rsidRPr="00E57111">
        <w:rPr>
          <w:lang w:val="en-CA"/>
        </w:rPr>
        <w:t xml:space="preserve"> the </w:t>
      </w:r>
      <w:r w:rsidR="001C3635" w:rsidRPr="00E57111">
        <w:rPr>
          <w:lang w:val="en-CA"/>
        </w:rPr>
        <w:t>Fonds</w:t>
      </w:r>
      <w:r w:rsidR="00FC3327">
        <w:rPr>
          <w:lang w:val="en-CA"/>
        </w:rPr>
        <w:t>,</w:t>
      </w:r>
      <w:r w:rsidRPr="00E57111">
        <w:rPr>
          <w:lang w:val="en-CA"/>
        </w:rPr>
        <w:t xml:space="preserve"> and orders it </w:t>
      </w:r>
      <w:r w:rsidR="00FC3327">
        <w:rPr>
          <w:lang w:val="en-CA"/>
        </w:rPr>
        <w:t>to grant</w:t>
      </w:r>
      <w:r w:rsidRPr="00E57111">
        <w:rPr>
          <w:lang w:val="en-CA"/>
        </w:rPr>
        <w:t xml:space="preserve"> the assistance </w:t>
      </w:r>
      <w:r w:rsidR="00C73D13">
        <w:rPr>
          <w:lang w:val="en-CA"/>
        </w:rPr>
        <w:t>after</w:t>
      </w:r>
      <w:r w:rsidRPr="00E57111">
        <w:rPr>
          <w:lang w:val="en-CA"/>
        </w:rPr>
        <w:t xml:space="preserve"> agreement with the attorney for the applicants in accordance with s. 25 </w:t>
      </w:r>
      <w:r w:rsidRPr="001C3635">
        <w:rPr>
          <w:i/>
          <w:lang w:val="en-CA"/>
        </w:rPr>
        <w:t>AFAAC</w:t>
      </w:r>
      <w:r w:rsidRPr="00E57111">
        <w:rPr>
          <w:lang w:val="en-CA"/>
        </w:rPr>
        <w:t>.</w:t>
      </w:r>
    </w:p>
    <w:p w14:paraId="5C0E3270" w14:textId="77777777" w:rsidR="00E57111" w:rsidRPr="00E57111" w:rsidRDefault="00E57111" w:rsidP="00E57111">
      <w:pPr>
        <w:pStyle w:val="F02-Texte"/>
        <w:numPr>
          <w:ilvl w:val="0"/>
          <w:numId w:val="0"/>
        </w:numPr>
        <w:rPr>
          <w:rFonts w:cs="Arial"/>
          <w:szCs w:val="24"/>
          <w:lang w:val="en-CA" w:eastAsia="fr-CA"/>
        </w:rPr>
      </w:pPr>
    </w:p>
    <w:p w14:paraId="27B1E99A" w14:textId="77777777" w:rsidR="00E57111" w:rsidRPr="00E57111" w:rsidRDefault="00E57111" w:rsidP="00E57111">
      <w:pPr>
        <w:pStyle w:val="F02-Texte"/>
        <w:numPr>
          <w:ilvl w:val="0"/>
          <w:numId w:val="0"/>
        </w:numPr>
        <w:rPr>
          <w:u w:val="single"/>
          <w:lang w:val="en-CA"/>
        </w:rPr>
      </w:pPr>
    </w:p>
    <w:p w14:paraId="6F5B7689" w14:textId="77777777" w:rsidR="00E57111" w:rsidRPr="00EA3E22" w:rsidRDefault="00E57111" w:rsidP="00E75D1F">
      <w:pPr>
        <w:pStyle w:val="F02-Texte"/>
        <w:keepNext/>
        <w:numPr>
          <w:ilvl w:val="0"/>
          <w:numId w:val="0"/>
        </w:numPr>
        <w:rPr>
          <w:b/>
          <w:lang w:val="en-CA"/>
        </w:rPr>
      </w:pPr>
      <w:r w:rsidRPr="00EA3E22">
        <w:rPr>
          <w:b/>
          <w:lang w:val="en-CA"/>
        </w:rPr>
        <w:t>FOR THESE REASONS, the Tribunal:</w:t>
      </w:r>
    </w:p>
    <w:p w14:paraId="22DF4B73" w14:textId="77777777" w:rsidR="00E57111" w:rsidRPr="001C3635" w:rsidRDefault="00E57111" w:rsidP="00E75D1F">
      <w:pPr>
        <w:pStyle w:val="F02-Texte"/>
        <w:keepNext/>
        <w:numPr>
          <w:ilvl w:val="0"/>
          <w:numId w:val="0"/>
        </w:numPr>
        <w:rPr>
          <w:lang w:val="en-CA"/>
        </w:rPr>
      </w:pPr>
      <w:r w:rsidRPr="001C3635">
        <w:rPr>
          <w:b/>
          <w:lang w:val="en-CA"/>
        </w:rPr>
        <w:t xml:space="preserve">GRANTS </w:t>
      </w:r>
      <w:r w:rsidRPr="001C3635">
        <w:rPr>
          <w:lang w:val="en-CA"/>
        </w:rPr>
        <w:t>the proceeding;</w:t>
      </w:r>
    </w:p>
    <w:p w14:paraId="6B5E40FC" w14:textId="6B81063E" w:rsidR="00E57111" w:rsidRPr="00E57111" w:rsidRDefault="00E57111" w:rsidP="00E75D1F">
      <w:pPr>
        <w:pStyle w:val="F02-Texte"/>
        <w:keepNext/>
        <w:numPr>
          <w:ilvl w:val="0"/>
          <w:numId w:val="0"/>
        </w:numPr>
        <w:rPr>
          <w:lang w:val="en-CA"/>
        </w:rPr>
      </w:pPr>
      <w:r w:rsidRPr="00E57111">
        <w:rPr>
          <w:b/>
          <w:lang w:val="en-CA"/>
        </w:rPr>
        <w:t xml:space="preserve">SETS ASIDE </w:t>
      </w:r>
      <w:r w:rsidRPr="001C3635">
        <w:rPr>
          <w:lang w:val="en-CA"/>
        </w:rPr>
        <w:t xml:space="preserve">decision number 054-2020 </w:t>
      </w:r>
      <w:r w:rsidR="001C3635">
        <w:rPr>
          <w:lang w:val="en-CA"/>
        </w:rPr>
        <w:t>rendered</w:t>
      </w:r>
      <w:r w:rsidR="00E75D1F">
        <w:rPr>
          <w:lang w:val="en-CA"/>
        </w:rPr>
        <w:t xml:space="preserve"> on</w:t>
      </w:r>
      <w:r w:rsidRPr="001C3635">
        <w:rPr>
          <w:lang w:val="en-CA"/>
        </w:rPr>
        <w:t xml:space="preserve"> April 16, 2020, by the Fonds d’aide aux actions collectives; and </w:t>
      </w:r>
    </w:p>
    <w:p w14:paraId="19EFE4F5" w14:textId="27D8A57B" w:rsidR="00E57111" w:rsidRPr="001C3635" w:rsidRDefault="00E57111" w:rsidP="00E75D1F">
      <w:pPr>
        <w:pStyle w:val="F02-Texte"/>
        <w:keepNext/>
        <w:numPr>
          <w:ilvl w:val="0"/>
          <w:numId w:val="0"/>
        </w:numPr>
        <w:rPr>
          <w:lang w:val="en-CA"/>
        </w:rPr>
      </w:pPr>
      <w:r w:rsidRPr="00E57111">
        <w:rPr>
          <w:b/>
          <w:lang w:val="en-CA"/>
        </w:rPr>
        <w:t xml:space="preserve">ORDERS </w:t>
      </w:r>
      <w:r w:rsidRPr="001C3635">
        <w:rPr>
          <w:lang w:val="en-CA"/>
        </w:rPr>
        <w:t>the</w:t>
      </w:r>
      <w:r w:rsidRPr="00E57111">
        <w:rPr>
          <w:b/>
          <w:lang w:val="en-CA"/>
        </w:rPr>
        <w:t xml:space="preserve"> </w:t>
      </w:r>
      <w:r w:rsidRPr="001C3635">
        <w:rPr>
          <w:lang w:val="en-CA"/>
        </w:rPr>
        <w:t xml:space="preserve">Fonds to </w:t>
      </w:r>
      <w:r w:rsidR="00C73D13">
        <w:rPr>
          <w:lang w:val="en-CA"/>
        </w:rPr>
        <w:t>grant</w:t>
      </w:r>
      <w:r w:rsidRPr="001C3635">
        <w:rPr>
          <w:lang w:val="en-CA"/>
        </w:rPr>
        <w:t xml:space="preserve"> the assistance </w:t>
      </w:r>
      <w:r w:rsidR="00C73D13">
        <w:rPr>
          <w:lang w:val="en-CA"/>
        </w:rPr>
        <w:t>after</w:t>
      </w:r>
      <w:r w:rsidRPr="001C3635">
        <w:rPr>
          <w:lang w:val="en-CA"/>
        </w:rPr>
        <w:t xml:space="preserve"> agreement with the attorney for the applicants in accordance with s. 25 </w:t>
      </w:r>
      <w:r w:rsidRPr="001C3635">
        <w:rPr>
          <w:i/>
          <w:lang w:val="en-CA"/>
        </w:rPr>
        <w:t>AFAAC</w:t>
      </w:r>
      <w:r w:rsidRPr="001C3635">
        <w:rPr>
          <w:lang w:val="en-CA"/>
        </w:rPr>
        <w:t>.</w:t>
      </w:r>
    </w:p>
    <w:p w14:paraId="232F4394" w14:textId="77777777" w:rsidR="00E57111" w:rsidRPr="00E57111" w:rsidRDefault="00E57111" w:rsidP="00E57111">
      <w:pPr>
        <w:pStyle w:val="F02-Texte"/>
        <w:rPr>
          <w:lang w:val="en-CA"/>
        </w:rPr>
        <w:sectPr w:rsidR="00E57111" w:rsidRPr="00E57111" w:rsidSect="00E57111">
          <w:type w:val="continuous"/>
          <w:pgSz w:w="12240" w:h="15840"/>
          <w:pgMar w:top="2837" w:right="1080" w:bottom="2016" w:left="1440" w:header="1699" w:footer="720" w:gutter="0"/>
          <w:cols w:space="720"/>
          <w:formProt w:val="0"/>
        </w:sectPr>
      </w:pPr>
    </w:p>
    <w:p w14:paraId="67403D8F" w14:textId="77777777" w:rsidR="00E57111" w:rsidRPr="00E57111" w:rsidRDefault="00E57111" w:rsidP="00E57111">
      <w:pPr>
        <w:pStyle w:val="13aSignature-ligne"/>
        <w:rPr>
          <w:lang w:val="en-CA"/>
        </w:rPr>
      </w:pPr>
      <w:bookmarkStart w:id="14" w:name="Signatures"/>
      <w:bookmarkEnd w:id="14"/>
    </w:p>
    <w:p w14:paraId="26868B04" w14:textId="77777777" w:rsidR="00E57111" w:rsidRPr="00155065" w:rsidRDefault="00E57111" w:rsidP="00E57111">
      <w:pPr>
        <w:pStyle w:val="13Signature"/>
        <w:rPr>
          <w:lang w:val="fr-CA"/>
        </w:rPr>
      </w:pPr>
      <w:r>
        <w:rPr>
          <w:lang w:val="fr-CA"/>
        </w:rPr>
        <w:t>SUZANNE LÉVESQUE, a.j.t.a.q.</w:t>
      </w:r>
    </w:p>
    <w:p w14:paraId="128FD9CB" w14:textId="77777777" w:rsidR="00E57111" w:rsidRPr="00155065" w:rsidRDefault="00E57111" w:rsidP="00E57111">
      <w:pPr>
        <w:pStyle w:val="13aSignature-ligne"/>
        <w:rPr>
          <w:lang w:val="fr-CA"/>
        </w:rPr>
      </w:pPr>
    </w:p>
    <w:tbl>
      <w:tblPr>
        <w:tblW w:w="10426" w:type="dxa"/>
        <w:tblInd w:w="-2" w:type="dxa"/>
        <w:tblLayout w:type="fixed"/>
        <w:tblCellMar>
          <w:left w:w="72" w:type="dxa"/>
          <w:right w:w="72" w:type="dxa"/>
        </w:tblCellMar>
        <w:tblLook w:val="0000" w:firstRow="0" w:lastRow="0" w:firstColumn="0" w:lastColumn="0" w:noHBand="0" w:noVBand="0"/>
      </w:tblPr>
      <w:tblGrid>
        <w:gridCol w:w="3946"/>
        <w:gridCol w:w="6480"/>
      </w:tblGrid>
      <w:tr w:rsidR="00C75D1C" w:rsidRPr="00AE615A" w14:paraId="299E1CC3" w14:textId="77777777" w:rsidTr="00E57111">
        <w:tc>
          <w:tcPr>
            <w:tcW w:w="3946" w:type="dxa"/>
            <w:shd w:val="clear" w:color="auto" w:fill="auto"/>
          </w:tcPr>
          <w:p w14:paraId="33A30335" w14:textId="77777777" w:rsidR="00E57111" w:rsidRPr="00155065" w:rsidRDefault="00E57111" w:rsidP="00E57111">
            <w:pPr>
              <w:pStyle w:val="00NormalDecision"/>
              <w:rPr>
                <w:lang w:val="fr-CA"/>
              </w:rPr>
            </w:pPr>
          </w:p>
        </w:tc>
        <w:tc>
          <w:tcPr>
            <w:tcW w:w="6480" w:type="dxa"/>
            <w:shd w:val="clear" w:color="auto" w:fill="auto"/>
          </w:tcPr>
          <w:p w14:paraId="0FBEE684" w14:textId="77777777" w:rsidR="00E57111" w:rsidRPr="00EA3E22" w:rsidRDefault="00E57111" w:rsidP="00E57111">
            <w:pPr>
              <w:pStyle w:val="13bSignatureTableau"/>
              <w:rPr>
                <w:lang w:val="en-CA"/>
              </w:rPr>
            </w:pPr>
            <w:r w:rsidRPr="00EA3E22">
              <w:rPr>
                <w:lang w:val="en-CA"/>
              </w:rPr>
              <w:t>MARIO ST-PIERRE, a.j.t.a.q.</w:t>
            </w:r>
          </w:p>
        </w:tc>
      </w:tr>
    </w:tbl>
    <w:p w14:paraId="31C23145" w14:textId="77777777" w:rsidR="00E57111" w:rsidRPr="00E57111" w:rsidRDefault="00E57111" w:rsidP="00E57111">
      <w:pPr>
        <w:pStyle w:val="00NormalDecision"/>
        <w:rPr>
          <w:lang w:val="en-CA"/>
        </w:rPr>
        <w:sectPr w:rsidR="00E57111" w:rsidRPr="00E57111" w:rsidSect="00E57111">
          <w:type w:val="continuous"/>
          <w:pgSz w:w="12240" w:h="15840"/>
          <w:pgMar w:top="2837" w:right="1080" w:bottom="2016" w:left="1440" w:header="1699" w:footer="720" w:gutter="0"/>
          <w:cols w:space="720"/>
        </w:sectPr>
      </w:pPr>
    </w:p>
    <w:p w14:paraId="01E8E209" w14:textId="77777777" w:rsidR="00E57111" w:rsidRPr="00E57111" w:rsidRDefault="00E57111" w:rsidP="00E57111">
      <w:pPr>
        <w:pStyle w:val="00NormalDecision"/>
        <w:rPr>
          <w:lang w:val="en-CA"/>
        </w:rPr>
      </w:pPr>
      <w:bookmarkStart w:id="15" w:name="ProcrSignet"/>
      <w:bookmarkEnd w:id="15"/>
    </w:p>
    <w:p w14:paraId="5E342F10" w14:textId="77777777" w:rsidR="00E57111" w:rsidRPr="00195307" w:rsidRDefault="00E57111" w:rsidP="00E57111">
      <w:pPr>
        <w:pStyle w:val="00NormalDecision"/>
        <w:rPr>
          <w:lang w:val="en-CA"/>
        </w:rPr>
      </w:pPr>
      <w:r w:rsidRPr="00195307">
        <w:rPr>
          <w:lang w:val="en-CA"/>
        </w:rPr>
        <w:t>Mtre Charles O'Brien</w:t>
      </w:r>
    </w:p>
    <w:p w14:paraId="12FE50B5" w14:textId="77777777" w:rsidR="00E57111" w:rsidRPr="00E57111" w:rsidRDefault="00E57111" w:rsidP="00E57111">
      <w:pPr>
        <w:pStyle w:val="00NormalDecision"/>
        <w:rPr>
          <w:lang w:val="en-CA"/>
        </w:rPr>
      </w:pPr>
      <w:r w:rsidRPr="00E57111">
        <w:rPr>
          <w:lang w:val="en-CA"/>
        </w:rPr>
        <w:t>Lorax Litigation</w:t>
      </w:r>
    </w:p>
    <w:p w14:paraId="416AFCB5" w14:textId="77777777" w:rsidR="00E57111" w:rsidRPr="00EA3E22" w:rsidRDefault="00E57111" w:rsidP="00E57111">
      <w:pPr>
        <w:pStyle w:val="00NormalDecision"/>
        <w:rPr>
          <w:lang w:val="en-CA"/>
        </w:rPr>
      </w:pPr>
      <w:r w:rsidRPr="00EA3E22">
        <w:rPr>
          <w:lang w:val="en-CA"/>
        </w:rPr>
        <w:t>Counsel for the applicants</w:t>
      </w:r>
    </w:p>
    <w:p w14:paraId="406D7423" w14:textId="77777777" w:rsidR="00E57111" w:rsidRPr="00E57111" w:rsidRDefault="00E57111" w:rsidP="00E57111">
      <w:pPr>
        <w:pStyle w:val="00NormalDecision"/>
        <w:rPr>
          <w:lang w:val="en-CA"/>
        </w:rPr>
      </w:pPr>
    </w:p>
    <w:p w14:paraId="420D2806" w14:textId="77777777" w:rsidR="00E57111" w:rsidRPr="00E57111" w:rsidRDefault="00E57111" w:rsidP="00E57111">
      <w:pPr>
        <w:pStyle w:val="00NormalDecision"/>
        <w:rPr>
          <w:lang w:val="en-CA"/>
        </w:rPr>
      </w:pPr>
      <w:r w:rsidRPr="00E57111">
        <w:rPr>
          <w:lang w:val="en-CA"/>
        </w:rPr>
        <w:t>Mtre Lory Beauregard and Mtre Kloé Sévigny</w:t>
      </w:r>
    </w:p>
    <w:p w14:paraId="0DC548B2" w14:textId="77777777" w:rsidR="00E57111" w:rsidRPr="00EA3E22" w:rsidRDefault="00E57111" w:rsidP="00E57111">
      <w:pPr>
        <w:pStyle w:val="00NormalDecision"/>
        <w:rPr>
          <w:lang w:val="en-CA"/>
        </w:rPr>
      </w:pPr>
      <w:r w:rsidRPr="00EA3E22">
        <w:rPr>
          <w:lang w:val="en-CA"/>
        </w:rPr>
        <w:t>Counsel for the respondent</w:t>
      </w:r>
    </w:p>
    <w:p w14:paraId="64829853" w14:textId="77777777" w:rsidR="00E57111" w:rsidRPr="00E57111" w:rsidRDefault="00E57111" w:rsidP="00E57111">
      <w:pPr>
        <w:pStyle w:val="00NormalDecision"/>
        <w:rPr>
          <w:lang w:val="en-CA"/>
        </w:rPr>
        <w:sectPr w:rsidR="00E57111" w:rsidRPr="00E57111" w:rsidSect="00E57111">
          <w:type w:val="continuous"/>
          <w:pgSz w:w="12240" w:h="15840"/>
          <w:pgMar w:top="2837" w:right="1080" w:bottom="2016" w:left="1440" w:header="1699" w:footer="720" w:gutter="0"/>
          <w:cols w:space="720"/>
        </w:sectPr>
      </w:pPr>
    </w:p>
    <w:p w14:paraId="011A82D2" w14:textId="77777777" w:rsidR="00E57111" w:rsidRPr="00E57111" w:rsidRDefault="00E57111" w:rsidP="00E57111">
      <w:pPr>
        <w:pStyle w:val="00NormalDecision"/>
        <w:rPr>
          <w:lang w:val="en-CA"/>
        </w:rPr>
      </w:pPr>
      <w:bookmarkStart w:id="16" w:name="FinDocument"/>
      <w:bookmarkEnd w:id="16"/>
    </w:p>
    <w:sectPr w:rsidR="00E57111" w:rsidRPr="00E57111" w:rsidSect="00E57111">
      <w:type w:val="continuous"/>
      <w:pgSz w:w="12240" w:h="15840"/>
      <w:pgMar w:top="2837" w:right="1080" w:bottom="2016" w:left="1440" w:header="1699"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DC3F" w14:textId="77777777" w:rsidR="00412272" w:rsidRDefault="00412272">
      <w:r>
        <w:separator/>
      </w:r>
    </w:p>
  </w:endnote>
  <w:endnote w:type="continuationSeparator" w:id="0">
    <w:p w14:paraId="47ECCA96" w14:textId="77777777" w:rsidR="00412272" w:rsidRDefault="0041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8EEA" w14:textId="77777777" w:rsidR="00412272" w:rsidRDefault="00412272">
      <w:r>
        <w:separator/>
      </w:r>
    </w:p>
  </w:footnote>
  <w:footnote w:type="continuationSeparator" w:id="0">
    <w:p w14:paraId="7B5133C9" w14:textId="77777777" w:rsidR="00412272" w:rsidRDefault="00412272">
      <w:r>
        <w:continuationSeparator/>
      </w:r>
    </w:p>
  </w:footnote>
  <w:footnote w:id="1">
    <w:p w14:paraId="294397B1" w14:textId="77777777" w:rsidR="00B1795A" w:rsidRPr="00E57111" w:rsidRDefault="00B1795A" w:rsidP="00E57111">
      <w:pPr>
        <w:pStyle w:val="Notedebasdepage"/>
        <w:tabs>
          <w:tab w:val="left" w:pos="284"/>
        </w:tabs>
        <w:jc w:val="both"/>
        <w:rPr>
          <w:lang w:val="en-CA"/>
        </w:rPr>
      </w:pPr>
      <w:r w:rsidRPr="00AD486D">
        <w:rPr>
          <w:rStyle w:val="Appelnotedebasdep"/>
        </w:rPr>
        <w:footnoteRef/>
      </w:r>
      <w:r w:rsidRPr="00E57111">
        <w:rPr>
          <w:lang w:val="en-CA"/>
        </w:rPr>
        <w:t xml:space="preserve"> </w:t>
      </w:r>
      <w:r w:rsidRPr="00E57111">
        <w:rPr>
          <w:lang w:val="en-CA"/>
        </w:rPr>
        <w:tab/>
        <w:t>Decision number 054-2020 dated April 16, 2020.</w:t>
      </w:r>
    </w:p>
  </w:footnote>
  <w:footnote w:id="2">
    <w:p w14:paraId="211F372C" w14:textId="77777777" w:rsidR="00B1795A" w:rsidRPr="00E57111" w:rsidRDefault="00B1795A" w:rsidP="00E57111">
      <w:pPr>
        <w:pStyle w:val="Notedebasdepage"/>
        <w:tabs>
          <w:tab w:val="left" w:pos="284"/>
        </w:tabs>
        <w:rPr>
          <w:lang w:val="en-CA"/>
        </w:rPr>
      </w:pPr>
      <w:r>
        <w:rPr>
          <w:rStyle w:val="Appelnotedebasdep"/>
        </w:rPr>
        <w:footnoteRef/>
      </w:r>
      <w:r w:rsidRPr="00E57111">
        <w:rPr>
          <w:lang w:val="en-CA"/>
        </w:rPr>
        <w:t xml:space="preserve"> </w:t>
      </w:r>
      <w:r w:rsidRPr="00E57111">
        <w:rPr>
          <w:lang w:val="en-CA"/>
        </w:rPr>
        <w:tab/>
      </w:r>
      <w:r w:rsidRPr="00EA3E22">
        <w:rPr>
          <w:lang w:val="en-CA"/>
        </w:rPr>
        <w:t>CQLR, c. F-3.2.0.1.1.</w:t>
      </w:r>
    </w:p>
  </w:footnote>
  <w:footnote w:id="3">
    <w:p w14:paraId="45944C9B" w14:textId="77777777" w:rsidR="00B1795A" w:rsidRPr="00E57111" w:rsidRDefault="00B1795A" w:rsidP="00E57111">
      <w:pPr>
        <w:pStyle w:val="Notedebasdepage"/>
        <w:tabs>
          <w:tab w:val="left" w:pos="284"/>
        </w:tabs>
        <w:rPr>
          <w:lang w:val="en-CA"/>
        </w:rPr>
      </w:pPr>
      <w:r>
        <w:rPr>
          <w:rStyle w:val="Appelnotedebasdep"/>
        </w:rPr>
        <w:footnoteRef/>
      </w:r>
      <w:r w:rsidRPr="00E57111">
        <w:rPr>
          <w:lang w:val="en-CA"/>
        </w:rPr>
        <w:t xml:space="preserve"> </w:t>
      </w:r>
      <w:r w:rsidRPr="00E57111">
        <w:rPr>
          <w:lang w:val="en-CA"/>
        </w:rPr>
        <w:tab/>
        <w:t xml:space="preserve">The parties </w:t>
      </w:r>
      <w:r>
        <w:rPr>
          <w:lang w:val="en-CA"/>
        </w:rPr>
        <w:t>determined</w:t>
      </w:r>
      <w:r w:rsidRPr="00E57111">
        <w:rPr>
          <w:lang w:val="en-CA"/>
        </w:rPr>
        <w:t xml:space="preserve"> the issue in dispute during the case management conference held on February 17, 2021.</w:t>
      </w:r>
    </w:p>
  </w:footnote>
  <w:footnote w:id="4">
    <w:p w14:paraId="654BA3EF" w14:textId="68F799AB" w:rsidR="00B1795A" w:rsidRPr="00E57111" w:rsidRDefault="00B1795A" w:rsidP="00E57111">
      <w:pPr>
        <w:pStyle w:val="Notedebasdepage"/>
        <w:tabs>
          <w:tab w:val="left" w:pos="284"/>
        </w:tabs>
        <w:rPr>
          <w:lang w:val="en-CA"/>
        </w:rPr>
      </w:pPr>
      <w:r>
        <w:rPr>
          <w:rStyle w:val="Appelnotedebasdep"/>
        </w:rPr>
        <w:footnoteRef/>
      </w:r>
      <w:r w:rsidRPr="00E57111">
        <w:rPr>
          <w:lang w:val="en-CA"/>
        </w:rPr>
        <w:t xml:space="preserve"> </w:t>
      </w:r>
      <w:r w:rsidRPr="00E57111">
        <w:rPr>
          <w:lang w:val="en-CA"/>
        </w:rPr>
        <w:tab/>
      </w:r>
      <w:r w:rsidRPr="00EA3E22">
        <w:rPr>
          <w:lang w:val="en-CA"/>
        </w:rPr>
        <w:t>Para</w:t>
      </w:r>
      <w:r>
        <w:rPr>
          <w:lang w:val="en-CA"/>
        </w:rPr>
        <w:t>graph</w:t>
      </w:r>
      <w:r w:rsidRPr="00EA3E22">
        <w:rPr>
          <w:lang w:val="en-CA"/>
        </w:rPr>
        <w:t>s</w:t>
      </w:r>
      <w:r w:rsidRPr="00E57111">
        <w:rPr>
          <w:lang w:val="en-CA"/>
        </w:rPr>
        <w:t xml:space="preserve"> </w:t>
      </w:r>
      <w:r w:rsidRPr="00EA3E22">
        <w:rPr>
          <w:lang w:val="en-CA"/>
        </w:rPr>
        <w:t>[16] and [18] of the contested decision.</w:t>
      </w:r>
    </w:p>
  </w:footnote>
  <w:footnote w:id="5">
    <w:p w14:paraId="21DCE88F" w14:textId="77777777" w:rsidR="00B1795A" w:rsidRPr="00E57111" w:rsidRDefault="00B1795A" w:rsidP="00E57111">
      <w:pPr>
        <w:pStyle w:val="Notedebasdepage"/>
        <w:tabs>
          <w:tab w:val="left" w:pos="284"/>
        </w:tabs>
        <w:rPr>
          <w:lang w:val="en-CA"/>
        </w:rPr>
      </w:pPr>
      <w:r>
        <w:rPr>
          <w:rStyle w:val="Appelnotedebasdep"/>
        </w:rPr>
        <w:footnoteRef/>
      </w:r>
      <w:r w:rsidRPr="00E57111">
        <w:rPr>
          <w:lang w:val="en-CA"/>
        </w:rPr>
        <w:t xml:space="preserve"> </w:t>
      </w:r>
      <w:r w:rsidRPr="00E57111">
        <w:rPr>
          <w:lang w:val="en-CA"/>
        </w:rPr>
        <w:tab/>
      </w:r>
      <w:r w:rsidRPr="00EA3E22">
        <w:rPr>
          <w:lang w:val="en-CA"/>
        </w:rPr>
        <w:t>The English translation of the decision was sent on July 7, 2020.</w:t>
      </w:r>
    </w:p>
  </w:footnote>
  <w:footnote w:id="6">
    <w:p w14:paraId="32D27C88" w14:textId="77777777" w:rsidR="00B1795A" w:rsidRPr="00E57111" w:rsidRDefault="00B1795A" w:rsidP="00E57111">
      <w:pPr>
        <w:pStyle w:val="Notedebasdepage"/>
        <w:tabs>
          <w:tab w:val="left" w:pos="284"/>
        </w:tabs>
        <w:rPr>
          <w:lang w:val="en-CA"/>
        </w:rPr>
      </w:pPr>
      <w:r>
        <w:rPr>
          <w:rStyle w:val="Appelnotedebasdep"/>
        </w:rPr>
        <w:footnoteRef/>
      </w:r>
      <w:r w:rsidRPr="00E57111">
        <w:rPr>
          <w:lang w:val="en-CA"/>
        </w:rPr>
        <w:t xml:space="preserve"> </w:t>
      </w:r>
      <w:r w:rsidRPr="00E57111">
        <w:rPr>
          <w:lang w:val="en-CA"/>
        </w:rPr>
        <w:tab/>
      </w:r>
      <w:r w:rsidRPr="00EA3E22">
        <w:rPr>
          <w:rFonts w:cs="Arial"/>
          <w:i/>
          <w:lang w:val="en-CA"/>
        </w:rPr>
        <w:t>Arial</w:t>
      </w:r>
      <w:r w:rsidRPr="00EA3E22">
        <w:rPr>
          <w:rFonts w:cs="Arial"/>
          <w:lang w:val="en-CA"/>
        </w:rPr>
        <w:t xml:space="preserve"> </w:t>
      </w:r>
      <w:r w:rsidRPr="00EA3E22">
        <w:rPr>
          <w:rFonts w:cs="Arial"/>
          <w:i/>
          <w:lang w:val="en-CA"/>
        </w:rPr>
        <w:t>c. App</w:t>
      </w:r>
      <w:r>
        <w:rPr>
          <w:rFonts w:cs="Arial"/>
          <w:i/>
          <w:lang w:val="en-CA"/>
        </w:rPr>
        <w:t>le</w:t>
      </w:r>
      <w:r w:rsidRPr="00EA3E22">
        <w:rPr>
          <w:rFonts w:cs="Arial"/>
          <w:i/>
          <w:lang w:val="en-CA"/>
        </w:rPr>
        <w:t xml:space="preserve"> Canada inc.</w:t>
      </w:r>
      <w:r w:rsidRPr="00EA3E22">
        <w:rPr>
          <w:rFonts w:cs="Arial"/>
          <w:lang w:val="en-CA"/>
        </w:rPr>
        <w:t>, 2019 QCCS 1932.</w:t>
      </w:r>
    </w:p>
  </w:footnote>
  <w:footnote w:id="7">
    <w:p w14:paraId="50004B4A" w14:textId="77777777" w:rsidR="00B1795A" w:rsidRPr="00E57111" w:rsidRDefault="00B1795A" w:rsidP="00E57111">
      <w:pPr>
        <w:pStyle w:val="Notedebasdepage"/>
        <w:tabs>
          <w:tab w:val="left" w:pos="284"/>
        </w:tabs>
        <w:rPr>
          <w:lang w:val="en-CA"/>
        </w:rPr>
      </w:pPr>
      <w:r>
        <w:rPr>
          <w:rStyle w:val="Appelnotedebasdep"/>
        </w:rPr>
        <w:footnoteRef/>
      </w:r>
      <w:r w:rsidRPr="00E57111">
        <w:rPr>
          <w:rFonts w:cs="Arial"/>
          <w:i/>
          <w:color w:val="212529"/>
          <w:lang w:val="en-CA"/>
        </w:rPr>
        <w:tab/>
      </w:r>
      <w:r w:rsidRPr="00EA3E22">
        <w:rPr>
          <w:rFonts w:cs="Arial"/>
          <w:i/>
          <w:color w:val="212529"/>
          <w:lang w:val="en-CA"/>
        </w:rPr>
        <w:t>Canada (Minister of Citizenship and Immigration) v. Vavilov</w:t>
      </w:r>
      <w:r w:rsidRPr="00EA3E22">
        <w:rPr>
          <w:rFonts w:cs="Arial"/>
          <w:color w:val="212529"/>
          <w:lang w:val="en-CA"/>
        </w:rPr>
        <w:t>, 2019 SCC 65 (CanLII).</w:t>
      </w:r>
    </w:p>
  </w:footnote>
  <w:footnote w:id="8">
    <w:p w14:paraId="36554693" w14:textId="77777777" w:rsidR="00B1795A" w:rsidRPr="00E57111" w:rsidRDefault="00B1795A" w:rsidP="00E57111">
      <w:pPr>
        <w:pStyle w:val="Notedebasdepage"/>
        <w:tabs>
          <w:tab w:val="left" w:pos="284"/>
        </w:tabs>
        <w:rPr>
          <w:lang w:val="en-CA"/>
        </w:rPr>
      </w:pPr>
      <w:r>
        <w:rPr>
          <w:rStyle w:val="Appelnotedebasdep"/>
        </w:rPr>
        <w:footnoteRef/>
      </w:r>
      <w:r w:rsidRPr="00E57111">
        <w:rPr>
          <w:lang w:val="en-CA"/>
        </w:rPr>
        <w:tab/>
      </w:r>
      <w:r w:rsidRPr="00EA3E22">
        <w:rPr>
          <w:i/>
          <w:lang w:val="en-CA"/>
        </w:rPr>
        <w:t>Ibid</w:t>
      </w:r>
      <w:r w:rsidRPr="00EA3E22">
        <w:rPr>
          <w:lang w:val="en-CA"/>
        </w:rPr>
        <w:t>. at para.</w:t>
      </w:r>
      <w:r w:rsidRPr="00E57111">
        <w:rPr>
          <w:lang w:val="en-CA"/>
        </w:rPr>
        <w:t xml:space="preserve"> 37.</w:t>
      </w:r>
    </w:p>
  </w:footnote>
  <w:footnote w:id="9">
    <w:p w14:paraId="00815670" w14:textId="31B93123" w:rsidR="00B1795A" w:rsidRPr="00E57111" w:rsidRDefault="00B1795A" w:rsidP="00E57111">
      <w:pPr>
        <w:pStyle w:val="Notedebasdepage"/>
        <w:tabs>
          <w:tab w:val="left" w:pos="284"/>
        </w:tabs>
        <w:rPr>
          <w:lang w:val="en-CA"/>
        </w:rPr>
      </w:pPr>
      <w:r>
        <w:rPr>
          <w:rStyle w:val="Appelnotedebasdep"/>
        </w:rPr>
        <w:footnoteRef/>
      </w:r>
      <w:r w:rsidRPr="00E57111">
        <w:rPr>
          <w:lang w:val="en-CA"/>
        </w:rPr>
        <w:t xml:space="preserve"> </w:t>
      </w:r>
      <w:r w:rsidRPr="00E57111">
        <w:rPr>
          <w:lang w:val="en-CA"/>
        </w:rPr>
        <w:tab/>
      </w:r>
      <w:r w:rsidRPr="00EA3E22">
        <w:rPr>
          <w:i/>
          <w:lang w:val="en-CA"/>
        </w:rPr>
        <w:t>Supra</w:t>
      </w:r>
      <w:r w:rsidRPr="00AB3A21">
        <w:rPr>
          <w:lang w:val="en-CA"/>
        </w:rPr>
        <w:t xml:space="preserve"> note 7 at paras. 33 and 44.</w:t>
      </w:r>
    </w:p>
  </w:footnote>
  <w:footnote w:id="10">
    <w:p w14:paraId="7CDDC2C7" w14:textId="3D45C907" w:rsidR="00B1795A" w:rsidRPr="00E57111" w:rsidRDefault="00B1795A" w:rsidP="00E57111">
      <w:pPr>
        <w:pStyle w:val="Notedebasdepage"/>
        <w:tabs>
          <w:tab w:val="left" w:pos="284"/>
        </w:tabs>
        <w:rPr>
          <w:lang w:val="en-CA"/>
        </w:rPr>
      </w:pPr>
      <w:r>
        <w:rPr>
          <w:rStyle w:val="Appelnotedebasdep"/>
        </w:rPr>
        <w:footnoteRef/>
      </w:r>
      <w:r w:rsidRPr="00E57111">
        <w:rPr>
          <w:lang w:val="en-CA"/>
        </w:rPr>
        <w:t xml:space="preserve"> </w:t>
      </w:r>
      <w:r w:rsidRPr="00E57111">
        <w:rPr>
          <w:lang w:val="en-CA"/>
        </w:rPr>
        <w:tab/>
      </w:r>
      <w:r w:rsidRPr="00EA3E22">
        <w:rPr>
          <w:lang w:val="en-CA"/>
        </w:rPr>
        <w:t>SQ 1978, c. 8</w:t>
      </w:r>
      <w:r>
        <w:rPr>
          <w:lang w:val="en-CA"/>
        </w:rPr>
        <w:t>,</w:t>
      </w:r>
      <w:r w:rsidRPr="00EA3E22">
        <w:rPr>
          <w:lang w:val="en-CA"/>
        </w:rPr>
        <w:t xml:space="preserve"> s. 35.</w:t>
      </w:r>
    </w:p>
  </w:footnote>
  <w:footnote w:id="11">
    <w:p w14:paraId="6286400E" w14:textId="6461597B" w:rsidR="00B1795A" w:rsidRPr="00E57111" w:rsidRDefault="00B1795A" w:rsidP="00E57111">
      <w:pPr>
        <w:pStyle w:val="Notedebasdepage"/>
        <w:tabs>
          <w:tab w:val="left" w:pos="284"/>
        </w:tabs>
        <w:rPr>
          <w:lang w:val="en-CA"/>
        </w:rPr>
      </w:pPr>
      <w:r>
        <w:rPr>
          <w:rStyle w:val="Appelnotedebasdep"/>
        </w:rPr>
        <w:footnoteRef/>
      </w:r>
      <w:r w:rsidRPr="00E57111">
        <w:rPr>
          <w:lang w:val="en-CA"/>
        </w:rPr>
        <w:t xml:space="preserve"> </w:t>
      </w:r>
      <w:r w:rsidRPr="00E57111">
        <w:rPr>
          <w:lang w:val="en-CA"/>
        </w:rPr>
        <w:tab/>
      </w:r>
      <w:r w:rsidRPr="00EA3E22">
        <w:rPr>
          <w:lang w:val="en-CA"/>
        </w:rPr>
        <w:t>SQ 1988, c. 21</w:t>
      </w:r>
      <w:r>
        <w:rPr>
          <w:lang w:val="en-CA"/>
        </w:rPr>
        <w:t>,</w:t>
      </w:r>
      <w:r w:rsidRPr="00EA3E22">
        <w:rPr>
          <w:lang w:val="en-CA"/>
        </w:rPr>
        <w:t xml:space="preserve"> s. 66.</w:t>
      </w:r>
    </w:p>
  </w:footnote>
  <w:footnote w:id="12">
    <w:p w14:paraId="535456E4" w14:textId="77777777" w:rsidR="00B1795A" w:rsidRPr="00E57111" w:rsidRDefault="00B1795A" w:rsidP="00E57111">
      <w:pPr>
        <w:pStyle w:val="Notedebasdepage"/>
        <w:tabs>
          <w:tab w:val="left" w:pos="284"/>
        </w:tabs>
        <w:rPr>
          <w:lang w:val="en-CA"/>
        </w:rPr>
      </w:pPr>
      <w:r>
        <w:rPr>
          <w:rStyle w:val="Appelnotedebasdep"/>
        </w:rPr>
        <w:footnoteRef/>
      </w:r>
      <w:r w:rsidRPr="00E57111">
        <w:rPr>
          <w:lang w:val="en-CA"/>
        </w:rPr>
        <w:t xml:space="preserve"> </w:t>
      </w:r>
      <w:r w:rsidRPr="00E57111">
        <w:rPr>
          <w:lang w:val="en-CA"/>
        </w:rPr>
        <w:tab/>
      </w:r>
      <w:r w:rsidRPr="00EA3E22">
        <w:rPr>
          <w:lang w:val="en-CA"/>
        </w:rPr>
        <w:t>CQLR, c. J-3.</w:t>
      </w:r>
    </w:p>
  </w:footnote>
  <w:footnote w:id="13">
    <w:p w14:paraId="659641B1" w14:textId="360BEE9B" w:rsidR="00B1795A" w:rsidRPr="006D6C58" w:rsidRDefault="00B1795A" w:rsidP="00E57111">
      <w:pPr>
        <w:pStyle w:val="Notedebasdepage"/>
        <w:tabs>
          <w:tab w:val="left" w:pos="284"/>
        </w:tabs>
        <w:rPr>
          <w:lang w:val="en-CA"/>
        </w:rPr>
      </w:pPr>
      <w:r>
        <w:rPr>
          <w:rStyle w:val="Appelnotedebasdep"/>
        </w:rPr>
        <w:footnoteRef/>
      </w:r>
      <w:r w:rsidRPr="006D6C58">
        <w:rPr>
          <w:lang w:val="en-CA"/>
        </w:rPr>
        <w:t xml:space="preserve"> </w:t>
      </w:r>
      <w:r w:rsidRPr="006D6C58">
        <w:rPr>
          <w:lang w:val="en-CA"/>
        </w:rPr>
        <w:tab/>
      </w:r>
      <w:r w:rsidRPr="00EA3E22">
        <w:rPr>
          <w:lang w:val="en-CA"/>
        </w:rPr>
        <w:t>SQ 1997, c. 43</w:t>
      </w:r>
      <w:r>
        <w:rPr>
          <w:lang w:val="en-CA"/>
        </w:rPr>
        <w:t>,</w:t>
      </w:r>
      <w:r w:rsidRPr="00EA3E22">
        <w:rPr>
          <w:lang w:val="en-CA"/>
        </w:rPr>
        <w:t xml:space="preserve"> s. 558.</w:t>
      </w:r>
    </w:p>
  </w:footnote>
  <w:footnote w:id="14">
    <w:p w14:paraId="50630D79" w14:textId="3BCF253E" w:rsidR="00B1795A" w:rsidRPr="006D6C58" w:rsidRDefault="00B1795A" w:rsidP="00E57111">
      <w:pPr>
        <w:pStyle w:val="Notedebasdepage"/>
        <w:tabs>
          <w:tab w:val="left" w:pos="284"/>
        </w:tabs>
        <w:rPr>
          <w:lang w:val="en-CA"/>
        </w:rPr>
      </w:pPr>
      <w:r>
        <w:rPr>
          <w:rStyle w:val="Appelnotedebasdep"/>
        </w:rPr>
        <w:footnoteRef/>
      </w:r>
      <w:r w:rsidRPr="006D6C58">
        <w:rPr>
          <w:lang w:val="en-CA"/>
        </w:rPr>
        <w:t xml:space="preserve"> </w:t>
      </w:r>
      <w:r w:rsidRPr="006D6C58">
        <w:rPr>
          <w:lang w:val="en-CA"/>
        </w:rPr>
        <w:tab/>
      </w:r>
      <w:r w:rsidRPr="00EA3E22">
        <w:rPr>
          <w:lang w:val="en-CA"/>
        </w:rPr>
        <w:t>S</w:t>
      </w:r>
      <w:r>
        <w:rPr>
          <w:lang w:val="en-CA"/>
        </w:rPr>
        <w:t>ection</w:t>
      </w:r>
      <w:r w:rsidRPr="00EA3E22">
        <w:rPr>
          <w:lang w:val="en-CA"/>
        </w:rPr>
        <w:t xml:space="preserve"> 14 </w:t>
      </w:r>
      <w:r w:rsidRPr="00426100">
        <w:rPr>
          <w:i/>
          <w:lang w:val="en-CA"/>
        </w:rPr>
        <w:t>AAJ</w:t>
      </w:r>
      <w:r w:rsidRPr="00EA3E22">
        <w:rPr>
          <w:lang w:val="en-CA"/>
        </w:rPr>
        <w:t>.</w:t>
      </w:r>
    </w:p>
  </w:footnote>
  <w:footnote w:id="15">
    <w:p w14:paraId="0308C390" w14:textId="4A7B962E" w:rsidR="00B1795A" w:rsidRPr="00E57111" w:rsidRDefault="00B1795A" w:rsidP="00E57111">
      <w:pPr>
        <w:pStyle w:val="Notedebasdepage"/>
        <w:tabs>
          <w:tab w:val="left" w:pos="284"/>
        </w:tabs>
        <w:rPr>
          <w:lang w:val="en-CA"/>
        </w:rPr>
      </w:pPr>
      <w:r>
        <w:rPr>
          <w:rStyle w:val="Appelnotedebasdep"/>
        </w:rPr>
        <w:footnoteRef/>
      </w:r>
      <w:r w:rsidRPr="00E57111">
        <w:rPr>
          <w:lang w:val="en-CA"/>
        </w:rPr>
        <w:t xml:space="preserve"> </w:t>
      </w:r>
      <w:r w:rsidRPr="00E57111">
        <w:rPr>
          <w:lang w:val="en-CA"/>
        </w:rPr>
        <w:tab/>
      </w:r>
      <w:r w:rsidRPr="00EA3E22">
        <w:rPr>
          <w:lang w:val="en-CA"/>
        </w:rPr>
        <w:t>S</w:t>
      </w:r>
      <w:r>
        <w:rPr>
          <w:lang w:val="en-CA"/>
        </w:rPr>
        <w:t>ection</w:t>
      </w:r>
      <w:r w:rsidRPr="00EA3E22">
        <w:rPr>
          <w:lang w:val="en-CA"/>
        </w:rPr>
        <w:t xml:space="preserve"> 15 </w:t>
      </w:r>
      <w:r w:rsidRPr="00426100">
        <w:rPr>
          <w:i/>
          <w:lang w:val="en-CA"/>
        </w:rPr>
        <w:t>AAJ</w:t>
      </w:r>
      <w:r w:rsidRPr="00EA3E22">
        <w:rPr>
          <w:lang w:val="en-CA"/>
        </w:rPr>
        <w:t>.</w:t>
      </w:r>
    </w:p>
  </w:footnote>
  <w:footnote w:id="16">
    <w:p w14:paraId="02430E4F" w14:textId="5E84E381" w:rsidR="00B1795A" w:rsidRPr="00195307" w:rsidRDefault="00B1795A" w:rsidP="00E57111">
      <w:pPr>
        <w:pStyle w:val="Notedebasdepage"/>
        <w:tabs>
          <w:tab w:val="left" w:pos="284"/>
        </w:tabs>
      </w:pPr>
      <w:r>
        <w:rPr>
          <w:rStyle w:val="Appelnotedebasdep"/>
        </w:rPr>
        <w:footnoteRef/>
      </w:r>
      <w:r w:rsidRPr="00E57111">
        <w:rPr>
          <w:lang w:val="en-CA"/>
        </w:rPr>
        <w:t xml:space="preserve"> </w:t>
      </w:r>
      <w:r w:rsidRPr="00E57111">
        <w:rPr>
          <w:lang w:val="en-CA"/>
        </w:rPr>
        <w:tab/>
        <w:t>S</w:t>
      </w:r>
      <w:r>
        <w:rPr>
          <w:lang w:val="en-CA"/>
        </w:rPr>
        <w:t>ection</w:t>
      </w:r>
      <w:r w:rsidRPr="00E57111">
        <w:rPr>
          <w:lang w:val="en-CA"/>
        </w:rPr>
        <w:t xml:space="preserve"> 36 and </w:t>
      </w:r>
      <w:r>
        <w:rPr>
          <w:lang w:val="en-CA"/>
        </w:rPr>
        <w:t>S</w:t>
      </w:r>
      <w:r w:rsidRPr="00E57111">
        <w:rPr>
          <w:lang w:val="en-CA"/>
        </w:rPr>
        <w:t xml:space="preserve">chedule IV </w:t>
      </w:r>
      <w:r w:rsidRPr="00426100">
        <w:rPr>
          <w:i/>
          <w:lang w:val="en-CA"/>
        </w:rPr>
        <w:t>AAJ</w:t>
      </w:r>
      <w:r w:rsidRPr="00E57111">
        <w:rPr>
          <w:lang w:val="en-CA"/>
        </w:rPr>
        <w:t xml:space="preserve">, which refers to the </w:t>
      </w:r>
      <w:r w:rsidRPr="00426100">
        <w:rPr>
          <w:i/>
          <w:lang w:val="en-CA"/>
        </w:rPr>
        <w:t>AFAAC</w:t>
      </w:r>
      <w:r w:rsidRPr="00E57111">
        <w:rPr>
          <w:lang w:val="en-CA"/>
        </w:rPr>
        <w:t xml:space="preserve"> at para. </w:t>
      </w:r>
      <w:r w:rsidRPr="00195307">
        <w:t>18.</w:t>
      </w:r>
    </w:p>
  </w:footnote>
  <w:footnote w:id="17">
    <w:p w14:paraId="61889982" w14:textId="77777777" w:rsidR="00B1795A" w:rsidRPr="00292455" w:rsidRDefault="00B1795A" w:rsidP="00E57111">
      <w:pPr>
        <w:tabs>
          <w:tab w:val="left" w:pos="284"/>
        </w:tabs>
        <w:rPr>
          <w:rFonts w:cs="Arial"/>
          <w:sz w:val="20"/>
        </w:rPr>
      </w:pPr>
      <w:r>
        <w:rPr>
          <w:rStyle w:val="Appelnotedebasdep"/>
        </w:rPr>
        <w:footnoteRef/>
      </w:r>
      <w:r>
        <w:t xml:space="preserve"> </w:t>
      </w:r>
      <w:r>
        <w:tab/>
      </w:r>
      <w:r w:rsidRPr="00EA3E22">
        <w:rPr>
          <w:rFonts w:cs="Arial"/>
          <w:i/>
          <w:sz w:val="20"/>
          <w:lang w:val="fr-FR" w:eastAsia="fr-CA"/>
        </w:rPr>
        <w:t>Québec</w:t>
      </w:r>
      <w:r w:rsidRPr="00EA3E22">
        <w:rPr>
          <w:rFonts w:cs="Arial"/>
          <w:sz w:val="20"/>
          <w:lang w:val="fr-FR" w:eastAsia="fr-CA"/>
        </w:rPr>
        <w:t xml:space="preserve"> </w:t>
      </w:r>
      <w:r w:rsidRPr="00EA3E22">
        <w:rPr>
          <w:rFonts w:cs="Arial"/>
          <w:i/>
          <w:sz w:val="20"/>
          <w:lang w:val="fr-FR" w:eastAsia="fr-CA"/>
        </w:rPr>
        <w:t>c. Barreau de Montréal,</w:t>
      </w:r>
      <w:r w:rsidRPr="00EA3E22">
        <w:rPr>
          <w:rFonts w:cs="Arial"/>
          <w:sz w:val="20"/>
          <w:lang w:val="fr-FR" w:eastAsia="fr-CA"/>
        </w:rPr>
        <w:t xml:space="preserve"> 2001 CanLII 20651 (QC CA) at para.</w:t>
      </w:r>
      <w:r w:rsidRPr="00292455">
        <w:rPr>
          <w:rFonts w:cs="Arial"/>
          <w:sz w:val="20"/>
          <w:lang w:val="fr-FR" w:eastAsia="fr-CA"/>
        </w:rPr>
        <w:t xml:space="preserve"> 106.</w:t>
      </w:r>
    </w:p>
  </w:footnote>
  <w:footnote w:id="18">
    <w:p w14:paraId="5075F287" w14:textId="77777777" w:rsidR="00B1795A" w:rsidRDefault="00B1795A" w:rsidP="00E57111">
      <w:pPr>
        <w:pStyle w:val="Notedebasdepage"/>
        <w:tabs>
          <w:tab w:val="left" w:pos="284"/>
        </w:tabs>
      </w:pPr>
      <w:r>
        <w:rPr>
          <w:rStyle w:val="Appelnotedebasdep"/>
        </w:rPr>
        <w:footnoteRef/>
      </w:r>
      <w:r>
        <w:t xml:space="preserve"> </w:t>
      </w:r>
      <w:r>
        <w:tab/>
      </w:r>
      <w:r w:rsidRPr="00EA3E22">
        <w:t>CQLR, c. T-16.</w:t>
      </w:r>
    </w:p>
  </w:footnote>
  <w:footnote w:id="19">
    <w:p w14:paraId="57E6033A" w14:textId="6A3822C7" w:rsidR="00B1795A" w:rsidRDefault="00B1795A" w:rsidP="00E57111">
      <w:pPr>
        <w:pStyle w:val="Notedebasdepage"/>
        <w:tabs>
          <w:tab w:val="left" w:pos="284"/>
        </w:tabs>
      </w:pPr>
      <w:r>
        <w:rPr>
          <w:rStyle w:val="Appelnotedebasdep"/>
        </w:rPr>
        <w:footnoteRef/>
      </w:r>
      <w:r>
        <w:t xml:space="preserve"> </w:t>
      </w:r>
      <w:r>
        <w:tab/>
      </w:r>
      <w:r w:rsidRPr="00EA3E22">
        <w:rPr>
          <w:rFonts w:cs="Arial"/>
          <w:i/>
          <w:color w:val="212529"/>
        </w:rPr>
        <w:t xml:space="preserve">Supra </w:t>
      </w:r>
      <w:r w:rsidRPr="00EA3E22">
        <w:rPr>
          <w:rFonts w:cs="Arial"/>
          <w:color w:val="212529"/>
        </w:rPr>
        <w:t>note 7 at para</w:t>
      </w:r>
      <w:r>
        <w:rPr>
          <w:rFonts w:cs="Arial"/>
          <w:color w:val="212529"/>
        </w:rPr>
        <w:t>s</w:t>
      </w:r>
      <w:r w:rsidRPr="00EA3E22">
        <w:rPr>
          <w:rFonts w:cs="Arial"/>
          <w:color w:val="212529"/>
        </w:rPr>
        <w:t>.</w:t>
      </w:r>
      <w:r>
        <w:t xml:space="preserve"> 44–45.</w:t>
      </w:r>
    </w:p>
  </w:footnote>
  <w:footnote w:id="20">
    <w:p w14:paraId="2E16AE46" w14:textId="77777777" w:rsidR="00B1795A" w:rsidRDefault="00B1795A" w:rsidP="00E57111">
      <w:pPr>
        <w:tabs>
          <w:tab w:val="left" w:pos="284"/>
        </w:tabs>
      </w:pPr>
      <w:r>
        <w:rPr>
          <w:rStyle w:val="Appelnotedebasdep"/>
        </w:rPr>
        <w:footnoteRef/>
      </w:r>
      <w:r>
        <w:t xml:space="preserve"> </w:t>
      </w:r>
      <w:r>
        <w:tab/>
      </w:r>
      <w:r w:rsidRPr="00EA3E22">
        <w:rPr>
          <w:rFonts w:cs="Arial"/>
          <w:i/>
          <w:sz w:val="20"/>
          <w:lang w:val="fr-FR" w:eastAsia="fr-CA"/>
        </w:rPr>
        <w:t>Société canadienne des postes c. Morency</w:t>
      </w:r>
      <w:r w:rsidRPr="00EA3E22">
        <w:rPr>
          <w:rFonts w:cs="Arial"/>
          <w:sz w:val="20"/>
          <w:lang w:val="fr-FR" w:eastAsia="fr-CA"/>
        </w:rPr>
        <w:t>, 1989 CanLII 904 (QC CA).</w:t>
      </w:r>
    </w:p>
  </w:footnote>
  <w:footnote w:id="21">
    <w:p w14:paraId="372883FA" w14:textId="77777777" w:rsidR="00B1795A" w:rsidRDefault="00B1795A" w:rsidP="00E57111">
      <w:pPr>
        <w:pStyle w:val="Notedebasdepage"/>
        <w:tabs>
          <w:tab w:val="left" w:pos="284"/>
        </w:tabs>
        <w:jc w:val="both"/>
      </w:pPr>
      <w:r>
        <w:rPr>
          <w:rStyle w:val="Appelnotedebasdep"/>
        </w:rPr>
        <w:footnoteRef/>
      </w:r>
      <w:r>
        <w:t xml:space="preserve"> </w:t>
      </w:r>
      <w:r>
        <w:tab/>
      </w:r>
      <w:r w:rsidRPr="00EA3E22">
        <w:t xml:space="preserve">Yves Ouellette, </w:t>
      </w:r>
      <w:r w:rsidRPr="00EA3E22">
        <w:rPr>
          <w:i/>
        </w:rPr>
        <w:t>Les tribunaux administratifs au Canada—procédure et preuve,</w:t>
      </w:r>
      <w:r w:rsidRPr="00EA3E22">
        <w:t xml:space="preserve"> (Montreal: Thémis, 1997) at 37–38 (</w:t>
      </w:r>
      <w:r w:rsidRPr="00B1795A">
        <w:t>citations omitted</w:t>
      </w:r>
      <w:r w:rsidRPr="00EA3E22">
        <w:t>).</w:t>
      </w:r>
    </w:p>
  </w:footnote>
  <w:footnote w:id="22">
    <w:p w14:paraId="285BF1C7" w14:textId="77777777" w:rsidR="00B1795A" w:rsidRDefault="00B1795A" w:rsidP="00E57111">
      <w:pPr>
        <w:pStyle w:val="Notedebasdepage"/>
        <w:tabs>
          <w:tab w:val="left" w:pos="284"/>
        </w:tabs>
        <w:jc w:val="both"/>
      </w:pPr>
      <w:r>
        <w:rPr>
          <w:rStyle w:val="Appelnotedebasdep"/>
        </w:rPr>
        <w:footnoteRef/>
      </w:r>
      <w:r>
        <w:t xml:space="preserve"> </w:t>
      </w:r>
      <w:r>
        <w:tab/>
      </w:r>
      <w:r w:rsidRPr="00E57111">
        <w:t xml:space="preserve">Patrice Garant, </w:t>
      </w:r>
      <w:r w:rsidRPr="00E57111">
        <w:rPr>
          <w:i/>
        </w:rPr>
        <w:t>La justice invisible ou méconnue-propos sur la justice et la justice administrative,</w:t>
      </w:r>
      <w:r w:rsidRPr="00E57111">
        <w:t xml:space="preserve"> (Montreal: Yvon Blais, 2014) at 126–127.</w:t>
      </w:r>
    </w:p>
  </w:footnote>
  <w:footnote w:id="23">
    <w:p w14:paraId="6A571E9B" w14:textId="77777777" w:rsidR="00B1795A" w:rsidRPr="00E57111" w:rsidRDefault="00B1795A" w:rsidP="00E57111">
      <w:pPr>
        <w:pStyle w:val="Notedebasdepage"/>
        <w:tabs>
          <w:tab w:val="left" w:pos="284"/>
        </w:tabs>
        <w:jc w:val="both"/>
        <w:rPr>
          <w:lang w:val="en-CA"/>
        </w:rPr>
      </w:pPr>
      <w:r>
        <w:rPr>
          <w:rStyle w:val="Appelnotedebasdep"/>
        </w:rPr>
        <w:footnoteRef/>
      </w:r>
      <w:r w:rsidRPr="00E57111">
        <w:rPr>
          <w:lang w:val="en-CA"/>
        </w:rPr>
        <w:t xml:space="preserve"> </w:t>
      </w:r>
      <w:r w:rsidRPr="00E57111">
        <w:rPr>
          <w:lang w:val="en-CA"/>
        </w:rPr>
        <w:tab/>
      </w:r>
      <w:r w:rsidRPr="00EA3E22">
        <w:rPr>
          <w:lang w:val="en-CA"/>
        </w:rPr>
        <w:t xml:space="preserve">Unlike s. 21.4 of the </w:t>
      </w:r>
      <w:r w:rsidRPr="00CF0149">
        <w:rPr>
          <w:i/>
          <w:lang w:val="en-CA"/>
        </w:rPr>
        <w:t>Act respecting the preservation of agricultural land and agricultural activities</w:t>
      </w:r>
      <w:r w:rsidRPr="00EA3E22">
        <w:rPr>
          <w:lang w:val="en-CA"/>
        </w:rPr>
        <w:t xml:space="preserve"> (CQLR, c. P-41.1), for example.</w:t>
      </w:r>
    </w:p>
  </w:footnote>
  <w:footnote w:id="24">
    <w:p w14:paraId="2B3E0CCE" w14:textId="15BB205C" w:rsidR="00B1795A" w:rsidRPr="00B1795A" w:rsidRDefault="00B1795A" w:rsidP="00E57111">
      <w:pPr>
        <w:pStyle w:val="Notedebasdepage"/>
        <w:tabs>
          <w:tab w:val="left" w:pos="284"/>
        </w:tabs>
      </w:pPr>
      <w:r>
        <w:rPr>
          <w:rStyle w:val="Appelnotedebasdep"/>
        </w:rPr>
        <w:footnoteRef/>
      </w:r>
      <w:r w:rsidRPr="00B1795A">
        <w:t xml:space="preserve"> </w:t>
      </w:r>
      <w:r w:rsidRPr="00B1795A">
        <w:tab/>
        <w:t xml:space="preserve">Section 37 </w:t>
      </w:r>
      <w:r w:rsidRPr="00B1795A">
        <w:rPr>
          <w:i/>
        </w:rPr>
        <w:t>AFAAC</w:t>
      </w:r>
      <w:r w:rsidRPr="00B1795A">
        <w:t>.</w:t>
      </w:r>
    </w:p>
  </w:footnote>
  <w:footnote w:id="25">
    <w:p w14:paraId="067E1547" w14:textId="77777777" w:rsidR="00B1795A" w:rsidRPr="00195307" w:rsidRDefault="00B1795A" w:rsidP="00E57111">
      <w:pPr>
        <w:pStyle w:val="Notedebasdepage"/>
        <w:tabs>
          <w:tab w:val="left" w:pos="284"/>
        </w:tabs>
      </w:pPr>
      <w:r>
        <w:rPr>
          <w:rStyle w:val="Appelnotedebasdep"/>
        </w:rPr>
        <w:footnoteRef/>
      </w:r>
      <w:r w:rsidRPr="00B1795A">
        <w:t xml:space="preserve"> </w:t>
      </w:r>
      <w:r w:rsidRPr="00B1795A">
        <w:tab/>
      </w:r>
      <w:r w:rsidRPr="00195307">
        <w:rPr>
          <w:rFonts w:cs="Arial"/>
          <w:i/>
        </w:rPr>
        <w:t xml:space="preserve">Supra </w:t>
      </w:r>
      <w:r w:rsidRPr="00195307">
        <w:rPr>
          <w:rFonts w:cs="Arial"/>
        </w:rPr>
        <w:t>note 7 at para.</w:t>
      </w:r>
      <w:r w:rsidRPr="00B1795A">
        <w:t xml:space="preserve"> </w:t>
      </w:r>
      <w:r w:rsidRPr="00195307">
        <w:t>36.</w:t>
      </w:r>
    </w:p>
  </w:footnote>
  <w:footnote w:id="26">
    <w:p w14:paraId="2E03017C" w14:textId="36182128" w:rsidR="00B1795A" w:rsidRDefault="00B1795A" w:rsidP="00E57111">
      <w:pPr>
        <w:pStyle w:val="Notedebasdepage"/>
        <w:tabs>
          <w:tab w:val="left" w:pos="284"/>
        </w:tabs>
      </w:pPr>
      <w:r w:rsidRPr="0086642E">
        <w:rPr>
          <w:rStyle w:val="Appelnotedebasdep"/>
        </w:rPr>
        <w:footnoteRef/>
      </w:r>
      <w:r>
        <w:t xml:space="preserve"> </w:t>
      </w:r>
      <w:r>
        <w:tab/>
      </w:r>
      <w:r w:rsidRPr="00EA3E22">
        <w:rPr>
          <w:i/>
        </w:rPr>
        <w:t>M.O. c. Société de l’assurance automobile du Québec</w:t>
      </w:r>
      <w:r w:rsidRPr="00EA3E22">
        <w:t>, 2021 QCCA 177 at para</w:t>
      </w:r>
      <w:r>
        <w:t>s</w:t>
      </w:r>
      <w:r w:rsidRPr="00EA3E22">
        <w:t>.</w:t>
      </w:r>
      <w:r w:rsidRPr="0086642E">
        <w:t xml:space="preserve"> 21</w:t>
      </w:r>
      <w:r>
        <w:t>–</w:t>
      </w:r>
      <w:r w:rsidRPr="0086642E">
        <w:t>22.</w:t>
      </w:r>
    </w:p>
  </w:footnote>
  <w:footnote w:id="27">
    <w:p w14:paraId="445CD0D5" w14:textId="77777777" w:rsidR="00B1795A" w:rsidRDefault="00B1795A" w:rsidP="00E57111">
      <w:pPr>
        <w:pStyle w:val="Notedebasdepage"/>
        <w:tabs>
          <w:tab w:val="left" w:pos="284"/>
        </w:tabs>
        <w:jc w:val="both"/>
      </w:pPr>
      <w:r>
        <w:rPr>
          <w:rStyle w:val="Appelnotedebasdep"/>
        </w:rPr>
        <w:footnoteRef/>
      </w:r>
      <w:r>
        <w:t xml:space="preserve"> </w:t>
      </w:r>
      <w:r>
        <w:tab/>
      </w:r>
      <w:r w:rsidRPr="00EA3E22">
        <w:rPr>
          <w:i/>
        </w:rPr>
        <w:t>Association des juges administratifs de la Commission des lésions professionnelles c. Québec (Procureur général</w:t>
      </w:r>
      <w:r w:rsidRPr="00EA3E22">
        <w:t>), 2013 QCCA 1690 at para.</w:t>
      </w:r>
      <w:r>
        <w:t xml:space="preserve"> 24.</w:t>
      </w:r>
    </w:p>
  </w:footnote>
  <w:footnote w:id="28">
    <w:p w14:paraId="37C44C9A" w14:textId="77777777" w:rsidR="00B1795A" w:rsidRPr="00C86F4B" w:rsidRDefault="00B1795A" w:rsidP="00E57111">
      <w:pPr>
        <w:pStyle w:val="Notedebasdepage"/>
        <w:tabs>
          <w:tab w:val="left" w:pos="284"/>
        </w:tabs>
        <w:jc w:val="both"/>
      </w:pPr>
      <w:r w:rsidRPr="00C86F4B">
        <w:rPr>
          <w:rStyle w:val="Appelnotedebasdep"/>
        </w:rPr>
        <w:footnoteRef/>
      </w:r>
      <w:r>
        <w:t xml:space="preserve"> </w:t>
      </w:r>
      <w:r>
        <w:tab/>
      </w:r>
      <w:r w:rsidRPr="00EA3E22">
        <w:rPr>
          <w:i/>
        </w:rPr>
        <w:t>Kozlowski c. Ministère du Développement durable, de l’Environnement, de la Faune et des Parcs</w:t>
      </w:r>
      <w:r w:rsidRPr="00EA3E22">
        <w:t>, 2014 QCTAQ 02892 at para.</w:t>
      </w:r>
      <w:r>
        <w:t xml:space="preserve"> </w:t>
      </w:r>
      <w:r w:rsidRPr="00E57111">
        <w:t xml:space="preserve">523; </w:t>
      </w:r>
      <w:r w:rsidRPr="00E57111">
        <w:rPr>
          <w:i/>
        </w:rPr>
        <w:t>Z.I. c. Centre de la petite enfance A</w:t>
      </w:r>
      <w:r w:rsidRPr="00E57111">
        <w:t>, 2020 QCTAQ 05155 at para.</w:t>
      </w:r>
      <w:r w:rsidRPr="00C86F4B">
        <w:t xml:space="preserve"> 40.</w:t>
      </w:r>
    </w:p>
  </w:footnote>
  <w:footnote w:id="29">
    <w:p w14:paraId="00BB85E4" w14:textId="4B5805E8" w:rsidR="00B1795A" w:rsidRDefault="00B1795A" w:rsidP="00E57111">
      <w:pPr>
        <w:pStyle w:val="Notedebasdepage"/>
        <w:tabs>
          <w:tab w:val="left" w:pos="284"/>
        </w:tabs>
      </w:pPr>
      <w:r w:rsidRPr="00C86F4B">
        <w:rPr>
          <w:rStyle w:val="Appelnotedebasdep"/>
        </w:rPr>
        <w:footnoteRef/>
      </w:r>
      <w:r w:rsidRPr="00C86F4B">
        <w:t xml:space="preserve"> </w:t>
      </w:r>
      <w:r w:rsidRPr="00C86F4B">
        <w:tab/>
      </w:r>
      <w:r w:rsidRPr="00EA3E22">
        <w:t>S</w:t>
      </w:r>
      <w:r>
        <w:t>ection</w:t>
      </w:r>
      <w:r w:rsidRPr="00EA3E22">
        <w:t xml:space="preserve"> 137 </w:t>
      </w:r>
      <w:r w:rsidRPr="00552FC6">
        <w:rPr>
          <w:i/>
        </w:rPr>
        <w:t>AAJ</w:t>
      </w:r>
      <w:r w:rsidRPr="00EA3E22">
        <w:t>.</w:t>
      </w:r>
    </w:p>
  </w:footnote>
  <w:footnote w:id="30">
    <w:p w14:paraId="350C3C6B" w14:textId="77777777" w:rsidR="00B1795A" w:rsidRDefault="00B1795A" w:rsidP="00E57111">
      <w:pPr>
        <w:pStyle w:val="Notedebasdepage"/>
        <w:tabs>
          <w:tab w:val="left" w:pos="284"/>
        </w:tabs>
        <w:jc w:val="both"/>
      </w:pPr>
      <w:r>
        <w:rPr>
          <w:rStyle w:val="Appelnotedebasdep"/>
        </w:rPr>
        <w:footnoteRef/>
      </w:r>
      <w:r w:rsidRPr="00C86F4B">
        <w:rPr>
          <w:i/>
        </w:rPr>
        <w:t xml:space="preserve"> </w:t>
      </w:r>
      <w:r w:rsidRPr="00C86F4B">
        <w:rPr>
          <w:i/>
        </w:rPr>
        <w:tab/>
      </w:r>
      <w:r w:rsidRPr="00EA3E22">
        <w:rPr>
          <w:i/>
        </w:rPr>
        <w:t>Kozlowski c. Ministère du Développement durable, de l’Environnement, de la Faune et des Parcs</w:t>
      </w:r>
      <w:r w:rsidRPr="00EA3E22">
        <w:t xml:space="preserve">, </w:t>
      </w:r>
      <w:r w:rsidRPr="00EA3E22">
        <w:rPr>
          <w:i/>
        </w:rPr>
        <w:t xml:space="preserve">supra </w:t>
      </w:r>
      <w:r w:rsidRPr="00EA3E22">
        <w:t>note 28 at para.</w:t>
      </w:r>
      <w:r>
        <w:t xml:space="preserve"> 519.</w:t>
      </w:r>
    </w:p>
  </w:footnote>
  <w:footnote w:id="31">
    <w:p w14:paraId="31769E61" w14:textId="735F1C4A" w:rsidR="00B1795A" w:rsidRPr="00AE615A" w:rsidRDefault="00B1795A" w:rsidP="00E57111">
      <w:pPr>
        <w:pStyle w:val="Notedebasdepage"/>
      </w:pPr>
      <w:r>
        <w:rPr>
          <w:rStyle w:val="Appelnotedebasdep"/>
        </w:rPr>
        <w:footnoteRef/>
      </w:r>
      <w:r w:rsidRPr="00AE615A">
        <w:rPr>
          <w:i/>
        </w:rPr>
        <w:t xml:space="preserve"> </w:t>
      </w:r>
      <w:r w:rsidRPr="00AE615A">
        <w:t>Paragraph [64] of the contested decision.</w:t>
      </w:r>
    </w:p>
  </w:footnote>
  <w:footnote w:id="32">
    <w:p w14:paraId="2EA6B57C" w14:textId="77777777" w:rsidR="00B1795A" w:rsidRDefault="00B1795A" w:rsidP="00E57111">
      <w:pPr>
        <w:pStyle w:val="Notedebasdepage"/>
        <w:tabs>
          <w:tab w:val="left" w:pos="284"/>
        </w:tabs>
      </w:pPr>
      <w:r>
        <w:rPr>
          <w:rStyle w:val="Appelnotedebasdep"/>
        </w:rPr>
        <w:footnoteRef/>
      </w:r>
      <w:r>
        <w:t xml:space="preserve"> </w:t>
      </w:r>
      <w:r>
        <w:tab/>
      </w:r>
      <w:r w:rsidRPr="00DC1C13">
        <w:rPr>
          <w:i/>
        </w:rPr>
        <w:t>Anahit Cilinger c. Fonds d’aide aux recours collectifs</w:t>
      </w:r>
      <w:r w:rsidRPr="00DC1C13">
        <w:t>, 2002 CanLII 55264 (QC TAQ).</w:t>
      </w:r>
    </w:p>
  </w:footnote>
  <w:footnote w:id="33">
    <w:p w14:paraId="4C8D27C1" w14:textId="77777777" w:rsidR="00B1795A" w:rsidRPr="00195307" w:rsidRDefault="00B1795A" w:rsidP="00E57111">
      <w:pPr>
        <w:pStyle w:val="Notedebasdepage"/>
        <w:tabs>
          <w:tab w:val="left" w:pos="284"/>
        </w:tabs>
      </w:pPr>
      <w:r>
        <w:rPr>
          <w:rStyle w:val="Appelnotedebasdep"/>
        </w:rPr>
        <w:footnoteRef/>
      </w:r>
      <w:r w:rsidRPr="00195307">
        <w:t xml:space="preserve"> </w:t>
      </w:r>
      <w:r w:rsidRPr="00195307">
        <w:tab/>
      </w:r>
      <w:r w:rsidRPr="00195307">
        <w:rPr>
          <w:i/>
        </w:rPr>
        <w:t xml:space="preserve">Andrew G. George </w:t>
      </w:r>
      <w:r w:rsidRPr="00195307">
        <w:t xml:space="preserve">c. </w:t>
      </w:r>
      <w:r w:rsidRPr="00195307">
        <w:rPr>
          <w:i/>
        </w:rPr>
        <w:t>FAAC,</w:t>
      </w:r>
      <w:r w:rsidRPr="00195307">
        <w:t xml:space="preserve"> 2002 CanLII 55213 (QC TAQ).</w:t>
      </w:r>
    </w:p>
  </w:footnote>
  <w:footnote w:id="34">
    <w:p w14:paraId="5E3B072B" w14:textId="77777777" w:rsidR="00B1795A" w:rsidRPr="00DC1C13" w:rsidRDefault="00B1795A" w:rsidP="00E57111">
      <w:pPr>
        <w:pStyle w:val="Notedebasdepage"/>
        <w:tabs>
          <w:tab w:val="left" w:pos="284"/>
          <w:tab w:val="left" w:pos="360"/>
        </w:tabs>
        <w:rPr>
          <w:lang w:val="en-CA"/>
        </w:rPr>
      </w:pPr>
      <w:r>
        <w:rPr>
          <w:rStyle w:val="Appelnotedebasdep"/>
        </w:rPr>
        <w:footnoteRef/>
      </w:r>
      <w:r w:rsidRPr="00DC1C13">
        <w:rPr>
          <w:lang w:val="en-CA"/>
        </w:rPr>
        <w:t xml:space="preserve"> </w:t>
      </w:r>
      <w:r w:rsidRPr="00DC1C13">
        <w:rPr>
          <w:lang w:val="en-CA"/>
        </w:rPr>
        <w:tab/>
      </w:r>
      <w:r w:rsidRPr="00EA3E22">
        <w:rPr>
          <w:lang w:val="en-CA"/>
        </w:rPr>
        <w:t xml:space="preserve">CQLR, c. C-25.01, formerly art. 1003 </w:t>
      </w:r>
      <w:r w:rsidRPr="00195307">
        <w:rPr>
          <w:lang w:val="en-CA"/>
        </w:rPr>
        <w:t>C.C.P</w:t>
      </w:r>
      <w:r w:rsidRPr="00BD27F4">
        <w:rPr>
          <w:lang w:val="en-CA"/>
        </w:rPr>
        <w:t>.</w:t>
      </w:r>
    </w:p>
  </w:footnote>
  <w:footnote w:id="35">
    <w:p w14:paraId="198EDBEF" w14:textId="3C3FB76B" w:rsidR="00B1795A" w:rsidRPr="00195307" w:rsidRDefault="00B1795A" w:rsidP="00E57111">
      <w:pPr>
        <w:pStyle w:val="Notedebasdepage"/>
        <w:tabs>
          <w:tab w:val="left" w:pos="284"/>
        </w:tabs>
      </w:pPr>
      <w:r>
        <w:rPr>
          <w:rStyle w:val="Appelnotedebasdep"/>
        </w:rPr>
        <w:footnoteRef/>
      </w:r>
      <w:r w:rsidRPr="00195307">
        <w:t xml:space="preserve"> </w:t>
      </w:r>
      <w:r w:rsidRPr="00195307">
        <w:tab/>
        <w:t>Article 576 C.C.P.</w:t>
      </w:r>
    </w:p>
  </w:footnote>
  <w:footnote w:id="36">
    <w:p w14:paraId="1898151A" w14:textId="15442E8B" w:rsidR="00B1795A" w:rsidRPr="00195307" w:rsidRDefault="00B1795A" w:rsidP="00E57111">
      <w:pPr>
        <w:pStyle w:val="Notedebasdepage"/>
        <w:tabs>
          <w:tab w:val="left" w:pos="284"/>
        </w:tabs>
      </w:pPr>
      <w:r>
        <w:rPr>
          <w:rStyle w:val="Appelnotedebasdep"/>
        </w:rPr>
        <w:footnoteRef/>
      </w:r>
      <w:r w:rsidRPr="00195307">
        <w:t xml:space="preserve"> </w:t>
      </w:r>
      <w:r w:rsidRPr="00195307">
        <w:tab/>
        <w:t xml:space="preserve">Section 15 </w:t>
      </w:r>
      <w:r w:rsidRPr="00195307">
        <w:rPr>
          <w:i/>
        </w:rPr>
        <w:t>AAJ</w:t>
      </w:r>
      <w:r w:rsidRPr="00195307">
        <w:t>.</w:t>
      </w:r>
    </w:p>
  </w:footnote>
  <w:footnote w:id="37">
    <w:p w14:paraId="1D6E3F8B" w14:textId="540A2BBC" w:rsidR="00B1795A" w:rsidRPr="00DC1C13" w:rsidRDefault="00B1795A" w:rsidP="00E57111">
      <w:pPr>
        <w:pStyle w:val="Notedebasdepage"/>
        <w:tabs>
          <w:tab w:val="left" w:pos="284"/>
        </w:tabs>
        <w:rPr>
          <w:lang w:val="en-CA"/>
        </w:rPr>
      </w:pPr>
      <w:r w:rsidRPr="009F7CF5">
        <w:rPr>
          <w:rStyle w:val="Appelnotedebasdep"/>
        </w:rPr>
        <w:footnoteRef/>
      </w:r>
      <w:r w:rsidRPr="00195307">
        <w:rPr>
          <w:lang w:val="en-CA"/>
        </w:rPr>
        <w:t xml:space="preserve"> </w:t>
      </w:r>
      <w:r w:rsidRPr="00195307">
        <w:rPr>
          <w:lang w:val="en-CA"/>
        </w:rPr>
        <w:tab/>
        <w:t xml:space="preserve">Yves Ouellette, quoted in para. </w:t>
      </w:r>
      <w:r w:rsidRPr="00EA3E22">
        <w:rPr>
          <w:lang w:val="en-CA"/>
        </w:rPr>
        <w:t xml:space="preserve">16, </w:t>
      </w:r>
      <w:r w:rsidRPr="00EA3E22">
        <w:rPr>
          <w:i/>
          <w:lang w:val="en-CA"/>
        </w:rPr>
        <w:t xml:space="preserve">supra </w:t>
      </w:r>
      <w:r w:rsidRPr="00EA3E22">
        <w:rPr>
          <w:lang w:val="en-CA"/>
        </w:rPr>
        <w:t>at note 21.</w:t>
      </w:r>
    </w:p>
  </w:footnote>
  <w:footnote w:id="38">
    <w:p w14:paraId="29887AB5" w14:textId="77777777" w:rsidR="00B1795A" w:rsidRPr="00DC1C13" w:rsidRDefault="00B1795A" w:rsidP="00E57111">
      <w:pPr>
        <w:pStyle w:val="Notedebasdepage"/>
        <w:tabs>
          <w:tab w:val="left" w:pos="284"/>
        </w:tabs>
        <w:rPr>
          <w:lang w:val="en-CA"/>
        </w:rPr>
      </w:pPr>
      <w:r w:rsidRPr="009F7CF5">
        <w:rPr>
          <w:rStyle w:val="Appelnotedebasdep"/>
        </w:rPr>
        <w:footnoteRef/>
      </w:r>
      <w:r w:rsidRPr="00DC1C13">
        <w:rPr>
          <w:lang w:val="en-CA"/>
        </w:rPr>
        <w:t xml:space="preserve"> </w:t>
      </w:r>
      <w:r w:rsidRPr="00DC1C13">
        <w:rPr>
          <w:lang w:val="en-CA"/>
        </w:rPr>
        <w:tab/>
      </w:r>
      <w:r w:rsidRPr="00EA3E22">
        <w:rPr>
          <w:i/>
          <w:lang w:val="en-CA"/>
        </w:rPr>
        <w:t>Supra</w:t>
      </w:r>
      <w:r w:rsidRPr="00EA3E22">
        <w:rPr>
          <w:lang w:val="en-CA"/>
        </w:rPr>
        <w:t>, note 20 at 302.</w:t>
      </w:r>
    </w:p>
  </w:footnote>
  <w:footnote w:id="39">
    <w:p w14:paraId="73D848F8" w14:textId="77777777" w:rsidR="00B1795A" w:rsidRPr="00195307" w:rsidRDefault="00B1795A" w:rsidP="00E57111">
      <w:pPr>
        <w:pStyle w:val="Notedebasdepage"/>
        <w:tabs>
          <w:tab w:val="left" w:pos="284"/>
        </w:tabs>
        <w:rPr>
          <w:lang w:val="en-CA"/>
        </w:rPr>
      </w:pPr>
      <w:r>
        <w:rPr>
          <w:rStyle w:val="Appelnotedebasdep"/>
        </w:rPr>
        <w:footnoteRef/>
      </w:r>
      <w:r w:rsidRPr="00195307">
        <w:rPr>
          <w:lang w:val="en-CA"/>
        </w:rPr>
        <w:t xml:space="preserve"> </w:t>
      </w:r>
      <w:r w:rsidRPr="00195307">
        <w:rPr>
          <w:lang w:val="en-CA"/>
        </w:rPr>
        <w:tab/>
        <w:t>J.E. 97-1734 (CA)</w:t>
      </w:r>
    </w:p>
  </w:footnote>
  <w:footnote w:id="40">
    <w:p w14:paraId="4B743C6B" w14:textId="77777777" w:rsidR="00B1795A" w:rsidRPr="00AE6427" w:rsidRDefault="00B1795A" w:rsidP="00E57111">
      <w:pPr>
        <w:tabs>
          <w:tab w:val="left" w:pos="284"/>
        </w:tabs>
        <w:rPr>
          <w:sz w:val="20"/>
          <w:lang w:val="fr-FR"/>
        </w:rPr>
      </w:pPr>
      <w:r>
        <w:rPr>
          <w:rStyle w:val="Appelnotedebasdep"/>
        </w:rPr>
        <w:footnoteRef/>
      </w:r>
      <w:r>
        <w:t xml:space="preserve"> </w:t>
      </w:r>
      <w:r>
        <w:tab/>
      </w:r>
      <w:r w:rsidRPr="00EA3E22">
        <w:rPr>
          <w:rFonts w:cs="Arial"/>
          <w:i/>
          <w:sz w:val="20"/>
          <w:lang w:val="fr-FR" w:eastAsia="fr-CA"/>
        </w:rPr>
        <w:t>J.R. c. Société de l'assurance automobile du Québec,</w:t>
      </w:r>
      <w:r w:rsidRPr="00EA3E22">
        <w:rPr>
          <w:rFonts w:cs="Arial"/>
          <w:sz w:val="20"/>
          <w:lang w:val="fr-FR" w:eastAsia="fr-CA"/>
        </w:rPr>
        <w:t xml:space="preserve"> 2011 QCCA 1595.</w:t>
      </w:r>
    </w:p>
  </w:footnote>
  <w:footnote w:id="41">
    <w:p w14:paraId="453EA51F" w14:textId="2564B559" w:rsidR="00B1795A" w:rsidRPr="0061034B" w:rsidRDefault="00B1795A" w:rsidP="00E57111">
      <w:pPr>
        <w:pStyle w:val="Notedebasdepage"/>
        <w:rPr>
          <w:lang w:val="en-CA"/>
        </w:rPr>
      </w:pPr>
      <w:r w:rsidRPr="008D153A">
        <w:rPr>
          <w:rStyle w:val="Appelnotedebasdep"/>
        </w:rPr>
        <w:footnoteRef/>
      </w:r>
      <w:r w:rsidRPr="0061034B">
        <w:rPr>
          <w:lang w:val="en-CA"/>
        </w:rPr>
        <w:t xml:space="preserve"> </w:t>
      </w:r>
      <w:r w:rsidRPr="00EA3E22">
        <w:rPr>
          <w:i/>
          <w:lang w:val="en-CA"/>
        </w:rPr>
        <w:t xml:space="preserve">Supra </w:t>
      </w:r>
      <w:r w:rsidRPr="00EA3E22">
        <w:rPr>
          <w:lang w:val="en-CA"/>
        </w:rPr>
        <w:t>note 7 at para</w:t>
      </w:r>
      <w:r>
        <w:rPr>
          <w:lang w:val="en-CA"/>
        </w:rPr>
        <w:t>s</w:t>
      </w:r>
      <w:r w:rsidRPr="00EA3E22">
        <w:rPr>
          <w:lang w:val="en-CA"/>
        </w:rPr>
        <w:t>.</w:t>
      </w:r>
      <w:r>
        <w:rPr>
          <w:lang w:val="en-CA"/>
        </w:rPr>
        <w:t xml:space="preserve"> 65–</w:t>
      </w:r>
      <w:r w:rsidRPr="0061034B">
        <w:rPr>
          <w:lang w:val="en-CA"/>
        </w:rPr>
        <w:t>66.</w:t>
      </w:r>
    </w:p>
  </w:footnote>
  <w:footnote w:id="42">
    <w:p w14:paraId="0F515E59" w14:textId="1EAEBA96" w:rsidR="00B1795A" w:rsidRPr="0061034B" w:rsidRDefault="00B1795A" w:rsidP="00E57111">
      <w:pPr>
        <w:pStyle w:val="Notedebasdepage"/>
        <w:rPr>
          <w:lang w:val="en-CA"/>
        </w:rPr>
      </w:pPr>
      <w:r>
        <w:rPr>
          <w:rStyle w:val="Appelnotedebasdep"/>
        </w:rPr>
        <w:footnoteRef/>
      </w:r>
      <w:r w:rsidRPr="0061034B">
        <w:rPr>
          <w:lang w:val="en-CA"/>
        </w:rPr>
        <w:t xml:space="preserve"> </w:t>
      </w:r>
      <w:r w:rsidRPr="00EA3E22">
        <w:rPr>
          <w:lang w:val="en-CA"/>
        </w:rPr>
        <w:t>S</w:t>
      </w:r>
      <w:r>
        <w:rPr>
          <w:lang w:val="en-CA"/>
        </w:rPr>
        <w:t>ection</w:t>
      </w:r>
      <w:r w:rsidRPr="00EA3E22">
        <w:rPr>
          <w:lang w:val="en-CA"/>
        </w:rPr>
        <w:t xml:space="preserve"> 1 </w:t>
      </w:r>
      <w:r w:rsidRPr="00113B20">
        <w:rPr>
          <w:i/>
          <w:lang w:val="en-CA"/>
        </w:rPr>
        <w:t>AAJ</w:t>
      </w:r>
      <w:r w:rsidRPr="00EA3E22">
        <w:rPr>
          <w:lang w:val="en-CA"/>
        </w:rPr>
        <w:t>.</w:t>
      </w:r>
    </w:p>
  </w:footnote>
  <w:footnote w:id="43">
    <w:p w14:paraId="3F9D25C5" w14:textId="3C4D3C2E" w:rsidR="00B1795A" w:rsidRPr="00DC1C13" w:rsidRDefault="00B1795A" w:rsidP="00E57111">
      <w:pPr>
        <w:pStyle w:val="Notedebasdepage"/>
        <w:rPr>
          <w:lang w:val="en-CA"/>
        </w:rPr>
      </w:pPr>
      <w:r>
        <w:rPr>
          <w:rStyle w:val="Appelnotedebasdep"/>
        </w:rPr>
        <w:footnoteRef/>
      </w:r>
      <w:r w:rsidRPr="00DC1C13">
        <w:rPr>
          <w:lang w:val="en-CA"/>
        </w:rPr>
        <w:t xml:space="preserve"> </w:t>
      </w:r>
      <w:r w:rsidRPr="00EA3E22">
        <w:rPr>
          <w:lang w:val="en-CA"/>
        </w:rPr>
        <w:t>S</w:t>
      </w:r>
      <w:r>
        <w:rPr>
          <w:lang w:val="en-CA"/>
        </w:rPr>
        <w:t>ection</w:t>
      </w:r>
      <w:r w:rsidRPr="00EA3E22">
        <w:rPr>
          <w:lang w:val="en-CA"/>
        </w:rPr>
        <w:t xml:space="preserve"> 23 </w:t>
      </w:r>
      <w:r w:rsidRPr="00113B20">
        <w:rPr>
          <w:i/>
          <w:lang w:val="en-CA"/>
        </w:rPr>
        <w:t>AFAAC</w:t>
      </w:r>
      <w:r w:rsidRPr="00EA3E22">
        <w:rPr>
          <w:lang w:val="en-CA"/>
        </w:rPr>
        <w:t xml:space="preserve"> provides that the decision must be rendered within the month that follows the application.</w:t>
      </w:r>
    </w:p>
  </w:footnote>
  <w:footnote w:id="44">
    <w:p w14:paraId="0ABEBB34" w14:textId="2B535810" w:rsidR="00B1795A" w:rsidRPr="00195307" w:rsidRDefault="00B1795A" w:rsidP="00E57111">
      <w:pPr>
        <w:pStyle w:val="Notedebasdepage"/>
        <w:rPr>
          <w:lang w:val="en-CA"/>
        </w:rPr>
      </w:pPr>
      <w:r>
        <w:rPr>
          <w:rStyle w:val="Appelnotedebasdep"/>
        </w:rPr>
        <w:footnoteRef/>
      </w:r>
      <w:r w:rsidRPr="00DC1C13">
        <w:rPr>
          <w:lang w:val="en-CA"/>
        </w:rPr>
        <w:t xml:space="preserve"> </w:t>
      </w:r>
      <w:r w:rsidRPr="00DC1C13">
        <w:rPr>
          <w:i/>
          <w:lang w:val="en-CA"/>
        </w:rPr>
        <w:t>Piché c. Tribunal administratif du Québec et Retraite Québec</w:t>
      </w:r>
      <w:r w:rsidRPr="00DC1C13">
        <w:rPr>
          <w:lang w:val="en-CA"/>
        </w:rPr>
        <w:t xml:space="preserve">, decision </w:t>
      </w:r>
      <w:r>
        <w:rPr>
          <w:lang w:val="en-CA"/>
        </w:rPr>
        <w:t>of</w:t>
      </w:r>
      <w:r w:rsidRPr="00DC1C13">
        <w:rPr>
          <w:lang w:val="en-CA"/>
        </w:rPr>
        <w:t xml:space="preserve"> the Superior Court dated March 26, 2021, in </w:t>
      </w:r>
      <w:r>
        <w:rPr>
          <w:lang w:val="en-CA"/>
        </w:rPr>
        <w:t>file N</w:t>
      </w:r>
      <w:r w:rsidRPr="00DC1C13">
        <w:rPr>
          <w:lang w:val="en-CA"/>
        </w:rPr>
        <w:t xml:space="preserve">o. 200-17-031469-208; </w:t>
      </w:r>
      <w:r w:rsidRPr="00DC1C13">
        <w:rPr>
          <w:i/>
          <w:lang w:val="en-CA"/>
        </w:rPr>
        <w:t>C.G. c. Retraite Québec</w:t>
      </w:r>
      <w:r w:rsidRPr="00DC1C13">
        <w:rPr>
          <w:lang w:val="en-CA"/>
        </w:rPr>
        <w:t xml:space="preserve">, 2017 QCTAQ 091171 at para. </w:t>
      </w:r>
      <w:r w:rsidRPr="00195307">
        <w:rPr>
          <w:lang w:val="en-CA"/>
        </w:rPr>
        <w:t>29.</w:t>
      </w:r>
    </w:p>
  </w:footnote>
  <w:footnote w:id="45">
    <w:p w14:paraId="52207C0D" w14:textId="1608D8FF" w:rsidR="00B1795A" w:rsidRDefault="00B1795A" w:rsidP="00E57111">
      <w:r>
        <w:rPr>
          <w:rStyle w:val="Appelnotedebasdep"/>
        </w:rPr>
        <w:footnoteRef/>
      </w:r>
      <w:r w:rsidRPr="00DC1C13">
        <w:rPr>
          <w:lang w:val="en-CA"/>
        </w:rPr>
        <w:t xml:space="preserve"> </w:t>
      </w:r>
      <w:r w:rsidRPr="00EA3E22">
        <w:rPr>
          <w:rFonts w:cs="Arial"/>
          <w:sz w:val="20"/>
          <w:lang w:val="en-CA"/>
        </w:rPr>
        <w:t>Mechanism drawn from the application of ss. 95.2, 143.0.2, 26</w:t>
      </w:r>
      <w:r>
        <w:rPr>
          <w:rFonts w:cs="Arial"/>
          <w:sz w:val="20"/>
          <w:lang w:val="en-CA"/>
        </w:rPr>
        <w:t>,</w:t>
      </w:r>
      <w:r w:rsidRPr="00EA3E22">
        <w:rPr>
          <w:rFonts w:cs="Arial"/>
          <w:sz w:val="20"/>
          <w:lang w:val="en-CA"/>
        </w:rPr>
        <w:t xml:space="preserve"> and 147 of the </w:t>
      </w:r>
      <w:r w:rsidRPr="00EA3E22">
        <w:rPr>
          <w:rFonts w:cs="Arial"/>
          <w:i/>
          <w:sz w:val="20"/>
          <w:lang w:val="en-CA"/>
        </w:rPr>
        <w:t>Act respecting the Québec Pension Plan</w:t>
      </w:r>
      <w:r w:rsidRPr="00EA3E22">
        <w:rPr>
          <w:rFonts w:cs="Arial"/>
          <w:sz w:val="20"/>
          <w:lang w:val="en-CA"/>
        </w:rPr>
        <w:t>, CQLR, c. R-9.</w:t>
      </w:r>
      <w:r w:rsidRPr="00DC1C13">
        <w:rPr>
          <w:rFonts w:cs="Arial"/>
          <w:sz w:val="20"/>
          <w:lang w:val="en-CA"/>
        </w:rPr>
        <w:t xml:space="preserve"> </w:t>
      </w:r>
      <w:r w:rsidRPr="00EA3E22">
        <w:rPr>
          <w:rFonts w:cs="Arial"/>
          <w:sz w:val="20"/>
        </w:rPr>
        <w:t xml:space="preserve">See for example, </w:t>
      </w:r>
      <w:r w:rsidRPr="00EA3E22">
        <w:rPr>
          <w:rFonts w:cs="Arial"/>
          <w:i/>
          <w:sz w:val="20"/>
        </w:rPr>
        <w:t>R.G. c. Retraite Québec</w:t>
      </w:r>
      <w:r w:rsidRPr="00EA3E22">
        <w:rPr>
          <w:rFonts w:cs="Arial"/>
          <w:sz w:val="20"/>
        </w:rPr>
        <w:t>, 2019 CanLII 50668 (QC TAQ).</w:t>
      </w:r>
    </w:p>
  </w:footnote>
  <w:footnote w:id="46">
    <w:p w14:paraId="4343E779" w14:textId="77777777" w:rsidR="00B1795A" w:rsidRPr="00DC1C13" w:rsidRDefault="00B1795A" w:rsidP="00E57111">
      <w:pPr>
        <w:pStyle w:val="Notedebasdepage"/>
        <w:tabs>
          <w:tab w:val="left" w:pos="284"/>
        </w:tabs>
      </w:pPr>
      <w:r w:rsidRPr="000726D3">
        <w:rPr>
          <w:rStyle w:val="Appelnotedebasdep"/>
        </w:rPr>
        <w:footnoteRef/>
      </w:r>
      <w:r w:rsidRPr="00DC1C13">
        <w:t xml:space="preserve"> </w:t>
      </w:r>
      <w:r w:rsidRPr="00DC1C13">
        <w:tab/>
      </w:r>
      <w:r w:rsidRPr="00EA3E22">
        <w:rPr>
          <w:i/>
        </w:rPr>
        <w:t xml:space="preserve">Supra </w:t>
      </w:r>
      <w:r w:rsidRPr="00EA3E22">
        <w:t>note 40.</w:t>
      </w:r>
    </w:p>
  </w:footnote>
  <w:footnote w:id="47">
    <w:p w14:paraId="1F13E440" w14:textId="77777777" w:rsidR="00B1795A" w:rsidRPr="00DC1C13" w:rsidRDefault="00B1795A" w:rsidP="00E57111">
      <w:pPr>
        <w:pStyle w:val="Notedebasdepage"/>
        <w:tabs>
          <w:tab w:val="left" w:pos="284"/>
        </w:tabs>
      </w:pPr>
      <w:r>
        <w:rPr>
          <w:rStyle w:val="Appelnotedebasdep"/>
        </w:rPr>
        <w:footnoteRef/>
      </w:r>
      <w:r w:rsidRPr="00DC1C13">
        <w:t xml:space="preserve"> </w:t>
      </w:r>
      <w:r w:rsidRPr="00DC1C13">
        <w:tab/>
      </w:r>
      <w:r w:rsidRPr="00EA3E22">
        <w:t>2005 QCCA 250.</w:t>
      </w:r>
    </w:p>
  </w:footnote>
  <w:footnote w:id="48">
    <w:p w14:paraId="5928362D" w14:textId="77777777" w:rsidR="00B1795A" w:rsidRPr="00DC1C13" w:rsidRDefault="00B1795A" w:rsidP="00E57111">
      <w:pPr>
        <w:pStyle w:val="Notedebasdepage"/>
        <w:tabs>
          <w:tab w:val="left" w:pos="284"/>
        </w:tabs>
      </w:pPr>
      <w:r>
        <w:rPr>
          <w:rStyle w:val="Appelnotedebasdep"/>
        </w:rPr>
        <w:footnoteRef/>
      </w:r>
      <w:r w:rsidRPr="00DC1C13">
        <w:t xml:space="preserve"> </w:t>
      </w:r>
      <w:r w:rsidRPr="00DC1C13">
        <w:tab/>
      </w:r>
      <w:r w:rsidRPr="00EA3E22">
        <w:rPr>
          <w:i/>
        </w:rPr>
        <w:t>Ibid</w:t>
      </w:r>
      <w:r w:rsidRPr="00EA3E22">
        <w:t>. at para.</w:t>
      </w:r>
      <w:r w:rsidRPr="00DC1C13">
        <w:t xml:space="preserve"> 96.</w:t>
      </w:r>
    </w:p>
  </w:footnote>
  <w:footnote w:id="49">
    <w:p w14:paraId="76B34EC3" w14:textId="435DF1A8" w:rsidR="00B1795A" w:rsidRDefault="00B1795A" w:rsidP="00E57111">
      <w:pPr>
        <w:pStyle w:val="Notedebasdepage"/>
        <w:tabs>
          <w:tab w:val="left" w:pos="284"/>
        </w:tabs>
      </w:pPr>
      <w:r>
        <w:rPr>
          <w:rStyle w:val="Appelnotedebasdep"/>
        </w:rPr>
        <w:footnoteRef/>
      </w:r>
      <w:r w:rsidRPr="00DC2665">
        <w:t xml:space="preserve"> </w:t>
      </w:r>
      <w:r w:rsidRPr="00DC2665">
        <w:tab/>
      </w:r>
      <w:r>
        <w:t xml:space="preserve">Mtre Isabelle St-Jean, Mtre Jean-Yves Brière &amp; Mtre Jean-Pierre Villaggi, Collection de droit 2019-2020, vol. 8, </w:t>
      </w:r>
      <w:r w:rsidRPr="009071A8">
        <w:rPr>
          <w:i/>
        </w:rPr>
        <w:t>La justice administrative</w:t>
      </w:r>
      <w:r>
        <w:t xml:space="preserve"> (Yvon Blais).</w:t>
      </w:r>
    </w:p>
  </w:footnote>
  <w:footnote w:id="50">
    <w:p w14:paraId="57E176B0" w14:textId="2BD1BCC9"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lang w:val="en-CA"/>
        </w:rPr>
        <w:t>Para</w:t>
      </w:r>
      <w:r>
        <w:rPr>
          <w:lang w:val="en-CA"/>
        </w:rPr>
        <w:t>graph</w:t>
      </w:r>
      <w:r w:rsidRPr="00EA3E22">
        <w:rPr>
          <w:lang w:val="en-CA"/>
        </w:rPr>
        <w:t>s [23] to [26] of the contested decision.</w:t>
      </w:r>
    </w:p>
  </w:footnote>
  <w:footnote w:id="51">
    <w:p w14:paraId="7F9334D8" w14:textId="435CD5D9" w:rsidR="00B1795A" w:rsidRPr="007E30B6" w:rsidRDefault="00B1795A" w:rsidP="00E57111">
      <w:pPr>
        <w:tabs>
          <w:tab w:val="left" w:pos="284"/>
        </w:tabs>
        <w:autoSpaceDE w:val="0"/>
        <w:autoSpaceDN w:val="0"/>
        <w:adjustRightInd w:val="0"/>
        <w:jc w:val="both"/>
        <w:rPr>
          <w:rFonts w:cs="Arial"/>
        </w:rPr>
      </w:pPr>
      <w:r w:rsidRPr="007E30B6">
        <w:rPr>
          <w:rStyle w:val="Appelnotedebasdep"/>
        </w:rPr>
        <w:footnoteRef/>
      </w:r>
      <w:r w:rsidRPr="007E30B6">
        <w:t xml:space="preserve"> </w:t>
      </w:r>
      <w:r w:rsidRPr="007E30B6">
        <w:tab/>
      </w:r>
      <w:r w:rsidRPr="00DC1C13">
        <w:rPr>
          <w:rFonts w:cs="Arial"/>
          <w:iCs/>
          <w:sz w:val="20"/>
          <w:lang w:eastAsia="fr-CA"/>
        </w:rPr>
        <w:t>Journal des débats Commissions Parlementaires, Troisième session - Législateur, Commission permanente de la justice, Étude du projet de loi no. 39 - Loi sur les recours collectifs, June 1, 1978, No. 102</w:t>
      </w:r>
      <w:r>
        <w:rPr>
          <w:rFonts w:cs="Arial"/>
          <w:iCs/>
          <w:sz w:val="20"/>
          <w:lang w:eastAsia="fr-CA"/>
        </w:rPr>
        <w:t xml:space="preserve"> at</w:t>
      </w:r>
      <w:r w:rsidRPr="00DC1C13">
        <w:rPr>
          <w:rFonts w:cs="Arial"/>
          <w:iCs/>
          <w:sz w:val="20"/>
          <w:lang w:eastAsia="fr-CA"/>
        </w:rPr>
        <w:t xml:space="preserve"> B-3914</w:t>
      </w:r>
      <w:r>
        <w:rPr>
          <w:rFonts w:cs="Arial"/>
          <w:iCs/>
          <w:sz w:val="20"/>
          <w:lang w:eastAsia="fr-CA"/>
        </w:rPr>
        <w:t>–</w:t>
      </w:r>
      <w:r w:rsidRPr="00DC1C13">
        <w:rPr>
          <w:rFonts w:cs="Arial"/>
          <w:iCs/>
          <w:sz w:val="20"/>
          <w:lang w:eastAsia="fr-CA"/>
        </w:rPr>
        <w:t xml:space="preserve">B.3915; </w:t>
      </w:r>
      <w:r w:rsidRPr="00DC1C13">
        <w:rPr>
          <w:rFonts w:cs="Arial"/>
          <w:i/>
          <w:iCs/>
          <w:sz w:val="20"/>
          <w:lang w:eastAsia="fr-CA"/>
        </w:rPr>
        <w:t>George c. Fonds d'aide aux recours collectifs</w:t>
      </w:r>
      <w:r w:rsidRPr="00DC1C13">
        <w:rPr>
          <w:rFonts w:cs="Arial"/>
          <w:iCs/>
          <w:sz w:val="20"/>
          <w:lang w:eastAsia="fr-CA"/>
        </w:rPr>
        <w:t>, TAQ SAE-M-0715540-0111, May 3, 2002 at para.</w:t>
      </w:r>
      <w:r w:rsidRPr="007E30B6">
        <w:rPr>
          <w:rFonts w:cs="Arial"/>
          <w:sz w:val="20"/>
          <w:lang w:eastAsia="fr-CA"/>
        </w:rPr>
        <w:t xml:space="preserve"> </w:t>
      </w:r>
      <w:r w:rsidRPr="00EA3E22">
        <w:rPr>
          <w:rFonts w:cs="Arial"/>
          <w:sz w:val="20"/>
          <w:lang w:eastAsia="fr-CA"/>
        </w:rPr>
        <w:t xml:space="preserve">37; </w:t>
      </w:r>
      <w:r w:rsidRPr="00EA3E22">
        <w:rPr>
          <w:rFonts w:cs="Arial"/>
          <w:i/>
          <w:sz w:val="20"/>
          <w:lang w:eastAsia="fr-CA"/>
        </w:rPr>
        <w:t>Durand c. Fonds d'aide aux actions collectives</w:t>
      </w:r>
      <w:r w:rsidRPr="00EA3E22">
        <w:rPr>
          <w:rFonts w:cs="Arial"/>
          <w:sz w:val="20"/>
          <w:lang w:eastAsia="fr-CA"/>
        </w:rPr>
        <w:t>, 2016 QCTAQ 11559 at para.</w:t>
      </w:r>
      <w:r>
        <w:rPr>
          <w:rFonts w:cs="Arial"/>
          <w:sz w:val="20"/>
          <w:lang w:eastAsia="fr-CA"/>
        </w:rPr>
        <w:t xml:space="preserve"> </w:t>
      </w:r>
      <w:r w:rsidRPr="00DC1C13">
        <w:rPr>
          <w:rFonts w:cs="Arial"/>
          <w:sz w:val="20"/>
          <w:lang w:eastAsia="fr-CA"/>
        </w:rPr>
        <w:t xml:space="preserve">32; </w:t>
      </w:r>
      <w:r w:rsidRPr="00DC1C13">
        <w:rPr>
          <w:rFonts w:cs="Arial"/>
          <w:i/>
          <w:sz w:val="20"/>
          <w:lang w:eastAsia="fr-CA"/>
        </w:rPr>
        <w:t>Andrew G. George c. Fonds d’aide aux recours collectifs</w:t>
      </w:r>
      <w:r w:rsidRPr="00DC1C13">
        <w:rPr>
          <w:rFonts w:cs="Arial"/>
          <w:sz w:val="20"/>
          <w:lang w:eastAsia="fr-CA"/>
        </w:rPr>
        <w:t>, TAQ SAE-M-099732-0412, July 8, 2005</w:t>
      </w:r>
      <w:r>
        <w:rPr>
          <w:rFonts w:cs="Arial"/>
          <w:sz w:val="20"/>
          <w:lang w:eastAsia="fr-CA"/>
        </w:rPr>
        <w:t>,</w:t>
      </w:r>
      <w:r w:rsidRPr="00DC1C13">
        <w:rPr>
          <w:rFonts w:cs="Arial"/>
          <w:sz w:val="20"/>
          <w:lang w:eastAsia="fr-CA"/>
        </w:rPr>
        <w:t xml:space="preserve"> at para.</w:t>
      </w:r>
      <w:r w:rsidRPr="00C32564">
        <w:rPr>
          <w:rFonts w:cs="Arial"/>
          <w:sz w:val="20"/>
        </w:rPr>
        <w:t xml:space="preserve"> 13.</w:t>
      </w:r>
    </w:p>
  </w:footnote>
  <w:footnote w:id="52">
    <w:p w14:paraId="4D5F4CC9" w14:textId="57232609" w:rsidR="00B1795A" w:rsidRPr="00291599" w:rsidRDefault="00B1795A" w:rsidP="00E57111">
      <w:pPr>
        <w:pStyle w:val="Notedebasdepage"/>
        <w:tabs>
          <w:tab w:val="left" w:pos="284"/>
        </w:tabs>
        <w:jc w:val="both"/>
      </w:pPr>
      <w:r>
        <w:rPr>
          <w:rStyle w:val="Appelnotedebasdep"/>
        </w:rPr>
        <w:footnoteRef/>
      </w:r>
      <w:r>
        <w:t xml:space="preserve"> </w:t>
      </w:r>
      <w:r>
        <w:tab/>
      </w:r>
      <w:r w:rsidRPr="00EA3E22">
        <w:rPr>
          <w:i/>
          <w:spacing w:val="-5"/>
        </w:rPr>
        <w:t>Infineon Technologies AG</w:t>
      </w:r>
      <w:r w:rsidRPr="00EA3E22">
        <w:rPr>
          <w:spacing w:val="-5"/>
        </w:rPr>
        <w:t xml:space="preserve"> </w:t>
      </w:r>
      <w:r w:rsidRPr="00EA3E22">
        <w:rPr>
          <w:i/>
          <w:spacing w:val="-5"/>
        </w:rPr>
        <w:t>and Infineon Technologies North America Corp v. Option consommateurs,</w:t>
      </w:r>
      <w:r w:rsidRPr="00EA3E22">
        <w:rPr>
          <w:spacing w:val="-5"/>
        </w:rPr>
        <w:t xml:space="preserve"> 2013 SCC 59 (CanLII) at para</w:t>
      </w:r>
      <w:r>
        <w:rPr>
          <w:spacing w:val="-5"/>
        </w:rPr>
        <w:t>s</w:t>
      </w:r>
      <w:r w:rsidRPr="00EA3E22">
        <w:rPr>
          <w:spacing w:val="-5"/>
        </w:rPr>
        <w:t>.</w:t>
      </w:r>
      <w:r>
        <w:t xml:space="preserve"> 59 and 67.</w:t>
      </w:r>
    </w:p>
  </w:footnote>
  <w:footnote w:id="53">
    <w:p w14:paraId="5C11A0D8" w14:textId="77777777" w:rsidR="00B1795A" w:rsidRPr="00DC1C13" w:rsidRDefault="00B1795A" w:rsidP="00E57111">
      <w:pPr>
        <w:pStyle w:val="Notedebasdepage"/>
        <w:tabs>
          <w:tab w:val="left" w:pos="284"/>
        </w:tabs>
        <w:jc w:val="both"/>
        <w:rPr>
          <w:lang w:val="en-CA"/>
        </w:rPr>
      </w:pPr>
      <w:r>
        <w:rPr>
          <w:rStyle w:val="Appelnotedebasdep"/>
        </w:rPr>
        <w:footnoteRef/>
      </w:r>
      <w:r>
        <w:t xml:space="preserve"> </w:t>
      </w:r>
      <w:r>
        <w:tab/>
      </w:r>
      <w:r w:rsidRPr="00EA3E22">
        <w:rPr>
          <w:i/>
          <w:spacing w:val="-5"/>
        </w:rPr>
        <w:t>L’Oratoire Saint-Joseph du Mont-Royal v. J.J.</w:t>
      </w:r>
      <w:r w:rsidRPr="00EA3E22">
        <w:rPr>
          <w:spacing w:val="-5"/>
        </w:rPr>
        <w:t>, 2019 SCC 35 (CanLII) at paras.</w:t>
      </w:r>
      <w:r>
        <w:t xml:space="preserve"> </w:t>
      </w:r>
      <w:r w:rsidRPr="00EA3E22">
        <w:rPr>
          <w:lang w:val="en-CA"/>
        </w:rPr>
        <w:t>56 to 60.</w:t>
      </w:r>
    </w:p>
  </w:footnote>
  <w:footnote w:id="54">
    <w:p w14:paraId="2B5478E7" w14:textId="77777777"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lang w:val="en-CA"/>
        </w:rPr>
        <w:t>Paragraphs [58] to [60] of the contested decision.</w:t>
      </w:r>
    </w:p>
  </w:footnote>
  <w:footnote w:id="55">
    <w:p w14:paraId="62AF081D" w14:textId="77777777" w:rsidR="00B1795A" w:rsidRPr="00B20FC9" w:rsidRDefault="00B1795A" w:rsidP="00E57111">
      <w:pPr>
        <w:pStyle w:val="Notedebasdepage"/>
        <w:tabs>
          <w:tab w:val="left" w:pos="284"/>
        </w:tabs>
        <w:jc w:val="both"/>
      </w:pPr>
      <w:r w:rsidRPr="00B20FC9">
        <w:rPr>
          <w:rStyle w:val="Appelnotedebasdep"/>
        </w:rPr>
        <w:footnoteRef/>
      </w:r>
      <w:r w:rsidRPr="00DC1C13">
        <w:rPr>
          <w:lang w:val="en-CA"/>
        </w:rPr>
        <w:t xml:space="preserve"> </w:t>
      </w:r>
      <w:r w:rsidRPr="00DC1C13">
        <w:rPr>
          <w:lang w:val="en-CA"/>
        </w:rPr>
        <w:tab/>
      </w:r>
      <w:r w:rsidRPr="00EA3E22">
        <w:rPr>
          <w:i/>
          <w:spacing w:val="-5"/>
          <w:lang w:val="en-CA"/>
        </w:rPr>
        <w:t>George c. Québec (Procureur général)</w:t>
      </w:r>
      <w:r w:rsidRPr="00EA3E22">
        <w:rPr>
          <w:spacing w:val="-5"/>
          <w:lang w:val="en-CA"/>
        </w:rPr>
        <w:t>, 2006 QCCA 1204 at para.</w:t>
      </w:r>
      <w:r w:rsidRPr="00DC1C13">
        <w:rPr>
          <w:spacing w:val="-5"/>
          <w:lang w:val="en-CA"/>
        </w:rPr>
        <w:t xml:space="preserve"> </w:t>
      </w:r>
      <w:r w:rsidRPr="00B20FC9">
        <w:rPr>
          <w:spacing w:val="-5"/>
        </w:rPr>
        <w:t>40</w:t>
      </w:r>
      <w:r w:rsidRPr="00B20FC9">
        <w:t>.</w:t>
      </w:r>
    </w:p>
  </w:footnote>
  <w:footnote w:id="56">
    <w:p w14:paraId="6FD72456" w14:textId="77777777" w:rsidR="00B1795A" w:rsidRPr="00B20FC9" w:rsidRDefault="00B1795A" w:rsidP="00E57111">
      <w:pPr>
        <w:pStyle w:val="Notedebasdepage"/>
        <w:tabs>
          <w:tab w:val="left" w:pos="284"/>
        </w:tabs>
        <w:jc w:val="both"/>
        <w:rPr>
          <w:u w:val="single"/>
        </w:rPr>
      </w:pPr>
      <w:r w:rsidRPr="00094BB0">
        <w:rPr>
          <w:rStyle w:val="Appelnotedebasdep"/>
        </w:rPr>
        <w:footnoteRef/>
      </w:r>
      <w:r w:rsidRPr="00094BB0">
        <w:t xml:space="preserve"> </w:t>
      </w:r>
      <w:r w:rsidRPr="00094BB0">
        <w:tab/>
      </w:r>
      <w:r w:rsidRPr="00EA3E22">
        <w:rPr>
          <w:i/>
          <w:spacing w:val="-5"/>
        </w:rPr>
        <w:t>L’Oratoire Saint-Joseph du Mont-Royal v. J.J.</w:t>
      </w:r>
      <w:r w:rsidRPr="00EA3E22">
        <w:rPr>
          <w:spacing w:val="-5"/>
        </w:rPr>
        <w:t xml:space="preserve">, </w:t>
      </w:r>
      <w:r w:rsidRPr="00EA3E22">
        <w:rPr>
          <w:i/>
          <w:spacing w:val="-5"/>
        </w:rPr>
        <w:t xml:space="preserve">supra </w:t>
      </w:r>
      <w:r w:rsidRPr="00EA3E22">
        <w:rPr>
          <w:spacing w:val="-5"/>
        </w:rPr>
        <w:t>note 52 at para.</w:t>
      </w:r>
      <w:r>
        <w:t xml:space="preserve"> 32.</w:t>
      </w:r>
    </w:p>
  </w:footnote>
  <w:footnote w:id="57">
    <w:p w14:paraId="2B99F559" w14:textId="77777777" w:rsidR="00B1795A" w:rsidRPr="001E056A" w:rsidRDefault="00B1795A" w:rsidP="00E57111">
      <w:pPr>
        <w:pStyle w:val="Notedebasdepage"/>
        <w:tabs>
          <w:tab w:val="left" w:pos="284"/>
        </w:tabs>
        <w:jc w:val="both"/>
      </w:pPr>
      <w:r w:rsidRPr="001E056A">
        <w:rPr>
          <w:rStyle w:val="Appelnotedebasdep"/>
        </w:rPr>
        <w:footnoteRef/>
      </w:r>
      <w:r w:rsidRPr="001E056A">
        <w:t xml:space="preserve"> </w:t>
      </w:r>
      <w:r w:rsidRPr="001E056A">
        <w:tab/>
      </w:r>
      <w:r w:rsidRPr="00EA3E22">
        <w:rPr>
          <w:i/>
          <w:spacing w:val="-5"/>
        </w:rPr>
        <w:t>Infineon Technologies AG and Infineon Technologies North America Corp v. Option consommateurs</w:t>
      </w:r>
      <w:r w:rsidRPr="00EA3E22">
        <w:rPr>
          <w:spacing w:val="-5"/>
        </w:rPr>
        <w:t xml:space="preserve">, </w:t>
      </w:r>
      <w:r w:rsidRPr="00EA3E22">
        <w:rPr>
          <w:i/>
          <w:spacing w:val="-5"/>
        </w:rPr>
        <w:t xml:space="preserve">supra </w:t>
      </w:r>
      <w:r w:rsidRPr="00EA3E22">
        <w:rPr>
          <w:spacing w:val="-5"/>
        </w:rPr>
        <w:t>note 51 at para.</w:t>
      </w:r>
      <w:r w:rsidRPr="001E056A">
        <w:t xml:space="preserve"> 149.</w:t>
      </w:r>
    </w:p>
  </w:footnote>
  <w:footnote w:id="58">
    <w:p w14:paraId="4C6625C8" w14:textId="77777777" w:rsidR="00B1795A" w:rsidRPr="00195307" w:rsidRDefault="00B1795A" w:rsidP="00E57111">
      <w:pPr>
        <w:pStyle w:val="Notedebasdepage"/>
        <w:tabs>
          <w:tab w:val="left" w:pos="284"/>
        </w:tabs>
        <w:rPr>
          <w:u w:val="single"/>
          <w:lang w:val="en-CA"/>
        </w:rPr>
      </w:pPr>
      <w:r w:rsidRPr="00CD165C">
        <w:rPr>
          <w:rStyle w:val="Appelnotedebasdep"/>
        </w:rPr>
        <w:footnoteRef/>
      </w:r>
      <w:r w:rsidRPr="00CD165C">
        <w:t xml:space="preserve"> </w:t>
      </w:r>
      <w:r w:rsidRPr="00CD165C">
        <w:tab/>
      </w:r>
      <w:r w:rsidRPr="00DC1C13">
        <w:rPr>
          <w:i/>
        </w:rPr>
        <w:t>Andrew G. George c. Fonds d’aide aux recours collectifs</w:t>
      </w:r>
      <w:r w:rsidRPr="00DC1C13">
        <w:t xml:space="preserve">, July 8, 2005, </w:t>
      </w:r>
      <w:r w:rsidRPr="00DC1C13">
        <w:rPr>
          <w:i/>
        </w:rPr>
        <w:t xml:space="preserve">supra </w:t>
      </w:r>
      <w:r w:rsidRPr="00DC1C13">
        <w:t>note 50 at para.</w:t>
      </w:r>
      <w:r>
        <w:t xml:space="preserve"> </w:t>
      </w:r>
      <w:r w:rsidRPr="00195307">
        <w:rPr>
          <w:lang w:val="en-CA"/>
        </w:rPr>
        <w:t>15.</w:t>
      </w:r>
    </w:p>
  </w:footnote>
  <w:footnote w:id="59">
    <w:p w14:paraId="05C44A51" w14:textId="77777777"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t>See paragraphs 7 to 9 of the originating application amended on October 30, 2020.</w:t>
      </w:r>
    </w:p>
  </w:footnote>
  <w:footnote w:id="60">
    <w:p w14:paraId="5663C50A" w14:textId="77777777"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lang w:val="en-CA"/>
        </w:rPr>
        <w:t>P-3A.</w:t>
      </w:r>
    </w:p>
  </w:footnote>
  <w:footnote w:id="61">
    <w:p w14:paraId="4C8AF2A3" w14:textId="77777777"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t>Applicants’ notes and authorities dated May 5, 2021.</w:t>
      </w:r>
    </w:p>
  </w:footnote>
  <w:footnote w:id="62">
    <w:p w14:paraId="098B4789" w14:textId="20BABD18"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i/>
          <w:lang w:val="en-CA"/>
        </w:rPr>
        <w:t>Supra</w:t>
      </w:r>
      <w:r w:rsidRPr="00EA3E22">
        <w:rPr>
          <w:lang w:val="en-CA"/>
        </w:rPr>
        <w:t xml:space="preserve"> note 6 at para</w:t>
      </w:r>
      <w:r>
        <w:rPr>
          <w:lang w:val="en-CA"/>
        </w:rPr>
        <w:t>s</w:t>
      </w:r>
      <w:r w:rsidRPr="00EA3E22">
        <w:rPr>
          <w:lang w:val="en-CA"/>
        </w:rPr>
        <w:t>.</w:t>
      </w:r>
      <w:r>
        <w:rPr>
          <w:lang w:val="en-CA"/>
        </w:rPr>
        <w:t xml:space="preserve"> 17–</w:t>
      </w:r>
      <w:r w:rsidRPr="00DC1C13">
        <w:rPr>
          <w:lang w:val="en-CA"/>
        </w:rPr>
        <w:t>23.</w:t>
      </w:r>
    </w:p>
  </w:footnote>
  <w:footnote w:id="63">
    <w:p w14:paraId="3F4410F6" w14:textId="27C29A5A"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t xml:space="preserve">See paragraphs 35, 39, 42–43, 45, </w:t>
      </w:r>
      <w:r>
        <w:rPr>
          <w:lang w:val="en-CA"/>
        </w:rPr>
        <w:t xml:space="preserve">and </w:t>
      </w:r>
      <w:r w:rsidRPr="00DC1C13">
        <w:rPr>
          <w:lang w:val="en-CA"/>
        </w:rPr>
        <w:t>48–51 of the contested decision and also the email dated June 10, 2021, from Mtre Lory Beauregard.</w:t>
      </w:r>
    </w:p>
  </w:footnote>
  <w:footnote w:id="64">
    <w:p w14:paraId="314B7E11" w14:textId="70795344"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lang w:val="en-CA"/>
        </w:rPr>
        <w:t>See paragraphs 33–34. 39, 42–44</w:t>
      </w:r>
      <w:r>
        <w:rPr>
          <w:lang w:val="en-CA"/>
        </w:rPr>
        <w:t>,</w:t>
      </w:r>
      <w:r w:rsidRPr="00EA3E22">
        <w:rPr>
          <w:lang w:val="en-CA"/>
        </w:rPr>
        <w:t xml:space="preserve"> 49–52, </w:t>
      </w:r>
      <w:r>
        <w:rPr>
          <w:lang w:val="en-CA"/>
        </w:rPr>
        <w:t xml:space="preserve">and </w:t>
      </w:r>
      <w:r w:rsidRPr="00EA3E22">
        <w:rPr>
          <w:lang w:val="en-CA"/>
        </w:rPr>
        <w:t xml:space="preserve">54–56 of the contested decision. </w:t>
      </w:r>
    </w:p>
  </w:footnote>
  <w:footnote w:id="65">
    <w:p w14:paraId="38301DB4" w14:textId="7CCF4349"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lang w:val="en-CA"/>
        </w:rPr>
        <w:t>See paragraph 53 of the contested decision.</w:t>
      </w:r>
    </w:p>
  </w:footnote>
  <w:footnote w:id="66">
    <w:p w14:paraId="28F05FD4" w14:textId="77777777" w:rsidR="00B1795A" w:rsidRPr="00DC1C13" w:rsidRDefault="00B1795A" w:rsidP="00E57111">
      <w:pPr>
        <w:pStyle w:val="Notedebasdepage"/>
        <w:tabs>
          <w:tab w:val="left" w:pos="284"/>
        </w:tabs>
        <w:rPr>
          <w:lang w:val="en-CA"/>
        </w:rPr>
      </w:pPr>
      <w:r>
        <w:rPr>
          <w:rStyle w:val="Appelnotedebasdep"/>
        </w:rPr>
        <w:footnoteRef/>
      </w:r>
      <w:r w:rsidRPr="00195307">
        <w:rPr>
          <w:lang w:val="en-CA"/>
        </w:rPr>
        <w:t xml:space="preserve"> </w:t>
      </w:r>
      <w:r w:rsidRPr="00195307">
        <w:rPr>
          <w:lang w:val="en-CA"/>
        </w:rPr>
        <w:tab/>
      </w:r>
      <w:r w:rsidRPr="00195307">
        <w:rPr>
          <w:rFonts w:cs="Arial"/>
          <w:i/>
          <w:iCs/>
          <w:sz w:val="19"/>
          <w:szCs w:val="19"/>
          <w:lang w:val="en-CA" w:eastAsia="fr-CA"/>
        </w:rPr>
        <w:t xml:space="preserve">EI-Hachem c. Décary, </w:t>
      </w:r>
      <w:r w:rsidRPr="00195307">
        <w:rPr>
          <w:rFonts w:cs="Arial"/>
          <w:iCs/>
          <w:sz w:val="19"/>
          <w:szCs w:val="19"/>
          <w:lang w:val="en-CA" w:eastAsia="fr-CA"/>
        </w:rPr>
        <w:t>2012 QCCA 2071 at paras.</w:t>
      </w:r>
      <w:r w:rsidRPr="00195307">
        <w:rPr>
          <w:rFonts w:cs="Arial"/>
          <w:sz w:val="19"/>
          <w:szCs w:val="19"/>
          <w:lang w:val="en-CA" w:eastAsia="fr-CA"/>
        </w:rPr>
        <w:t xml:space="preserve"> </w:t>
      </w:r>
      <w:r w:rsidRPr="00EA3E22">
        <w:rPr>
          <w:rFonts w:cs="Arial"/>
          <w:sz w:val="19"/>
          <w:szCs w:val="19"/>
          <w:lang w:val="en-CA" w:eastAsia="fr-CA"/>
        </w:rPr>
        <w:t>10 to 12.</w:t>
      </w:r>
    </w:p>
  </w:footnote>
  <w:footnote w:id="67">
    <w:p w14:paraId="28990EE6" w14:textId="44F13195"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i/>
          <w:lang w:val="en-CA"/>
        </w:rPr>
        <w:t>Supra</w:t>
      </w:r>
      <w:r w:rsidRPr="00EA3E22">
        <w:rPr>
          <w:lang w:val="en-CA"/>
        </w:rPr>
        <w:t xml:space="preserve"> note 6 at para</w:t>
      </w:r>
      <w:r>
        <w:rPr>
          <w:lang w:val="en-CA"/>
        </w:rPr>
        <w:t>s</w:t>
      </w:r>
      <w:r w:rsidRPr="00EA3E22">
        <w:rPr>
          <w:lang w:val="en-CA"/>
        </w:rPr>
        <w:t>.</w:t>
      </w:r>
      <w:r w:rsidRPr="00DC1C13">
        <w:rPr>
          <w:lang w:val="en-CA"/>
        </w:rPr>
        <w:t xml:space="preserve"> </w:t>
      </w:r>
      <w:r w:rsidRPr="00EA3E22">
        <w:rPr>
          <w:lang w:val="en-CA"/>
        </w:rPr>
        <w:t>15 and 16.</w:t>
      </w:r>
    </w:p>
  </w:footnote>
  <w:footnote w:id="68">
    <w:p w14:paraId="12DD60F4" w14:textId="448426C2"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lang w:val="en-CA"/>
        </w:rPr>
        <w:t>Para</w:t>
      </w:r>
      <w:r>
        <w:rPr>
          <w:lang w:val="en-CA"/>
        </w:rPr>
        <w:t>graph</w:t>
      </w:r>
      <w:r w:rsidRPr="00EA3E22">
        <w:rPr>
          <w:lang w:val="en-CA"/>
        </w:rPr>
        <w:t>s</w:t>
      </w:r>
      <w:r w:rsidRPr="00DC1C13">
        <w:rPr>
          <w:lang w:val="en-CA"/>
        </w:rPr>
        <w:t xml:space="preserve"> </w:t>
      </w:r>
      <w:r w:rsidRPr="00EA3E22">
        <w:rPr>
          <w:lang w:val="en-CA"/>
        </w:rPr>
        <w:t>44 and 52 of the contested decision.</w:t>
      </w:r>
    </w:p>
  </w:footnote>
  <w:footnote w:id="69">
    <w:p w14:paraId="51DD2A7C" w14:textId="77777777"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t>P-3A, P-3B, P-3C, P-3D, P-3F, and P-3G.</w:t>
      </w:r>
    </w:p>
  </w:footnote>
  <w:footnote w:id="70">
    <w:p w14:paraId="2CB3B994" w14:textId="1E55A004"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i/>
          <w:lang w:val="en-CA"/>
        </w:rPr>
        <w:t>Supra</w:t>
      </w:r>
      <w:r w:rsidRPr="00EA3E22">
        <w:rPr>
          <w:lang w:val="en-CA"/>
        </w:rPr>
        <w:t xml:space="preserve"> note 6 at para.</w:t>
      </w:r>
      <w:r w:rsidRPr="00DC1C13">
        <w:rPr>
          <w:lang w:val="en-CA"/>
        </w:rPr>
        <w:t xml:space="preserve"> 32 to 37</w:t>
      </w:r>
    </w:p>
  </w:footnote>
  <w:footnote w:id="71">
    <w:p w14:paraId="05E33724" w14:textId="77777777" w:rsidR="00B1795A" w:rsidRPr="00DC1C13" w:rsidRDefault="00B1795A" w:rsidP="00E57111">
      <w:pPr>
        <w:pStyle w:val="Notedebasdepage"/>
        <w:tabs>
          <w:tab w:val="left" w:pos="284"/>
        </w:tabs>
        <w:rPr>
          <w:lang w:val="en-CA"/>
        </w:rPr>
      </w:pPr>
      <w:r>
        <w:rPr>
          <w:rStyle w:val="Appelnotedebasdep"/>
        </w:rPr>
        <w:footnoteRef/>
      </w:r>
      <w:r>
        <w:t xml:space="preserve"> </w:t>
      </w:r>
      <w:r>
        <w:tab/>
      </w:r>
      <w:r w:rsidRPr="00EA3E22">
        <w:rPr>
          <w:i/>
        </w:rPr>
        <w:t>Atchom Makoma c. Procureure général du Québec,</w:t>
      </w:r>
      <w:r w:rsidRPr="00EA3E22">
        <w:t xml:space="preserve"> 2019 QCCS 3583 at para. </w:t>
      </w:r>
      <w:r w:rsidRPr="00EA3E22">
        <w:rPr>
          <w:lang w:val="en-CA"/>
        </w:rPr>
        <w:t>24.</w:t>
      </w:r>
    </w:p>
  </w:footnote>
  <w:footnote w:id="72">
    <w:p w14:paraId="78C7016B" w14:textId="6A1F52A8" w:rsidR="00B1795A" w:rsidRPr="005373DC" w:rsidRDefault="00B1795A" w:rsidP="00E57111">
      <w:pPr>
        <w:pStyle w:val="Notedebasdepage"/>
        <w:tabs>
          <w:tab w:val="left" w:pos="284"/>
        </w:tabs>
        <w:jc w:val="both"/>
        <w:rPr>
          <w:lang w:val="en-CA"/>
        </w:rPr>
      </w:pPr>
      <w:r>
        <w:rPr>
          <w:rStyle w:val="Appelnotedebasdep"/>
        </w:rPr>
        <w:footnoteRef/>
      </w:r>
      <w:r w:rsidRPr="00DC1C13">
        <w:rPr>
          <w:lang w:val="en-CA"/>
        </w:rPr>
        <w:t xml:space="preserve"> </w:t>
      </w:r>
      <w:r w:rsidRPr="00DC1C13">
        <w:rPr>
          <w:lang w:val="en-CA"/>
        </w:rPr>
        <w:tab/>
      </w:r>
      <w:r w:rsidRPr="00EA3E22">
        <w:rPr>
          <w:lang w:val="en-CA"/>
        </w:rPr>
        <w:t>S</w:t>
      </w:r>
      <w:r>
        <w:rPr>
          <w:lang w:val="en-CA"/>
        </w:rPr>
        <w:t>ection</w:t>
      </w:r>
      <w:r w:rsidRPr="00EA3E22">
        <w:rPr>
          <w:lang w:val="en-CA"/>
        </w:rPr>
        <w:t xml:space="preserve"> 53 of the Consumer P</w:t>
      </w:r>
      <w:r>
        <w:rPr>
          <w:lang w:val="en-CA"/>
        </w:rPr>
        <w:t>r</w:t>
      </w:r>
      <w:r w:rsidRPr="00EA3E22">
        <w:rPr>
          <w:lang w:val="en-CA"/>
        </w:rPr>
        <w:t>otection Act</w:t>
      </w:r>
      <w:r>
        <w:rPr>
          <w:lang w:val="en-CA"/>
        </w:rPr>
        <w:t>,</w:t>
      </w:r>
      <w:r w:rsidRPr="00EA3E22">
        <w:rPr>
          <w:lang w:val="en-CA"/>
        </w:rPr>
        <w:t xml:space="preserve"> CQLR, c. P-40.1</w:t>
      </w:r>
      <w:r>
        <w:rPr>
          <w:lang w:val="en-CA"/>
        </w:rPr>
        <w:t xml:space="preserve"> (</w:t>
      </w:r>
      <w:r w:rsidRPr="00195307">
        <w:rPr>
          <w:i/>
          <w:lang w:val="en-CA"/>
        </w:rPr>
        <w:t>CPA</w:t>
      </w:r>
      <w:r w:rsidRPr="00EA3E22">
        <w:rPr>
          <w:lang w:val="en-CA"/>
        </w:rPr>
        <w:t>).</w:t>
      </w:r>
      <w:r w:rsidRPr="00DC1C13">
        <w:rPr>
          <w:lang w:val="en-CA"/>
        </w:rPr>
        <w:t xml:space="preserve"> See </w:t>
      </w:r>
      <w:r w:rsidRPr="00DC1C13">
        <w:rPr>
          <w:i/>
          <w:lang w:val="en-CA"/>
        </w:rPr>
        <w:t>Horecki c. Beaver Lumber Co</w:t>
      </w:r>
      <w:r w:rsidRPr="00DC1C13">
        <w:rPr>
          <w:lang w:val="en-CA"/>
        </w:rPr>
        <w:t>., [1992] RJQ 1763 at 1768–1769.</w:t>
      </w:r>
    </w:p>
  </w:footnote>
  <w:footnote w:id="73">
    <w:p w14:paraId="058E5F8F" w14:textId="53B10A9C" w:rsidR="00B1795A" w:rsidRPr="005373DC" w:rsidRDefault="00B1795A" w:rsidP="00E57111">
      <w:pPr>
        <w:pStyle w:val="Notedebasdepage"/>
        <w:tabs>
          <w:tab w:val="left" w:pos="284"/>
        </w:tabs>
        <w:rPr>
          <w:lang w:val="en-CA"/>
        </w:rPr>
      </w:pPr>
      <w:r w:rsidRPr="002152EB">
        <w:rPr>
          <w:rStyle w:val="Appelnotedebasdep"/>
        </w:rPr>
        <w:footnoteRef/>
      </w:r>
      <w:r>
        <w:rPr>
          <w:lang w:val="en-CA"/>
        </w:rPr>
        <w:t xml:space="preserve"> </w:t>
      </w:r>
      <w:r>
        <w:rPr>
          <w:lang w:val="en-CA"/>
        </w:rPr>
        <w:tab/>
      </w:r>
      <w:r w:rsidRPr="00EA3E22">
        <w:rPr>
          <w:lang w:val="en-CA"/>
        </w:rPr>
        <w:t>S</w:t>
      </w:r>
      <w:r>
        <w:rPr>
          <w:lang w:val="en-CA"/>
        </w:rPr>
        <w:t>ection</w:t>
      </w:r>
      <w:r w:rsidRPr="00EA3E22">
        <w:rPr>
          <w:lang w:val="en-CA"/>
        </w:rPr>
        <w:t xml:space="preserve"> 53 </w:t>
      </w:r>
      <w:r w:rsidRPr="00195307">
        <w:rPr>
          <w:i/>
          <w:lang w:val="en-CA"/>
        </w:rPr>
        <w:t>CPA</w:t>
      </w:r>
      <w:r w:rsidRPr="00EA3E22">
        <w:rPr>
          <w:lang w:val="en-CA"/>
        </w:rPr>
        <w:t>.</w:t>
      </w:r>
      <w:r>
        <w:rPr>
          <w:lang w:val="en-CA"/>
        </w:rPr>
        <w:t xml:space="preserve"> </w:t>
      </w:r>
      <w:r w:rsidRPr="00DC1C13">
        <w:rPr>
          <w:lang w:val="en-CA"/>
        </w:rPr>
        <w:t xml:space="preserve">See </w:t>
      </w:r>
      <w:r w:rsidRPr="00DC1C13">
        <w:rPr>
          <w:i/>
          <w:lang w:val="en-CA"/>
        </w:rPr>
        <w:t>Hollis v. Dow Corning Corp.</w:t>
      </w:r>
      <w:r w:rsidRPr="00DC1C13">
        <w:rPr>
          <w:lang w:val="en-CA"/>
        </w:rPr>
        <w:t>, [1995] 4 SCC 634.</w:t>
      </w:r>
    </w:p>
  </w:footnote>
  <w:footnote w:id="74">
    <w:p w14:paraId="41F4A3D3" w14:textId="2858B813"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lang w:val="en-CA"/>
        </w:rPr>
        <w:t>S</w:t>
      </w:r>
      <w:r>
        <w:rPr>
          <w:lang w:val="en-CA"/>
        </w:rPr>
        <w:t>ection</w:t>
      </w:r>
      <w:r w:rsidRPr="00EA3E22">
        <w:rPr>
          <w:lang w:val="en-CA"/>
        </w:rPr>
        <w:t xml:space="preserve"> 272 </w:t>
      </w:r>
      <w:r w:rsidRPr="00396963">
        <w:rPr>
          <w:i/>
          <w:lang w:val="en-CA"/>
        </w:rPr>
        <w:t>CPA</w:t>
      </w:r>
    </w:p>
  </w:footnote>
  <w:footnote w:id="75">
    <w:p w14:paraId="613DBC4D" w14:textId="1BE87F44"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t>S</w:t>
      </w:r>
      <w:r>
        <w:rPr>
          <w:lang w:val="en-CA"/>
        </w:rPr>
        <w:t>ections</w:t>
      </w:r>
      <w:r w:rsidRPr="00DC1C13">
        <w:rPr>
          <w:lang w:val="en-CA"/>
        </w:rPr>
        <w:t xml:space="preserve"> 219 to 221 and 23</w:t>
      </w:r>
      <w:r>
        <w:rPr>
          <w:lang w:val="en-CA"/>
        </w:rPr>
        <w:t>8</w:t>
      </w:r>
      <w:r w:rsidRPr="00DC1C13">
        <w:rPr>
          <w:lang w:val="en-CA"/>
        </w:rPr>
        <w:t xml:space="preserve"> </w:t>
      </w:r>
      <w:r w:rsidRPr="00396963">
        <w:rPr>
          <w:i/>
          <w:lang w:val="en-CA"/>
        </w:rPr>
        <w:t>CPA</w:t>
      </w:r>
      <w:r w:rsidRPr="00DC1C13">
        <w:rPr>
          <w:lang w:val="en-CA"/>
        </w:rPr>
        <w:t>.</w:t>
      </w:r>
    </w:p>
  </w:footnote>
  <w:footnote w:id="76">
    <w:p w14:paraId="186DD055" w14:textId="77777777"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i/>
          <w:lang w:val="en-CA"/>
        </w:rPr>
        <w:t xml:space="preserve">Supra </w:t>
      </w:r>
      <w:r w:rsidRPr="00EA3E22">
        <w:rPr>
          <w:lang w:val="en-CA"/>
        </w:rPr>
        <w:t>note 72.</w:t>
      </w:r>
      <w:r w:rsidRPr="00DC1C13">
        <w:rPr>
          <w:lang w:val="en-CA"/>
        </w:rPr>
        <w:t xml:space="preserve"> </w:t>
      </w:r>
    </w:p>
  </w:footnote>
  <w:footnote w:id="77">
    <w:p w14:paraId="47DE181B" w14:textId="77777777" w:rsidR="00B1795A" w:rsidRPr="00DC1C13" w:rsidRDefault="00B1795A" w:rsidP="00E57111">
      <w:pPr>
        <w:pStyle w:val="Notedebasdepage"/>
        <w:tabs>
          <w:tab w:val="left" w:pos="284"/>
          <w:tab w:val="left" w:pos="360"/>
        </w:tabs>
        <w:rPr>
          <w:lang w:val="en-CA"/>
        </w:rPr>
      </w:pPr>
      <w:r>
        <w:rPr>
          <w:rStyle w:val="Appelnotedebasdep"/>
        </w:rPr>
        <w:footnoteRef/>
      </w:r>
      <w:r w:rsidRPr="00DC1C13">
        <w:rPr>
          <w:lang w:val="en-CA"/>
        </w:rPr>
        <w:t xml:space="preserve"> </w:t>
      </w:r>
      <w:r w:rsidRPr="00DC1C13">
        <w:rPr>
          <w:lang w:val="en-CA"/>
        </w:rPr>
        <w:tab/>
      </w:r>
      <w:r w:rsidRPr="00EA3E22">
        <w:rPr>
          <w:lang w:val="en-CA"/>
        </w:rPr>
        <w:t>See paragraphs 17 and 61–66 of the contested decision.</w:t>
      </w:r>
    </w:p>
  </w:footnote>
  <w:footnote w:id="78">
    <w:p w14:paraId="2E4FABBC" w14:textId="60F671B6" w:rsidR="00B1795A" w:rsidRPr="00195307" w:rsidRDefault="00B1795A" w:rsidP="00E57111">
      <w:pPr>
        <w:tabs>
          <w:tab w:val="left" w:pos="284"/>
        </w:tabs>
        <w:autoSpaceDE w:val="0"/>
        <w:autoSpaceDN w:val="0"/>
        <w:adjustRightInd w:val="0"/>
        <w:jc w:val="both"/>
        <w:rPr>
          <w:sz w:val="20"/>
          <w:lang w:val="en-CA"/>
        </w:rPr>
      </w:pPr>
      <w:r>
        <w:rPr>
          <w:rStyle w:val="Appelnotedebasdep"/>
        </w:rPr>
        <w:footnoteRef/>
      </w:r>
      <w:r>
        <w:t xml:space="preserve"> </w:t>
      </w:r>
      <w:r>
        <w:tab/>
      </w:r>
      <w:r w:rsidRPr="00DC1C13">
        <w:rPr>
          <w:rFonts w:cs="Arial"/>
          <w:i/>
          <w:iCs/>
          <w:sz w:val="20"/>
          <w:lang w:eastAsia="fr-CA"/>
        </w:rPr>
        <w:t xml:space="preserve">Pollués de Montréal-Trudeau (LPDMT) c. Aéroports de Montréal (ADM), </w:t>
      </w:r>
      <w:r w:rsidRPr="00DC1C13">
        <w:rPr>
          <w:rFonts w:cs="Arial"/>
          <w:iCs/>
          <w:sz w:val="20"/>
          <w:lang w:eastAsia="fr-CA"/>
        </w:rPr>
        <w:t>2021 QCCS 367 at para</w:t>
      </w:r>
      <w:r>
        <w:rPr>
          <w:rFonts w:cs="Arial"/>
          <w:iCs/>
          <w:sz w:val="20"/>
          <w:lang w:eastAsia="fr-CA"/>
        </w:rPr>
        <w:t>s</w:t>
      </w:r>
      <w:r w:rsidRPr="00DC1C13">
        <w:rPr>
          <w:rFonts w:cs="Arial"/>
          <w:iCs/>
          <w:sz w:val="20"/>
          <w:lang w:eastAsia="fr-CA"/>
        </w:rPr>
        <w:t>.</w:t>
      </w:r>
      <w:r w:rsidRPr="00F20658">
        <w:rPr>
          <w:rFonts w:cs="Arial"/>
          <w:sz w:val="20"/>
          <w:lang w:eastAsia="fr-CA"/>
        </w:rPr>
        <w:t xml:space="preserve"> </w:t>
      </w:r>
      <w:r w:rsidRPr="00195307">
        <w:rPr>
          <w:rFonts w:cs="Arial"/>
          <w:sz w:val="20"/>
          <w:lang w:val="en-CA" w:eastAsia="fr-CA"/>
        </w:rPr>
        <w:t>145–147.</w:t>
      </w:r>
    </w:p>
  </w:footnote>
  <w:footnote w:id="79">
    <w:p w14:paraId="417C22AA" w14:textId="5C578208" w:rsidR="00B1795A" w:rsidRPr="00195307" w:rsidRDefault="00B1795A" w:rsidP="00E57111">
      <w:pPr>
        <w:pStyle w:val="Notedebasdepage"/>
        <w:tabs>
          <w:tab w:val="left" w:pos="284"/>
        </w:tabs>
        <w:rPr>
          <w:lang w:val="en-CA"/>
        </w:rPr>
      </w:pPr>
      <w:r>
        <w:rPr>
          <w:rStyle w:val="Appelnotedebasdep"/>
        </w:rPr>
        <w:footnoteRef/>
      </w:r>
      <w:r w:rsidRPr="00195307">
        <w:rPr>
          <w:lang w:val="en-CA"/>
        </w:rPr>
        <w:t xml:space="preserve"> </w:t>
      </w:r>
      <w:r w:rsidRPr="00195307">
        <w:rPr>
          <w:lang w:val="en-CA"/>
        </w:rPr>
        <w:tab/>
      </w:r>
      <w:r w:rsidRPr="00195307">
        <w:rPr>
          <w:i/>
          <w:lang w:val="en-CA"/>
        </w:rPr>
        <w:t>Supra</w:t>
      </w:r>
      <w:r w:rsidRPr="00195307">
        <w:rPr>
          <w:lang w:val="en-CA"/>
        </w:rPr>
        <w:t xml:space="preserve"> note 6 at para. 1.</w:t>
      </w:r>
    </w:p>
  </w:footnote>
  <w:footnote w:id="80">
    <w:p w14:paraId="524AA5A7" w14:textId="77777777" w:rsidR="00B1795A" w:rsidRPr="00195307" w:rsidRDefault="00B1795A" w:rsidP="00E57111">
      <w:pPr>
        <w:pStyle w:val="Notedebasdepage"/>
        <w:tabs>
          <w:tab w:val="left" w:pos="284"/>
        </w:tabs>
        <w:rPr>
          <w:lang w:val="en-CA"/>
        </w:rPr>
      </w:pPr>
      <w:r>
        <w:rPr>
          <w:rStyle w:val="Appelnotedebasdep"/>
        </w:rPr>
        <w:footnoteRef/>
      </w:r>
      <w:r w:rsidRPr="00195307">
        <w:rPr>
          <w:lang w:val="en-CA"/>
        </w:rPr>
        <w:t xml:space="preserve"> </w:t>
      </w:r>
      <w:r w:rsidRPr="00195307">
        <w:rPr>
          <w:lang w:val="en-CA"/>
        </w:rPr>
        <w:tab/>
      </w:r>
      <w:r w:rsidRPr="00195307">
        <w:rPr>
          <w:i/>
          <w:lang w:val="en-CA"/>
        </w:rPr>
        <w:t>Badaoui c. Apple Canada inc.</w:t>
      </w:r>
      <w:r w:rsidRPr="00195307">
        <w:rPr>
          <w:lang w:val="en-CA"/>
        </w:rPr>
        <w:t>, 2019 QCCS 2930.</w:t>
      </w:r>
    </w:p>
  </w:footnote>
  <w:footnote w:id="81">
    <w:p w14:paraId="14C1E5F7" w14:textId="77777777"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r>
      <w:r w:rsidRPr="00EA3E22">
        <w:rPr>
          <w:lang w:val="en-CA"/>
        </w:rPr>
        <w:t>See paragraphs 69–70 of the contested decision.</w:t>
      </w:r>
    </w:p>
  </w:footnote>
  <w:footnote w:id="82">
    <w:p w14:paraId="6D9FF697" w14:textId="76219FCF"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t>See paragraphs 7(b), (e), (i), 9(a), 13, 19, and 8, 9(a), (m), and 10 of the application for review.</w:t>
      </w:r>
    </w:p>
  </w:footnote>
  <w:footnote w:id="83">
    <w:p w14:paraId="2CC3F219" w14:textId="03DF9139"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t>See paragraphs 7(g), 9(e), (g), (h), (i), (j), 10, 11, 15, and 17 of the application for review.</w:t>
      </w:r>
    </w:p>
  </w:footnote>
  <w:footnote w:id="84">
    <w:p w14:paraId="742B6AA4" w14:textId="7884138B" w:rsidR="00B1795A" w:rsidRPr="00DC1C13" w:rsidRDefault="00B1795A" w:rsidP="00E57111">
      <w:pPr>
        <w:pStyle w:val="Notedebasdepage"/>
        <w:tabs>
          <w:tab w:val="left" w:pos="284"/>
        </w:tabs>
        <w:rPr>
          <w:lang w:val="en-CA"/>
        </w:rPr>
      </w:pPr>
      <w:r>
        <w:rPr>
          <w:rStyle w:val="Appelnotedebasdep"/>
        </w:rPr>
        <w:footnoteRef/>
      </w:r>
      <w:r w:rsidRPr="00DC1C13">
        <w:rPr>
          <w:lang w:val="en-CA"/>
        </w:rPr>
        <w:t xml:space="preserve"> </w:t>
      </w:r>
      <w:r w:rsidRPr="00DC1C13">
        <w:rPr>
          <w:lang w:val="en-CA"/>
        </w:rPr>
        <w:tab/>
        <w:t>See paragraphs 7(c), (d), (f), (h), (i), (j), (k), (1), 9(b), (c), 12 to 14, 16 to 18, and 20 of the application for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B1CF" w14:textId="0673CD78" w:rsidR="00B1795A" w:rsidRDefault="00412272">
    <w:pPr>
      <w:pStyle w:val="09Entete"/>
      <w:tabs>
        <w:tab w:val="clear" w:pos="8222"/>
        <w:tab w:val="right" w:pos="10065"/>
      </w:tabs>
    </w:pPr>
    <w:r>
      <w:fldChar w:fldCharType="begin"/>
    </w:r>
    <w:r>
      <w:instrText xml:space="preserve"> DOCPROPERTY "GI_Entete" \* MERGEFORMAT </w:instrText>
    </w:r>
    <w:r>
      <w:fldChar w:fldCharType="separate"/>
    </w:r>
    <w:r w:rsidR="00B1795A">
      <w:t>File: SAE-M-298118-2006</w:t>
    </w:r>
    <w:r>
      <w:fldChar w:fldCharType="end"/>
    </w:r>
    <w:r w:rsidR="00B1795A">
      <w:tab/>
    </w:r>
    <w:r w:rsidR="00B1795A" w:rsidRPr="00EA3E22">
      <w:t>Page:</w:t>
    </w:r>
    <w:r w:rsidR="00B1795A">
      <w:t xml:space="preserve"> </w:t>
    </w:r>
    <w:r w:rsidR="00B1795A">
      <w:rPr>
        <w:rStyle w:val="Numrodepage"/>
      </w:rPr>
      <w:fldChar w:fldCharType="begin"/>
    </w:r>
    <w:r w:rsidR="00B1795A">
      <w:rPr>
        <w:rStyle w:val="Numrodepage"/>
      </w:rPr>
      <w:instrText xml:space="preserve"> PAGE </w:instrText>
    </w:r>
    <w:r w:rsidR="00B1795A">
      <w:rPr>
        <w:rStyle w:val="Numrodepage"/>
      </w:rPr>
      <w:fldChar w:fldCharType="separate"/>
    </w:r>
    <w:r w:rsidR="0021360C">
      <w:rPr>
        <w:rStyle w:val="Numrodepage"/>
      </w:rPr>
      <w:t>20</w:t>
    </w:r>
    <w:r w:rsidR="00B1795A">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A63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1AD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E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E65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CC1A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662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E871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BA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543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2681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761C05"/>
    <w:multiLevelType w:val="singleLevel"/>
    <w:tmpl w:val="5994EA00"/>
    <w:lvl w:ilvl="0">
      <w:start w:val="1"/>
      <w:numFmt w:val="lowerLetter"/>
      <w:lvlText w:val="%1)"/>
      <w:lvlJc w:val="left"/>
      <w:pPr>
        <w:tabs>
          <w:tab w:val="num" w:pos="1776"/>
        </w:tabs>
        <w:ind w:left="1776" w:hanging="360"/>
      </w:pPr>
      <w:rPr>
        <w:rFonts w:hint="default"/>
      </w:rPr>
    </w:lvl>
  </w:abstractNum>
  <w:abstractNum w:abstractNumId="11" w15:restartNumberingAfterBreak="0">
    <w:nsid w:val="27191DEE"/>
    <w:multiLevelType w:val="singleLevel"/>
    <w:tmpl w:val="4732BF5C"/>
    <w:lvl w:ilvl="0">
      <w:start w:val="1"/>
      <w:numFmt w:val="decimal"/>
      <w:pStyle w:val="F02-Texte"/>
      <w:lvlText w:val="[%1]"/>
      <w:lvlJc w:val="left"/>
      <w:pPr>
        <w:tabs>
          <w:tab w:val="num" w:pos="993"/>
        </w:tabs>
        <w:ind w:left="993" w:hanging="851"/>
      </w:pPr>
      <w:rPr>
        <w:rFonts w:ascii="Arial" w:hAnsi="Arial" w:hint="default"/>
        <w:b w:val="0"/>
        <w:i w:val="0"/>
        <w:sz w:val="24"/>
      </w:rPr>
    </w:lvl>
  </w:abstractNum>
  <w:abstractNum w:abstractNumId="12" w15:restartNumberingAfterBreak="0">
    <w:nsid w:val="33F90B64"/>
    <w:multiLevelType w:val="singleLevel"/>
    <w:tmpl w:val="D2AC893C"/>
    <w:lvl w:ilvl="0">
      <w:numFmt w:val="bullet"/>
      <w:pStyle w:val="F06-Tiret"/>
      <w:lvlText w:val="-"/>
      <w:lvlJc w:val="left"/>
      <w:pPr>
        <w:tabs>
          <w:tab w:val="num" w:pos="360"/>
        </w:tabs>
        <w:ind w:left="360" w:hanging="360"/>
      </w:pPr>
      <w:rPr>
        <w:rFonts w:ascii="Symbol" w:hAnsi="Symbol" w:hint="default"/>
      </w:rPr>
    </w:lvl>
  </w:abstractNum>
  <w:abstractNum w:abstractNumId="13" w15:restartNumberingAfterBreak="0">
    <w:nsid w:val="482F7AD2"/>
    <w:multiLevelType w:val="singleLevel"/>
    <w:tmpl w:val="94F0666E"/>
    <w:lvl w:ilvl="0">
      <w:start w:val="1"/>
      <w:numFmt w:val="decimal"/>
      <w:pStyle w:val="12ContenuDecision"/>
      <w:lvlText w:val="[%1]"/>
      <w:lvlJc w:val="left"/>
      <w:pPr>
        <w:tabs>
          <w:tab w:val="num" w:pos="851"/>
        </w:tabs>
        <w:ind w:left="851" w:hanging="851"/>
      </w:pPr>
    </w:lvl>
  </w:abstractNum>
  <w:abstractNum w:abstractNumId="14" w15:restartNumberingAfterBreak="0">
    <w:nsid w:val="6D151798"/>
    <w:multiLevelType w:val="singleLevel"/>
    <w:tmpl w:val="2B301942"/>
    <w:lvl w:ilvl="0">
      <w:numFmt w:val="bullet"/>
      <w:pStyle w:val="F07-Boulet"/>
      <w:lvlText w:val=""/>
      <w:lvlJc w:val="left"/>
      <w:pPr>
        <w:tabs>
          <w:tab w:val="num" w:pos="360"/>
        </w:tabs>
        <w:ind w:left="360" w:hanging="360"/>
      </w:pPr>
      <w:rPr>
        <w:rFonts w:ascii="Symbol" w:hAnsi="Symbol" w:hint="default"/>
        <w:sz w:val="28"/>
      </w:rPr>
    </w:lvl>
  </w:abstractNum>
  <w:num w:numId="1">
    <w:abstractNumId w:val="13"/>
  </w:num>
  <w:num w:numId="2">
    <w:abstractNumId w:val="1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1"/>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1C"/>
    <w:rsid w:val="00010057"/>
    <w:rsid w:val="00011C13"/>
    <w:rsid w:val="00014419"/>
    <w:rsid w:val="000155E3"/>
    <w:rsid w:val="00015FB9"/>
    <w:rsid w:val="00075690"/>
    <w:rsid w:val="000853CA"/>
    <w:rsid w:val="000957A2"/>
    <w:rsid w:val="00096506"/>
    <w:rsid w:val="000A7047"/>
    <w:rsid w:val="000B7B7C"/>
    <w:rsid w:val="000D2D3A"/>
    <w:rsid w:val="000F418F"/>
    <w:rsid w:val="000F6D5C"/>
    <w:rsid w:val="00113160"/>
    <w:rsid w:val="00113B20"/>
    <w:rsid w:val="00131556"/>
    <w:rsid w:val="00143774"/>
    <w:rsid w:val="00157BD9"/>
    <w:rsid w:val="00195307"/>
    <w:rsid w:val="001A414D"/>
    <w:rsid w:val="001A6097"/>
    <w:rsid w:val="001C3635"/>
    <w:rsid w:val="001E0C87"/>
    <w:rsid w:val="0021360C"/>
    <w:rsid w:val="00227D1B"/>
    <w:rsid w:val="00232DA8"/>
    <w:rsid w:val="0023359B"/>
    <w:rsid w:val="00236CF5"/>
    <w:rsid w:val="00242348"/>
    <w:rsid w:val="00255E76"/>
    <w:rsid w:val="0029154E"/>
    <w:rsid w:val="00292274"/>
    <w:rsid w:val="002A0F51"/>
    <w:rsid w:val="002A5E1B"/>
    <w:rsid w:val="002D2E17"/>
    <w:rsid w:val="003059BD"/>
    <w:rsid w:val="00314842"/>
    <w:rsid w:val="0032407A"/>
    <w:rsid w:val="00341B27"/>
    <w:rsid w:val="0037197C"/>
    <w:rsid w:val="003756CE"/>
    <w:rsid w:val="00396963"/>
    <w:rsid w:val="003B7345"/>
    <w:rsid w:val="003D490A"/>
    <w:rsid w:val="003F7C6D"/>
    <w:rsid w:val="003F7D24"/>
    <w:rsid w:val="00401CC8"/>
    <w:rsid w:val="00412272"/>
    <w:rsid w:val="00426100"/>
    <w:rsid w:val="0043544F"/>
    <w:rsid w:val="00493A2B"/>
    <w:rsid w:val="0049445C"/>
    <w:rsid w:val="004A64DB"/>
    <w:rsid w:val="004C6716"/>
    <w:rsid w:val="004C6E65"/>
    <w:rsid w:val="004D3B44"/>
    <w:rsid w:val="00500922"/>
    <w:rsid w:val="00501A07"/>
    <w:rsid w:val="00514596"/>
    <w:rsid w:val="005234E3"/>
    <w:rsid w:val="00546802"/>
    <w:rsid w:val="00550742"/>
    <w:rsid w:val="00552FC6"/>
    <w:rsid w:val="00556130"/>
    <w:rsid w:val="00572A57"/>
    <w:rsid w:val="00577C23"/>
    <w:rsid w:val="00583738"/>
    <w:rsid w:val="00594FC2"/>
    <w:rsid w:val="005A2583"/>
    <w:rsid w:val="005A6624"/>
    <w:rsid w:val="005C26A7"/>
    <w:rsid w:val="005C6F40"/>
    <w:rsid w:val="005D2C75"/>
    <w:rsid w:val="005D775B"/>
    <w:rsid w:val="005E4753"/>
    <w:rsid w:val="005F0349"/>
    <w:rsid w:val="005F5036"/>
    <w:rsid w:val="006037A1"/>
    <w:rsid w:val="00631824"/>
    <w:rsid w:val="00637C1A"/>
    <w:rsid w:val="006400DD"/>
    <w:rsid w:val="00653019"/>
    <w:rsid w:val="00657D96"/>
    <w:rsid w:val="00661259"/>
    <w:rsid w:val="00667798"/>
    <w:rsid w:val="00670AC1"/>
    <w:rsid w:val="00693E34"/>
    <w:rsid w:val="006A0792"/>
    <w:rsid w:val="006A2397"/>
    <w:rsid w:val="006C18D5"/>
    <w:rsid w:val="006D0CD7"/>
    <w:rsid w:val="00712077"/>
    <w:rsid w:val="00717F90"/>
    <w:rsid w:val="00741A95"/>
    <w:rsid w:val="00777307"/>
    <w:rsid w:val="007834D2"/>
    <w:rsid w:val="007940B2"/>
    <w:rsid w:val="007B6CAA"/>
    <w:rsid w:val="007C497C"/>
    <w:rsid w:val="007C66CA"/>
    <w:rsid w:val="007D17FD"/>
    <w:rsid w:val="00804C53"/>
    <w:rsid w:val="0081773C"/>
    <w:rsid w:val="00847D8D"/>
    <w:rsid w:val="008547D2"/>
    <w:rsid w:val="008A10B9"/>
    <w:rsid w:val="008B47EB"/>
    <w:rsid w:val="008B799D"/>
    <w:rsid w:val="008C09DD"/>
    <w:rsid w:val="008D61D9"/>
    <w:rsid w:val="008F0C97"/>
    <w:rsid w:val="008F3134"/>
    <w:rsid w:val="008F7230"/>
    <w:rsid w:val="00901140"/>
    <w:rsid w:val="0090257C"/>
    <w:rsid w:val="009071A8"/>
    <w:rsid w:val="00910452"/>
    <w:rsid w:val="00946E03"/>
    <w:rsid w:val="00966BB6"/>
    <w:rsid w:val="009726EF"/>
    <w:rsid w:val="00972CCF"/>
    <w:rsid w:val="00973988"/>
    <w:rsid w:val="00981BB9"/>
    <w:rsid w:val="009953A9"/>
    <w:rsid w:val="00997003"/>
    <w:rsid w:val="009B2E83"/>
    <w:rsid w:val="009B3836"/>
    <w:rsid w:val="009E369A"/>
    <w:rsid w:val="00A06EB4"/>
    <w:rsid w:val="00A166AB"/>
    <w:rsid w:val="00A30664"/>
    <w:rsid w:val="00A9558F"/>
    <w:rsid w:val="00AA1D1C"/>
    <w:rsid w:val="00AA74CA"/>
    <w:rsid w:val="00AB3A21"/>
    <w:rsid w:val="00AB4A77"/>
    <w:rsid w:val="00AC1884"/>
    <w:rsid w:val="00AD39D0"/>
    <w:rsid w:val="00AE0103"/>
    <w:rsid w:val="00AE615A"/>
    <w:rsid w:val="00AF6EF0"/>
    <w:rsid w:val="00B00BFD"/>
    <w:rsid w:val="00B1795A"/>
    <w:rsid w:val="00B2205D"/>
    <w:rsid w:val="00B2312A"/>
    <w:rsid w:val="00B23807"/>
    <w:rsid w:val="00B24467"/>
    <w:rsid w:val="00B574E2"/>
    <w:rsid w:val="00B70E94"/>
    <w:rsid w:val="00B92A49"/>
    <w:rsid w:val="00B95B8E"/>
    <w:rsid w:val="00BB2932"/>
    <w:rsid w:val="00BB7519"/>
    <w:rsid w:val="00BC7B4D"/>
    <w:rsid w:val="00BD27F4"/>
    <w:rsid w:val="00BE6BB3"/>
    <w:rsid w:val="00C005A0"/>
    <w:rsid w:val="00C06C73"/>
    <w:rsid w:val="00C161F7"/>
    <w:rsid w:val="00C2116C"/>
    <w:rsid w:val="00C25824"/>
    <w:rsid w:val="00C354FC"/>
    <w:rsid w:val="00C65422"/>
    <w:rsid w:val="00C73D13"/>
    <w:rsid w:val="00C75D1C"/>
    <w:rsid w:val="00C86914"/>
    <w:rsid w:val="00C9046B"/>
    <w:rsid w:val="00C91005"/>
    <w:rsid w:val="00CA4978"/>
    <w:rsid w:val="00CA4EA7"/>
    <w:rsid w:val="00CA502B"/>
    <w:rsid w:val="00CB1830"/>
    <w:rsid w:val="00CC6E2F"/>
    <w:rsid w:val="00CC7DD9"/>
    <w:rsid w:val="00CD2492"/>
    <w:rsid w:val="00CE7D9C"/>
    <w:rsid w:val="00CF0149"/>
    <w:rsid w:val="00CF10C5"/>
    <w:rsid w:val="00CF3838"/>
    <w:rsid w:val="00D04097"/>
    <w:rsid w:val="00D10B09"/>
    <w:rsid w:val="00D179BD"/>
    <w:rsid w:val="00D25AE6"/>
    <w:rsid w:val="00D37391"/>
    <w:rsid w:val="00D67464"/>
    <w:rsid w:val="00D76B24"/>
    <w:rsid w:val="00D76F02"/>
    <w:rsid w:val="00DA24BB"/>
    <w:rsid w:val="00DA60B9"/>
    <w:rsid w:val="00DB1BB0"/>
    <w:rsid w:val="00DC1C13"/>
    <w:rsid w:val="00DC361B"/>
    <w:rsid w:val="00DD087F"/>
    <w:rsid w:val="00DF4123"/>
    <w:rsid w:val="00DF4D6A"/>
    <w:rsid w:val="00DF5847"/>
    <w:rsid w:val="00E13F12"/>
    <w:rsid w:val="00E23315"/>
    <w:rsid w:val="00E257A9"/>
    <w:rsid w:val="00E25BF6"/>
    <w:rsid w:val="00E54205"/>
    <w:rsid w:val="00E55457"/>
    <w:rsid w:val="00E5677B"/>
    <w:rsid w:val="00E57111"/>
    <w:rsid w:val="00E610CE"/>
    <w:rsid w:val="00E6215D"/>
    <w:rsid w:val="00E62B20"/>
    <w:rsid w:val="00E7534A"/>
    <w:rsid w:val="00E75D1F"/>
    <w:rsid w:val="00E833FA"/>
    <w:rsid w:val="00E904A0"/>
    <w:rsid w:val="00EA3E22"/>
    <w:rsid w:val="00EB1CE1"/>
    <w:rsid w:val="00EC7A1C"/>
    <w:rsid w:val="00EF39CC"/>
    <w:rsid w:val="00EF5512"/>
    <w:rsid w:val="00F1332A"/>
    <w:rsid w:val="00F1551C"/>
    <w:rsid w:val="00F42585"/>
    <w:rsid w:val="00F452AE"/>
    <w:rsid w:val="00F636A0"/>
    <w:rsid w:val="00F872B0"/>
    <w:rsid w:val="00FA2B1A"/>
    <w:rsid w:val="00FA62CF"/>
    <w:rsid w:val="00FC3327"/>
    <w:rsid w:val="00FD416D"/>
    <w:rsid w:val="00FF57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DA0"/>
    <w:rPr>
      <w:rFonts w:ascii="Arial" w:hAnsi="Arial"/>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NormalDecision">
    <w:name w:val="00_NormalDecision"/>
    <w:pPr>
      <w:keepLines/>
      <w:suppressAutoHyphens/>
    </w:pPr>
    <w:rPr>
      <w:rFonts w:ascii="Arial" w:hAnsi="Arial"/>
      <w:noProof/>
      <w:sz w:val="24"/>
      <w:lang w:val="en-US" w:eastAsia="en-US"/>
    </w:rPr>
  </w:style>
  <w:style w:type="paragraph" w:customStyle="1" w:styleId="01Tribunal">
    <w:name w:val="01_Tribunal"/>
    <w:basedOn w:val="00NormalDecision"/>
    <w:pPr>
      <w:jc w:val="center"/>
    </w:pPr>
    <w:rPr>
      <w:b/>
      <w:caps/>
      <w:sz w:val="3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01aTribunal-ligne">
    <w:name w:val="01a_Tribunal-ligne"/>
    <w:basedOn w:val="01Tribunal"/>
    <w:next w:val="00NormalDecision"/>
    <w:pPr>
      <w:pBdr>
        <w:bottom w:val="single" w:sz="12" w:space="1" w:color="auto"/>
      </w:pBdr>
      <w:spacing w:after="720"/>
      <w:ind w:left="1531" w:right="1531"/>
    </w:pPr>
  </w:style>
  <w:style w:type="paragraph" w:customStyle="1" w:styleId="02Section">
    <w:name w:val="02_Section"/>
    <w:basedOn w:val="00NormalDecision"/>
    <w:next w:val="00NormalDecision"/>
    <w:rPr>
      <w:b/>
      <w:sz w:val="32"/>
    </w:rPr>
  </w:style>
  <w:style w:type="paragraph" w:customStyle="1" w:styleId="03Matiere">
    <w:name w:val="03_Matiere"/>
    <w:basedOn w:val="00NormalDecision"/>
    <w:next w:val="00NormalDecision"/>
  </w:style>
  <w:style w:type="paragraph" w:customStyle="1" w:styleId="072Agissant">
    <w:name w:val="07.2_Agissant"/>
    <w:basedOn w:val="00NormalDecision"/>
    <w:next w:val="00NormalDecision"/>
    <w:pPr>
      <w:keepNext/>
      <w:ind w:right="170"/>
    </w:pPr>
  </w:style>
  <w:style w:type="character" w:customStyle="1" w:styleId="040PrefixeDate">
    <w:name w:val="04.0_PrefixeDate"/>
    <w:rPr>
      <w:rFonts w:ascii="Arial" w:hAnsi="Arial"/>
      <w:b/>
      <w:sz w:val="28"/>
    </w:rPr>
  </w:style>
  <w:style w:type="paragraph" w:customStyle="1" w:styleId="04DateDecision">
    <w:name w:val="04_DateDecision"/>
    <w:basedOn w:val="00NormalDecision"/>
    <w:next w:val="00NormalDecision"/>
    <w:pPr>
      <w:spacing w:before="120"/>
    </w:pPr>
  </w:style>
  <w:style w:type="paragraph" w:customStyle="1" w:styleId="05Dossier">
    <w:name w:val="05_Dossier"/>
    <w:basedOn w:val="00NormalDecision"/>
    <w:next w:val="00NormalDecision"/>
    <w:pPr>
      <w:spacing w:before="120" w:after="240"/>
      <w:ind w:left="1440" w:hanging="1440"/>
    </w:pPr>
  </w:style>
  <w:style w:type="character" w:customStyle="1" w:styleId="050PrefixeDossier">
    <w:name w:val="05.0_PrefixeDossier"/>
    <w:rPr>
      <w:rFonts w:ascii="Arial" w:hAnsi="Arial"/>
      <w:b/>
      <w:sz w:val="28"/>
    </w:rPr>
  </w:style>
  <w:style w:type="paragraph" w:customStyle="1" w:styleId="060CompositionFormation">
    <w:name w:val="06.0_CompositionFormation"/>
    <w:basedOn w:val="00NormalDecision"/>
    <w:next w:val="00NormalDecision"/>
    <w:pPr>
      <w:spacing w:before="360" w:after="240"/>
    </w:pPr>
    <w:rPr>
      <w:b/>
      <w:sz w:val="28"/>
    </w:rPr>
  </w:style>
  <w:style w:type="paragraph" w:customStyle="1" w:styleId="06Membre">
    <w:name w:val="06_Membre"/>
    <w:basedOn w:val="00NormalDecision"/>
    <w:next w:val="00NormalDecision"/>
    <w:pPr>
      <w:pBdr>
        <w:bottom w:val="single" w:sz="4" w:space="12" w:color="auto"/>
      </w:pBdr>
    </w:pPr>
    <w:rPr>
      <w:caps/>
    </w:rPr>
  </w:style>
  <w:style w:type="paragraph" w:customStyle="1" w:styleId="071IdentificationPartie">
    <w:name w:val="07.1_IdentificationPartie"/>
    <w:basedOn w:val="00NormalDecision"/>
    <w:next w:val="00NormalDecision"/>
    <w:pPr>
      <w:spacing w:before="120"/>
      <w:ind w:right="176"/>
    </w:pPr>
  </w:style>
  <w:style w:type="paragraph" w:customStyle="1" w:styleId="070DebutDivParties">
    <w:name w:val="07.0_[DebutDivParties]"/>
    <w:basedOn w:val="00NormalDecision"/>
    <w:next w:val="00NormalDecision"/>
    <w:pPr>
      <w:spacing w:before="1180" w:after="120"/>
      <w:ind w:right="170"/>
    </w:pPr>
    <w:rPr>
      <w:color w:val="C0C0C0"/>
    </w:rPr>
  </w:style>
  <w:style w:type="paragraph" w:customStyle="1" w:styleId="073QualitePartie">
    <w:name w:val="07.3_QualitePartie"/>
    <w:basedOn w:val="00NormalDecision"/>
    <w:next w:val="00NormalDecision"/>
    <w:pPr>
      <w:spacing w:before="120"/>
      <w:ind w:right="176"/>
    </w:pPr>
  </w:style>
  <w:style w:type="paragraph" w:customStyle="1" w:styleId="074Indicateur-cet">
    <w:name w:val="07.4_Indicateur-c./et"/>
    <w:basedOn w:val="00NormalDecision"/>
    <w:next w:val="00NormalDecision"/>
    <w:pPr>
      <w:spacing w:before="80" w:after="60"/>
      <w:ind w:right="176"/>
    </w:pPr>
  </w:style>
  <w:style w:type="paragraph" w:customStyle="1" w:styleId="08aFinPageTitre-ligne">
    <w:name w:val="08a_FinPageTitre-ligne"/>
    <w:basedOn w:val="00NormalDecision"/>
    <w:next w:val="Normal"/>
    <w:pPr>
      <w:keepNext/>
      <w:ind w:left="3398" w:right="173"/>
    </w:pPr>
  </w:style>
  <w:style w:type="paragraph" w:customStyle="1" w:styleId="09Entete">
    <w:name w:val="09_Entete"/>
    <w:basedOn w:val="00NormalDecision"/>
    <w:next w:val="00NormalDecision"/>
    <w:pPr>
      <w:tabs>
        <w:tab w:val="right" w:pos="8222"/>
      </w:tabs>
    </w:pPr>
  </w:style>
  <w:style w:type="paragraph" w:customStyle="1" w:styleId="13aSignature-ligne">
    <w:name w:val="13a_Signature-ligne"/>
    <w:basedOn w:val="00NormalDecision"/>
    <w:next w:val="00NormalDecision"/>
    <w:pPr>
      <w:keepNext/>
      <w:pBdr>
        <w:bottom w:val="single" w:sz="4" w:space="1" w:color="auto"/>
      </w:pBdr>
      <w:spacing w:before="720" w:after="40"/>
      <w:ind w:left="3975"/>
    </w:pPr>
  </w:style>
  <w:style w:type="paragraph" w:customStyle="1" w:styleId="10TypeDecision">
    <w:name w:val="10_TypeDecision"/>
    <w:basedOn w:val="00NormalDecision"/>
    <w:next w:val="00NormalDecision"/>
    <w:pPr>
      <w:spacing w:before="240" w:after="60"/>
      <w:jc w:val="center"/>
    </w:pPr>
    <w:rPr>
      <w:b/>
      <w:caps/>
      <w:sz w:val="32"/>
    </w:rPr>
  </w:style>
  <w:style w:type="paragraph" w:customStyle="1" w:styleId="11MatierePageSignatures">
    <w:name w:val="11_MatierePageSignatures"/>
    <w:basedOn w:val="00NormalDecision"/>
    <w:next w:val="00NormalDecision"/>
    <w:pPr>
      <w:jc w:val="center"/>
    </w:pPr>
  </w:style>
  <w:style w:type="paragraph" w:customStyle="1" w:styleId="13Signature">
    <w:name w:val="13_Signature"/>
    <w:basedOn w:val="00NormalDecision"/>
    <w:next w:val="00NormalDecision"/>
    <w:pPr>
      <w:ind w:left="3974"/>
    </w:pPr>
  </w:style>
  <w:style w:type="paragraph" w:styleId="Explorateurdedocuments">
    <w:name w:val="Document Map"/>
    <w:basedOn w:val="Normal"/>
    <w:semiHidden/>
    <w:pPr>
      <w:shd w:val="clear" w:color="auto" w:fill="000080"/>
    </w:pPr>
    <w:rPr>
      <w:rFonts w:ascii="Tahoma" w:hAnsi="Tahoma"/>
    </w:rPr>
  </w:style>
  <w:style w:type="paragraph" w:customStyle="1" w:styleId="12ContenuDecision">
    <w:name w:val="12_ContenuDecision"/>
    <w:basedOn w:val="00NormalDecision"/>
    <w:pPr>
      <w:numPr>
        <w:numId w:val="13"/>
      </w:numPr>
      <w:shd w:val="solid" w:color="FFFFFF" w:fill="FFFFFF"/>
      <w:spacing w:after="240"/>
    </w:pPr>
  </w:style>
  <w:style w:type="paragraph" w:customStyle="1" w:styleId="12DebutDivContenuDecision">
    <w:name w:val="12_[DebutDivContenuDecision]"/>
    <w:basedOn w:val="00NormalDecision"/>
    <w:next w:val="00NormalDecision"/>
    <w:pPr>
      <w:spacing w:before="240"/>
    </w:pPr>
    <w:rPr>
      <w:color w:val="C0C0C0"/>
    </w:rPr>
  </w:style>
  <w:style w:type="paragraph" w:customStyle="1" w:styleId="100SectionsContinues">
    <w:name w:val="10.0_[SectionsContinues]"/>
    <w:basedOn w:val="00NormalDecision"/>
    <w:next w:val="00NormalDecision"/>
    <w:rPr>
      <w:color w:val="808080"/>
      <w:sz w:val="4"/>
    </w:rPr>
  </w:style>
  <w:style w:type="paragraph" w:customStyle="1" w:styleId="14DateDecisionFin">
    <w:name w:val="14_DateDecisionFin"/>
    <w:basedOn w:val="00NormalDecision"/>
    <w:next w:val="00NormalDecision"/>
    <w:pPr>
      <w:keepNext/>
      <w:keepLines w:val="0"/>
      <w:spacing w:before="480"/>
      <w:jc w:val="right"/>
    </w:pPr>
  </w:style>
  <w:style w:type="paragraph" w:styleId="Corpsdetexte">
    <w:name w:val="Body Text"/>
    <w:basedOn w:val="Normal"/>
    <w:pPr>
      <w:spacing w:after="120"/>
    </w:pPr>
  </w:style>
  <w:style w:type="character" w:customStyle="1" w:styleId="10aTypeDecisionBis">
    <w:name w:val="10a_TypeDecisionBis"/>
    <w:rPr>
      <w:noProof/>
    </w:rPr>
  </w:style>
  <w:style w:type="paragraph" w:customStyle="1" w:styleId="F02-Texte">
    <w:name w:val="F02-Texte"/>
    <w:basedOn w:val="Normal"/>
    <w:link w:val="F02-TexteCar"/>
    <w:pPr>
      <w:numPr>
        <w:numId w:val="14"/>
      </w:numPr>
      <w:tabs>
        <w:tab w:val="clear" w:pos="993"/>
        <w:tab w:val="num" w:pos="851"/>
      </w:tabs>
      <w:spacing w:before="320"/>
      <w:ind w:left="851"/>
      <w:jc w:val="both"/>
    </w:pPr>
  </w:style>
  <w:style w:type="paragraph" w:customStyle="1" w:styleId="F04-Retrait">
    <w:name w:val="F04-Retrait"/>
    <w:basedOn w:val="Normal"/>
    <w:pPr>
      <w:spacing w:before="320"/>
      <w:ind w:left="850" w:right="850"/>
      <w:jc w:val="both"/>
    </w:pPr>
    <w:rPr>
      <w:i/>
    </w:rPr>
  </w:style>
  <w:style w:type="paragraph" w:customStyle="1" w:styleId="F05-Retrait2">
    <w:name w:val="F05-Retrait 2"/>
    <w:basedOn w:val="Normal"/>
    <w:pPr>
      <w:spacing w:before="320"/>
      <w:ind w:left="1440" w:right="1440"/>
      <w:jc w:val="both"/>
    </w:pPr>
    <w:rPr>
      <w:i/>
    </w:rPr>
  </w:style>
  <w:style w:type="paragraph" w:customStyle="1" w:styleId="F06-Tiret">
    <w:name w:val="F06-Tiret"/>
    <w:basedOn w:val="Normal"/>
    <w:pPr>
      <w:numPr>
        <w:numId w:val="15"/>
      </w:numPr>
      <w:spacing w:before="320"/>
      <w:jc w:val="both"/>
    </w:pPr>
  </w:style>
  <w:style w:type="paragraph" w:customStyle="1" w:styleId="F07-Boulet">
    <w:name w:val="F07-Boulet"/>
    <w:basedOn w:val="Normal"/>
    <w:pPr>
      <w:numPr>
        <w:numId w:val="16"/>
      </w:numPr>
      <w:spacing w:before="320"/>
      <w:jc w:val="both"/>
    </w:pPr>
  </w:style>
  <w:style w:type="paragraph" w:customStyle="1" w:styleId="F11-Filet">
    <w:name w:val="F11-Filet"/>
    <w:basedOn w:val="Normal"/>
    <w:next w:val="F02-Texte"/>
    <w:pPr>
      <w:pBdr>
        <w:top w:val="single" w:sz="4" w:space="16" w:color="auto"/>
      </w:pBdr>
      <w:spacing w:before="700"/>
      <w:ind w:left="2019" w:right="2019"/>
      <w:jc w:val="center"/>
    </w:pPr>
  </w:style>
  <w:style w:type="paragraph" w:customStyle="1" w:styleId="F12-Procureur">
    <w:name w:val="F12-Procureur"/>
    <w:basedOn w:val="Normal"/>
    <w:pPr>
      <w:widowControl w:val="0"/>
    </w:pPr>
  </w:style>
  <w:style w:type="paragraph" w:customStyle="1" w:styleId="F08-Titre">
    <w:name w:val="F08-Titre"/>
    <w:basedOn w:val="Normal"/>
    <w:pPr>
      <w:keepNext/>
      <w:spacing w:before="320"/>
      <w:jc w:val="both"/>
    </w:pPr>
    <w:rPr>
      <w:b/>
    </w:rPr>
  </w:style>
  <w:style w:type="paragraph" w:customStyle="1" w:styleId="13bSignature">
    <w:name w:val="13b_Signature"/>
    <w:basedOn w:val="00NormalDecision"/>
    <w:rPr>
      <w:caps/>
    </w:rPr>
  </w:style>
  <w:style w:type="paragraph" w:customStyle="1" w:styleId="13bSignatureTableau">
    <w:name w:val="13b_SignatureTableau"/>
    <w:basedOn w:val="00NormalDecision"/>
  </w:style>
  <w:style w:type="paragraph" w:customStyle="1" w:styleId="10aDecisionDate">
    <w:name w:val="10a_DecisionDate"/>
    <w:basedOn w:val="10TypeDecision"/>
    <w:rPr>
      <w:caps w:val="0"/>
    </w:rPr>
  </w:style>
  <w:style w:type="paragraph" w:styleId="Retraitcorpsdetexte">
    <w:name w:val="Body Text Indent"/>
    <w:basedOn w:val="Normal"/>
    <w:pPr>
      <w:spacing w:after="120"/>
      <w:ind w:left="360"/>
    </w:pPr>
  </w:style>
  <w:style w:type="character" w:customStyle="1" w:styleId="16Invisible">
    <w:name w:val="16_Invisible"/>
    <w:rPr>
      <w:rFonts w:ascii="Microsoft Sans Serif" w:hAnsi="Microsoft Sans Serif"/>
      <w:color w:val="FFFFFF"/>
      <w:sz w:val="2"/>
    </w:rPr>
  </w:style>
  <w:style w:type="paragraph" w:customStyle="1" w:styleId="F09-Signature">
    <w:name w:val="F09-Signature"/>
    <w:basedOn w:val="Normal"/>
    <w:next w:val="Normal"/>
    <w:pPr>
      <w:pBdr>
        <w:top w:val="single" w:sz="4" w:space="0" w:color="auto"/>
      </w:pBdr>
      <w:spacing w:before="1200" w:after="240"/>
      <w:ind w:left="3969"/>
      <w:jc w:val="right"/>
    </w:pPr>
    <w:rPr>
      <w:caps/>
    </w:rPr>
  </w:style>
  <w:style w:type="paragraph" w:customStyle="1" w:styleId="15Procureur">
    <w:name w:val="15_Procureur"/>
    <w:basedOn w:val="00NormalDecision"/>
  </w:style>
  <w:style w:type="paragraph" w:customStyle="1" w:styleId="F10-Date">
    <w:name w:val="F10-Date"/>
    <w:basedOn w:val="Normal"/>
  </w:style>
  <w:style w:type="paragraph" w:customStyle="1" w:styleId="074Indicateur-Cet1page">
    <w:name w:val="07.4_Indicateur-C./et1page"/>
    <w:basedOn w:val="074Indicateur-cet"/>
    <w:next w:val="074Indicateur-cet"/>
    <w:rPr>
      <w:lang w:val="fr-CA"/>
    </w:rPr>
  </w:style>
  <w:style w:type="paragraph" w:customStyle="1" w:styleId="070FinDivParties">
    <w:name w:val="07.0_[FinDivParties]"/>
    <w:basedOn w:val="070DebutDivParties"/>
    <w:pPr>
      <w:spacing w:before="1200"/>
    </w:pPr>
    <w:rPr>
      <w:lang w:val="fr-CA"/>
    </w:rPr>
  </w:style>
  <w:style w:type="paragraph" w:customStyle="1" w:styleId="16Invisible2">
    <w:name w:val="16_Invisible2"/>
    <w:pPr>
      <w:spacing w:line="20" w:lineRule="exact"/>
    </w:pPr>
    <w:rPr>
      <w:color w:val="FFFFFF"/>
      <w:sz w:val="2"/>
      <w:lang w:val="fr-FR" w:eastAsia="fr-FR"/>
    </w:rPr>
  </w:style>
  <w:style w:type="paragraph" w:styleId="NormalWeb">
    <w:name w:val="Normal (Web)"/>
    <w:basedOn w:val="Normal"/>
    <w:uiPriority w:val="99"/>
    <w:unhideWhenUsed/>
    <w:rsid w:val="004E0C6E"/>
    <w:pPr>
      <w:spacing w:before="100" w:beforeAutospacing="1" w:after="100" w:afterAutospacing="1"/>
    </w:pPr>
    <w:rPr>
      <w:rFonts w:ascii="Times New Roman" w:eastAsiaTheme="minorEastAsia" w:hAnsi="Times New Roman"/>
      <w:szCs w:val="24"/>
      <w:lang w:eastAsia="fr-CA"/>
    </w:rPr>
  </w:style>
  <w:style w:type="paragraph" w:styleId="Notedebasdepage">
    <w:name w:val="footnote text"/>
    <w:basedOn w:val="Normal"/>
    <w:link w:val="NotedebasdepageCar"/>
    <w:rsid w:val="004A0DA0"/>
    <w:rPr>
      <w:sz w:val="20"/>
    </w:rPr>
  </w:style>
  <w:style w:type="character" w:customStyle="1" w:styleId="NotedebasdepageCar">
    <w:name w:val="Note de bas de page Car"/>
    <w:basedOn w:val="Policepardfaut"/>
    <w:link w:val="Notedebasdepage"/>
    <w:rsid w:val="004A0DA0"/>
    <w:rPr>
      <w:rFonts w:ascii="Arial" w:hAnsi="Arial"/>
      <w:lang w:eastAsia="en-US"/>
    </w:rPr>
  </w:style>
  <w:style w:type="character" w:styleId="Appelnotedebasdep">
    <w:name w:val="footnote reference"/>
    <w:rsid w:val="004A0DA0"/>
    <w:rPr>
      <w:vertAlign w:val="superscript"/>
    </w:rPr>
  </w:style>
  <w:style w:type="character" w:customStyle="1" w:styleId="texte-courant1">
    <w:name w:val="texte-courant1"/>
    <w:basedOn w:val="Policepardfaut"/>
    <w:rsid w:val="004A0DA0"/>
  </w:style>
  <w:style w:type="paragraph" w:customStyle="1" w:styleId="TAQF4Retrait">
    <w:name w:val="TAQ_F4_Retrait"/>
    <w:basedOn w:val="Normal"/>
    <w:rsid w:val="004A0DA0"/>
    <w:pPr>
      <w:spacing w:before="320"/>
      <w:ind w:left="850" w:right="850"/>
      <w:jc w:val="both"/>
    </w:pPr>
    <w:rPr>
      <w:i/>
    </w:rPr>
  </w:style>
  <w:style w:type="character" w:customStyle="1" w:styleId="F02-TexteCar">
    <w:name w:val="F02-Texte Car"/>
    <w:link w:val="F02-Texte"/>
    <w:locked/>
    <w:rsid w:val="00507E3E"/>
    <w:rPr>
      <w:rFonts w:ascii="Arial" w:hAnsi="Arial"/>
      <w:sz w:val="24"/>
      <w:lang w:eastAsia="en-US"/>
    </w:rPr>
  </w:style>
  <w:style w:type="character" w:styleId="Lienhypertexte">
    <w:name w:val="Hyperlink"/>
    <w:uiPriority w:val="99"/>
    <w:unhideWhenUsed/>
    <w:rsid w:val="00C136F0"/>
    <w:rPr>
      <w:color w:val="0000FF"/>
      <w:u w:val="single"/>
    </w:rPr>
  </w:style>
  <w:style w:type="paragraph" w:styleId="Rvision">
    <w:name w:val="Revision"/>
    <w:hidden/>
    <w:uiPriority w:val="99"/>
    <w:semiHidden/>
    <w:rsid w:val="00AB67A2"/>
    <w:rPr>
      <w:rFonts w:ascii="Arial" w:hAnsi="Arial"/>
      <w:sz w:val="24"/>
      <w:lang w:eastAsia="en-US"/>
    </w:rPr>
  </w:style>
  <w:style w:type="paragraph" w:styleId="Textedebulles">
    <w:name w:val="Balloon Text"/>
    <w:basedOn w:val="Normal"/>
    <w:link w:val="TextedebullesCar"/>
    <w:rsid w:val="00AB67A2"/>
    <w:rPr>
      <w:rFonts w:ascii="Segoe UI" w:hAnsi="Segoe UI" w:cs="Segoe UI"/>
      <w:sz w:val="18"/>
      <w:szCs w:val="18"/>
    </w:rPr>
  </w:style>
  <w:style w:type="character" w:customStyle="1" w:styleId="TextedebullesCar">
    <w:name w:val="Texte de bulles Car"/>
    <w:basedOn w:val="Policepardfaut"/>
    <w:link w:val="Textedebulles"/>
    <w:rsid w:val="00AB67A2"/>
    <w:rPr>
      <w:rFonts w:ascii="Segoe UI" w:hAnsi="Segoe UI" w:cs="Segoe UI"/>
      <w:sz w:val="18"/>
      <w:szCs w:val="18"/>
      <w:lang w:eastAsia="en-US"/>
    </w:rPr>
  </w:style>
  <w:style w:type="character" w:styleId="Marquedecommentaire">
    <w:name w:val="annotation reference"/>
    <w:basedOn w:val="Policepardfaut"/>
    <w:rsid w:val="00113821"/>
    <w:rPr>
      <w:sz w:val="16"/>
      <w:szCs w:val="16"/>
    </w:rPr>
  </w:style>
  <w:style w:type="paragraph" w:styleId="Commentaire">
    <w:name w:val="annotation text"/>
    <w:basedOn w:val="Normal"/>
    <w:link w:val="CommentaireCar"/>
    <w:rsid w:val="00113821"/>
    <w:rPr>
      <w:sz w:val="20"/>
    </w:rPr>
  </w:style>
  <w:style w:type="character" w:customStyle="1" w:styleId="CommentaireCar">
    <w:name w:val="Commentaire Car"/>
    <w:basedOn w:val="Policepardfaut"/>
    <w:link w:val="Commentaire"/>
    <w:rsid w:val="00113821"/>
    <w:rPr>
      <w:rFonts w:ascii="Arial" w:hAnsi="Arial"/>
      <w:lang w:eastAsia="en-US"/>
    </w:rPr>
  </w:style>
  <w:style w:type="paragraph" w:styleId="Objetducommentaire">
    <w:name w:val="annotation subject"/>
    <w:basedOn w:val="Commentaire"/>
    <w:next w:val="Commentaire"/>
    <w:link w:val="ObjetducommentaireCar"/>
    <w:rsid w:val="00113821"/>
    <w:rPr>
      <w:b/>
      <w:bCs/>
    </w:rPr>
  </w:style>
  <w:style w:type="character" w:customStyle="1" w:styleId="ObjetducommentaireCar">
    <w:name w:val="Objet du commentaire Car"/>
    <w:basedOn w:val="CommentaireCar"/>
    <w:link w:val="Objetducommentaire"/>
    <w:rsid w:val="00113821"/>
    <w:rPr>
      <w:rFonts w:ascii="Arial" w:hAnsi="Arial"/>
      <w:b/>
      <w:bCs/>
      <w:lang w:eastAsia="en-US"/>
    </w:rPr>
  </w:style>
  <w:style w:type="character" w:customStyle="1" w:styleId="apple-converted-space">
    <w:name w:val="apple-converted-space"/>
    <w:basedOn w:val="Policepardfaut"/>
    <w:rsid w:val="00466908"/>
  </w:style>
  <w:style w:type="paragraph" w:styleId="Listepuces">
    <w:name w:val="List Bullet"/>
    <w:basedOn w:val="Normal"/>
    <w:unhideWhenUsed/>
    <w:rsid w:val="00D67464"/>
    <w:pPr>
      <w:numPr>
        <w:numId w:val="8"/>
      </w:numPr>
      <w:contextualSpacing/>
    </w:pPr>
  </w:style>
  <w:style w:type="character" w:styleId="Lienhypertextesuivivisit">
    <w:name w:val="FollowedHyperlink"/>
    <w:basedOn w:val="Policepardfaut"/>
    <w:semiHidden/>
    <w:unhideWhenUsed/>
    <w:rsid w:val="004944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532C-4212-4B96-955F-E7F06F6B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7995</Words>
  <Characters>43974</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2022-06-17T16:04:00Z</dcterms:created>
  <dcterms:modified xsi:type="dcterms:W3CDTF">2022-06-22T19:08:00Z</dcterms:modified>
</cp:coreProperties>
</file>