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BE19" w14:textId="6EBE2AEC" w:rsidR="0081507E" w:rsidRPr="0081507E" w:rsidRDefault="0081507E" w:rsidP="005F44B9">
      <w:pPr>
        <w:pStyle w:val="02Section"/>
        <w:rPr>
          <w:b w:val="0"/>
          <w:sz w:val="24"/>
          <w:szCs w:val="24"/>
          <w:lang w:val="en-CA"/>
        </w:rPr>
      </w:pPr>
      <w:bookmarkStart w:id="0" w:name="lt_pId002"/>
      <w:r>
        <w:rPr>
          <w:b w:val="0"/>
          <w:sz w:val="24"/>
          <w:szCs w:val="24"/>
          <w:lang w:val="en-CA"/>
        </w:rPr>
        <w:t xml:space="preserve"> </w:t>
      </w:r>
      <w:r w:rsidRPr="0081507E">
        <w:rPr>
          <w:b w:val="0"/>
          <w:sz w:val="24"/>
          <w:szCs w:val="24"/>
          <w:lang w:val="en-CA"/>
        </w:rPr>
        <w:t>Translated from the origi</w:t>
      </w:r>
      <w:bookmarkStart w:id="1" w:name="_GoBack"/>
      <w:bookmarkEnd w:id="1"/>
      <w:r w:rsidRPr="0081507E">
        <w:rPr>
          <w:b w:val="0"/>
          <w:sz w:val="24"/>
          <w:szCs w:val="24"/>
          <w:lang w:val="en-CA"/>
        </w:rPr>
        <w:t>nal French</w:t>
      </w:r>
    </w:p>
    <w:p w14:paraId="059B614D" w14:textId="77777777" w:rsidR="0081507E" w:rsidRPr="0081507E" w:rsidRDefault="0081507E" w:rsidP="0081507E">
      <w:pPr>
        <w:pStyle w:val="00NormalDecision"/>
        <w:rPr>
          <w:lang w:val="en-CA"/>
        </w:rPr>
      </w:pPr>
    </w:p>
    <w:p w14:paraId="378C1203" w14:textId="3C58B83D" w:rsidR="005F44B9" w:rsidRPr="007113DA" w:rsidRDefault="00E559F9" w:rsidP="005F44B9">
      <w:pPr>
        <w:pStyle w:val="02Section"/>
        <w:rPr>
          <w:lang w:val="en-CA"/>
        </w:rPr>
      </w:pPr>
      <w:r w:rsidRPr="007113DA">
        <w:rPr>
          <w:lang w:val="en-CA"/>
        </w:rPr>
        <w:t>Social Affairs Section</w:t>
      </w:r>
      <w:bookmarkEnd w:id="0"/>
    </w:p>
    <w:p w14:paraId="139BDC54" w14:textId="77777777" w:rsidR="005F44B9" w:rsidRPr="007113DA" w:rsidRDefault="00E559F9" w:rsidP="005F44B9">
      <w:pPr>
        <w:pStyle w:val="03Matiere"/>
        <w:rPr>
          <w:lang w:val="en-CA"/>
        </w:rPr>
      </w:pPr>
      <w:bookmarkStart w:id="2" w:name="lt_pId003"/>
      <w:r w:rsidRPr="007113DA">
        <w:rPr>
          <w:lang w:val="en-CA"/>
        </w:rPr>
        <w:t>In matters of compensation</w:t>
      </w:r>
      <w:bookmarkEnd w:id="2"/>
    </w:p>
    <w:p w14:paraId="5D6030D2" w14:textId="77777777" w:rsidR="005F44B9" w:rsidRPr="007113DA" w:rsidRDefault="002A6DA5" w:rsidP="005F44B9">
      <w:pPr>
        <w:pStyle w:val="03Matiere"/>
        <w:rPr>
          <w:lang w:val="en-CA"/>
        </w:rPr>
      </w:pPr>
    </w:p>
    <w:p w14:paraId="4E3DCBDE" w14:textId="77777777" w:rsidR="005F44B9" w:rsidRPr="007113DA" w:rsidRDefault="002A6DA5" w:rsidP="005F44B9">
      <w:pPr>
        <w:pStyle w:val="03Matiere"/>
        <w:rPr>
          <w:lang w:val="en-CA"/>
        </w:rPr>
      </w:pPr>
    </w:p>
    <w:p w14:paraId="33C2ECD9" w14:textId="77777777" w:rsidR="005F44B9" w:rsidRPr="007113DA" w:rsidRDefault="00E559F9" w:rsidP="005F44B9">
      <w:pPr>
        <w:pStyle w:val="03Matiere"/>
        <w:rPr>
          <w:rStyle w:val="040PrefixeDate"/>
          <w:b w:val="0"/>
          <w:sz w:val="24"/>
          <w:lang w:val="en-CA"/>
        </w:rPr>
      </w:pPr>
      <w:bookmarkStart w:id="3" w:name="lt_pId004"/>
      <w:r w:rsidRPr="007113DA">
        <w:rPr>
          <w:rStyle w:val="040PrefixeDate"/>
          <w:lang w:val="en-CA"/>
        </w:rPr>
        <w:t xml:space="preserve">Date: </w:t>
      </w:r>
      <w:r w:rsidRPr="007113DA">
        <w:rPr>
          <w:rStyle w:val="040PrefixeDate"/>
          <w:b w:val="0"/>
          <w:sz w:val="24"/>
          <w:szCs w:val="24"/>
          <w:lang w:val="en-CA"/>
        </w:rPr>
        <w:t>October 4, 2021</w:t>
      </w:r>
      <w:bookmarkEnd w:id="3"/>
    </w:p>
    <w:p w14:paraId="58051B92" w14:textId="77777777" w:rsidR="005F44B9" w:rsidRPr="007113DA" w:rsidRDefault="00E559F9" w:rsidP="005F44B9">
      <w:pPr>
        <w:pStyle w:val="060CompositionFormation"/>
        <w:rPr>
          <w:lang w:val="en-CA"/>
        </w:rPr>
      </w:pPr>
      <w:bookmarkStart w:id="4" w:name="lt_pId005"/>
      <w:r w:rsidRPr="007113DA">
        <w:rPr>
          <w:lang w:val="en-CA"/>
        </w:rPr>
        <w:t>Neutral citation:</w:t>
      </w:r>
      <w:r w:rsidRPr="007113DA">
        <w:rPr>
          <w:b w:val="0"/>
          <w:lang w:val="en-CA"/>
        </w:rPr>
        <w:t xml:space="preserve"> </w:t>
      </w:r>
      <w:r w:rsidRPr="007113DA">
        <w:rPr>
          <w:b w:val="0"/>
          <w:sz w:val="24"/>
          <w:szCs w:val="24"/>
          <w:lang w:val="en-CA"/>
        </w:rPr>
        <w:t>2021 QCTAQ 1077</w:t>
      </w:r>
      <w:bookmarkEnd w:id="4"/>
    </w:p>
    <w:p w14:paraId="56FF889A" w14:textId="77777777" w:rsidR="005F44B9" w:rsidRPr="007113DA" w:rsidRDefault="00E559F9" w:rsidP="005F44B9">
      <w:pPr>
        <w:pStyle w:val="05Dossier"/>
        <w:rPr>
          <w:szCs w:val="24"/>
          <w:lang w:val="en-CA"/>
        </w:rPr>
      </w:pPr>
      <w:bookmarkStart w:id="5" w:name="lt_pId006"/>
      <w:r w:rsidRPr="007113DA">
        <w:rPr>
          <w:rStyle w:val="050PrefixeDossier"/>
          <w:lang w:val="en-CA"/>
        </w:rPr>
        <w:t>File:</w:t>
      </w:r>
      <w:r w:rsidRPr="007113DA">
        <w:rPr>
          <w:rStyle w:val="050PrefixeDossier"/>
          <w:b w:val="0"/>
          <w:lang w:val="en-CA"/>
        </w:rPr>
        <w:t xml:space="preserve"> </w:t>
      </w:r>
      <w:r w:rsidRPr="007113DA">
        <w:rPr>
          <w:rStyle w:val="050PrefixeDossier"/>
          <w:b w:val="0"/>
          <w:sz w:val="24"/>
          <w:szCs w:val="24"/>
          <w:lang w:val="en-CA"/>
        </w:rPr>
        <w:t>SAS-M-292044-1911</w:t>
      </w:r>
      <w:bookmarkEnd w:id="5"/>
    </w:p>
    <w:p w14:paraId="2428709C" w14:textId="77777777" w:rsidR="005F44B9" w:rsidRPr="007113DA" w:rsidRDefault="00E559F9" w:rsidP="005F44B9">
      <w:pPr>
        <w:pStyle w:val="060CompositionFormation"/>
        <w:pBdr>
          <w:top w:val="single" w:sz="2" w:space="12" w:color="000000"/>
        </w:pBdr>
        <w:spacing w:before="240"/>
        <w:rPr>
          <w:lang w:val="en-CA"/>
        </w:rPr>
      </w:pPr>
      <w:bookmarkStart w:id="6" w:name="bmMembreTrib"/>
      <w:bookmarkStart w:id="7" w:name="lt_pId007"/>
      <w:bookmarkEnd w:id="6"/>
      <w:r w:rsidRPr="007113DA">
        <w:rPr>
          <w:lang w:val="en-CA"/>
        </w:rPr>
        <w:t>Presiding Administrative Judges:</w:t>
      </w:r>
      <w:bookmarkEnd w:id="7"/>
      <w:r w:rsidR="000D541D" w:rsidRPr="007113DA">
        <w:rPr>
          <w:lang w:val="en-CA"/>
        </w:rPr>
        <w:t xml:space="preserve"> </w:t>
      </w:r>
    </w:p>
    <w:p w14:paraId="3E74E365" w14:textId="77777777" w:rsidR="005F44B9" w:rsidRPr="00BC7264" w:rsidRDefault="00E559F9" w:rsidP="005F44B9">
      <w:pPr>
        <w:pStyle w:val="06Membre"/>
        <w:rPr>
          <w:lang w:val="fr-CA"/>
        </w:rPr>
      </w:pPr>
      <w:bookmarkStart w:id="8" w:name="lt_pId008"/>
      <w:r w:rsidRPr="00BC7264">
        <w:rPr>
          <w:lang w:val="fr-CA"/>
        </w:rPr>
        <w:t>KARL LEFEBVRE</w:t>
      </w:r>
      <w:bookmarkEnd w:id="8"/>
      <w:r w:rsidR="000D541D" w:rsidRPr="00BC7264">
        <w:rPr>
          <w:lang w:val="fr-CA"/>
        </w:rPr>
        <w:t xml:space="preserve"> </w:t>
      </w:r>
    </w:p>
    <w:p w14:paraId="2544618D" w14:textId="77777777" w:rsidR="005F44B9" w:rsidRPr="00BC7264" w:rsidRDefault="00E559F9" w:rsidP="005F44B9">
      <w:pPr>
        <w:pStyle w:val="06Membre"/>
        <w:rPr>
          <w:lang w:val="fr-CA"/>
        </w:rPr>
      </w:pPr>
      <w:bookmarkStart w:id="9" w:name="lt_pId009"/>
      <w:r w:rsidRPr="00BC7264">
        <w:rPr>
          <w:lang w:val="fr-CA"/>
        </w:rPr>
        <w:t>MICHÈLE RANDOIN</w:t>
      </w:r>
      <w:bookmarkEnd w:id="9"/>
      <w:r w:rsidR="000D541D" w:rsidRPr="00BC7264">
        <w:rPr>
          <w:lang w:val="fr-CA"/>
        </w:rPr>
        <w:t xml:space="preserve"> </w:t>
      </w:r>
    </w:p>
    <w:p w14:paraId="4B5F191E" w14:textId="77777777" w:rsidR="005F44B9" w:rsidRPr="00BC7264" w:rsidRDefault="002A6DA5" w:rsidP="005F44B9">
      <w:pPr>
        <w:pStyle w:val="070DebutDivParties"/>
        <w:rPr>
          <w:lang w:val="fr-CA"/>
        </w:rPr>
      </w:pPr>
    </w:p>
    <w:p w14:paraId="1A5364E6" w14:textId="77777777" w:rsidR="005F44B9" w:rsidRPr="00BC7264" w:rsidRDefault="00E559F9" w:rsidP="005F44B9">
      <w:pPr>
        <w:pStyle w:val="071IdentificationPartie"/>
        <w:rPr>
          <w:lang w:val="fr-CA"/>
        </w:rPr>
      </w:pPr>
      <w:bookmarkStart w:id="10" w:name="FinReqSignet"/>
      <w:bookmarkStart w:id="11" w:name="lt_pId010"/>
      <w:bookmarkEnd w:id="10"/>
      <w:r w:rsidRPr="00BC7264">
        <w:rPr>
          <w:lang w:val="fr-CA"/>
        </w:rPr>
        <w:t>J.</w:t>
      </w:r>
      <w:bookmarkEnd w:id="11"/>
      <w:r w:rsidR="000D541D" w:rsidRPr="00BC7264">
        <w:rPr>
          <w:lang w:val="fr-CA"/>
        </w:rPr>
        <w:t xml:space="preserve"> </w:t>
      </w:r>
      <w:bookmarkStart w:id="12" w:name="lt_pId011"/>
      <w:r w:rsidRPr="00BC7264">
        <w:rPr>
          <w:lang w:val="fr-CA"/>
        </w:rPr>
        <w:t>T.</w:t>
      </w:r>
      <w:bookmarkEnd w:id="12"/>
    </w:p>
    <w:p w14:paraId="0C528C99" w14:textId="77777777" w:rsidR="005F44B9" w:rsidRPr="00BC7264" w:rsidRDefault="00E559F9" w:rsidP="005F44B9">
      <w:pPr>
        <w:pStyle w:val="073QualitePartie"/>
        <w:rPr>
          <w:lang w:val="fr-CA"/>
        </w:rPr>
      </w:pPr>
      <w:bookmarkStart w:id="13" w:name="FinReq"/>
      <w:bookmarkStart w:id="14" w:name="lt_pId012"/>
      <w:bookmarkEnd w:id="13"/>
      <w:r w:rsidRPr="00BC7264">
        <w:rPr>
          <w:lang w:val="fr-CA"/>
        </w:rPr>
        <w:t>Applicant</w:t>
      </w:r>
      <w:bookmarkEnd w:id="14"/>
    </w:p>
    <w:p w14:paraId="55E8702B" w14:textId="77777777" w:rsidR="005F44B9" w:rsidRPr="00BC7264" w:rsidRDefault="00E559F9" w:rsidP="005F44B9">
      <w:pPr>
        <w:pStyle w:val="071IdentificationPartie"/>
        <w:rPr>
          <w:lang w:val="fr-CA"/>
        </w:rPr>
      </w:pPr>
      <w:bookmarkStart w:id="15" w:name="lt_pId013"/>
      <w:r w:rsidRPr="00BC7264">
        <w:rPr>
          <w:lang w:val="fr-CA"/>
        </w:rPr>
        <w:t>v.</w:t>
      </w:r>
      <w:bookmarkEnd w:id="15"/>
    </w:p>
    <w:p w14:paraId="5124105D" w14:textId="77777777" w:rsidR="005F44B9" w:rsidRPr="00BC7264" w:rsidRDefault="00E559F9" w:rsidP="005F44B9">
      <w:pPr>
        <w:pStyle w:val="071IdentificationPartie"/>
        <w:rPr>
          <w:lang w:val="fr-CA"/>
        </w:rPr>
      </w:pPr>
      <w:bookmarkStart w:id="16" w:name="PageMise"/>
      <w:bookmarkStart w:id="17" w:name="sApresC"/>
      <w:bookmarkStart w:id="18" w:name="FinIntiSignet"/>
      <w:bookmarkStart w:id="19" w:name="lt_pId014"/>
      <w:bookmarkEnd w:id="16"/>
      <w:bookmarkEnd w:id="17"/>
      <w:bookmarkEnd w:id="18"/>
      <w:r w:rsidRPr="00BC7264">
        <w:rPr>
          <w:lang w:val="fr-CA"/>
        </w:rPr>
        <w:t>SOCIÉTÉ DE L'ASSURANCE AUTOMOBILE DU QUÉBEC</w:t>
      </w:r>
      <w:bookmarkEnd w:id="19"/>
    </w:p>
    <w:p w14:paraId="6F94AB74" w14:textId="77777777" w:rsidR="005F44B9" w:rsidRPr="007113DA" w:rsidRDefault="00E559F9" w:rsidP="005F44B9">
      <w:pPr>
        <w:pStyle w:val="073QualitePartie"/>
        <w:rPr>
          <w:lang w:val="en-CA"/>
        </w:rPr>
      </w:pPr>
      <w:bookmarkStart w:id="20" w:name="FinInti"/>
      <w:bookmarkStart w:id="21" w:name="FinPageTitre"/>
      <w:bookmarkStart w:id="22" w:name="sAvant1Et"/>
      <w:bookmarkStart w:id="23" w:name="lt_pId015"/>
      <w:bookmarkEnd w:id="20"/>
      <w:bookmarkEnd w:id="21"/>
      <w:bookmarkEnd w:id="22"/>
      <w:r w:rsidRPr="007113DA">
        <w:rPr>
          <w:lang w:val="en-CA"/>
        </w:rPr>
        <w:t>Respondent</w:t>
      </w:r>
      <w:bookmarkEnd w:id="23"/>
    </w:p>
    <w:p w14:paraId="35828205" w14:textId="77777777" w:rsidR="005F44B9" w:rsidRPr="007113DA" w:rsidRDefault="002A6DA5" w:rsidP="005F44B9">
      <w:pPr>
        <w:pStyle w:val="071IdentificationPartie"/>
        <w:rPr>
          <w:lang w:val="en-CA"/>
        </w:rPr>
      </w:pPr>
    </w:p>
    <w:p w14:paraId="6AC2BD79" w14:textId="77777777" w:rsidR="005F44B9" w:rsidRPr="007113DA" w:rsidRDefault="002A6DA5" w:rsidP="005F44B9">
      <w:pPr>
        <w:pStyle w:val="070FinDivParties"/>
        <w:rPr>
          <w:lang w:val="en-CA"/>
        </w:rPr>
      </w:pPr>
    </w:p>
    <w:p w14:paraId="2FFD5425" w14:textId="77777777" w:rsidR="005F44B9" w:rsidRPr="007113DA" w:rsidRDefault="00E559F9" w:rsidP="005F44B9">
      <w:pPr>
        <w:pStyle w:val="10TypeDecision"/>
        <w:pBdr>
          <w:top w:val="single" w:sz="2" w:space="12" w:color="000000"/>
          <w:bottom w:val="single" w:sz="2" w:space="12" w:color="000000"/>
        </w:pBdr>
        <w:rPr>
          <w:lang w:val="en-CA"/>
        </w:rPr>
      </w:pPr>
      <w:bookmarkStart w:id="24" w:name="sEndLine"/>
      <w:bookmarkStart w:id="25" w:name="DebutSection2"/>
      <w:bookmarkStart w:id="26" w:name="sDecision"/>
      <w:bookmarkStart w:id="27" w:name="lt_pId017"/>
      <w:bookmarkEnd w:id="24"/>
      <w:bookmarkEnd w:id="25"/>
      <w:bookmarkEnd w:id="26"/>
      <w:r w:rsidRPr="007113DA">
        <w:rPr>
          <w:lang w:val="en-CA"/>
        </w:rPr>
        <w:t>DECISION</w:t>
      </w:r>
      <w:bookmarkEnd w:id="27"/>
    </w:p>
    <w:p w14:paraId="2491E1DD" w14:textId="77777777" w:rsidR="00594BDE" w:rsidRPr="007113DA" w:rsidRDefault="002A6DA5" w:rsidP="005F44B9">
      <w:pPr>
        <w:pStyle w:val="00NormalDecision"/>
        <w:rPr>
          <w:lang w:val="en-CA"/>
        </w:rPr>
        <w:sectPr w:rsidR="00594BDE" w:rsidRPr="007113DA" w:rsidSect="000828E6">
          <w:headerReference w:type="default" r:id="rId8"/>
          <w:pgSz w:w="12240" w:h="15840"/>
          <w:pgMar w:top="2792" w:right="1080" w:bottom="2016" w:left="1440" w:header="1699" w:footer="720" w:gutter="0"/>
          <w:cols w:space="720"/>
          <w:titlePg/>
          <w:docGrid w:linePitch="326"/>
        </w:sectPr>
      </w:pPr>
      <w:bookmarkStart w:id="29" w:name="FinSection2"/>
      <w:bookmarkEnd w:id="29"/>
    </w:p>
    <w:p w14:paraId="0B92ADA3" w14:textId="77777777" w:rsidR="005F44B9" w:rsidRPr="007113DA" w:rsidRDefault="002A6DA5" w:rsidP="005F44B9">
      <w:pPr>
        <w:pStyle w:val="00NormalDecision"/>
        <w:rPr>
          <w:lang w:val="en-CA"/>
        </w:rPr>
        <w:sectPr w:rsidR="005F44B9" w:rsidRPr="007113DA" w:rsidSect="00594BDE">
          <w:type w:val="continuous"/>
          <w:pgSz w:w="12240" w:h="15840"/>
          <w:pgMar w:top="2792" w:right="1080" w:bottom="2016" w:left="1440" w:header="1699" w:footer="720" w:gutter="0"/>
          <w:cols w:space="720"/>
        </w:sectPr>
      </w:pPr>
    </w:p>
    <w:p w14:paraId="151BEB3B" w14:textId="77777777" w:rsidR="005F44B9" w:rsidRPr="007113DA" w:rsidRDefault="002A6DA5" w:rsidP="005F44B9">
      <w:pPr>
        <w:pStyle w:val="16Invisible2"/>
        <w:rPr>
          <w:lang w:val="en-CA"/>
        </w:rPr>
        <w:sectPr w:rsidR="005F44B9" w:rsidRPr="007113DA" w:rsidSect="00594BDE">
          <w:type w:val="continuous"/>
          <w:pgSz w:w="12240" w:h="15840"/>
          <w:pgMar w:top="2792" w:right="1080" w:bottom="2016" w:left="1440" w:header="1699" w:footer="720" w:gutter="0"/>
          <w:cols w:space="720"/>
        </w:sectPr>
      </w:pPr>
    </w:p>
    <w:p w14:paraId="6B1C05EE" w14:textId="3C377A84" w:rsidR="00382288" w:rsidRPr="007113DA" w:rsidRDefault="00E559F9" w:rsidP="00594BDE">
      <w:pPr>
        <w:pStyle w:val="F02-Texte"/>
        <w:rPr>
          <w:lang w:val="en-CA"/>
        </w:rPr>
      </w:pPr>
      <w:bookmarkStart w:id="30" w:name="lt_pId018"/>
      <w:r w:rsidRPr="007113DA">
        <w:rPr>
          <w:lang w:val="en-CA"/>
        </w:rPr>
        <w:t>The applicant contest</w:t>
      </w:r>
      <w:r w:rsidR="00733ECE" w:rsidRPr="007113DA">
        <w:rPr>
          <w:lang w:val="en-CA"/>
        </w:rPr>
        <w:t>s</w:t>
      </w:r>
      <w:r w:rsidRPr="007113DA">
        <w:rPr>
          <w:lang w:val="en-CA"/>
        </w:rPr>
        <w:t xml:space="preserve"> a review decision rendered by the respondent (the SAAQ) on September 12, 2019.</w:t>
      </w:r>
      <w:bookmarkEnd w:id="30"/>
      <w:r w:rsidR="000D541D" w:rsidRPr="007113DA">
        <w:rPr>
          <w:lang w:val="en-CA"/>
        </w:rPr>
        <w:t xml:space="preserve"> </w:t>
      </w:r>
      <w:bookmarkStart w:id="31" w:name="lt_pId019"/>
      <w:r w:rsidRPr="007113DA">
        <w:rPr>
          <w:lang w:val="en-CA"/>
        </w:rPr>
        <w:t xml:space="preserve">That decision upheld the refusal to reimburse </w:t>
      </w:r>
      <w:r w:rsidR="00AB775A">
        <w:rPr>
          <w:lang w:val="en-CA"/>
        </w:rPr>
        <w:t xml:space="preserve">the cost of replacing </w:t>
      </w:r>
      <w:r w:rsidRPr="007113DA">
        <w:rPr>
          <w:lang w:val="en-CA"/>
        </w:rPr>
        <w:t>a hot plate and a built-in oven.</w:t>
      </w:r>
      <w:bookmarkEnd w:id="31"/>
    </w:p>
    <w:p w14:paraId="2D1C70F3" w14:textId="40788219" w:rsidR="006F053F" w:rsidRPr="007113DA" w:rsidRDefault="00E559F9" w:rsidP="00594BDE">
      <w:pPr>
        <w:pStyle w:val="F02-Texte"/>
        <w:rPr>
          <w:lang w:val="en-CA"/>
        </w:rPr>
      </w:pPr>
      <w:bookmarkStart w:id="32" w:name="lt_pId020"/>
      <w:r w:rsidRPr="007113DA">
        <w:rPr>
          <w:lang w:val="en-CA"/>
        </w:rPr>
        <w:t xml:space="preserve">The SAAQ </w:t>
      </w:r>
      <w:r w:rsidR="00DB5DF7">
        <w:rPr>
          <w:lang w:val="en-CA"/>
        </w:rPr>
        <w:t xml:space="preserve">argues </w:t>
      </w:r>
      <w:r w:rsidRPr="007113DA">
        <w:rPr>
          <w:lang w:val="en-CA"/>
        </w:rPr>
        <w:t xml:space="preserve">that they </w:t>
      </w:r>
      <w:r w:rsidR="00DB5DF7">
        <w:rPr>
          <w:lang w:val="en-CA"/>
        </w:rPr>
        <w:t>are</w:t>
      </w:r>
      <w:r w:rsidR="00DB5DF7" w:rsidRPr="007113DA">
        <w:rPr>
          <w:lang w:val="en-CA"/>
        </w:rPr>
        <w:t xml:space="preserve"> </w:t>
      </w:r>
      <w:r w:rsidRPr="007113DA">
        <w:rPr>
          <w:lang w:val="en-CA"/>
        </w:rPr>
        <w:t>special</w:t>
      </w:r>
      <w:r w:rsidR="00453000" w:rsidRPr="007113DA">
        <w:rPr>
          <w:lang w:val="en-CA"/>
        </w:rPr>
        <w:t>ized</w:t>
      </w:r>
      <w:r w:rsidRPr="007113DA">
        <w:rPr>
          <w:lang w:val="en-CA"/>
        </w:rPr>
        <w:t xml:space="preserve"> household appliances </w:t>
      </w:r>
      <w:r w:rsidR="00DB5DF7">
        <w:rPr>
          <w:lang w:val="en-CA"/>
        </w:rPr>
        <w:t xml:space="preserve">for </w:t>
      </w:r>
      <w:r w:rsidRPr="007113DA">
        <w:rPr>
          <w:lang w:val="en-CA"/>
        </w:rPr>
        <w:t>which only the re</w:t>
      </w:r>
      <w:r w:rsidR="00453000" w:rsidRPr="007113DA">
        <w:rPr>
          <w:lang w:val="en-CA"/>
        </w:rPr>
        <w:t>imbursement of the initial purchase</w:t>
      </w:r>
      <w:r w:rsidRPr="007113DA">
        <w:rPr>
          <w:lang w:val="en-CA"/>
        </w:rPr>
        <w:t xml:space="preserve"> </w:t>
      </w:r>
      <w:proofErr w:type="gramStart"/>
      <w:r w:rsidRPr="007113DA">
        <w:rPr>
          <w:lang w:val="en-CA"/>
        </w:rPr>
        <w:t>is covered</w:t>
      </w:r>
      <w:proofErr w:type="gramEnd"/>
      <w:r w:rsidRPr="007113DA">
        <w:rPr>
          <w:lang w:val="en-CA"/>
        </w:rPr>
        <w:t xml:space="preserve"> by the home adaptation guideline.</w:t>
      </w:r>
      <w:bookmarkEnd w:id="32"/>
      <w:r w:rsidR="000D541D" w:rsidRPr="007113DA">
        <w:rPr>
          <w:lang w:val="en-CA"/>
        </w:rPr>
        <w:t xml:space="preserve"> </w:t>
      </w:r>
      <w:bookmarkStart w:id="33" w:name="lt_pId021"/>
      <w:r w:rsidRPr="007113DA">
        <w:rPr>
          <w:lang w:val="en-CA"/>
        </w:rPr>
        <w:t xml:space="preserve">The replacement </w:t>
      </w:r>
      <w:r w:rsidR="00453000" w:rsidRPr="007113DA">
        <w:rPr>
          <w:lang w:val="en-CA"/>
        </w:rPr>
        <w:t xml:space="preserve">cost </w:t>
      </w:r>
      <w:r w:rsidRPr="007113DA">
        <w:rPr>
          <w:lang w:val="en-CA"/>
        </w:rPr>
        <w:t>is borne by the citizen.</w:t>
      </w:r>
      <w:bookmarkEnd w:id="33"/>
    </w:p>
    <w:p w14:paraId="3725ECED" w14:textId="1C2A8C1B" w:rsidR="00594BDE" w:rsidRPr="007113DA" w:rsidRDefault="00E559F9" w:rsidP="00594BDE">
      <w:pPr>
        <w:pStyle w:val="F02-Texte"/>
        <w:rPr>
          <w:lang w:val="en-CA"/>
        </w:rPr>
      </w:pPr>
      <w:bookmarkStart w:id="34" w:name="lt_pId022"/>
      <w:r w:rsidRPr="007113DA">
        <w:rPr>
          <w:lang w:val="en-CA"/>
        </w:rPr>
        <w:t xml:space="preserve">The applicant submits that the guideline is </w:t>
      </w:r>
      <w:r w:rsidR="002D0F48">
        <w:rPr>
          <w:lang w:val="en-CA"/>
        </w:rPr>
        <w:t>logically incoherent</w:t>
      </w:r>
      <w:r w:rsidR="002D0F48" w:rsidRPr="007113DA">
        <w:rPr>
          <w:lang w:val="en-CA"/>
        </w:rPr>
        <w:t xml:space="preserve"> </w:t>
      </w:r>
      <w:r w:rsidRPr="007113DA">
        <w:rPr>
          <w:lang w:val="en-CA"/>
        </w:rPr>
        <w:t>and that had it</w:t>
      </w:r>
      <w:r w:rsidR="003F7CFB" w:rsidRPr="007113DA">
        <w:rPr>
          <w:lang w:val="en-CA"/>
        </w:rPr>
        <w:t xml:space="preserve"> not been for his accident, he c</w:t>
      </w:r>
      <w:r w:rsidRPr="007113DA">
        <w:rPr>
          <w:lang w:val="en-CA"/>
        </w:rPr>
        <w:t xml:space="preserve">ould </w:t>
      </w:r>
      <w:r w:rsidR="003F7CFB" w:rsidRPr="007113DA">
        <w:rPr>
          <w:lang w:val="en-CA"/>
        </w:rPr>
        <w:t xml:space="preserve">have </w:t>
      </w:r>
      <w:r w:rsidR="00453000" w:rsidRPr="007113DA">
        <w:rPr>
          <w:lang w:val="en-CA"/>
        </w:rPr>
        <w:t>purchased</w:t>
      </w:r>
      <w:r w:rsidRPr="007113DA">
        <w:rPr>
          <w:lang w:val="en-CA"/>
        </w:rPr>
        <w:t xml:space="preserve"> standard </w:t>
      </w:r>
      <w:r w:rsidR="003F7CFB" w:rsidRPr="007113DA">
        <w:rPr>
          <w:lang w:val="en-CA"/>
        </w:rPr>
        <w:t xml:space="preserve">and possibly less expensive </w:t>
      </w:r>
      <w:r w:rsidR="00733ECE" w:rsidRPr="007113DA">
        <w:rPr>
          <w:lang w:val="en-CA"/>
        </w:rPr>
        <w:t>household</w:t>
      </w:r>
      <w:r w:rsidRPr="007113DA">
        <w:rPr>
          <w:lang w:val="en-CA"/>
        </w:rPr>
        <w:t xml:space="preserve"> appliances.</w:t>
      </w:r>
      <w:bookmarkEnd w:id="34"/>
    </w:p>
    <w:p w14:paraId="44FF00FC" w14:textId="77777777" w:rsidR="00594BDE" w:rsidRPr="007113DA" w:rsidRDefault="00E559F9" w:rsidP="006F053F">
      <w:pPr>
        <w:pStyle w:val="F02-Texte"/>
        <w:numPr>
          <w:ilvl w:val="0"/>
          <w:numId w:val="0"/>
        </w:numPr>
        <w:rPr>
          <w:lang w:val="en-CA"/>
        </w:rPr>
      </w:pPr>
      <w:bookmarkStart w:id="35" w:name="lt_pId023"/>
      <w:r w:rsidRPr="007113DA">
        <w:rPr>
          <w:lang w:val="en-CA"/>
        </w:rPr>
        <w:t>BACKGROUND</w:t>
      </w:r>
      <w:bookmarkEnd w:id="35"/>
    </w:p>
    <w:p w14:paraId="05D5A8EE" w14:textId="2C734063" w:rsidR="00594BDE" w:rsidRPr="007113DA" w:rsidRDefault="00E559F9" w:rsidP="00594BDE">
      <w:pPr>
        <w:pStyle w:val="F02-Texte"/>
        <w:rPr>
          <w:lang w:val="en-CA"/>
        </w:rPr>
      </w:pPr>
      <w:bookmarkStart w:id="36" w:name="lt_pId024"/>
      <w:r w:rsidRPr="007113DA">
        <w:rPr>
          <w:lang w:val="en-CA"/>
        </w:rPr>
        <w:t xml:space="preserve">The applicant was the victim of a motor vehicle </w:t>
      </w:r>
      <w:r w:rsidR="00187254" w:rsidRPr="007113DA">
        <w:rPr>
          <w:lang w:val="en-CA"/>
        </w:rPr>
        <w:t>accident</w:t>
      </w:r>
      <w:r w:rsidRPr="007113DA">
        <w:rPr>
          <w:lang w:val="en-CA"/>
        </w:rPr>
        <w:t xml:space="preserve"> in 1988 when he was 16 years old.</w:t>
      </w:r>
      <w:bookmarkEnd w:id="36"/>
      <w:r w:rsidR="000D541D" w:rsidRPr="007113DA">
        <w:rPr>
          <w:lang w:val="en-CA"/>
        </w:rPr>
        <w:t xml:space="preserve"> </w:t>
      </w:r>
      <w:bookmarkStart w:id="37" w:name="lt_pId025"/>
      <w:r w:rsidRPr="007113DA">
        <w:rPr>
          <w:lang w:val="en-CA"/>
        </w:rPr>
        <w:t>The accident caused a thoracic spine fracture</w:t>
      </w:r>
      <w:r w:rsidR="00187254" w:rsidRPr="007113DA">
        <w:rPr>
          <w:lang w:val="en-CA"/>
        </w:rPr>
        <w:t>,</w:t>
      </w:r>
      <w:r w:rsidRPr="007113DA">
        <w:rPr>
          <w:lang w:val="en-CA"/>
        </w:rPr>
        <w:t xml:space="preserve"> which resulted in a paraplegia.</w:t>
      </w:r>
      <w:bookmarkEnd w:id="37"/>
    </w:p>
    <w:p w14:paraId="70BE5CB8" w14:textId="6EF43294" w:rsidR="006F053F" w:rsidRPr="007113DA" w:rsidRDefault="00E559F9" w:rsidP="00594BDE">
      <w:pPr>
        <w:pStyle w:val="F02-Texte"/>
        <w:rPr>
          <w:lang w:val="en-CA"/>
        </w:rPr>
      </w:pPr>
      <w:bookmarkStart w:id="38" w:name="lt_pId026"/>
      <w:r w:rsidRPr="007113DA">
        <w:rPr>
          <w:lang w:val="en-CA"/>
        </w:rPr>
        <w:t xml:space="preserve">On May 30, 2005, an occupational therapist prepared a </w:t>
      </w:r>
      <w:r w:rsidR="00733ECE" w:rsidRPr="007113DA">
        <w:rPr>
          <w:lang w:val="en-CA"/>
        </w:rPr>
        <w:t>home</w:t>
      </w:r>
      <w:r w:rsidRPr="007113DA">
        <w:rPr>
          <w:lang w:val="en-CA"/>
        </w:rPr>
        <w:t xml:space="preserve"> </w:t>
      </w:r>
      <w:r w:rsidR="00BA7486" w:rsidRPr="007113DA">
        <w:rPr>
          <w:lang w:val="en-CA"/>
        </w:rPr>
        <w:t>modifications</w:t>
      </w:r>
      <w:r w:rsidRPr="007113DA">
        <w:rPr>
          <w:lang w:val="en-CA"/>
        </w:rPr>
        <w:t xml:space="preserve"> report in the context of an </w:t>
      </w:r>
      <w:r w:rsidR="00733ECE" w:rsidRPr="007113DA">
        <w:rPr>
          <w:lang w:val="en-CA"/>
        </w:rPr>
        <w:t xml:space="preserve">adaptation </w:t>
      </w:r>
      <w:r w:rsidRPr="007113DA">
        <w:rPr>
          <w:lang w:val="en-CA"/>
        </w:rPr>
        <w:t xml:space="preserve">of the </w:t>
      </w:r>
      <w:r w:rsidR="00733ECE" w:rsidRPr="007113DA">
        <w:rPr>
          <w:lang w:val="en-CA"/>
        </w:rPr>
        <w:t>applicant’s</w:t>
      </w:r>
      <w:r w:rsidRPr="007113DA">
        <w:rPr>
          <w:lang w:val="en-CA"/>
        </w:rPr>
        <w:t xml:space="preserve"> future home.</w:t>
      </w:r>
      <w:bookmarkEnd w:id="38"/>
      <w:r w:rsidR="000D541D" w:rsidRPr="007113DA">
        <w:rPr>
          <w:lang w:val="en-CA"/>
        </w:rPr>
        <w:t xml:space="preserve"> </w:t>
      </w:r>
      <w:bookmarkStart w:id="39" w:name="lt_pId027"/>
      <w:r w:rsidRPr="007113DA">
        <w:rPr>
          <w:lang w:val="en-CA"/>
        </w:rPr>
        <w:t xml:space="preserve">In terms of the </w:t>
      </w:r>
      <w:r w:rsidR="00BA7486" w:rsidRPr="007113DA">
        <w:rPr>
          <w:lang w:val="en-CA"/>
        </w:rPr>
        <w:t>layout</w:t>
      </w:r>
      <w:r w:rsidRPr="007113DA">
        <w:rPr>
          <w:lang w:val="en-CA"/>
        </w:rPr>
        <w:t xml:space="preserve"> of the kitchen, the report </w:t>
      </w:r>
      <w:r w:rsidR="00733ECE" w:rsidRPr="007113DA">
        <w:rPr>
          <w:lang w:val="en-CA"/>
        </w:rPr>
        <w:t>recommend</w:t>
      </w:r>
      <w:r w:rsidR="00BA7486" w:rsidRPr="007113DA">
        <w:rPr>
          <w:lang w:val="en-CA"/>
        </w:rPr>
        <w:t>ed</w:t>
      </w:r>
      <w:r w:rsidRPr="007113DA">
        <w:rPr>
          <w:lang w:val="en-CA"/>
        </w:rPr>
        <w:t>, in particular, the installation “[</w:t>
      </w:r>
      <w:r w:rsidRPr="007113DA">
        <w:rPr>
          <w:smallCaps/>
          <w:lang w:val="en-CA"/>
        </w:rPr>
        <w:t>translation</w:t>
      </w:r>
      <w:r w:rsidR="00BA7486" w:rsidRPr="007113DA">
        <w:rPr>
          <w:lang w:val="en-CA"/>
        </w:rPr>
        <w:t>] “of a built-in oven</w:t>
      </w:r>
      <w:r w:rsidRPr="007113DA">
        <w:rPr>
          <w:lang w:val="en-CA"/>
        </w:rPr>
        <w:t xml:space="preserve"> (with </w:t>
      </w:r>
      <w:r w:rsidR="00BA7486" w:rsidRPr="007113DA">
        <w:rPr>
          <w:lang w:val="en-CA"/>
        </w:rPr>
        <w:t>side opening</w:t>
      </w:r>
      <w:r w:rsidRPr="007113DA">
        <w:rPr>
          <w:lang w:val="en-CA"/>
        </w:rPr>
        <w:t xml:space="preserve"> door)” and [</w:t>
      </w:r>
      <w:r w:rsidRPr="007113DA">
        <w:rPr>
          <w:smallCaps/>
          <w:lang w:val="en-CA"/>
        </w:rPr>
        <w:t>translation</w:t>
      </w:r>
      <w:r w:rsidRPr="007113DA">
        <w:rPr>
          <w:lang w:val="en-CA"/>
        </w:rPr>
        <w:t>] “a hot plate (</w:t>
      </w:r>
      <w:r w:rsidR="00BA7486" w:rsidRPr="007113DA">
        <w:rPr>
          <w:lang w:val="en-CA"/>
        </w:rPr>
        <w:t>with</w:t>
      </w:r>
      <w:r w:rsidRPr="007113DA">
        <w:rPr>
          <w:lang w:val="en-CA"/>
        </w:rPr>
        <w:t xml:space="preserve"> front</w:t>
      </w:r>
      <w:r w:rsidR="00803191">
        <w:rPr>
          <w:lang w:val="en-CA"/>
        </w:rPr>
        <w:t>-mounted</w:t>
      </w:r>
      <w:r w:rsidRPr="007113DA">
        <w:rPr>
          <w:lang w:val="en-CA"/>
        </w:rPr>
        <w:t xml:space="preserve"> </w:t>
      </w:r>
      <w:r w:rsidR="00BA7486" w:rsidRPr="007113DA">
        <w:rPr>
          <w:lang w:val="en-CA"/>
        </w:rPr>
        <w:t>controls</w:t>
      </w:r>
      <w:r w:rsidR="00E50664">
        <w:rPr>
          <w:lang w:val="en-CA"/>
        </w:rPr>
        <w:t>)</w:t>
      </w:r>
      <w:r w:rsidRPr="007113DA">
        <w:rPr>
          <w:lang w:val="en-CA"/>
        </w:rPr>
        <w:t>”.</w:t>
      </w:r>
      <w:r w:rsidR="000D541D" w:rsidRPr="007113DA">
        <w:rPr>
          <w:rStyle w:val="Appelnotedebasdep"/>
          <w:lang w:val="en-CA"/>
        </w:rPr>
        <w:footnoteReference w:id="1"/>
      </w:r>
      <w:bookmarkEnd w:id="39"/>
      <w:r w:rsidR="000D541D" w:rsidRPr="007113DA">
        <w:rPr>
          <w:lang w:val="en-CA"/>
        </w:rPr>
        <w:t xml:space="preserve"> </w:t>
      </w:r>
    </w:p>
    <w:p w14:paraId="51F7E9C4" w14:textId="5FC36217" w:rsidR="006F053F" w:rsidRPr="007113DA" w:rsidRDefault="00E559F9" w:rsidP="00594BDE">
      <w:pPr>
        <w:pStyle w:val="F02-Texte"/>
        <w:rPr>
          <w:lang w:val="en-CA"/>
        </w:rPr>
      </w:pPr>
      <w:bookmarkStart w:id="41" w:name="lt_pId028"/>
      <w:r w:rsidRPr="007113DA">
        <w:rPr>
          <w:lang w:val="en-CA"/>
        </w:rPr>
        <w:t xml:space="preserve">These recommendations </w:t>
      </w:r>
      <w:proofErr w:type="gramStart"/>
      <w:r w:rsidRPr="007113DA">
        <w:rPr>
          <w:lang w:val="en-CA"/>
        </w:rPr>
        <w:t>were accepted</w:t>
      </w:r>
      <w:proofErr w:type="gramEnd"/>
      <w:r w:rsidRPr="007113DA">
        <w:rPr>
          <w:lang w:val="en-CA"/>
        </w:rPr>
        <w:t xml:space="preserve"> by the SAAQ, which</w:t>
      </w:r>
      <w:r w:rsidR="00E50664">
        <w:rPr>
          <w:lang w:val="en-CA"/>
        </w:rPr>
        <w:t>,</w:t>
      </w:r>
      <w:r w:rsidRPr="007113DA">
        <w:rPr>
          <w:lang w:val="en-CA"/>
        </w:rPr>
        <w:t xml:space="preserve"> </w:t>
      </w:r>
      <w:r w:rsidR="00E50664" w:rsidRPr="007113DA">
        <w:rPr>
          <w:lang w:val="en-CA"/>
        </w:rPr>
        <w:t>in 2006</w:t>
      </w:r>
      <w:r w:rsidR="00E50664">
        <w:rPr>
          <w:lang w:val="en-CA"/>
        </w:rPr>
        <w:t xml:space="preserve">, </w:t>
      </w:r>
      <w:r w:rsidRPr="007113DA">
        <w:rPr>
          <w:lang w:val="en-CA"/>
        </w:rPr>
        <w:t>agreed to pay for these household appliances.</w:t>
      </w:r>
      <w:r w:rsidR="000D541D" w:rsidRPr="007113DA">
        <w:rPr>
          <w:rStyle w:val="Appelnotedebasdep"/>
          <w:lang w:val="en-CA"/>
        </w:rPr>
        <w:footnoteReference w:id="2"/>
      </w:r>
      <w:bookmarkEnd w:id="41"/>
    </w:p>
    <w:p w14:paraId="2ECFE5D6" w14:textId="2A1E0D7D" w:rsidR="00A07546" w:rsidRPr="007113DA" w:rsidRDefault="00E559F9" w:rsidP="00594BDE">
      <w:pPr>
        <w:pStyle w:val="F02-Texte"/>
        <w:rPr>
          <w:lang w:val="en-CA"/>
        </w:rPr>
      </w:pPr>
      <w:bookmarkStart w:id="43" w:name="lt_pId029"/>
      <w:r w:rsidRPr="007113DA">
        <w:rPr>
          <w:lang w:val="en-CA"/>
        </w:rPr>
        <w:t xml:space="preserve">On May 3, 2019, the applicant submitted an </w:t>
      </w:r>
      <w:r w:rsidR="00733ECE" w:rsidRPr="007113DA">
        <w:rPr>
          <w:lang w:val="en-CA"/>
        </w:rPr>
        <w:t>invoice</w:t>
      </w:r>
      <w:r w:rsidRPr="007113DA">
        <w:rPr>
          <w:lang w:val="en-CA"/>
        </w:rPr>
        <w:t xml:space="preserve"> of $3,226.17 to </w:t>
      </w:r>
      <w:proofErr w:type="gramStart"/>
      <w:r w:rsidR="00BA7486" w:rsidRPr="007113DA">
        <w:rPr>
          <w:lang w:val="en-CA"/>
        </w:rPr>
        <w:t>be reimbursed</w:t>
      </w:r>
      <w:proofErr w:type="gramEnd"/>
      <w:r w:rsidRPr="007113DA">
        <w:rPr>
          <w:lang w:val="en-CA"/>
        </w:rPr>
        <w:t xml:space="preserve"> for a new built-in oven and a hot plate.</w:t>
      </w:r>
      <w:bookmarkEnd w:id="43"/>
    </w:p>
    <w:p w14:paraId="78B11037" w14:textId="782C6A14" w:rsidR="006F053F" w:rsidRPr="007113DA" w:rsidRDefault="00E559F9" w:rsidP="00594BDE">
      <w:pPr>
        <w:pStyle w:val="F02-Texte"/>
        <w:rPr>
          <w:lang w:val="en-CA"/>
        </w:rPr>
      </w:pPr>
      <w:bookmarkStart w:id="44" w:name="lt_pId030"/>
      <w:r w:rsidRPr="007113DA">
        <w:rPr>
          <w:lang w:val="en-CA"/>
        </w:rPr>
        <w:lastRenderedPageBreak/>
        <w:t xml:space="preserve">At the </w:t>
      </w:r>
      <w:r w:rsidR="000D541D" w:rsidRPr="007113DA">
        <w:rPr>
          <w:lang w:val="en-CA"/>
        </w:rPr>
        <w:t>hearing</w:t>
      </w:r>
      <w:r w:rsidRPr="007113DA">
        <w:rPr>
          <w:lang w:val="en-CA"/>
        </w:rPr>
        <w:t>, the applicant explained tha</w:t>
      </w:r>
      <w:r w:rsidR="00BA7486" w:rsidRPr="007113DA">
        <w:rPr>
          <w:lang w:val="en-CA"/>
        </w:rPr>
        <w:t>t he wanted to replace his oven, which</w:t>
      </w:r>
      <w:r w:rsidRPr="007113DA">
        <w:rPr>
          <w:lang w:val="en-CA"/>
        </w:rPr>
        <w:t xml:space="preserve"> had become less efficient over time</w:t>
      </w:r>
      <w:r w:rsidR="00BA7486" w:rsidRPr="007113DA">
        <w:rPr>
          <w:lang w:val="en-CA"/>
        </w:rPr>
        <w:t>,</w:t>
      </w:r>
      <w:r w:rsidRPr="007113DA">
        <w:rPr>
          <w:lang w:val="en-CA"/>
        </w:rPr>
        <w:t xml:space="preserve"> and purchase an induction hot plate, which he </w:t>
      </w:r>
      <w:r w:rsidR="00733ECE" w:rsidRPr="007113DA">
        <w:rPr>
          <w:lang w:val="en-CA"/>
        </w:rPr>
        <w:t>considers</w:t>
      </w:r>
      <w:r w:rsidRPr="007113DA">
        <w:rPr>
          <w:lang w:val="en-CA"/>
        </w:rPr>
        <w:t xml:space="preserve"> </w:t>
      </w:r>
      <w:r w:rsidR="003F4A4E" w:rsidRPr="007113DA">
        <w:rPr>
          <w:lang w:val="en-CA"/>
        </w:rPr>
        <w:t>safer</w:t>
      </w:r>
      <w:r w:rsidRPr="007113DA">
        <w:rPr>
          <w:lang w:val="en-CA"/>
        </w:rPr>
        <w:t>.</w:t>
      </w:r>
      <w:bookmarkEnd w:id="44"/>
    </w:p>
    <w:p w14:paraId="3BC80724" w14:textId="09636E86" w:rsidR="00165652" w:rsidRPr="007113DA" w:rsidRDefault="005720FE" w:rsidP="00594BDE">
      <w:pPr>
        <w:pStyle w:val="F02-Texte"/>
        <w:rPr>
          <w:lang w:val="en-CA"/>
        </w:rPr>
      </w:pPr>
      <w:bookmarkStart w:id="45" w:name="lt_pId031"/>
      <w:r w:rsidRPr="007113DA">
        <w:rPr>
          <w:lang w:val="en-CA"/>
        </w:rPr>
        <w:t xml:space="preserve">The SAAQ refused to </w:t>
      </w:r>
      <w:r w:rsidR="00A401EF" w:rsidRPr="007113DA">
        <w:rPr>
          <w:lang w:val="en-CA"/>
        </w:rPr>
        <w:t>authorize</w:t>
      </w:r>
      <w:r w:rsidRPr="007113DA">
        <w:rPr>
          <w:lang w:val="en-CA"/>
        </w:rPr>
        <w:t xml:space="preserve"> the reimbursement on the ground that [</w:t>
      </w:r>
      <w:r w:rsidRPr="007113DA">
        <w:rPr>
          <w:smallCaps/>
          <w:lang w:val="en-CA"/>
        </w:rPr>
        <w:t>translation</w:t>
      </w:r>
      <w:r w:rsidRPr="007113DA">
        <w:rPr>
          <w:lang w:val="en-CA"/>
        </w:rPr>
        <w:t xml:space="preserve">] “the </w:t>
      </w:r>
      <w:r w:rsidR="003F4A4E" w:rsidRPr="007113DA">
        <w:rPr>
          <w:lang w:val="en-CA"/>
        </w:rPr>
        <w:t>guideline</w:t>
      </w:r>
      <w:r w:rsidRPr="007113DA">
        <w:rPr>
          <w:lang w:val="en-CA"/>
        </w:rPr>
        <w:t xml:space="preserve"> concerning home </w:t>
      </w:r>
      <w:r w:rsidR="00A401EF" w:rsidRPr="007113DA">
        <w:rPr>
          <w:lang w:val="en-CA"/>
        </w:rPr>
        <w:t>adaptation</w:t>
      </w:r>
      <w:r w:rsidRPr="007113DA">
        <w:rPr>
          <w:lang w:val="en-CA"/>
        </w:rPr>
        <w:t xml:space="preserve"> provides for only one purchase </w:t>
      </w:r>
      <w:r w:rsidR="003F4A4E" w:rsidRPr="007113DA">
        <w:rPr>
          <w:lang w:val="en-CA"/>
        </w:rPr>
        <w:t>with regard to</w:t>
      </w:r>
      <w:r w:rsidRPr="007113DA">
        <w:rPr>
          <w:lang w:val="en-CA"/>
        </w:rPr>
        <w:t xml:space="preserve"> household appliances”.</w:t>
      </w:r>
      <w:r w:rsidR="000D541D" w:rsidRPr="007113DA">
        <w:rPr>
          <w:rStyle w:val="Appelnotedebasdep"/>
          <w:lang w:val="en-CA"/>
        </w:rPr>
        <w:footnoteReference w:id="3"/>
      </w:r>
      <w:bookmarkEnd w:id="45"/>
      <w:r w:rsidR="000D541D" w:rsidRPr="007113DA">
        <w:rPr>
          <w:lang w:val="en-CA"/>
        </w:rPr>
        <w:t xml:space="preserve"> </w:t>
      </w:r>
      <w:bookmarkStart w:id="47" w:name="lt_pId032"/>
      <w:r w:rsidRPr="007113DA">
        <w:rPr>
          <w:lang w:val="en-CA"/>
        </w:rPr>
        <w:t>This decision was upheld on review, hence this proceeding.</w:t>
      </w:r>
      <w:bookmarkStart w:id="48" w:name="lt_pId033"/>
      <w:bookmarkEnd w:id="47"/>
      <w:bookmarkEnd w:id="48"/>
    </w:p>
    <w:p w14:paraId="03C6BEFB" w14:textId="6449BD73" w:rsidR="009E062F" w:rsidRPr="007113DA" w:rsidRDefault="003F4A4E" w:rsidP="009E062F">
      <w:pPr>
        <w:pStyle w:val="F02-Texte"/>
        <w:numPr>
          <w:ilvl w:val="0"/>
          <w:numId w:val="0"/>
        </w:numPr>
        <w:rPr>
          <w:lang w:val="en-CA"/>
        </w:rPr>
      </w:pPr>
      <w:r w:rsidRPr="007113DA">
        <w:rPr>
          <w:lang w:val="en-CA"/>
        </w:rPr>
        <w:t>GUIDELINE</w:t>
      </w:r>
    </w:p>
    <w:p w14:paraId="7A9960EC" w14:textId="6D110348" w:rsidR="006F053F" w:rsidRPr="007113DA" w:rsidRDefault="005720FE" w:rsidP="00594BDE">
      <w:pPr>
        <w:pStyle w:val="F02-Texte"/>
        <w:rPr>
          <w:lang w:val="en-CA"/>
        </w:rPr>
      </w:pPr>
      <w:bookmarkStart w:id="49" w:name="lt_pId034"/>
      <w:r w:rsidRPr="007113DA">
        <w:rPr>
          <w:lang w:val="en-CA"/>
        </w:rPr>
        <w:t>The Tribunal reproduces below the relevant excerpts of the home adaptation</w:t>
      </w:r>
      <w:r w:rsidR="003F4A4E" w:rsidRPr="007113DA">
        <w:rPr>
          <w:lang w:val="en-CA"/>
        </w:rPr>
        <w:t xml:space="preserve"> guideline</w:t>
      </w:r>
      <w:r w:rsidRPr="007113DA">
        <w:rPr>
          <w:lang w:val="en-CA"/>
        </w:rPr>
        <w:t>.</w:t>
      </w:r>
      <w:r w:rsidR="000D541D" w:rsidRPr="007113DA">
        <w:rPr>
          <w:rStyle w:val="Appelnotedebasdep"/>
          <w:lang w:val="en-CA"/>
        </w:rPr>
        <w:footnoteReference w:id="4"/>
      </w:r>
      <w:bookmarkEnd w:id="49"/>
      <w:r w:rsidR="000D541D" w:rsidRPr="007113DA">
        <w:rPr>
          <w:lang w:val="en-CA"/>
        </w:rPr>
        <w:t xml:space="preserve"> </w:t>
      </w:r>
    </w:p>
    <w:p w14:paraId="69283159" w14:textId="4510D030" w:rsidR="009E062F" w:rsidRPr="007113DA" w:rsidRDefault="005720FE" w:rsidP="00594BDE">
      <w:pPr>
        <w:pStyle w:val="F02-Texte"/>
        <w:rPr>
          <w:lang w:val="en-CA"/>
        </w:rPr>
      </w:pPr>
      <w:bookmarkStart w:id="51" w:name="lt_pId035"/>
      <w:r w:rsidRPr="007113DA">
        <w:rPr>
          <w:lang w:val="en-CA"/>
        </w:rPr>
        <w:t>The definition of a special</w:t>
      </w:r>
      <w:r w:rsidR="003F4A4E" w:rsidRPr="007113DA">
        <w:rPr>
          <w:lang w:val="en-CA"/>
        </w:rPr>
        <w:t>ized</w:t>
      </w:r>
      <w:r w:rsidRPr="007113DA">
        <w:rPr>
          <w:lang w:val="en-CA"/>
        </w:rPr>
        <w:t xml:space="preserve"> household appliance is found in section 5.1.4.1:</w:t>
      </w:r>
      <w:bookmarkEnd w:id="51"/>
    </w:p>
    <w:p w14:paraId="45FA07A9" w14:textId="582D0F07" w:rsidR="009E062F" w:rsidRPr="007113DA" w:rsidRDefault="0052396D" w:rsidP="009E062F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52" w:name="lt_pId036"/>
      <w:r w:rsidRPr="007113DA">
        <w:rPr>
          <w:sz w:val="22"/>
          <w:szCs w:val="22"/>
          <w:lang w:val="en-CA"/>
        </w:rPr>
        <w:t>[</w:t>
      </w:r>
      <w:r w:rsidRPr="007113DA">
        <w:rPr>
          <w:smallCaps/>
          <w:sz w:val="22"/>
          <w:szCs w:val="22"/>
          <w:lang w:val="en-CA"/>
        </w:rPr>
        <w:t>translation</w:t>
      </w:r>
      <w:r w:rsidRPr="007113DA">
        <w:rPr>
          <w:sz w:val="22"/>
          <w:szCs w:val="22"/>
          <w:lang w:val="en-CA"/>
        </w:rPr>
        <w:t xml:space="preserve">] </w:t>
      </w:r>
      <w:r w:rsidRPr="007113DA">
        <w:rPr>
          <w:sz w:val="22"/>
          <w:szCs w:val="22"/>
          <w:lang w:val="en-CA"/>
        </w:rPr>
        <w:br/>
        <w:t>Speci</w:t>
      </w:r>
      <w:r w:rsidR="00BB08B6" w:rsidRPr="007113DA">
        <w:rPr>
          <w:sz w:val="22"/>
          <w:szCs w:val="22"/>
          <w:lang w:val="en-CA"/>
        </w:rPr>
        <w:t>a</w:t>
      </w:r>
      <w:r w:rsidRPr="007113DA">
        <w:rPr>
          <w:sz w:val="22"/>
          <w:szCs w:val="22"/>
          <w:lang w:val="en-CA"/>
        </w:rPr>
        <w:t>l</w:t>
      </w:r>
      <w:r w:rsidR="00BB08B6" w:rsidRPr="007113DA">
        <w:rPr>
          <w:sz w:val="22"/>
          <w:szCs w:val="22"/>
          <w:lang w:val="en-CA"/>
        </w:rPr>
        <w:t xml:space="preserve">ized household appliance: A household appliance is defined as specialized when it has special </w:t>
      </w:r>
      <w:r w:rsidR="003F4A4E" w:rsidRPr="007113DA">
        <w:rPr>
          <w:sz w:val="22"/>
          <w:szCs w:val="22"/>
          <w:lang w:val="en-CA"/>
        </w:rPr>
        <w:t>features</w:t>
      </w:r>
      <w:r w:rsidR="00BB08B6" w:rsidRPr="007113DA">
        <w:rPr>
          <w:sz w:val="22"/>
          <w:szCs w:val="22"/>
          <w:lang w:val="en-CA"/>
        </w:rPr>
        <w:t xml:space="preserve"> </w:t>
      </w:r>
      <w:r w:rsidR="00E50664">
        <w:rPr>
          <w:sz w:val="22"/>
          <w:szCs w:val="22"/>
          <w:lang w:val="en-CA"/>
        </w:rPr>
        <w:t>necessary for its use</w:t>
      </w:r>
      <w:r w:rsidR="00C85F87">
        <w:rPr>
          <w:sz w:val="22"/>
          <w:szCs w:val="22"/>
          <w:lang w:val="en-CA"/>
        </w:rPr>
        <w:t xml:space="preserve"> by </w:t>
      </w:r>
      <w:r w:rsidR="000D2649">
        <w:rPr>
          <w:sz w:val="22"/>
          <w:szCs w:val="22"/>
          <w:lang w:val="en-CA"/>
        </w:rPr>
        <w:t xml:space="preserve">the </w:t>
      </w:r>
      <w:r w:rsidR="000D2649" w:rsidRPr="007113DA">
        <w:rPr>
          <w:sz w:val="22"/>
          <w:szCs w:val="22"/>
          <w:lang w:val="en-CA"/>
        </w:rPr>
        <w:t>accident</w:t>
      </w:r>
      <w:r w:rsidR="00BB08B6" w:rsidRPr="007113DA">
        <w:rPr>
          <w:sz w:val="22"/>
          <w:szCs w:val="22"/>
          <w:lang w:val="en-CA"/>
        </w:rPr>
        <w:t xml:space="preserve"> victim.</w:t>
      </w:r>
      <w:bookmarkEnd w:id="52"/>
      <w:r w:rsidR="000D541D" w:rsidRPr="007113DA">
        <w:rPr>
          <w:sz w:val="22"/>
          <w:szCs w:val="22"/>
          <w:lang w:val="en-CA"/>
        </w:rPr>
        <w:t xml:space="preserve"> </w:t>
      </w:r>
      <w:bookmarkStart w:id="53" w:name="lt_pId037"/>
      <w:r w:rsidR="00BB08B6" w:rsidRPr="007113DA">
        <w:rPr>
          <w:sz w:val="22"/>
          <w:szCs w:val="22"/>
          <w:lang w:val="en-CA"/>
        </w:rPr>
        <w:t>For example, a hot plate with front</w:t>
      </w:r>
      <w:r w:rsidR="00803191">
        <w:rPr>
          <w:sz w:val="22"/>
          <w:szCs w:val="22"/>
          <w:lang w:val="en-CA"/>
        </w:rPr>
        <w:t>-mounted</w:t>
      </w:r>
      <w:r w:rsidR="00BB08B6" w:rsidRPr="007113DA">
        <w:rPr>
          <w:sz w:val="22"/>
          <w:szCs w:val="22"/>
          <w:lang w:val="en-CA"/>
        </w:rPr>
        <w:t xml:space="preserve"> controls, a built-in oven with side opening, and a front</w:t>
      </w:r>
      <w:r w:rsidR="00803191">
        <w:rPr>
          <w:sz w:val="22"/>
          <w:szCs w:val="22"/>
          <w:lang w:val="en-CA"/>
        </w:rPr>
        <w:t>-</w:t>
      </w:r>
      <w:r w:rsidR="00BB08B6" w:rsidRPr="007113DA">
        <w:rPr>
          <w:sz w:val="22"/>
          <w:szCs w:val="22"/>
          <w:lang w:val="en-CA"/>
        </w:rPr>
        <w:t>loading washer and dryer.</w:t>
      </w:r>
      <w:bookmarkEnd w:id="53"/>
      <w:r w:rsidR="000D541D" w:rsidRPr="007113DA">
        <w:rPr>
          <w:sz w:val="22"/>
          <w:szCs w:val="22"/>
          <w:lang w:val="en-CA"/>
        </w:rPr>
        <w:t xml:space="preserve"> </w:t>
      </w:r>
      <w:bookmarkStart w:id="54" w:name="lt_pId038"/>
      <w:r w:rsidR="00BB08B6" w:rsidRPr="007113DA">
        <w:rPr>
          <w:sz w:val="22"/>
          <w:szCs w:val="22"/>
          <w:lang w:val="en-CA"/>
        </w:rPr>
        <w:t>Refer to 5.2.5.2 for the eligibility requ</w:t>
      </w:r>
      <w:r w:rsidRPr="007113DA">
        <w:rPr>
          <w:sz w:val="22"/>
          <w:szCs w:val="22"/>
          <w:lang w:val="en-CA"/>
        </w:rPr>
        <w:t>i</w:t>
      </w:r>
      <w:r w:rsidR="00BB08B6" w:rsidRPr="007113DA">
        <w:rPr>
          <w:sz w:val="22"/>
          <w:szCs w:val="22"/>
          <w:lang w:val="en-CA"/>
        </w:rPr>
        <w:t>rements.</w:t>
      </w:r>
      <w:bookmarkEnd w:id="54"/>
      <w:r w:rsidRPr="007113DA">
        <w:rPr>
          <w:sz w:val="22"/>
          <w:szCs w:val="22"/>
          <w:lang w:val="en-CA"/>
        </w:rPr>
        <w:t> </w:t>
      </w:r>
    </w:p>
    <w:p w14:paraId="2404C08D" w14:textId="069330FD" w:rsidR="009E062F" w:rsidRPr="007113DA" w:rsidRDefault="00EB7919" w:rsidP="00594BDE">
      <w:pPr>
        <w:pStyle w:val="F02-Texte"/>
        <w:rPr>
          <w:lang w:val="en-CA"/>
        </w:rPr>
      </w:pPr>
      <w:bookmarkStart w:id="55" w:name="lt_pId040"/>
      <w:r>
        <w:rPr>
          <w:lang w:val="en-CA"/>
        </w:rPr>
        <w:t xml:space="preserve">Later, </w:t>
      </w:r>
      <w:r w:rsidR="00BB08B6" w:rsidRPr="007113DA">
        <w:rPr>
          <w:lang w:val="en-CA"/>
        </w:rPr>
        <w:t>section 5.2.5.2</w:t>
      </w:r>
      <w:r w:rsidR="000D2649">
        <w:rPr>
          <w:lang w:val="en-CA"/>
        </w:rPr>
        <w:t>,</w:t>
      </w:r>
      <w:r w:rsidR="00BB08B6" w:rsidRPr="007113DA">
        <w:rPr>
          <w:lang w:val="en-CA"/>
        </w:rPr>
        <w:t xml:space="preserve"> concerning </w:t>
      </w:r>
      <w:r w:rsidR="0052396D" w:rsidRPr="007113DA">
        <w:rPr>
          <w:lang w:val="en-CA"/>
        </w:rPr>
        <w:t>adaptation</w:t>
      </w:r>
      <w:r w:rsidR="00BB08B6" w:rsidRPr="007113DA">
        <w:rPr>
          <w:lang w:val="en-CA"/>
        </w:rPr>
        <w:t xml:space="preserve"> to meet permanent needs</w:t>
      </w:r>
      <w:r w:rsidR="000D2649">
        <w:rPr>
          <w:lang w:val="en-CA"/>
        </w:rPr>
        <w:t>,</w:t>
      </w:r>
      <w:r w:rsidR="00406DBF">
        <w:rPr>
          <w:lang w:val="en-CA"/>
        </w:rPr>
        <w:t xml:space="preserve"> states</w:t>
      </w:r>
      <w:r w:rsidR="00BB08B6" w:rsidRPr="007113DA">
        <w:rPr>
          <w:lang w:val="en-CA"/>
        </w:rPr>
        <w:t>:</w:t>
      </w:r>
      <w:bookmarkEnd w:id="55"/>
    </w:p>
    <w:p w14:paraId="655BB91D" w14:textId="76E5E91A" w:rsidR="0035330D" w:rsidRPr="007113DA" w:rsidRDefault="00BB08B6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56" w:name="lt_pId041"/>
      <w:r w:rsidRPr="007113DA">
        <w:rPr>
          <w:sz w:val="22"/>
          <w:szCs w:val="22"/>
          <w:lang w:val="en-CA"/>
        </w:rPr>
        <w:t>[</w:t>
      </w:r>
      <w:r w:rsidR="00340967" w:rsidRPr="007113DA">
        <w:rPr>
          <w:smallCaps/>
          <w:sz w:val="22"/>
          <w:szCs w:val="22"/>
          <w:lang w:val="en-CA"/>
        </w:rPr>
        <w:t>translation</w:t>
      </w:r>
      <w:r w:rsidRPr="007113DA">
        <w:rPr>
          <w:sz w:val="22"/>
          <w:szCs w:val="22"/>
          <w:lang w:val="en-CA"/>
        </w:rPr>
        <w:t xml:space="preserve">] </w:t>
      </w:r>
      <w:r w:rsidR="0052396D" w:rsidRPr="007113DA">
        <w:rPr>
          <w:sz w:val="22"/>
          <w:szCs w:val="22"/>
          <w:lang w:val="en-CA"/>
        </w:rPr>
        <w:br/>
      </w:r>
      <w:r w:rsidR="00FE53D1" w:rsidRPr="007113DA">
        <w:rPr>
          <w:sz w:val="22"/>
          <w:szCs w:val="22"/>
          <w:lang w:val="en-CA"/>
        </w:rPr>
        <w:t xml:space="preserve">Persons </w:t>
      </w:r>
      <w:proofErr w:type="gramStart"/>
      <w:r w:rsidR="00FE53D1" w:rsidRPr="007113DA">
        <w:rPr>
          <w:sz w:val="22"/>
          <w:szCs w:val="22"/>
          <w:lang w:val="en-CA"/>
        </w:rPr>
        <w:t>can be reimbursed</w:t>
      </w:r>
      <w:proofErr w:type="gramEnd"/>
      <w:r w:rsidRPr="007113DA">
        <w:rPr>
          <w:sz w:val="22"/>
          <w:szCs w:val="22"/>
          <w:lang w:val="en-CA"/>
        </w:rPr>
        <w:t>:</w:t>
      </w:r>
      <w:bookmarkEnd w:id="56"/>
    </w:p>
    <w:p w14:paraId="0AD969DA" w14:textId="3C523695" w:rsidR="0035330D" w:rsidRPr="007113DA" w:rsidRDefault="00FE53D1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r w:rsidRPr="007113DA">
        <w:rPr>
          <w:sz w:val="22"/>
          <w:szCs w:val="22"/>
          <w:lang w:val="en-CA"/>
        </w:rPr>
        <w:t>…</w:t>
      </w:r>
    </w:p>
    <w:p w14:paraId="51BE7B47" w14:textId="2FCF10AD" w:rsidR="009E062F" w:rsidRPr="007113DA" w:rsidRDefault="00BB08B6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57" w:name="lt_pId043"/>
      <w:r w:rsidRPr="007113DA">
        <w:rPr>
          <w:sz w:val="22"/>
          <w:szCs w:val="22"/>
          <w:lang w:val="en-CA"/>
        </w:rPr>
        <w:t>up to the maxim</w:t>
      </w:r>
      <w:r w:rsidR="00C51900" w:rsidRPr="007113DA">
        <w:rPr>
          <w:sz w:val="22"/>
          <w:szCs w:val="22"/>
          <w:lang w:val="en-CA"/>
        </w:rPr>
        <w:t>um</w:t>
      </w:r>
      <w:r w:rsidRPr="007113DA">
        <w:rPr>
          <w:sz w:val="22"/>
          <w:szCs w:val="22"/>
          <w:lang w:val="en-CA"/>
        </w:rPr>
        <w:t xml:space="preserve"> amount established, </w:t>
      </w:r>
      <w:r w:rsidR="00FE53D1" w:rsidRPr="007113DA">
        <w:rPr>
          <w:sz w:val="22"/>
          <w:szCs w:val="22"/>
          <w:lang w:val="en-CA"/>
        </w:rPr>
        <w:t xml:space="preserve">for </w:t>
      </w:r>
      <w:r w:rsidRPr="007113DA">
        <w:rPr>
          <w:sz w:val="22"/>
          <w:szCs w:val="22"/>
          <w:lang w:val="en-CA"/>
        </w:rPr>
        <w:t xml:space="preserve">the </w:t>
      </w:r>
      <w:r w:rsidR="00340967" w:rsidRPr="007113DA">
        <w:rPr>
          <w:sz w:val="22"/>
          <w:szCs w:val="22"/>
          <w:lang w:val="en-CA"/>
        </w:rPr>
        <w:t>purchase</w:t>
      </w:r>
      <w:r w:rsidR="00C51900" w:rsidRPr="007113DA">
        <w:rPr>
          <w:sz w:val="22"/>
          <w:szCs w:val="22"/>
          <w:lang w:val="en-CA"/>
        </w:rPr>
        <w:t xml:space="preserve"> o</w:t>
      </w:r>
      <w:r w:rsidRPr="007113DA">
        <w:rPr>
          <w:sz w:val="22"/>
          <w:szCs w:val="22"/>
          <w:lang w:val="en-CA"/>
        </w:rPr>
        <w:t xml:space="preserve">f </w:t>
      </w:r>
      <w:r w:rsidR="00340967" w:rsidRPr="007113DA">
        <w:rPr>
          <w:sz w:val="22"/>
          <w:szCs w:val="22"/>
          <w:lang w:val="en-CA"/>
        </w:rPr>
        <w:t>specialized</w:t>
      </w:r>
      <w:r w:rsidRPr="007113DA">
        <w:rPr>
          <w:sz w:val="22"/>
          <w:szCs w:val="22"/>
          <w:lang w:val="en-CA"/>
        </w:rPr>
        <w:t xml:space="preserve"> household </w:t>
      </w:r>
      <w:r w:rsidR="00340967" w:rsidRPr="007113DA">
        <w:rPr>
          <w:sz w:val="22"/>
          <w:szCs w:val="22"/>
          <w:lang w:val="en-CA"/>
        </w:rPr>
        <w:t>appliances</w:t>
      </w:r>
      <w:r w:rsidRPr="007113DA">
        <w:rPr>
          <w:sz w:val="22"/>
          <w:szCs w:val="22"/>
          <w:lang w:val="en-CA"/>
        </w:rPr>
        <w:t xml:space="preserve"> </w:t>
      </w:r>
      <w:r w:rsidR="00340967" w:rsidRPr="007113DA">
        <w:rPr>
          <w:sz w:val="22"/>
          <w:szCs w:val="22"/>
          <w:lang w:val="en-CA"/>
        </w:rPr>
        <w:t>deemed</w:t>
      </w:r>
      <w:r w:rsidRPr="007113DA">
        <w:rPr>
          <w:sz w:val="22"/>
          <w:szCs w:val="22"/>
          <w:lang w:val="en-CA"/>
        </w:rPr>
        <w:t xml:space="preserve"> </w:t>
      </w:r>
      <w:r w:rsidR="00340967" w:rsidRPr="007113DA">
        <w:rPr>
          <w:sz w:val="22"/>
          <w:szCs w:val="22"/>
          <w:lang w:val="en-CA"/>
        </w:rPr>
        <w:t>essential</w:t>
      </w:r>
      <w:r w:rsidRPr="007113DA">
        <w:rPr>
          <w:sz w:val="22"/>
          <w:szCs w:val="22"/>
          <w:lang w:val="en-CA"/>
        </w:rPr>
        <w:t xml:space="preserve"> to the person’s autonomy, without </w:t>
      </w:r>
      <w:r w:rsidR="00340967" w:rsidRPr="007113DA">
        <w:rPr>
          <w:sz w:val="22"/>
          <w:szCs w:val="22"/>
          <w:lang w:val="en-CA"/>
        </w:rPr>
        <w:t>which</w:t>
      </w:r>
      <w:r w:rsidRPr="007113DA">
        <w:rPr>
          <w:sz w:val="22"/>
          <w:szCs w:val="22"/>
          <w:lang w:val="en-CA"/>
        </w:rPr>
        <w:t xml:space="preserve"> the person wo</w:t>
      </w:r>
      <w:r w:rsidR="00340967" w:rsidRPr="007113DA">
        <w:rPr>
          <w:sz w:val="22"/>
          <w:szCs w:val="22"/>
          <w:lang w:val="en-CA"/>
        </w:rPr>
        <w:t>uld not be able to carry out th</w:t>
      </w:r>
      <w:r w:rsidRPr="007113DA">
        <w:rPr>
          <w:sz w:val="22"/>
          <w:szCs w:val="22"/>
          <w:lang w:val="en-CA"/>
        </w:rPr>
        <w:t>e</w:t>
      </w:r>
      <w:r w:rsidR="00340967" w:rsidRPr="007113DA">
        <w:rPr>
          <w:sz w:val="22"/>
          <w:szCs w:val="22"/>
          <w:lang w:val="en-CA"/>
        </w:rPr>
        <w:t xml:space="preserve"> task (th</w:t>
      </w:r>
      <w:r w:rsidRPr="007113DA">
        <w:rPr>
          <w:sz w:val="22"/>
          <w:szCs w:val="22"/>
          <w:lang w:val="en-CA"/>
        </w:rPr>
        <w:t>e</w:t>
      </w:r>
      <w:r w:rsidR="00340967" w:rsidRPr="007113DA">
        <w:rPr>
          <w:sz w:val="22"/>
          <w:szCs w:val="22"/>
          <w:lang w:val="en-CA"/>
        </w:rPr>
        <w:t xml:space="preserve"> </w:t>
      </w:r>
      <w:r w:rsidR="0052396D" w:rsidRPr="007113DA">
        <w:rPr>
          <w:sz w:val="22"/>
          <w:szCs w:val="22"/>
          <w:lang w:val="en-CA"/>
        </w:rPr>
        <w:t>person</w:t>
      </w:r>
      <w:r w:rsidRPr="007113DA">
        <w:rPr>
          <w:sz w:val="22"/>
          <w:szCs w:val="22"/>
          <w:lang w:val="en-CA"/>
        </w:rPr>
        <w:t xml:space="preserve"> must </w:t>
      </w:r>
      <w:r w:rsidR="00FE53D1" w:rsidRPr="007113DA">
        <w:rPr>
          <w:sz w:val="22"/>
          <w:szCs w:val="22"/>
          <w:lang w:val="en-CA"/>
        </w:rPr>
        <w:t>be able</w:t>
      </w:r>
      <w:r w:rsidRPr="007113DA">
        <w:rPr>
          <w:sz w:val="22"/>
          <w:szCs w:val="22"/>
          <w:lang w:val="en-CA"/>
        </w:rPr>
        <w:t xml:space="preserve"> to </w:t>
      </w:r>
      <w:r w:rsidR="00340967" w:rsidRPr="007113DA">
        <w:rPr>
          <w:sz w:val="22"/>
          <w:szCs w:val="22"/>
          <w:lang w:val="en-CA"/>
        </w:rPr>
        <w:t>carry</w:t>
      </w:r>
      <w:r w:rsidRPr="007113DA">
        <w:rPr>
          <w:sz w:val="22"/>
          <w:szCs w:val="22"/>
          <w:lang w:val="en-CA"/>
        </w:rPr>
        <w:t xml:space="preserve"> out t</w:t>
      </w:r>
      <w:r w:rsidR="00340967" w:rsidRPr="007113DA">
        <w:rPr>
          <w:sz w:val="22"/>
          <w:szCs w:val="22"/>
          <w:lang w:val="en-CA"/>
        </w:rPr>
        <w:t xml:space="preserve">he </w:t>
      </w:r>
      <w:r w:rsidR="00FE53D1" w:rsidRPr="007113DA">
        <w:rPr>
          <w:sz w:val="22"/>
          <w:szCs w:val="22"/>
          <w:lang w:val="en-CA"/>
        </w:rPr>
        <w:t xml:space="preserve">entire activity independently and </w:t>
      </w:r>
      <w:r w:rsidRPr="007113DA">
        <w:rPr>
          <w:sz w:val="22"/>
          <w:szCs w:val="22"/>
          <w:lang w:val="en-CA"/>
        </w:rPr>
        <w:t>accomplish it frequently);”</w:t>
      </w:r>
      <w:bookmarkEnd w:id="57"/>
    </w:p>
    <w:p w14:paraId="138C3DA5" w14:textId="0E118666" w:rsidR="009E062F" w:rsidRPr="007113DA" w:rsidRDefault="00BB08B6" w:rsidP="00594BDE">
      <w:pPr>
        <w:pStyle w:val="F02-Texte"/>
        <w:rPr>
          <w:lang w:val="en-CA"/>
        </w:rPr>
      </w:pPr>
      <w:bookmarkStart w:id="58" w:name="lt_pId044"/>
      <w:r w:rsidRPr="007113DA">
        <w:rPr>
          <w:lang w:val="en-CA"/>
        </w:rPr>
        <w:t xml:space="preserve">The </w:t>
      </w:r>
      <w:r w:rsidR="00FE53D1" w:rsidRPr="007113DA">
        <w:rPr>
          <w:lang w:val="en-CA"/>
        </w:rPr>
        <w:t>guideline</w:t>
      </w:r>
      <w:r w:rsidRPr="007113DA">
        <w:rPr>
          <w:lang w:val="en-CA"/>
        </w:rPr>
        <w:t xml:space="preserve"> </w:t>
      </w:r>
      <w:r w:rsidR="00406DBF">
        <w:rPr>
          <w:lang w:val="en-CA"/>
        </w:rPr>
        <w:t>adds</w:t>
      </w:r>
      <w:r w:rsidR="00FE53D1" w:rsidRPr="007113DA">
        <w:rPr>
          <w:lang w:val="en-CA"/>
        </w:rPr>
        <w:t>,</w:t>
      </w:r>
      <w:r w:rsidRPr="007113DA">
        <w:rPr>
          <w:lang w:val="en-CA"/>
        </w:rPr>
        <w:t xml:space="preserve"> </w:t>
      </w:r>
      <w:r w:rsidR="00FE53D1" w:rsidRPr="007113DA">
        <w:rPr>
          <w:lang w:val="en-CA"/>
        </w:rPr>
        <w:t xml:space="preserve">still </w:t>
      </w:r>
      <w:r w:rsidRPr="007113DA">
        <w:rPr>
          <w:lang w:val="en-CA"/>
        </w:rPr>
        <w:t>in section 5.1.4.1:</w:t>
      </w:r>
      <w:bookmarkEnd w:id="58"/>
    </w:p>
    <w:p w14:paraId="5C0BFD3C" w14:textId="750E99ED" w:rsidR="00FE53D1" w:rsidRPr="007113DA" w:rsidRDefault="00BB08B6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59" w:name="lt_pId045"/>
      <w:r w:rsidRPr="007113DA">
        <w:rPr>
          <w:sz w:val="22"/>
          <w:szCs w:val="22"/>
          <w:lang w:val="en-CA"/>
        </w:rPr>
        <w:lastRenderedPageBreak/>
        <w:t>[</w:t>
      </w:r>
      <w:r w:rsidRPr="007113DA">
        <w:rPr>
          <w:smallCaps/>
          <w:sz w:val="22"/>
          <w:szCs w:val="22"/>
          <w:lang w:val="en-CA"/>
        </w:rPr>
        <w:t>translation</w:t>
      </w:r>
      <w:r w:rsidRPr="007113DA">
        <w:rPr>
          <w:sz w:val="22"/>
          <w:szCs w:val="22"/>
          <w:lang w:val="en-CA"/>
        </w:rPr>
        <w:t xml:space="preserve">] </w:t>
      </w:r>
    </w:p>
    <w:p w14:paraId="0625972C" w14:textId="705501A4" w:rsidR="0035330D" w:rsidRPr="007113DA" w:rsidRDefault="00406DBF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Only t</w:t>
      </w:r>
      <w:r w:rsidRPr="007113DA">
        <w:rPr>
          <w:sz w:val="22"/>
          <w:szCs w:val="22"/>
          <w:lang w:val="en-CA"/>
        </w:rPr>
        <w:t xml:space="preserve">he </w:t>
      </w:r>
      <w:r w:rsidR="00BB08B6" w:rsidRPr="007113DA">
        <w:rPr>
          <w:sz w:val="22"/>
          <w:szCs w:val="22"/>
          <w:lang w:val="en-CA"/>
        </w:rPr>
        <w:t xml:space="preserve">first purchase is reimbursed </w:t>
      </w:r>
      <w:r w:rsidR="00FE53D1" w:rsidRPr="007113DA">
        <w:rPr>
          <w:sz w:val="22"/>
          <w:szCs w:val="22"/>
          <w:lang w:val="en-CA"/>
        </w:rPr>
        <w:t xml:space="preserve">if the </w:t>
      </w:r>
      <w:proofErr w:type="gramStart"/>
      <w:r w:rsidR="00FE53D1" w:rsidRPr="007113DA">
        <w:rPr>
          <w:sz w:val="22"/>
          <w:szCs w:val="22"/>
          <w:lang w:val="en-CA"/>
        </w:rPr>
        <w:t>original appliances</w:t>
      </w:r>
      <w:r w:rsidR="00BB08B6" w:rsidRPr="007113D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cannot be used </w:t>
      </w:r>
      <w:r w:rsidR="00340967" w:rsidRPr="007113DA">
        <w:rPr>
          <w:sz w:val="22"/>
          <w:szCs w:val="22"/>
          <w:lang w:val="en-CA"/>
        </w:rPr>
        <w:t>independently</w:t>
      </w:r>
      <w:r w:rsidR="00BB08B6" w:rsidRPr="007113DA">
        <w:rPr>
          <w:sz w:val="22"/>
          <w:szCs w:val="22"/>
          <w:lang w:val="en-CA"/>
        </w:rPr>
        <w:t xml:space="preserve"> and safely</w:t>
      </w:r>
      <w:r>
        <w:rPr>
          <w:sz w:val="22"/>
          <w:szCs w:val="22"/>
          <w:lang w:val="en-CA"/>
        </w:rPr>
        <w:t xml:space="preserve"> by the person</w:t>
      </w:r>
      <w:proofErr w:type="gramEnd"/>
      <w:r w:rsidR="00BB08B6" w:rsidRPr="007113DA">
        <w:rPr>
          <w:sz w:val="22"/>
          <w:szCs w:val="22"/>
          <w:lang w:val="en-CA"/>
        </w:rPr>
        <w:t>.</w:t>
      </w:r>
      <w:bookmarkEnd w:id="59"/>
      <w:r w:rsidR="000D541D" w:rsidRPr="007113DA">
        <w:rPr>
          <w:sz w:val="22"/>
          <w:szCs w:val="22"/>
          <w:lang w:val="en-CA"/>
        </w:rPr>
        <w:t xml:space="preserve"> </w:t>
      </w:r>
      <w:bookmarkStart w:id="60" w:name="lt_pId046"/>
      <w:r w:rsidR="00BB08B6" w:rsidRPr="007113DA">
        <w:rPr>
          <w:sz w:val="22"/>
          <w:szCs w:val="22"/>
          <w:lang w:val="en-CA"/>
        </w:rPr>
        <w:t xml:space="preserve">If there are no original appliances, </w:t>
      </w:r>
      <w:r>
        <w:rPr>
          <w:sz w:val="22"/>
          <w:szCs w:val="22"/>
          <w:lang w:val="en-CA"/>
        </w:rPr>
        <w:t>the</w:t>
      </w:r>
      <w:r w:rsidR="00A96082" w:rsidRPr="007113DA">
        <w:rPr>
          <w:sz w:val="22"/>
          <w:szCs w:val="22"/>
          <w:lang w:val="en-CA"/>
        </w:rPr>
        <w:t xml:space="preserve"> </w:t>
      </w:r>
      <w:r w:rsidRPr="007113DA">
        <w:rPr>
          <w:sz w:val="22"/>
          <w:szCs w:val="22"/>
          <w:lang w:val="en-CA"/>
        </w:rPr>
        <w:t>reimburse</w:t>
      </w:r>
      <w:r>
        <w:rPr>
          <w:sz w:val="22"/>
          <w:szCs w:val="22"/>
          <w:lang w:val="en-CA"/>
        </w:rPr>
        <w:t xml:space="preserve">ment </w:t>
      </w:r>
      <w:r w:rsidR="00A96082" w:rsidRPr="007113DA">
        <w:rPr>
          <w:sz w:val="22"/>
          <w:szCs w:val="22"/>
          <w:lang w:val="en-CA"/>
        </w:rPr>
        <w:t xml:space="preserve">for </w:t>
      </w:r>
      <w:r w:rsidR="00BB08B6" w:rsidRPr="007113DA">
        <w:rPr>
          <w:sz w:val="22"/>
          <w:szCs w:val="22"/>
          <w:lang w:val="en-CA"/>
        </w:rPr>
        <w:t xml:space="preserve">the </w:t>
      </w:r>
      <w:r w:rsidR="00340967" w:rsidRPr="007113DA">
        <w:rPr>
          <w:sz w:val="22"/>
          <w:szCs w:val="22"/>
          <w:lang w:val="en-CA"/>
        </w:rPr>
        <w:t>difference</w:t>
      </w:r>
      <w:r w:rsidR="00BB08B6" w:rsidRPr="007113DA">
        <w:rPr>
          <w:sz w:val="22"/>
          <w:szCs w:val="22"/>
          <w:lang w:val="en-CA"/>
        </w:rPr>
        <w:t xml:space="preserve"> in cost due to the special </w:t>
      </w:r>
      <w:r w:rsidR="00A96082" w:rsidRPr="007113DA">
        <w:rPr>
          <w:sz w:val="22"/>
          <w:szCs w:val="22"/>
          <w:lang w:val="en-CA"/>
        </w:rPr>
        <w:t>features</w:t>
      </w:r>
      <w:r w:rsidR="00BB08B6" w:rsidRPr="007113DA">
        <w:rPr>
          <w:sz w:val="22"/>
          <w:szCs w:val="22"/>
          <w:lang w:val="en-CA"/>
        </w:rPr>
        <w:t xml:space="preserve"> of the</w:t>
      </w:r>
      <w:bookmarkEnd w:id="60"/>
      <w:r>
        <w:rPr>
          <w:sz w:val="22"/>
          <w:szCs w:val="22"/>
          <w:lang w:val="en-CA"/>
        </w:rPr>
        <w:t xml:space="preserve"> appliance is admissible</w:t>
      </w:r>
      <w:r w:rsidR="00A96082" w:rsidRPr="007113DA">
        <w:rPr>
          <w:sz w:val="22"/>
          <w:szCs w:val="22"/>
          <w:lang w:val="en-CA"/>
        </w:rPr>
        <w:t>.</w:t>
      </w:r>
    </w:p>
    <w:p w14:paraId="6B25173F" w14:textId="2B5AAC2A" w:rsidR="0035330D" w:rsidRPr="007113DA" w:rsidRDefault="00A96082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r w:rsidRPr="007113DA">
        <w:rPr>
          <w:sz w:val="22"/>
          <w:szCs w:val="22"/>
          <w:lang w:val="en-CA"/>
        </w:rPr>
        <w:t>…</w:t>
      </w:r>
    </w:p>
    <w:p w14:paraId="08F9C8CC" w14:textId="229BF1AA" w:rsidR="0035330D" w:rsidRPr="007113DA" w:rsidRDefault="00BB08B6" w:rsidP="0035330D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61" w:name="lt_pId048"/>
      <w:r w:rsidRPr="007113DA">
        <w:rPr>
          <w:sz w:val="22"/>
          <w:szCs w:val="22"/>
          <w:lang w:val="en-CA"/>
        </w:rPr>
        <w:t>T</w:t>
      </w:r>
      <w:r w:rsidR="005D35E1" w:rsidRPr="007113DA">
        <w:rPr>
          <w:sz w:val="22"/>
          <w:szCs w:val="22"/>
          <w:lang w:val="en-CA"/>
        </w:rPr>
        <w:t>h</w:t>
      </w:r>
      <w:r w:rsidRPr="007113DA">
        <w:rPr>
          <w:sz w:val="22"/>
          <w:szCs w:val="22"/>
          <w:lang w:val="en-CA"/>
        </w:rPr>
        <w:t xml:space="preserve">e </w:t>
      </w:r>
      <w:r w:rsidR="005D35E1" w:rsidRPr="007113DA">
        <w:rPr>
          <w:sz w:val="22"/>
          <w:szCs w:val="22"/>
          <w:lang w:val="en-CA"/>
        </w:rPr>
        <w:t>accident</w:t>
      </w:r>
      <w:r w:rsidRPr="007113DA">
        <w:rPr>
          <w:sz w:val="22"/>
          <w:szCs w:val="22"/>
          <w:lang w:val="en-CA"/>
        </w:rPr>
        <w:t xml:space="preserve"> victim </w:t>
      </w:r>
      <w:r w:rsidR="00406DBF">
        <w:rPr>
          <w:sz w:val="22"/>
          <w:szCs w:val="22"/>
          <w:lang w:val="en-CA"/>
        </w:rPr>
        <w:t>is</w:t>
      </w:r>
      <w:r w:rsidRPr="007113DA">
        <w:rPr>
          <w:sz w:val="22"/>
          <w:szCs w:val="22"/>
          <w:lang w:val="en-CA"/>
        </w:rPr>
        <w:t xml:space="preserve"> responsib</w:t>
      </w:r>
      <w:r w:rsidR="00406DBF">
        <w:rPr>
          <w:sz w:val="22"/>
          <w:szCs w:val="22"/>
          <w:lang w:val="en-CA"/>
        </w:rPr>
        <w:t>le for</w:t>
      </w:r>
      <w:r w:rsidR="009F7E8C">
        <w:rPr>
          <w:sz w:val="22"/>
          <w:szCs w:val="22"/>
          <w:lang w:val="en-CA"/>
        </w:rPr>
        <w:t xml:space="preserve"> </w:t>
      </w:r>
      <w:r w:rsidRPr="007113DA">
        <w:rPr>
          <w:sz w:val="22"/>
          <w:szCs w:val="22"/>
          <w:lang w:val="en-CA"/>
        </w:rPr>
        <w:t xml:space="preserve">the </w:t>
      </w:r>
      <w:r w:rsidR="005D35E1" w:rsidRPr="007113DA">
        <w:rPr>
          <w:sz w:val="22"/>
          <w:szCs w:val="22"/>
          <w:lang w:val="en-CA"/>
        </w:rPr>
        <w:t>maintenance</w:t>
      </w:r>
      <w:r w:rsidRPr="007113DA">
        <w:rPr>
          <w:sz w:val="22"/>
          <w:szCs w:val="22"/>
          <w:lang w:val="en-CA"/>
        </w:rPr>
        <w:t xml:space="preserve">, </w:t>
      </w:r>
      <w:r w:rsidR="005D35E1" w:rsidRPr="007113DA">
        <w:rPr>
          <w:sz w:val="22"/>
          <w:szCs w:val="22"/>
          <w:lang w:val="en-CA"/>
        </w:rPr>
        <w:t>replacement</w:t>
      </w:r>
      <w:r w:rsidR="00A96082" w:rsidRPr="007113DA">
        <w:rPr>
          <w:sz w:val="22"/>
          <w:szCs w:val="22"/>
          <w:lang w:val="en-CA"/>
        </w:rPr>
        <w:t>,</w:t>
      </w:r>
      <w:r w:rsidRPr="007113DA">
        <w:rPr>
          <w:sz w:val="22"/>
          <w:szCs w:val="22"/>
          <w:lang w:val="en-CA"/>
        </w:rPr>
        <w:t xml:space="preserve"> and </w:t>
      </w:r>
      <w:r w:rsidR="005D35E1" w:rsidRPr="007113DA">
        <w:rPr>
          <w:sz w:val="22"/>
          <w:szCs w:val="22"/>
          <w:lang w:val="en-CA"/>
        </w:rPr>
        <w:t>transfer</w:t>
      </w:r>
      <w:r w:rsidRPr="007113DA">
        <w:rPr>
          <w:sz w:val="22"/>
          <w:szCs w:val="22"/>
          <w:lang w:val="en-CA"/>
        </w:rPr>
        <w:t>, in the eve</w:t>
      </w:r>
      <w:r w:rsidR="00A96082" w:rsidRPr="007113DA">
        <w:rPr>
          <w:sz w:val="22"/>
          <w:szCs w:val="22"/>
          <w:lang w:val="en-CA"/>
        </w:rPr>
        <w:t>n</w:t>
      </w:r>
      <w:r w:rsidRPr="007113DA">
        <w:rPr>
          <w:sz w:val="22"/>
          <w:szCs w:val="22"/>
          <w:lang w:val="en-CA"/>
        </w:rPr>
        <w:t>t of a move, of his or her special</w:t>
      </w:r>
      <w:r w:rsidR="00A96082" w:rsidRPr="007113DA">
        <w:rPr>
          <w:sz w:val="22"/>
          <w:szCs w:val="22"/>
          <w:lang w:val="en-CA"/>
        </w:rPr>
        <w:t>ized</w:t>
      </w:r>
      <w:r w:rsidRPr="007113DA">
        <w:rPr>
          <w:sz w:val="22"/>
          <w:szCs w:val="22"/>
          <w:lang w:val="en-CA"/>
        </w:rPr>
        <w:t xml:space="preserve"> household appliances.</w:t>
      </w:r>
      <w:bookmarkEnd w:id="61"/>
      <w:r w:rsidR="000D541D" w:rsidRPr="007113DA">
        <w:rPr>
          <w:sz w:val="22"/>
          <w:szCs w:val="22"/>
          <w:lang w:val="en-CA"/>
        </w:rPr>
        <w:t xml:space="preserve"> </w:t>
      </w:r>
      <w:bookmarkStart w:id="62" w:name="lt_pId049"/>
      <w:r w:rsidR="00F80F32" w:rsidRPr="007113DA">
        <w:rPr>
          <w:sz w:val="22"/>
          <w:szCs w:val="22"/>
          <w:lang w:val="en-CA"/>
        </w:rPr>
        <w:t xml:space="preserve">In the </w:t>
      </w:r>
      <w:r w:rsidR="00340967" w:rsidRPr="007113DA">
        <w:rPr>
          <w:sz w:val="22"/>
          <w:szCs w:val="22"/>
          <w:lang w:val="en-CA"/>
        </w:rPr>
        <w:t>e</w:t>
      </w:r>
      <w:r w:rsidR="00F80F32" w:rsidRPr="007113DA">
        <w:rPr>
          <w:sz w:val="22"/>
          <w:szCs w:val="22"/>
          <w:lang w:val="en-CA"/>
        </w:rPr>
        <w:t xml:space="preserve">vent of a </w:t>
      </w:r>
      <w:r w:rsidR="00340967" w:rsidRPr="007113DA">
        <w:rPr>
          <w:sz w:val="22"/>
          <w:szCs w:val="22"/>
          <w:lang w:val="en-CA"/>
        </w:rPr>
        <w:t>transfer</w:t>
      </w:r>
      <w:r w:rsidR="00F80F32" w:rsidRPr="007113DA">
        <w:rPr>
          <w:sz w:val="22"/>
          <w:szCs w:val="22"/>
          <w:lang w:val="en-CA"/>
        </w:rPr>
        <w:t xml:space="preserve"> of a built-in oven and the hot plate, the restoration of damaged </w:t>
      </w:r>
      <w:r w:rsidR="00937BBF">
        <w:rPr>
          <w:sz w:val="22"/>
          <w:szCs w:val="22"/>
          <w:lang w:val="en-CA"/>
        </w:rPr>
        <w:t>parts</w:t>
      </w:r>
      <w:r w:rsidR="00937BBF" w:rsidRPr="007113DA">
        <w:rPr>
          <w:sz w:val="22"/>
          <w:szCs w:val="22"/>
          <w:lang w:val="en-CA"/>
        </w:rPr>
        <w:t xml:space="preserve"> </w:t>
      </w:r>
      <w:proofErr w:type="gramStart"/>
      <w:r w:rsidR="00F80F32" w:rsidRPr="007113DA">
        <w:rPr>
          <w:sz w:val="22"/>
          <w:szCs w:val="22"/>
          <w:lang w:val="en-CA"/>
        </w:rPr>
        <w:t>is excluded</w:t>
      </w:r>
      <w:proofErr w:type="gramEnd"/>
      <w:r w:rsidR="00545B32">
        <w:rPr>
          <w:sz w:val="22"/>
          <w:szCs w:val="22"/>
          <w:lang w:val="en-CA"/>
        </w:rPr>
        <w:t xml:space="preserve"> and is a matter of</w:t>
      </w:r>
      <w:r w:rsidR="00F80F32" w:rsidRPr="007113DA">
        <w:rPr>
          <w:sz w:val="22"/>
          <w:szCs w:val="22"/>
          <w:lang w:val="en-CA"/>
        </w:rPr>
        <w:t xml:space="preserve"> agreement between the vendor and the new owner.</w:t>
      </w:r>
      <w:bookmarkEnd w:id="62"/>
      <w:r w:rsidR="000D541D" w:rsidRPr="007113DA">
        <w:rPr>
          <w:sz w:val="22"/>
          <w:szCs w:val="22"/>
          <w:lang w:val="en-CA"/>
        </w:rPr>
        <w:t xml:space="preserve"> </w:t>
      </w:r>
      <w:bookmarkStart w:id="63" w:name="lt_pId050"/>
      <w:r w:rsidR="00F80F32" w:rsidRPr="007113DA">
        <w:rPr>
          <w:sz w:val="22"/>
          <w:szCs w:val="22"/>
          <w:lang w:val="en-CA"/>
        </w:rPr>
        <w:t xml:space="preserve">When these appliances </w:t>
      </w:r>
      <w:proofErr w:type="gramStart"/>
      <w:r w:rsidR="00F80F32" w:rsidRPr="007113DA">
        <w:rPr>
          <w:sz w:val="22"/>
          <w:szCs w:val="22"/>
          <w:lang w:val="en-CA"/>
        </w:rPr>
        <w:t>are sold</w:t>
      </w:r>
      <w:proofErr w:type="gramEnd"/>
      <w:r w:rsidR="00F80F32" w:rsidRPr="007113DA">
        <w:rPr>
          <w:sz w:val="22"/>
          <w:szCs w:val="22"/>
          <w:lang w:val="en-CA"/>
        </w:rPr>
        <w:t xml:space="preserve"> with the house, the</w:t>
      </w:r>
      <w:r w:rsidR="00937BBF">
        <w:rPr>
          <w:sz w:val="22"/>
          <w:szCs w:val="22"/>
          <w:lang w:val="en-CA"/>
        </w:rPr>
        <w:t>ir replacement is not eligible for reimbursement</w:t>
      </w:r>
      <w:r w:rsidR="00F80F32" w:rsidRPr="007113DA">
        <w:rPr>
          <w:sz w:val="22"/>
          <w:szCs w:val="22"/>
          <w:lang w:val="en-CA"/>
        </w:rPr>
        <w:t>.</w:t>
      </w:r>
      <w:bookmarkEnd w:id="63"/>
      <w:r w:rsidR="00A4238A" w:rsidRPr="007113DA">
        <w:rPr>
          <w:sz w:val="22"/>
          <w:szCs w:val="22"/>
          <w:lang w:val="en-CA"/>
        </w:rPr>
        <w:t> </w:t>
      </w:r>
    </w:p>
    <w:p w14:paraId="7198E5CA" w14:textId="38EFB9A7" w:rsidR="009E062F" w:rsidRPr="007113DA" w:rsidRDefault="00F80F32" w:rsidP="00594BDE">
      <w:pPr>
        <w:pStyle w:val="F02-Texte"/>
        <w:rPr>
          <w:lang w:val="en-CA"/>
        </w:rPr>
      </w:pPr>
      <w:bookmarkStart w:id="64" w:name="lt_pId052"/>
      <w:r w:rsidRPr="007113DA">
        <w:rPr>
          <w:lang w:val="en-CA"/>
        </w:rPr>
        <w:t xml:space="preserve">Finally, </w:t>
      </w:r>
      <w:r w:rsidR="00A4238A" w:rsidRPr="007113DA">
        <w:rPr>
          <w:lang w:val="en-CA"/>
        </w:rPr>
        <w:t xml:space="preserve">in </w:t>
      </w:r>
      <w:r w:rsidRPr="007113DA">
        <w:rPr>
          <w:lang w:val="en-CA"/>
        </w:rPr>
        <w:t xml:space="preserve">section 5.2.9 concerning </w:t>
      </w:r>
      <w:r w:rsidR="00D955E1" w:rsidRPr="007113DA">
        <w:rPr>
          <w:lang w:val="en-CA"/>
        </w:rPr>
        <w:t>maintenance</w:t>
      </w:r>
      <w:r w:rsidR="00A4238A" w:rsidRPr="007113DA">
        <w:rPr>
          <w:lang w:val="en-CA"/>
        </w:rPr>
        <w:t xml:space="preserve">, </w:t>
      </w:r>
      <w:r w:rsidRPr="007113DA">
        <w:rPr>
          <w:lang w:val="en-CA"/>
        </w:rPr>
        <w:t>re</w:t>
      </w:r>
      <w:r w:rsidR="00A4238A" w:rsidRPr="007113DA">
        <w:rPr>
          <w:lang w:val="en-CA"/>
        </w:rPr>
        <w:t>p</w:t>
      </w:r>
      <w:r w:rsidRPr="007113DA">
        <w:rPr>
          <w:lang w:val="en-CA"/>
        </w:rPr>
        <w:t>ai</w:t>
      </w:r>
      <w:r w:rsidR="00A4238A" w:rsidRPr="007113DA">
        <w:rPr>
          <w:lang w:val="en-CA"/>
        </w:rPr>
        <w:t>r</w:t>
      </w:r>
      <w:r w:rsidRPr="007113DA">
        <w:rPr>
          <w:lang w:val="en-CA"/>
        </w:rPr>
        <w:t xml:space="preserve"> or replacement, there is a specific exclusion for certain adaptation</w:t>
      </w:r>
      <w:r w:rsidR="00A4238A" w:rsidRPr="007113DA">
        <w:rPr>
          <w:lang w:val="en-CA"/>
        </w:rPr>
        <w:t>s</w:t>
      </w:r>
      <w:r w:rsidRPr="007113DA">
        <w:rPr>
          <w:lang w:val="en-CA"/>
        </w:rPr>
        <w:t>:</w:t>
      </w:r>
      <w:bookmarkEnd w:id="64"/>
    </w:p>
    <w:p w14:paraId="11B4729E" w14:textId="77777777" w:rsidR="00044C90" w:rsidRPr="007113DA" w:rsidRDefault="00F80F32" w:rsidP="00044C90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65" w:name="lt_pId053"/>
      <w:r w:rsidRPr="007113DA">
        <w:rPr>
          <w:sz w:val="22"/>
          <w:szCs w:val="22"/>
          <w:lang w:val="en-CA"/>
        </w:rPr>
        <w:t xml:space="preserve">The following </w:t>
      </w:r>
      <w:proofErr w:type="gramStart"/>
      <w:r w:rsidRPr="007113DA">
        <w:rPr>
          <w:sz w:val="22"/>
          <w:szCs w:val="22"/>
          <w:lang w:val="en-CA"/>
        </w:rPr>
        <w:t>are excluded</w:t>
      </w:r>
      <w:proofErr w:type="gramEnd"/>
      <w:r w:rsidRPr="007113DA">
        <w:rPr>
          <w:sz w:val="22"/>
          <w:szCs w:val="22"/>
          <w:lang w:val="en-CA"/>
        </w:rPr>
        <w:t>:</w:t>
      </w:r>
      <w:bookmarkStart w:id="66" w:name="lt_pId055"/>
      <w:bookmarkEnd w:id="65"/>
      <w:bookmarkEnd w:id="66"/>
    </w:p>
    <w:p w14:paraId="529DD12B" w14:textId="1EA197D8" w:rsidR="00044C90" w:rsidRPr="007113DA" w:rsidRDefault="00A4238A" w:rsidP="00044C90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r w:rsidRPr="007113DA">
        <w:rPr>
          <w:sz w:val="22"/>
          <w:szCs w:val="22"/>
          <w:lang w:val="en-CA"/>
        </w:rPr>
        <w:t>…</w:t>
      </w:r>
    </w:p>
    <w:p w14:paraId="0B6E3A30" w14:textId="114A2728" w:rsidR="00044C90" w:rsidRPr="007113DA" w:rsidRDefault="00F80F32" w:rsidP="00044C90">
      <w:pPr>
        <w:pStyle w:val="F02-Texte"/>
        <w:numPr>
          <w:ilvl w:val="0"/>
          <w:numId w:val="0"/>
        </w:numPr>
        <w:ind w:left="850" w:right="850"/>
        <w:rPr>
          <w:sz w:val="22"/>
          <w:szCs w:val="22"/>
          <w:lang w:val="en-CA"/>
        </w:rPr>
      </w:pPr>
      <w:bookmarkStart w:id="67" w:name="lt_pId056"/>
      <w:r w:rsidRPr="007113DA">
        <w:rPr>
          <w:sz w:val="22"/>
          <w:szCs w:val="22"/>
          <w:lang w:val="en-CA"/>
        </w:rPr>
        <w:t xml:space="preserve">Expenses incurred for the </w:t>
      </w:r>
      <w:r w:rsidR="00D955E1" w:rsidRPr="007113DA">
        <w:rPr>
          <w:sz w:val="22"/>
          <w:szCs w:val="22"/>
          <w:lang w:val="en-CA"/>
        </w:rPr>
        <w:t>maintenance</w:t>
      </w:r>
      <w:r w:rsidRPr="007113DA">
        <w:rPr>
          <w:sz w:val="22"/>
          <w:szCs w:val="22"/>
          <w:lang w:val="en-CA"/>
        </w:rPr>
        <w:t>, repair or replacement of special</w:t>
      </w:r>
      <w:r w:rsidR="00A4238A" w:rsidRPr="007113DA">
        <w:rPr>
          <w:sz w:val="22"/>
          <w:szCs w:val="22"/>
          <w:lang w:val="en-CA"/>
        </w:rPr>
        <w:t>ized</w:t>
      </w:r>
      <w:r w:rsidRPr="007113DA">
        <w:rPr>
          <w:sz w:val="22"/>
          <w:szCs w:val="22"/>
          <w:lang w:val="en-CA"/>
        </w:rPr>
        <w:t xml:space="preserve"> household appliances and standard equipment</w:t>
      </w:r>
      <w:proofErr w:type="gramStart"/>
      <w:r w:rsidRPr="007113DA">
        <w:rPr>
          <w:sz w:val="22"/>
          <w:szCs w:val="22"/>
          <w:lang w:val="en-CA"/>
        </w:rPr>
        <w:t>;</w:t>
      </w:r>
      <w:bookmarkEnd w:id="67"/>
      <w:proofErr w:type="gramEnd"/>
    </w:p>
    <w:p w14:paraId="056B8303" w14:textId="77777777" w:rsidR="00594BDE" w:rsidRPr="007113DA" w:rsidRDefault="00F80F32" w:rsidP="006921FB">
      <w:pPr>
        <w:pStyle w:val="F02-Texte"/>
        <w:numPr>
          <w:ilvl w:val="0"/>
          <w:numId w:val="0"/>
        </w:numPr>
        <w:rPr>
          <w:lang w:val="en-CA"/>
        </w:rPr>
      </w:pPr>
      <w:bookmarkStart w:id="68" w:name="lt_pId058"/>
      <w:r w:rsidRPr="007113DA">
        <w:rPr>
          <w:lang w:val="en-CA"/>
        </w:rPr>
        <w:t>ANALYSIS AND REASONS</w:t>
      </w:r>
      <w:bookmarkEnd w:id="68"/>
    </w:p>
    <w:p w14:paraId="088DBA92" w14:textId="3B6B50EC" w:rsidR="006921FB" w:rsidRPr="007113DA" w:rsidRDefault="00F80F32" w:rsidP="006921FB">
      <w:pPr>
        <w:pStyle w:val="F02-Texte"/>
        <w:rPr>
          <w:lang w:val="en-CA"/>
        </w:rPr>
      </w:pPr>
      <w:bookmarkStart w:id="69" w:name="lt_pId059"/>
      <w:r w:rsidRPr="007113DA">
        <w:rPr>
          <w:lang w:val="en-CA"/>
        </w:rPr>
        <w:t xml:space="preserve">The Tribunal </w:t>
      </w:r>
      <w:proofErr w:type="gramStart"/>
      <w:r w:rsidRPr="007113DA">
        <w:rPr>
          <w:lang w:val="en-CA"/>
        </w:rPr>
        <w:t>is not bound</w:t>
      </w:r>
      <w:proofErr w:type="gramEnd"/>
      <w:r w:rsidRPr="007113DA">
        <w:rPr>
          <w:lang w:val="en-CA"/>
        </w:rPr>
        <w:t xml:space="preserve"> by the home adaptation </w:t>
      </w:r>
      <w:r w:rsidR="008013E7" w:rsidRPr="007113DA">
        <w:rPr>
          <w:lang w:val="en-CA"/>
        </w:rPr>
        <w:t xml:space="preserve">guideline </w:t>
      </w:r>
      <w:r w:rsidRPr="007113DA">
        <w:rPr>
          <w:lang w:val="en-CA"/>
        </w:rPr>
        <w:t xml:space="preserve">adopted by the SAAQ under s. 83.7 of the </w:t>
      </w:r>
      <w:r w:rsidRPr="007113DA">
        <w:rPr>
          <w:i/>
          <w:lang w:val="en-CA"/>
        </w:rPr>
        <w:t xml:space="preserve">Automobile </w:t>
      </w:r>
      <w:r w:rsidR="00D955E1" w:rsidRPr="007113DA">
        <w:rPr>
          <w:i/>
          <w:lang w:val="en-CA"/>
        </w:rPr>
        <w:t>Insurance</w:t>
      </w:r>
      <w:r w:rsidRPr="007113DA">
        <w:rPr>
          <w:i/>
          <w:lang w:val="en-CA"/>
        </w:rPr>
        <w:t xml:space="preserve"> Act</w:t>
      </w:r>
      <w:r w:rsidR="000D541D" w:rsidRPr="007113DA">
        <w:rPr>
          <w:rStyle w:val="Appelnotedebasdep"/>
          <w:lang w:val="en-CA"/>
        </w:rPr>
        <w:footnoteReference w:id="5"/>
      </w:r>
      <w:r w:rsidR="008013E7" w:rsidRPr="007113DA">
        <w:rPr>
          <w:lang w:val="en-CA"/>
        </w:rPr>
        <w:t xml:space="preserve"> </w:t>
      </w:r>
      <w:r w:rsidRPr="007113DA">
        <w:rPr>
          <w:lang w:val="en-CA"/>
        </w:rPr>
        <w:t xml:space="preserve">(the </w:t>
      </w:r>
      <w:r w:rsidRPr="007113DA">
        <w:rPr>
          <w:i/>
          <w:lang w:val="en-CA"/>
        </w:rPr>
        <w:t>AIA</w:t>
      </w:r>
      <w:r w:rsidRPr="007113DA">
        <w:rPr>
          <w:lang w:val="en-CA"/>
        </w:rPr>
        <w:t>).</w:t>
      </w:r>
      <w:bookmarkEnd w:id="69"/>
      <w:r w:rsidR="000D541D" w:rsidRPr="007113DA">
        <w:rPr>
          <w:lang w:val="en-CA"/>
        </w:rPr>
        <w:t xml:space="preserve"> </w:t>
      </w:r>
      <w:bookmarkStart w:id="71" w:name="lt_pId060"/>
      <w:r w:rsidRPr="007113DA">
        <w:rPr>
          <w:lang w:val="en-CA"/>
        </w:rPr>
        <w:t xml:space="preserve">In fact, it is an </w:t>
      </w:r>
      <w:r w:rsidR="00D955E1" w:rsidRPr="007113DA">
        <w:rPr>
          <w:lang w:val="en-CA"/>
        </w:rPr>
        <w:t>administrative</w:t>
      </w:r>
      <w:r w:rsidRPr="007113DA">
        <w:rPr>
          <w:lang w:val="en-CA"/>
        </w:rPr>
        <w:t xml:space="preserve"> </w:t>
      </w:r>
      <w:r w:rsidR="00201CC1" w:rsidRPr="007113DA">
        <w:rPr>
          <w:lang w:val="en-CA"/>
        </w:rPr>
        <w:t>guideline</w:t>
      </w:r>
      <w:r w:rsidRPr="007113DA">
        <w:rPr>
          <w:lang w:val="en-CA"/>
        </w:rPr>
        <w:t xml:space="preserve"> that has no force of law and </w:t>
      </w:r>
      <w:proofErr w:type="gramStart"/>
      <w:r w:rsidRPr="007113DA">
        <w:rPr>
          <w:lang w:val="en-CA"/>
        </w:rPr>
        <w:t>was adopted</w:t>
      </w:r>
      <w:proofErr w:type="gramEnd"/>
      <w:r w:rsidRPr="007113DA">
        <w:rPr>
          <w:lang w:val="en-CA"/>
        </w:rPr>
        <w:t xml:space="preserve"> by this body to </w:t>
      </w:r>
      <w:r w:rsidR="00545B32">
        <w:rPr>
          <w:lang w:val="en-CA"/>
        </w:rPr>
        <w:t>facilitate decision-making by</w:t>
      </w:r>
      <w:r w:rsidRPr="007113DA">
        <w:rPr>
          <w:lang w:val="en-CA"/>
        </w:rPr>
        <w:t xml:space="preserve"> its officer</w:t>
      </w:r>
      <w:r w:rsidR="00201CC1" w:rsidRPr="007113DA">
        <w:rPr>
          <w:lang w:val="en-CA"/>
        </w:rPr>
        <w:t>s</w:t>
      </w:r>
      <w:r w:rsidRPr="007113DA">
        <w:rPr>
          <w:lang w:val="en-CA"/>
        </w:rPr>
        <w:t xml:space="preserve">, while ensuring </w:t>
      </w:r>
      <w:r w:rsidR="00545B32">
        <w:rPr>
          <w:lang w:val="en-CA"/>
        </w:rPr>
        <w:t>greater</w:t>
      </w:r>
      <w:r w:rsidR="00545B32" w:rsidRPr="007113DA">
        <w:rPr>
          <w:lang w:val="en-CA"/>
        </w:rPr>
        <w:t xml:space="preserve"> </w:t>
      </w:r>
      <w:r w:rsidRPr="007113DA">
        <w:rPr>
          <w:lang w:val="en-CA"/>
        </w:rPr>
        <w:t>consistency and uniformity.</w:t>
      </w:r>
      <w:bookmarkEnd w:id="71"/>
    </w:p>
    <w:p w14:paraId="403B3A85" w14:textId="48258927" w:rsidR="006921FB" w:rsidRPr="007113DA" w:rsidRDefault="00F80F32" w:rsidP="006921FB">
      <w:pPr>
        <w:pStyle w:val="F02-Texte"/>
        <w:rPr>
          <w:lang w:val="en-CA"/>
        </w:rPr>
      </w:pPr>
      <w:bookmarkStart w:id="72" w:name="lt_pId061"/>
      <w:r w:rsidRPr="007113DA">
        <w:rPr>
          <w:lang w:val="en-CA"/>
        </w:rPr>
        <w:t xml:space="preserve">This </w:t>
      </w:r>
      <w:r w:rsidR="00201CC1" w:rsidRPr="007113DA">
        <w:rPr>
          <w:lang w:val="en-CA"/>
        </w:rPr>
        <w:t>guideline</w:t>
      </w:r>
      <w:r w:rsidRPr="007113DA">
        <w:rPr>
          <w:lang w:val="en-CA"/>
        </w:rPr>
        <w:t xml:space="preserve"> </w:t>
      </w:r>
      <w:r w:rsidR="00545B32" w:rsidRPr="007113DA">
        <w:rPr>
          <w:lang w:val="en-CA"/>
        </w:rPr>
        <w:t xml:space="preserve">alleged </w:t>
      </w:r>
      <w:r w:rsidRPr="007113DA">
        <w:rPr>
          <w:lang w:val="en-CA"/>
        </w:rPr>
        <w:t>in support of the decision rendered by the SAAQ cannot</w:t>
      </w:r>
      <w:r w:rsidR="00DB56C0" w:rsidRPr="007113DA">
        <w:rPr>
          <w:lang w:val="en-CA"/>
        </w:rPr>
        <w:t xml:space="preserve">, however, </w:t>
      </w:r>
      <w:r w:rsidRPr="007113DA">
        <w:rPr>
          <w:lang w:val="en-CA"/>
        </w:rPr>
        <w:t xml:space="preserve">be </w:t>
      </w:r>
      <w:r w:rsidR="00201CC1" w:rsidRPr="007113DA">
        <w:rPr>
          <w:lang w:val="en-CA"/>
        </w:rPr>
        <w:t>dismissed</w:t>
      </w:r>
      <w:r w:rsidR="000D2649">
        <w:rPr>
          <w:lang w:val="en-CA"/>
        </w:rPr>
        <w:t xml:space="preserve"> </w:t>
      </w:r>
      <w:r w:rsidR="00201CC1" w:rsidRPr="007113DA">
        <w:rPr>
          <w:lang w:val="en-CA"/>
        </w:rPr>
        <w:t>out of hand</w:t>
      </w:r>
      <w:r w:rsidRPr="007113DA">
        <w:rPr>
          <w:lang w:val="en-CA"/>
        </w:rPr>
        <w:t>.</w:t>
      </w:r>
      <w:bookmarkEnd w:id="72"/>
      <w:r w:rsidR="000D541D" w:rsidRPr="007113DA">
        <w:rPr>
          <w:lang w:val="en-CA"/>
        </w:rPr>
        <w:t xml:space="preserve"> </w:t>
      </w:r>
      <w:bookmarkStart w:id="73" w:name="lt_pId062"/>
      <w:r w:rsidRPr="007113DA">
        <w:rPr>
          <w:lang w:val="en-CA"/>
        </w:rPr>
        <w:t xml:space="preserve">In fact, as the Court of Appeal recalled in </w:t>
      </w:r>
      <w:proofErr w:type="spellStart"/>
      <w:r w:rsidRPr="007113DA">
        <w:rPr>
          <w:i/>
          <w:lang w:val="en-CA"/>
        </w:rPr>
        <w:t>Procureur</w:t>
      </w:r>
      <w:proofErr w:type="spellEnd"/>
      <w:r w:rsidRPr="007113DA">
        <w:rPr>
          <w:i/>
          <w:lang w:val="en-CA"/>
        </w:rPr>
        <w:t xml:space="preserve"> </w:t>
      </w:r>
      <w:proofErr w:type="spellStart"/>
      <w:r w:rsidRPr="007113DA">
        <w:rPr>
          <w:i/>
          <w:lang w:val="en-CA"/>
        </w:rPr>
        <w:t>général</w:t>
      </w:r>
      <w:proofErr w:type="spellEnd"/>
      <w:r w:rsidRPr="007113DA">
        <w:rPr>
          <w:i/>
          <w:lang w:val="en-CA"/>
        </w:rPr>
        <w:t xml:space="preserve"> c. P.F</w:t>
      </w:r>
      <w:r w:rsidRPr="007113DA">
        <w:rPr>
          <w:lang w:val="en-CA"/>
        </w:rPr>
        <w:t>,</w:t>
      </w:r>
      <w:r w:rsidR="000D541D" w:rsidRPr="007113DA">
        <w:rPr>
          <w:vertAlign w:val="superscript"/>
          <w:lang w:val="en-CA"/>
        </w:rPr>
        <w:footnoteReference w:id="6"/>
      </w:r>
      <w:r w:rsidRPr="007113DA">
        <w:rPr>
          <w:lang w:val="en-CA"/>
        </w:rPr>
        <w:t xml:space="preserve"> the Tribunal must be able to give the reasons fo</w:t>
      </w:r>
      <w:r w:rsidR="008E65D8" w:rsidRPr="007113DA">
        <w:rPr>
          <w:lang w:val="en-CA"/>
        </w:rPr>
        <w:t xml:space="preserve">r its decision to set aside </w:t>
      </w:r>
      <w:r w:rsidRPr="007113DA">
        <w:rPr>
          <w:lang w:val="en-CA"/>
        </w:rPr>
        <w:t>a</w:t>
      </w:r>
      <w:r w:rsidR="008E65D8" w:rsidRPr="007113DA">
        <w:rPr>
          <w:lang w:val="en-CA"/>
        </w:rPr>
        <w:t>n administrative</w:t>
      </w:r>
      <w:r w:rsidRPr="007113DA">
        <w:rPr>
          <w:lang w:val="en-CA"/>
        </w:rPr>
        <w:t xml:space="preserve"> policy or </w:t>
      </w:r>
      <w:r w:rsidR="008E65D8" w:rsidRPr="007113DA">
        <w:rPr>
          <w:lang w:val="en-CA"/>
        </w:rPr>
        <w:t>guideline</w:t>
      </w:r>
      <w:r w:rsidRPr="007113DA">
        <w:rPr>
          <w:lang w:val="en-CA"/>
        </w:rPr>
        <w:t xml:space="preserve"> </w:t>
      </w:r>
      <w:r w:rsidR="00340967" w:rsidRPr="007113DA">
        <w:rPr>
          <w:lang w:val="en-CA"/>
        </w:rPr>
        <w:t>adopted</w:t>
      </w:r>
      <w:r w:rsidRPr="007113DA">
        <w:rPr>
          <w:lang w:val="en-CA"/>
        </w:rPr>
        <w:t xml:space="preserve"> by a body</w:t>
      </w:r>
      <w:r w:rsidR="00F15EC4">
        <w:rPr>
          <w:lang w:val="en-CA"/>
        </w:rPr>
        <w:t xml:space="preserve"> </w:t>
      </w:r>
      <w:r w:rsidR="008E65D8" w:rsidRPr="007113DA">
        <w:rPr>
          <w:lang w:val="en-CA"/>
        </w:rPr>
        <w:t>as part of its decision.</w:t>
      </w:r>
      <w:bookmarkEnd w:id="73"/>
    </w:p>
    <w:p w14:paraId="3B40E518" w14:textId="057BD3D7" w:rsidR="006921FB" w:rsidRPr="007113DA" w:rsidRDefault="00F80F32" w:rsidP="006921FB">
      <w:pPr>
        <w:pStyle w:val="F02-Texte"/>
        <w:rPr>
          <w:lang w:val="en-CA"/>
        </w:rPr>
      </w:pPr>
      <w:bookmarkStart w:id="75" w:name="lt_pId063"/>
      <w:r w:rsidRPr="007113DA">
        <w:rPr>
          <w:lang w:val="en-CA"/>
        </w:rPr>
        <w:lastRenderedPageBreak/>
        <w:t xml:space="preserve">Section 83.7 of the </w:t>
      </w:r>
      <w:r w:rsidRPr="007113DA">
        <w:rPr>
          <w:i/>
          <w:lang w:val="en-CA"/>
        </w:rPr>
        <w:t>A</w:t>
      </w:r>
      <w:r w:rsidR="008E65D8" w:rsidRPr="007113DA">
        <w:rPr>
          <w:i/>
          <w:lang w:val="en-CA"/>
        </w:rPr>
        <w:t>IA</w:t>
      </w:r>
      <w:r w:rsidRPr="007113DA">
        <w:rPr>
          <w:lang w:val="en-CA"/>
        </w:rPr>
        <w:t xml:space="preserve"> grants wide discretion to the SAAQ allowing it to “take any necessary measures to contribute to the rehabilitation of a victim, to lessen or cure any disability resulting from bodily injury and to facilitate his return to a normal life or his reintegration into society or the labour market.”</w:t>
      </w:r>
      <w:bookmarkEnd w:id="75"/>
      <w:r w:rsidR="000D541D" w:rsidRPr="007113DA">
        <w:rPr>
          <w:lang w:val="en-CA"/>
        </w:rPr>
        <w:t xml:space="preserve"> </w:t>
      </w:r>
      <w:bookmarkStart w:id="76" w:name="lt_pId064"/>
      <w:r w:rsidRPr="007113DA">
        <w:rPr>
          <w:lang w:val="en-CA"/>
        </w:rPr>
        <w:t xml:space="preserve">Under this provision, the SAAQ has </w:t>
      </w:r>
      <w:r w:rsidR="00966BE3">
        <w:rPr>
          <w:lang w:val="en-CA"/>
        </w:rPr>
        <w:t xml:space="preserve">adopted </w:t>
      </w:r>
      <w:r w:rsidRPr="007113DA">
        <w:rPr>
          <w:lang w:val="en-CA"/>
        </w:rPr>
        <w:t>various guide</w:t>
      </w:r>
      <w:r w:rsidR="00937BBF">
        <w:rPr>
          <w:lang w:val="en-CA"/>
        </w:rPr>
        <w:t>lines as a</w:t>
      </w:r>
      <w:r w:rsidRPr="007113DA">
        <w:rPr>
          <w:lang w:val="en-CA"/>
        </w:rPr>
        <w:t xml:space="preserve"> </w:t>
      </w:r>
      <w:r w:rsidR="008E65D8" w:rsidRPr="007113DA">
        <w:rPr>
          <w:lang w:val="en-CA"/>
        </w:rPr>
        <w:t>decision-making</w:t>
      </w:r>
      <w:r w:rsidRPr="007113DA">
        <w:rPr>
          <w:lang w:val="en-CA"/>
        </w:rPr>
        <w:t xml:space="preserve"> </w:t>
      </w:r>
      <w:r w:rsidR="00937BBF">
        <w:rPr>
          <w:lang w:val="en-CA"/>
        </w:rPr>
        <w:t xml:space="preserve">framework </w:t>
      </w:r>
      <w:r w:rsidR="008E65D8" w:rsidRPr="007113DA">
        <w:rPr>
          <w:lang w:val="en-CA"/>
        </w:rPr>
        <w:t>regarding</w:t>
      </w:r>
      <w:r w:rsidRPr="007113DA">
        <w:rPr>
          <w:lang w:val="en-CA"/>
        </w:rPr>
        <w:t xml:space="preserve"> re</w:t>
      </w:r>
      <w:r w:rsidR="008E65D8" w:rsidRPr="007113DA">
        <w:rPr>
          <w:lang w:val="en-CA"/>
        </w:rPr>
        <w:t>habilitation</w:t>
      </w:r>
      <w:r w:rsidRPr="007113DA">
        <w:rPr>
          <w:lang w:val="en-CA"/>
        </w:rPr>
        <w:t xml:space="preserve"> </w:t>
      </w:r>
      <w:r w:rsidR="00635BBB" w:rsidRPr="007113DA">
        <w:rPr>
          <w:lang w:val="en-CA"/>
        </w:rPr>
        <w:t>issues</w:t>
      </w:r>
      <w:r w:rsidRPr="007113DA">
        <w:rPr>
          <w:lang w:val="en-CA"/>
        </w:rPr>
        <w:t xml:space="preserve">, including </w:t>
      </w:r>
      <w:r w:rsidR="00635BBB" w:rsidRPr="007113DA">
        <w:rPr>
          <w:lang w:val="en-CA"/>
        </w:rPr>
        <w:t>the</w:t>
      </w:r>
      <w:r w:rsidRPr="007113DA">
        <w:rPr>
          <w:lang w:val="en-CA"/>
        </w:rPr>
        <w:t xml:space="preserve"> one alleged in this case.</w:t>
      </w:r>
      <w:bookmarkEnd w:id="76"/>
    </w:p>
    <w:p w14:paraId="43A1AF52" w14:textId="6AEE73A5" w:rsidR="006921FB" w:rsidRPr="007113DA" w:rsidRDefault="00F80F32" w:rsidP="006921FB">
      <w:pPr>
        <w:pStyle w:val="F02-Texte"/>
        <w:rPr>
          <w:lang w:val="en-CA"/>
        </w:rPr>
      </w:pPr>
      <w:bookmarkStart w:id="77" w:name="lt_pId065"/>
      <w:r w:rsidRPr="007113DA">
        <w:rPr>
          <w:lang w:val="en-CA"/>
        </w:rPr>
        <w:t xml:space="preserve">This </w:t>
      </w:r>
      <w:r w:rsidR="008E65D8" w:rsidRPr="007113DA">
        <w:rPr>
          <w:lang w:val="en-CA"/>
        </w:rPr>
        <w:t>guideline</w:t>
      </w:r>
      <w:r w:rsidRPr="007113DA">
        <w:rPr>
          <w:lang w:val="en-CA"/>
        </w:rPr>
        <w:t xml:space="preserve"> </w:t>
      </w:r>
      <w:proofErr w:type="gramStart"/>
      <w:r w:rsidRPr="007113DA">
        <w:rPr>
          <w:lang w:val="en-CA"/>
        </w:rPr>
        <w:t>was adopted</w:t>
      </w:r>
      <w:proofErr w:type="gramEnd"/>
      <w:r w:rsidRPr="007113DA">
        <w:rPr>
          <w:lang w:val="en-CA"/>
        </w:rPr>
        <w:t xml:space="preserve"> by the SAAQ, the body responsible for the implementation of this government </w:t>
      </w:r>
      <w:r w:rsidR="008E65D8" w:rsidRPr="007113DA">
        <w:rPr>
          <w:lang w:val="en-CA"/>
        </w:rPr>
        <w:t>program</w:t>
      </w:r>
      <w:r w:rsidRPr="007113DA">
        <w:rPr>
          <w:lang w:val="en-CA"/>
        </w:rPr>
        <w:t>, and its content is based on its special knowledge of the issues in this area because of the many decision</w:t>
      </w:r>
      <w:r w:rsidR="001E68C3" w:rsidRPr="007113DA">
        <w:rPr>
          <w:lang w:val="en-CA"/>
        </w:rPr>
        <w:t>s</w:t>
      </w:r>
      <w:r w:rsidRPr="007113DA">
        <w:rPr>
          <w:lang w:val="en-CA"/>
        </w:rPr>
        <w:t xml:space="preserve"> it </w:t>
      </w:r>
      <w:r w:rsidR="001E68C3" w:rsidRPr="007113DA">
        <w:rPr>
          <w:lang w:val="en-CA"/>
        </w:rPr>
        <w:t>m</w:t>
      </w:r>
      <w:r w:rsidRPr="007113DA">
        <w:rPr>
          <w:lang w:val="en-CA"/>
        </w:rPr>
        <w:t>akes in this regard.</w:t>
      </w:r>
      <w:bookmarkEnd w:id="77"/>
      <w:r w:rsidR="000D541D" w:rsidRPr="007113DA">
        <w:rPr>
          <w:lang w:val="en-CA"/>
        </w:rPr>
        <w:t xml:space="preserve"> </w:t>
      </w:r>
      <w:bookmarkStart w:id="78" w:name="lt_pId066"/>
      <w:r w:rsidR="00635BBB" w:rsidRPr="007113DA">
        <w:rPr>
          <w:lang w:val="en-CA"/>
        </w:rPr>
        <w:t xml:space="preserve">The </w:t>
      </w:r>
      <w:r w:rsidRPr="007113DA">
        <w:rPr>
          <w:lang w:val="en-CA"/>
        </w:rPr>
        <w:t>SAAQ</w:t>
      </w:r>
      <w:r w:rsidR="001E68C3" w:rsidRPr="007113DA">
        <w:rPr>
          <w:lang w:val="en-CA"/>
        </w:rPr>
        <w:t xml:space="preserve"> decided,</w:t>
      </w:r>
      <w:r w:rsidRPr="007113DA">
        <w:rPr>
          <w:lang w:val="en-CA"/>
        </w:rPr>
        <w:t xml:space="preserve"> in </w:t>
      </w:r>
      <w:r w:rsidR="001E68C3" w:rsidRPr="007113DA">
        <w:rPr>
          <w:lang w:val="en-CA"/>
        </w:rPr>
        <w:t>particular,</w:t>
      </w:r>
      <w:r w:rsidRPr="007113DA">
        <w:rPr>
          <w:lang w:val="en-CA"/>
        </w:rPr>
        <w:t xml:space="preserve"> to reimburse the </w:t>
      </w:r>
      <w:r w:rsidR="00966BE3">
        <w:rPr>
          <w:lang w:val="en-CA"/>
        </w:rPr>
        <w:t>cost of</w:t>
      </w:r>
      <w:r w:rsidRPr="007113DA">
        <w:rPr>
          <w:lang w:val="en-CA"/>
        </w:rPr>
        <w:t xml:space="preserve"> installing </w:t>
      </w:r>
      <w:r w:rsidR="00635BBB" w:rsidRPr="007113DA">
        <w:rPr>
          <w:lang w:val="en-CA"/>
        </w:rPr>
        <w:t>specialized</w:t>
      </w:r>
      <w:r w:rsidRPr="007113DA">
        <w:rPr>
          <w:lang w:val="en-CA"/>
        </w:rPr>
        <w:t xml:space="preserve"> </w:t>
      </w:r>
      <w:r w:rsidR="00635BBB" w:rsidRPr="007113DA">
        <w:rPr>
          <w:lang w:val="en-CA"/>
        </w:rPr>
        <w:t>household</w:t>
      </w:r>
      <w:r w:rsidRPr="007113DA">
        <w:rPr>
          <w:lang w:val="en-CA"/>
        </w:rPr>
        <w:t xml:space="preserve"> appliances, but not </w:t>
      </w:r>
      <w:r w:rsidR="00966BE3">
        <w:rPr>
          <w:lang w:val="en-CA"/>
        </w:rPr>
        <w:t xml:space="preserve">the cost of </w:t>
      </w:r>
      <w:r w:rsidRPr="007113DA">
        <w:rPr>
          <w:lang w:val="en-CA"/>
        </w:rPr>
        <w:t>their replacement.</w:t>
      </w:r>
      <w:bookmarkEnd w:id="78"/>
      <w:r w:rsidR="000D541D" w:rsidRPr="007113DA">
        <w:rPr>
          <w:lang w:val="en-CA"/>
        </w:rPr>
        <w:t xml:space="preserve"> </w:t>
      </w:r>
      <w:bookmarkStart w:id="79" w:name="lt_pId067"/>
      <w:r w:rsidRPr="007113DA">
        <w:rPr>
          <w:lang w:val="en-CA"/>
        </w:rPr>
        <w:t xml:space="preserve">This decision </w:t>
      </w:r>
      <w:r w:rsidR="001E68C3" w:rsidRPr="007113DA">
        <w:rPr>
          <w:lang w:val="en-CA"/>
        </w:rPr>
        <w:t>generally</w:t>
      </w:r>
      <w:r w:rsidRPr="007113DA">
        <w:rPr>
          <w:lang w:val="en-CA"/>
        </w:rPr>
        <w:t xml:space="preserve"> applies to all citizens filing an application with the SAAQ.</w:t>
      </w:r>
      <w:bookmarkEnd w:id="79"/>
      <w:r w:rsidR="000D541D" w:rsidRPr="007113DA">
        <w:rPr>
          <w:lang w:val="en-CA"/>
        </w:rPr>
        <w:t xml:space="preserve"> </w:t>
      </w:r>
    </w:p>
    <w:p w14:paraId="2CCFC252" w14:textId="1363093E" w:rsidR="006921FB" w:rsidRPr="007113DA" w:rsidRDefault="00F80F32" w:rsidP="006921FB">
      <w:pPr>
        <w:pStyle w:val="F02-Texte"/>
        <w:rPr>
          <w:lang w:val="en-CA"/>
        </w:rPr>
      </w:pPr>
      <w:bookmarkStart w:id="80" w:name="lt_pId068"/>
      <w:r w:rsidRPr="007113DA">
        <w:rPr>
          <w:lang w:val="en-CA"/>
        </w:rPr>
        <w:t xml:space="preserve">The applicant alleges that it is not logical that the SAAQ covers the initial </w:t>
      </w:r>
      <w:r w:rsidR="001E68C3" w:rsidRPr="007113DA">
        <w:rPr>
          <w:lang w:val="en-CA"/>
        </w:rPr>
        <w:t xml:space="preserve">costs </w:t>
      </w:r>
      <w:r w:rsidRPr="007113DA">
        <w:rPr>
          <w:lang w:val="en-CA"/>
        </w:rPr>
        <w:t xml:space="preserve">of these household </w:t>
      </w:r>
      <w:r w:rsidR="00635BBB" w:rsidRPr="007113DA">
        <w:rPr>
          <w:lang w:val="en-CA"/>
        </w:rPr>
        <w:t>appliances</w:t>
      </w:r>
      <w:r w:rsidRPr="007113DA">
        <w:rPr>
          <w:lang w:val="en-CA"/>
        </w:rPr>
        <w:t>, but not the</w:t>
      </w:r>
      <w:r w:rsidR="00477933">
        <w:rPr>
          <w:lang w:val="en-CA"/>
        </w:rPr>
        <w:t xml:space="preserve"> cost to replace them</w:t>
      </w:r>
      <w:r w:rsidRPr="007113DA">
        <w:rPr>
          <w:lang w:val="en-CA"/>
        </w:rPr>
        <w:t xml:space="preserve">, </w:t>
      </w:r>
      <w:r w:rsidR="00A825BE">
        <w:rPr>
          <w:lang w:val="en-CA"/>
        </w:rPr>
        <w:t>even th</w:t>
      </w:r>
      <w:r w:rsidR="00A825BE" w:rsidRPr="007113DA">
        <w:rPr>
          <w:lang w:val="en-CA"/>
        </w:rPr>
        <w:t xml:space="preserve">ough </w:t>
      </w:r>
      <w:r w:rsidRPr="007113DA">
        <w:rPr>
          <w:lang w:val="en-CA"/>
        </w:rPr>
        <w:t xml:space="preserve">they </w:t>
      </w:r>
      <w:r w:rsidR="00A825BE">
        <w:rPr>
          <w:lang w:val="en-CA"/>
        </w:rPr>
        <w:t>remain essential for</w:t>
      </w:r>
      <w:r w:rsidRPr="007113DA">
        <w:rPr>
          <w:lang w:val="en-CA"/>
        </w:rPr>
        <w:t xml:space="preserve"> his condition.</w:t>
      </w:r>
      <w:bookmarkEnd w:id="80"/>
      <w:r w:rsidR="000D541D" w:rsidRPr="007113DA">
        <w:rPr>
          <w:lang w:val="en-CA"/>
        </w:rPr>
        <w:t xml:space="preserve"> </w:t>
      </w:r>
      <w:bookmarkStart w:id="81" w:name="lt_pId069"/>
      <w:r w:rsidRPr="007113DA">
        <w:rPr>
          <w:lang w:val="en-CA"/>
        </w:rPr>
        <w:t xml:space="preserve">He does not </w:t>
      </w:r>
      <w:r w:rsidR="00CC3BAB" w:rsidRPr="007113DA">
        <w:rPr>
          <w:lang w:val="en-CA"/>
        </w:rPr>
        <w:t>claim</w:t>
      </w:r>
      <w:r w:rsidRPr="007113DA">
        <w:rPr>
          <w:lang w:val="en-CA"/>
        </w:rPr>
        <w:t xml:space="preserve"> that his </w:t>
      </w:r>
      <w:r w:rsidR="00635BBB" w:rsidRPr="007113DA">
        <w:rPr>
          <w:lang w:val="en-CA"/>
        </w:rPr>
        <w:t>situation</w:t>
      </w:r>
      <w:r w:rsidRPr="007113DA">
        <w:rPr>
          <w:lang w:val="en-CA"/>
        </w:rPr>
        <w:t xml:space="preserve"> is special or that the application of the </w:t>
      </w:r>
      <w:r w:rsidR="00CC3BAB" w:rsidRPr="007113DA">
        <w:rPr>
          <w:lang w:val="en-CA"/>
        </w:rPr>
        <w:t>guideline</w:t>
      </w:r>
      <w:r w:rsidRPr="007113DA">
        <w:rPr>
          <w:lang w:val="en-CA"/>
        </w:rPr>
        <w:t xml:space="preserve"> </w:t>
      </w:r>
      <w:r w:rsidR="00A825BE">
        <w:rPr>
          <w:lang w:val="en-CA"/>
        </w:rPr>
        <w:t>to him</w:t>
      </w:r>
      <w:r w:rsidRPr="007113DA">
        <w:rPr>
          <w:lang w:val="en-CA"/>
        </w:rPr>
        <w:t xml:space="preserve"> imposes </w:t>
      </w:r>
      <w:r w:rsidR="00635BBB" w:rsidRPr="007113DA">
        <w:rPr>
          <w:lang w:val="en-CA"/>
        </w:rPr>
        <w:t>different</w:t>
      </w:r>
      <w:r w:rsidRPr="007113DA">
        <w:rPr>
          <w:lang w:val="en-CA"/>
        </w:rPr>
        <w:t xml:space="preserve"> </w:t>
      </w:r>
      <w:r w:rsidR="00635BBB" w:rsidRPr="007113DA">
        <w:rPr>
          <w:lang w:val="en-CA"/>
        </w:rPr>
        <w:t>consequences</w:t>
      </w:r>
      <w:r w:rsidRPr="007113DA">
        <w:rPr>
          <w:lang w:val="en-CA"/>
        </w:rPr>
        <w:t xml:space="preserve"> from those </w:t>
      </w:r>
      <w:r w:rsidR="00CC3BAB" w:rsidRPr="007113DA">
        <w:rPr>
          <w:lang w:val="en-CA"/>
        </w:rPr>
        <w:t>suffered</w:t>
      </w:r>
      <w:r w:rsidRPr="007113DA">
        <w:rPr>
          <w:lang w:val="en-CA"/>
        </w:rPr>
        <w:t xml:space="preserve"> by other citizens in general.</w:t>
      </w:r>
      <w:bookmarkEnd w:id="81"/>
      <w:r w:rsidR="000D541D" w:rsidRPr="007113DA">
        <w:rPr>
          <w:lang w:val="en-CA"/>
        </w:rPr>
        <w:t xml:space="preserve">   </w:t>
      </w:r>
    </w:p>
    <w:p w14:paraId="395E7BFC" w14:textId="022C16D1" w:rsidR="006921FB" w:rsidRPr="007113DA" w:rsidRDefault="00F80F32" w:rsidP="006921FB">
      <w:pPr>
        <w:pStyle w:val="F02-Texte"/>
        <w:rPr>
          <w:lang w:val="en-CA"/>
        </w:rPr>
      </w:pPr>
      <w:bookmarkStart w:id="82" w:name="lt_pId070"/>
      <w:r w:rsidRPr="007113DA">
        <w:rPr>
          <w:lang w:val="en-CA"/>
        </w:rPr>
        <w:t xml:space="preserve">In the context of its decision, the </w:t>
      </w:r>
      <w:r w:rsidR="00537030" w:rsidRPr="007113DA">
        <w:rPr>
          <w:lang w:val="en-CA"/>
        </w:rPr>
        <w:t xml:space="preserve">guideline can serve as </w:t>
      </w:r>
      <w:r w:rsidR="00A825BE">
        <w:rPr>
          <w:lang w:val="en-CA"/>
        </w:rPr>
        <w:t xml:space="preserve">a </w:t>
      </w:r>
      <w:r w:rsidR="00537030" w:rsidRPr="007113DA">
        <w:rPr>
          <w:lang w:val="en-CA"/>
        </w:rPr>
        <w:t>reference</w:t>
      </w:r>
      <w:r w:rsidRPr="007113DA">
        <w:rPr>
          <w:lang w:val="en-CA"/>
        </w:rPr>
        <w:t xml:space="preserve"> </w:t>
      </w:r>
      <w:r w:rsidR="00537030" w:rsidRPr="007113DA">
        <w:rPr>
          <w:lang w:val="en-CA"/>
        </w:rPr>
        <w:t>for</w:t>
      </w:r>
      <w:r w:rsidRPr="007113DA">
        <w:rPr>
          <w:lang w:val="en-CA"/>
        </w:rPr>
        <w:t xml:space="preserve"> the Tribunal if it considers its content relevant and justified because it is compatible with the </w:t>
      </w:r>
      <w:r w:rsidR="00CC3BAB" w:rsidRPr="007113DA">
        <w:rPr>
          <w:lang w:val="en-CA"/>
        </w:rPr>
        <w:t>purpose</w:t>
      </w:r>
      <w:r w:rsidRPr="007113DA">
        <w:rPr>
          <w:lang w:val="en-CA"/>
        </w:rPr>
        <w:t xml:space="preserve"> of the l</w:t>
      </w:r>
      <w:r w:rsidR="00CC3BAB" w:rsidRPr="007113DA">
        <w:rPr>
          <w:lang w:val="en-CA"/>
        </w:rPr>
        <w:t>egislation</w:t>
      </w:r>
      <w:r w:rsidRPr="007113DA">
        <w:rPr>
          <w:lang w:val="en-CA"/>
        </w:rPr>
        <w:t>.</w:t>
      </w:r>
      <w:bookmarkEnd w:id="82"/>
      <w:r w:rsidR="000D541D" w:rsidRPr="007113DA">
        <w:rPr>
          <w:lang w:val="en-CA"/>
        </w:rPr>
        <w:t xml:space="preserve"> </w:t>
      </w:r>
      <w:bookmarkStart w:id="83" w:name="lt_pId071"/>
      <w:r w:rsidR="008A063D" w:rsidRPr="007113DA">
        <w:rPr>
          <w:lang w:val="en-CA"/>
        </w:rPr>
        <w:t>If this is not the case</w:t>
      </w:r>
      <w:r w:rsidR="00A825BE">
        <w:rPr>
          <w:lang w:val="en-CA"/>
        </w:rPr>
        <w:t>,</w:t>
      </w:r>
      <w:r w:rsidR="008A063D" w:rsidRPr="007113DA">
        <w:rPr>
          <w:lang w:val="en-CA"/>
        </w:rPr>
        <w:t xml:space="preserve"> or if the applicant’s situation </w:t>
      </w:r>
      <w:r w:rsidR="00A825BE">
        <w:rPr>
          <w:lang w:val="en-CA"/>
        </w:rPr>
        <w:t>presents</w:t>
      </w:r>
      <w:r w:rsidR="00A825BE" w:rsidRPr="007113DA">
        <w:rPr>
          <w:lang w:val="en-CA"/>
        </w:rPr>
        <w:t xml:space="preserve"> </w:t>
      </w:r>
      <w:r w:rsidR="008A063D" w:rsidRPr="007113DA">
        <w:rPr>
          <w:lang w:val="en-CA"/>
        </w:rPr>
        <w:t xml:space="preserve">a special characteristic that justifies </w:t>
      </w:r>
      <w:r w:rsidR="00340967" w:rsidRPr="007113DA">
        <w:rPr>
          <w:lang w:val="en-CA"/>
        </w:rPr>
        <w:t>setting</w:t>
      </w:r>
      <w:r w:rsidR="008A063D" w:rsidRPr="007113DA">
        <w:rPr>
          <w:lang w:val="en-CA"/>
        </w:rPr>
        <w:t xml:space="preserve"> aside the </w:t>
      </w:r>
      <w:r w:rsidR="0016214B" w:rsidRPr="007113DA">
        <w:rPr>
          <w:lang w:val="en-CA"/>
        </w:rPr>
        <w:t>guideline</w:t>
      </w:r>
      <w:r w:rsidR="008A063D" w:rsidRPr="007113DA">
        <w:rPr>
          <w:lang w:val="en-CA"/>
        </w:rPr>
        <w:t>, the</w:t>
      </w:r>
      <w:r w:rsidR="00A825BE">
        <w:rPr>
          <w:lang w:val="en-CA"/>
        </w:rPr>
        <w:t>n the</w:t>
      </w:r>
      <w:r w:rsidR="008A063D" w:rsidRPr="007113DA">
        <w:rPr>
          <w:lang w:val="en-CA"/>
        </w:rPr>
        <w:t xml:space="preserve"> Tribunal </w:t>
      </w:r>
      <w:r w:rsidR="00F15EC4" w:rsidRPr="007113DA">
        <w:rPr>
          <w:lang w:val="en-CA"/>
        </w:rPr>
        <w:t>can set</w:t>
      </w:r>
      <w:r w:rsidR="008A063D" w:rsidRPr="007113DA">
        <w:rPr>
          <w:lang w:val="en-CA"/>
        </w:rPr>
        <w:t xml:space="preserve"> it aside.</w:t>
      </w:r>
      <w:bookmarkEnd w:id="83"/>
      <w:r w:rsidR="000D541D" w:rsidRPr="007113DA">
        <w:rPr>
          <w:lang w:val="en-CA"/>
        </w:rPr>
        <w:t xml:space="preserve"> </w:t>
      </w:r>
    </w:p>
    <w:p w14:paraId="78C75539" w14:textId="6B373F9F" w:rsidR="006921FB" w:rsidRPr="007113DA" w:rsidRDefault="008A063D" w:rsidP="006921FB">
      <w:pPr>
        <w:pStyle w:val="F02-Texte"/>
        <w:rPr>
          <w:lang w:val="en-CA"/>
        </w:rPr>
      </w:pPr>
      <w:bookmarkStart w:id="84" w:name="lt_pId072"/>
      <w:r w:rsidRPr="007113DA">
        <w:rPr>
          <w:lang w:val="en-CA"/>
        </w:rPr>
        <w:t xml:space="preserve">In brief, the Tribunal must render the appropriate decision under s. 83.7 of the </w:t>
      </w:r>
      <w:r w:rsidRPr="007113DA">
        <w:rPr>
          <w:i/>
          <w:lang w:val="en-CA"/>
        </w:rPr>
        <w:t xml:space="preserve">AIA </w:t>
      </w:r>
      <w:r w:rsidRPr="007113DA">
        <w:rPr>
          <w:lang w:val="en-CA"/>
        </w:rPr>
        <w:t>while taking into account the parameter</w:t>
      </w:r>
      <w:r w:rsidR="0016214B" w:rsidRPr="007113DA">
        <w:rPr>
          <w:lang w:val="en-CA"/>
        </w:rPr>
        <w:t>s</w:t>
      </w:r>
      <w:r w:rsidRPr="007113DA">
        <w:rPr>
          <w:lang w:val="en-CA"/>
        </w:rPr>
        <w:t xml:space="preserve"> </w:t>
      </w:r>
      <w:r w:rsidR="00937BBF">
        <w:rPr>
          <w:lang w:val="en-CA"/>
        </w:rPr>
        <w:t>established</w:t>
      </w:r>
      <w:r w:rsidR="00937BBF" w:rsidRPr="007113DA">
        <w:rPr>
          <w:lang w:val="en-CA"/>
        </w:rPr>
        <w:t xml:space="preserve"> </w:t>
      </w:r>
      <w:r w:rsidRPr="007113DA">
        <w:rPr>
          <w:lang w:val="en-CA"/>
        </w:rPr>
        <w:t>by the S</w:t>
      </w:r>
      <w:r w:rsidR="0016214B" w:rsidRPr="007113DA">
        <w:rPr>
          <w:lang w:val="en-CA"/>
        </w:rPr>
        <w:t xml:space="preserve">AAQ to guide it in its </w:t>
      </w:r>
      <w:r w:rsidR="00160476">
        <w:rPr>
          <w:lang w:val="en-CA"/>
        </w:rPr>
        <w:br/>
      </w:r>
      <w:r w:rsidR="0016214B" w:rsidRPr="007113DA">
        <w:rPr>
          <w:lang w:val="en-CA"/>
        </w:rPr>
        <w:t>decision-</w:t>
      </w:r>
      <w:r w:rsidRPr="007113DA">
        <w:rPr>
          <w:lang w:val="en-CA"/>
        </w:rPr>
        <w:t>making.</w:t>
      </w:r>
      <w:bookmarkEnd w:id="84"/>
      <w:r w:rsidR="000D541D" w:rsidRPr="007113DA">
        <w:rPr>
          <w:lang w:val="en-CA"/>
        </w:rPr>
        <w:t xml:space="preserve"> </w:t>
      </w:r>
      <w:bookmarkStart w:id="85" w:name="lt_pId073"/>
      <w:r w:rsidRPr="007113DA">
        <w:rPr>
          <w:lang w:val="en-CA"/>
        </w:rPr>
        <w:t xml:space="preserve">However, in the applicant’s situation </w:t>
      </w:r>
      <w:r w:rsidR="009C1116">
        <w:rPr>
          <w:lang w:val="en-CA"/>
        </w:rPr>
        <w:t>there is no reason to</w:t>
      </w:r>
      <w:r w:rsidR="009C1116" w:rsidRPr="007113DA">
        <w:rPr>
          <w:lang w:val="en-CA"/>
        </w:rPr>
        <w:t xml:space="preserve"> mak</w:t>
      </w:r>
      <w:r w:rsidR="009C1116">
        <w:rPr>
          <w:lang w:val="en-CA"/>
        </w:rPr>
        <w:t>e</w:t>
      </w:r>
      <w:r w:rsidR="009C1116" w:rsidRPr="007113DA">
        <w:rPr>
          <w:lang w:val="en-CA"/>
        </w:rPr>
        <w:t xml:space="preserve"> </w:t>
      </w:r>
      <w:r w:rsidRPr="007113DA">
        <w:rPr>
          <w:lang w:val="en-CA"/>
        </w:rPr>
        <w:t>a decision that sets aside these parameters</w:t>
      </w:r>
      <w:r w:rsidR="009C1116">
        <w:rPr>
          <w:lang w:val="en-CA"/>
        </w:rPr>
        <w:t>, which apply generally</w:t>
      </w:r>
      <w:r w:rsidRPr="007113DA">
        <w:rPr>
          <w:lang w:val="en-CA"/>
        </w:rPr>
        <w:t xml:space="preserve"> to citizens in this kind of situation.</w:t>
      </w:r>
      <w:bookmarkEnd w:id="85"/>
      <w:r w:rsidR="000D541D" w:rsidRPr="007113DA">
        <w:rPr>
          <w:lang w:val="en-CA"/>
        </w:rPr>
        <w:t xml:space="preserve"> </w:t>
      </w:r>
      <w:bookmarkStart w:id="86" w:name="lt_pId074"/>
      <w:r w:rsidRPr="007113DA">
        <w:rPr>
          <w:lang w:val="en-CA"/>
        </w:rPr>
        <w:t xml:space="preserve">In addition, there is no evidence that the </w:t>
      </w:r>
      <w:r w:rsidR="0016214B" w:rsidRPr="007113DA">
        <w:rPr>
          <w:lang w:val="en-CA"/>
        </w:rPr>
        <w:t>guideline</w:t>
      </w:r>
      <w:r w:rsidRPr="007113DA">
        <w:rPr>
          <w:lang w:val="en-CA"/>
        </w:rPr>
        <w:t xml:space="preserve"> breaches the </w:t>
      </w:r>
      <w:r w:rsidRPr="007113DA">
        <w:rPr>
          <w:i/>
          <w:lang w:val="en-CA"/>
        </w:rPr>
        <w:t>AIA</w:t>
      </w:r>
      <w:r w:rsidRPr="007113DA">
        <w:rPr>
          <w:lang w:val="en-CA"/>
        </w:rPr>
        <w:t>.</w:t>
      </w:r>
      <w:bookmarkEnd w:id="86"/>
      <w:r w:rsidR="000D541D" w:rsidRPr="007113DA">
        <w:rPr>
          <w:lang w:val="en-CA"/>
        </w:rPr>
        <w:t xml:space="preserve"> </w:t>
      </w:r>
      <w:bookmarkStart w:id="87" w:name="lt_pId075"/>
      <w:r w:rsidR="00D955E1" w:rsidRPr="007113DA">
        <w:rPr>
          <w:lang w:val="en-CA"/>
        </w:rPr>
        <w:t xml:space="preserve">The </w:t>
      </w:r>
      <w:r w:rsidR="00340967" w:rsidRPr="007113DA">
        <w:rPr>
          <w:lang w:val="en-CA"/>
        </w:rPr>
        <w:t>implementation</w:t>
      </w:r>
      <w:r w:rsidR="00D955E1" w:rsidRPr="007113DA">
        <w:rPr>
          <w:lang w:val="en-CA"/>
        </w:rPr>
        <w:t xml:space="preserve"> of a compensation </w:t>
      </w:r>
      <w:r w:rsidR="0016214B" w:rsidRPr="007113DA">
        <w:rPr>
          <w:lang w:val="en-CA"/>
        </w:rPr>
        <w:t xml:space="preserve">program </w:t>
      </w:r>
      <w:r w:rsidR="00D955E1" w:rsidRPr="007113DA">
        <w:rPr>
          <w:lang w:val="en-CA"/>
        </w:rPr>
        <w:t xml:space="preserve">such as the one set out in this </w:t>
      </w:r>
      <w:r w:rsidR="00D955E1" w:rsidRPr="007113DA">
        <w:rPr>
          <w:i/>
          <w:lang w:val="en-CA"/>
        </w:rPr>
        <w:t>Act</w:t>
      </w:r>
      <w:r w:rsidR="00D955E1" w:rsidRPr="007113DA">
        <w:rPr>
          <w:lang w:val="en-CA"/>
        </w:rPr>
        <w:t xml:space="preserve"> i</w:t>
      </w:r>
      <w:r w:rsidR="0016214B" w:rsidRPr="007113DA">
        <w:rPr>
          <w:lang w:val="en-CA"/>
        </w:rPr>
        <w:t>nvolves</w:t>
      </w:r>
      <w:r w:rsidR="00D955E1" w:rsidRPr="007113DA">
        <w:rPr>
          <w:lang w:val="en-CA"/>
        </w:rPr>
        <w:t xml:space="preserve"> choice</w:t>
      </w:r>
      <w:r w:rsidR="0016214B" w:rsidRPr="007113DA">
        <w:rPr>
          <w:lang w:val="en-CA"/>
        </w:rPr>
        <w:t xml:space="preserve">s about what can and </w:t>
      </w:r>
      <w:proofErr w:type="gramStart"/>
      <w:r w:rsidR="0016214B" w:rsidRPr="007113DA">
        <w:rPr>
          <w:lang w:val="en-CA"/>
        </w:rPr>
        <w:t>cannot be covered</w:t>
      </w:r>
      <w:proofErr w:type="gramEnd"/>
      <w:r w:rsidR="00D955E1" w:rsidRPr="007113DA">
        <w:rPr>
          <w:lang w:val="en-CA"/>
        </w:rPr>
        <w:t>.</w:t>
      </w:r>
      <w:bookmarkEnd w:id="87"/>
    </w:p>
    <w:p w14:paraId="121D7461" w14:textId="0088E0AB" w:rsidR="00594BDE" w:rsidRPr="007113DA" w:rsidRDefault="009C1116" w:rsidP="006921FB">
      <w:pPr>
        <w:pStyle w:val="F02-Texte"/>
        <w:rPr>
          <w:lang w:val="en-CA"/>
        </w:rPr>
      </w:pPr>
      <w:bookmarkStart w:id="88" w:name="lt_pId076"/>
      <w:r>
        <w:rPr>
          <w:lang w:val="en-CA"/>
        </w:rPr>
        <w:t>Accordingly</w:t>
      </w:r>
      <w:r w:rsidR="00D955E1" w:rsidRPr="007113DA">
        <w:rPr>
          <w:lang w:val="en-CA"/>
        </w:rPr>
        <w:t xml:space="preserve">, in the absence of proof that the choice made in the </w:t>
      </w:r>
      <w:r w:rsidR="0016214B" w:rsidRPr="007113DA">
        <w:rPr>
          <w:lang w:val="en-CA"/>
        </w:rPr>
        <w:t>guideline</w:t>
      </w:r>
      <w:r w:rsidR="00D955E1" w:rsidRPr="007113DA">
        <w:rPr>
          <w:lang w:val="en-CA"/>
        </w:rPr>
        <w:t xml:space="preserve"> is not justified with regard to s. 83.7 of the </w:t>
      </w:r>
      <w:r w:rsidR="00D955E1" w:rsidRPr="007113DA">
        <w:rPr>
          <w:i/>
          <w:lang w:val="en-CA"/>
        </w:rPr>
        <w:t>AIA</w:t>
      </w:r>
      <w:r w:rsidR="00D955E1" w:rsidRPr="007113DA">
        <w:rPr>
          <w:lang w:val="en-CA"/>
        </w:rPr>
        <w:t xml:space="preserve">, and since in the applicant’s situation </w:t>
      </w:r>
      <w:r>
        <w:rPr>
          <w:lang w:val="en-CA"/>
        </w:rPr>
        <w:t>there is no reason to set</w:t>
      </w:r>
      <w:r w:rsidR="00D955E1" w:rsidRPr="007113DA">
        <w:rPr>
          <w:lang w:val="en-CA"/>
        </w:rPr>
        <w:t xml:space="preserve"> it aside, the Tribunal </w:t>
      </w:r>
      <w:r>
        <w:rPr>
          <w:lang w:val="en-CA"/>
        </w:rPr>
        <w:t>finds</w:t>
      </w:r>
      <w:r w:rsidRPr="007113DA">
        <w:rPr>
          <w:lang w:val="en-CA"/>
        </w:rPr>
        <w:t xml:space="preserve"> </w:t>
      </w:r>
      <w:r w:rsidR="00D955E1" w:rsidRPr="007113DA">
        <w:rPr>
          <w:lang w:val="en-CA"/>
        </w:rPr>
        <w:t xml:space="preserve">that the applicant is not </w:t>
      </w:r>
      <w:r w:rsidR="00340967" w:rsidRPr="007113DA">
        <w:rPr>
          <w:lang w:val="en-CA"/>
        </w:rPr>
        <w:t>entitled</w:t>
      </w:r>
      <w:r w:rsidR="00D955E1" w:rsidRPr="007113DA">
        <w:rPr>
          <w:lang w:val="en-CA"/>
        </w:rPr>
        <w:t xml:space="preserve"> to </w:t>
      </w:r>
      <w:r>
        <w:rPr>
          <w:lang w:val="en-CA"/>
        </w:rPr>
        <w:t>the</w:t>
      </w:r>
      <w:r w:rsidRPr="007113DA">
        <w:rPr>
          <w:lang w:val="en-CA"/>
        </w:rPr>
        <w:t xml:space="preserve"> reimburse</w:t>
      </w:r>
      <w:r>
        <w:rPr>
          <w:lang w:val="en-CA"/>
        </w:rPr>
        <w:t>ment of</w:t>
      </w:r>
      <w:r w:rsidR="00D955E1" w:rsidRPr="007113DA">
        <w:rPr>
          <w:lang w:val="en-CA"/>
        </w:rPr>
        <w:t xml:space="preserve"> </w:t>
      </w:r>
      <w:r w:rsidR="0016214B" w:rsidRPr="007113DA">
        <w:rPr>
          <w:lang w:val="en-CA"/>
        </w:rPr>
        <w:t>the cost of replacing</w:t>
      </w:r>
      <w:r w:rsidR="00D955E1" w:rsidRPr="007113DA">
        <w:rPr>
          <w:lang w:val="en-CA"/>
        </w:rPr>
        <w:t xml:space="preserve"> his </w:t>
      </w:r>
      <w:r w:rsidR="00340967" w:rsidRPr="007113DA">
        <w:rPr>
          <w:lang w:val="en-CA"/>
        </w:rPr>
        <w:t>specialized</w:t>
      </w:r>
      <w:r w:rsidR="00D955E1" w:rsidRPr="007113DA">
        <w:rPr>
          <w:lang w:val="en-CA"/>
        </w:rPr>
        <w:t xml:space="preserve"> household appliances.</w:t>
      </w:r>
      <w:bookmarkEnd w:id="88"/>
    </w:p>
    <w:p w14:paraId="75458313" w14:textId="77777777" w:rsidR="00F15EC4" w:rsidRDefault="00F15EC4">
      <w:pPr>
        <w:rPr>
          <w:b/>
          <w:lang w:val="en-CA"/>
        </w:rPr>
      </w:pPr>
      <w:bookmarkStart w:id="89" w:name="lt_pId077"/>
      <w:r>
        <w:rPr>
          <w:b/>
          <w:lang w:val="en-CA"/>
        </w:rPr>
        <w:br w:type="page"/>
      </w:r>
    </w:p>
    <w:p w14:paraId="0F066CB5" w14:textId="01E2CFAB" w:rsidR="00594BDE" w:rsidRPr="007113DA" w:rsidRDefault="00D955E1" w:rsidP="006921FB">
      <w:pPr>
        <w:pStyle w:val="F02-Texte"/>
        <w:numPr>
          <w:ilvl w:val="0"/>
          <w:numId w:val="0"/>
        </w:numPr>
        <w:rPr>
          <w:lang w:val="en-CA"/>
        </w:rPr>
      </w:pPr>
      <w:r w:rsidRPr="007113DA">
        <w:rPr>
          <w:b/>
          <w:lang w:val="en-CA"/>
        </w:rPr>
        <w:lastRenderedPageBreak/>
        <w:t>FOR THESE REASONS, the Tribunal:</w:t>
      </w:r>
      <w:bookmarkStart w:id="90" w:name="lt_pId078"/>
      <w:bookmarkEnd w:id="89"/>
      <w:bookmarkEnd w:id="90"/>
    </w:p>
    <w:p w14:paraId="04850977" w14:textId="08F4BF48" w:rsidR="00594BDE" w:rsidRPr="007113DA" w:rsidRDefault="00D955E1" w:rsidP="006921FB">
      <w:pPr>
        <w:pStyle w:val="F02-Texte"/>
        <w:numPr>
          <w:ilvl w:val="0"/>
          <w:numId w:val="0"/>
        </w:numPr>
        <w:rPr>
          <w:lang w:val="en-CA"/>
        </w:rPr>
      </w:pPr>
      <w:r w:rsidRPr="007113DA">
        <w:rPr>
          <w:b/>
          <w:lang w:val="en-CA"/>
        </w:rPr>
        <w:t xml:space="preserve">DISMISSES </w:t>
      </w:r>
      <w:r w:rsidRPr="007113DA">
        <w:rPr>
          <w:lang w:val="en-CA"/>
        </w:rPr>
        <w:t>the proceeding.</w:t>
      </w:r>
      <w:r w:rsidR="000D541D" w:rsidRPr="007113DA">
        <w:rPr>
          <w:lang w:val="en-CA"/>
        </w:rPr>
        <w:t xml:space="preserve">  </w:t>
      </w:r>
    </w:p>
    <w:p w14:paraId="7EC8C60F" w14:textId="77777777" w:rsidR="005F44B9" w:rsidRPr="007113DA" w:rsidRDefault="002A6DA5" w:rsidP="00594BDE">
      <w:pPr>
        <w:pStyle w:val="F02-Texte"/>
        <w:rPr>
          <w:lang w:val="en-CA"/>
        </w:rPr>
        <w:sectPr w:rsidR="005F44B9" w:rsidRPr="007113DA" w:rsidSect="00594BDE">
          <w:type w:val="continuous"/>
          <w:pgSz w:w="12240" w:h="15840"/>
          <w:pgMar w:top="2792" w:right="1080" w:bottom="2016" w:left="1440" w:header="1699" w:footer="720" w:gutter="0"/>
          <w:cols w:space="720"/>
          <w:formProt w:val="0"/>
        </w:sectPr>
      </w:pPr>
    </w:p>
    <w:p w14:paraId="7763379D" w14:textId="77777777" w:rsidR="00594BDE" w:rsidRPr="007113DA" w:rsidRDefault="002A6DA5" w:rsidP="005F44B9">
      <w:pPr>
        <w:pStyle w:val="13aSignature-ligne"/>
        <w:rPr>
          <w:lang w:val="en-CA"/>
        </w:rPr>
      </w:pPr>
      <w:bookmarkStart w:id="91" w:name="Signatures"/>
      <w:bookmarkEnd w:id="91"/>
    </w:p>
    <w:p w14:paraId="34598024" w14:textId="203344D1" w:rsidR="005F44B9" w:rsidRPr="007113DA" w:rsidRDefault="00D955E1" w:rsidP="005F44B9">
      <w:pPr>
        <w:pStyle w:val="13Signature"/>
        <w:rPr>
          <w:lang w:val="en-CA"/>
        </w:rPr>
      </w:pPr>
      <w:r w:rsidRPr="007113DA">
        <w:rPr>
          <w:lang w:val="en-CA"/>
        </w:rPr>
        <w:t>KARL LEFEBVRE, a.j.t.a.q.</w:t>
      </w:r>
    </w:p>
    <w:p w14:paraId="6895B387" w14:textId="77777777" w:rsidR="005F44B9" w:rsidRPr="007113DA" w:rsidRDefault="002A6DA5" w:rsidP="005F44B9">
      <w:pPr>
        <w:pStyle w:val="13aSignature-ligne"/>
        <w:rPr>
          <w:lang w:val="en-CA"/>
        </w:rPr>
      </w:pPr>
    </w:p>
    <w:tbl>
      <w:tblPr>
        <w:tblW w:w="104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6"/>
        <w:gridCol w:w="6480"/>
      </w:tblGrid>
      <w:tr w:rsidR="00025436" w:rsidRPr="007113DA" w14:paraId="48A2EF5F" w14:textId="77777777" w:rsidTr="005F44B9">
        <w:tc>
          <w:tcPr>
            <w:tcW w:w="3946" w:type="dxa"/>
            <w:shd w:val="clear" w:color="auto" w:fill="auto"/>
          </w:tcPr>
          <w:p w14:paraId="521522B3" w14:textId="77777777" w:rsidR="005F44B9" w:rsidRPr="007113DA" w:rsidRDefault="002A6DA5" w:rsidP="005F44B9">
            <w:pPr>
              <w:pStyle w:val="00NormalDecision"/>
              <w:rPr>
                <w:lang w:val="en-CA"/>
              </w:rPr>
            </w:pPr>
          </w:p>
        </w:tc>
        <w:tc>
          <w:tcPr>
            <w:tcW w:w="6480" w:type="dxa"/>
            <w:shd w:val="clear" w:color="auto" w:fill="auto"/>
          </w:tcPr>
          <w:p w14:paraId="0FE11302" w14:textId="66598E44" w:rsidR="005F44B9" w:rsidRPr="00BC7264" w:rsidRDefault="00D955E1" w:rsidP="005F44B9">
            <w:pPr>
              <w:pStyle w:val="13bSignatureTableau"/>
              <w:rPr>
                <w:lang w:val="fr-CA"/>
              </w:rPr>
            </w:pPr>
            <w:bookmarkStart w:id="92" w:name="lt_pId080"/>
            <w:r w:rsidRPr="00BC7264">
              <w:rPr>
                <w:lang w:val="fr-CA"/>
              </w:rPr>
              <w:t>MICHÈLE RANDOIN, a.j.t.a.q.</w:t>
            </w:r>
            <w:bookmarkEnd w:id="92"/>
          </w:p>
        </w:tc>
      </w:tr>
    </w:tbl>
    <w:p w14:paraId="2DC5D978" w14:textId="77777777" w:rsidR="005F44B9" w:rsidRPr="00BC7264" w:rsidRDefault="002A6DA5" w:rsidP="005F44B9">
      <w:pPr>
        <w:pStyle w:val="00NormalDecision"/>
        <w:rPr>
          <w:lang w:val="fr-CA"/>
        </w:rPr>
        <w:sectPr w:rsidR="005F44B9" w:rsidRPr="00BC7264" w:rsidSect="00594BDE">
          <w:type w:val="continuous"/>
          <w:pgSz w:w="12240" w:h="15840"/>
          <w:pgMar w:top="2792" w:right="1080" w:bottom="2016" w:left="1440" w:header="1699" w:footer="720" w:gutter="0"/>
          <w:cols w:space="720"/>
        </w:sectPr>
      </w:pPr>
    </w:p>
    <w:p w14:paraId="1A348EC9" w14:textId="77777777" w:rsidR="005F44B9" w:rsidRPr="00BC7264" w:rsidRDefault="002A6DA5" w:rsidP="005F44B9">
      <w:pPr>
        <w:pStyle w:val="00NormalDecision"/>
        <w:rPr>
          <w:lang w:val="fr-CA"/>
        </w:rPr>
      </w:pPr>
    </w:p>
    <w:p w14:paraId="6D5685B7" w14:textId="618AE5EF" w:rsidR="005F44B9" w:rsidRPr="007113DA" w:rsidRDefault="00D955E1" w:rsidP="005F44B9">
      <w:pPr>
        <w:pStyle w:val="00NormalDecision"/>
        <w:rPr>
          <w:lang w:val="en-CA"/>
        </w:rPr>
      </w:pPr>
      <w:bookmarkStart w:id="93" w:name="lt_pId081"/>
      <w:r w:rsidRPr="007113DA">
        <w:rPr>
          <w:lang w:val="en-CA"/>
        </w:rPr>
        <w:t>Boisvert, Gauthier</w:t>
      </w:r>
      <w:bookmarkEnd w:id="93"/>
    </w:p>
    <w:p w14:paraId="2B54AF60" w14:textId="4355414D" w:rsidR="005F44B9" w:rsidRPr="007113DA" w:rsidRDefault="00D955E1" w:rsidP="005F44B9">
      <w:pPr>
        <w:pStyle w:val="00NormalDecision"/>
        <w:rPr>
          <w:lang w:val="en-CA"/>
        </w:rPr>
      </w:pPr>
      <w:bookmarkStart w:id="94" w:name="lt_pId082"/>
      <w:r w:rsidRPr="007113DA">
        <w:rPr>
          <w:lang w:val="en-CA"/>
        </w:rPr>
        <w:t>Mtre Édouard Pretty</w:t>
      </w:r>
      <w:bookmarkEnd w:id="94"/>
    </w:p>
    <w:p w14:paraId="6AD8ACF2" w14:textId="50AB3625" w:rsidR="005F44B9" w:rsidRPr="007113DA" w:rsidRDefault="00D955E1" w:rsidP="005F44B9">
      <w:pPr>
        <w:pStyle w:val="00NormalDecision"/>
        <w:rPr>
          <w:lang w:val="en-CA"/>
        </w:rPr>
      </w:pPr>
      <w:bookmarkStart w:id="95" w:name="lt_pId083"/>
      <w:r w:rsidRPr="007113DA">
        <w:rPr>
          <w:lang w:val="en-CA"/>
        </w:rPr>
        <w:t>Counsel for the respondent</w:t>
      </w:r>
      <w:bookmarkEnd w:id="95"/>
    </w:p>
    <w:p w14:paraId="156FAD2A" w14:textId="77777777" w:rsidR="005F44B9" w:rsidRPr="007113DA" w:rsidRDefault="002A6DA5" w:rsidP="005F44B9">
      <w:pPr>
        <w:pStyle w:val="00NormalDecision"/>
        <w:rPr>
          <w:lang w:val="en-CA"/>
        </w:rPr>
        <w:sectPr w:rsidR="005F44B9" w:rsidRPr="007113DA" w:rsidSect="00594BDE">
          <w:type w:val="continuous"/>
          <w:pgSz w:w="12240" w:h="15840"/>
          <w:pgMar w:top="2792" w:right="1080" w:bottom="2016" w:left="1440" w:header="1699" w:footer="720" w:gutter="0"/>
          <w:cols w:space="720"/>
        </w:sectPr>
      </w:pPr>
    </w:p>
    <w:p w14:paraId="7852D170" w14:textId="77777777" w:rsidR="00594BDE" w:rsidRPr="007113DA" w:rsidRDefault="002A6DA5" w:rsidP="00594BDE">
      <w:pPr>
        <w:pStyle w:val="00NormalDecision"/>
        <w:rPr>
          <w:lang w:val="en-CA"/>
        </w:rPr>
      </w:pPr>
      <w:bookmarkStart w:id="96" w:name="FinDocument"/>
      <w:bookmarkEnd w:id="96"/>
    </w:p>
    <w:sectPr w:rsidR="00594BDE" w:rsidRPr="007113DA" w:rsidSect="00594BDE">
      <w:type w:val="continuous"/>
      <w:pgSz w:w="12240" w:h="15840"/>
      <w:pgMar w:top="2792" w:right="1080" w:bottom="2016" w:left="1440" w:header="1699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CB3F" w14:textId="77777777" w:rsidR="002A6DA5" w:rsidRDefault="002A6DA5">
      <w:r>
        <w:separator/>
      </w:r>
    </w:p>
  </w:endnote>
  <w:endnote w:type="continuationSeparator" w:id="0">
    <w:p w14:paraId="0B61D523" w14:textId="77777777" w:rsidR="002A6DA5" w:rsidRDefault="002A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7E3B" w14:textId="77777777" w:rsidR="002A6DA5" w:rsidRDefault="002A6DA5">
      <w:r>
        <w:separator/>
      </w:r>
    </w:p>
  </w:footnote>
  <w:footnote w:type="continuationSeparator" w:id="0">
    <w:p w14:paraId="25C92BBA" w14:textId="77777777" w:rsidR="002A6DA5" w:rsidRDefault="002A6DA5">
      <w:r>
        <w:continuationSeparator/>
      </w:r>
    </w:p>
  </w:footnote>
  <w:footnote w:id="1">
    <w:p w14:paraId="5863F3FD" w14:textId="7E14EDDD" w:rsidR="007E4CDE" w:rsidRPr="007113DA" w:rsidRDefault="000D541D" w:rsidP="00D94748">
      <w:pPr>
        <w:pStyle w:val="Notedebasdepage"/>
        <w:tabs>
          <w:tab w:val="left" w:pos="284"/>
        </w:tabs>
        <w:rPr>
          <w:lang w:val="en-CA"/>
        </w:rPr>
      </w:pPr>
      <w:r>
        <w:rPr>
          <w:rStyle w:val="Appelnotedebasdep"/>
        </w:rPr>
        <w:footnoteRef/>
      </w:r>
      <w:r w:rsidRPr="00D955E1">
        <w:rPr>
          <w:lang w:val="en-CA"/>
        </w:rPr>
        <w:t xml:space="preserve"> </w:t>
      </w:r>
      <w:r w:rsidRPr="00D955E1">
        <w:rPr>
          <w:lang w:val="en-CA"/>
        </w:rPr>
        <w:tab/>
      </w:r>
      <w:bookmarkStart w:id="40" w:name="lt_pId084"/>
      <w:r w:rsidR="00D955E1" w:rsidRPr="007113DA">
        <w:rPr>
          <w:lang w:val="en-CA"/>
        </w:rPr>
        <w:t>Administrative record at 202.</w:t>
      </w:r>
      <w:bookmarkEnd w:id="40"/>
    </w:p>
  </w:footnote>
  <w:footnote w:id="2">
    <w:p w14:paraId="0D9413AB" w14:textId="780EDF77" w:rsidR="007E4CDE" w:rsidRPr="00D955E1" w:rsidRDefault="000D541D" w:rsidP="00D94748">
      <w:pPr>
        <w:pStyle w:val="Notedebasdepage"/>
        <w:tabs>
          <w:tab w:val="left" w:pos="284"/>
        </w:tabs>
        <w:rPr>
          <w:lang w:val="en-CA"/>
        </w:rPr>
      </w:pPr>
      <w:r w:rsidRPr="007113DA">
        <w:rPr>
          <w:rStyle w:val="Appelnotedebasdep"/>
        </w:rPr>
        <w:footnoteRef/>
      </w:r>
      <w:r w:rsidRPr="007113DA">
        <w:rPr>
          <w:lang w:val="en-CA"/>
        </w:rPr>
        <w:t xml:space="preserve"> </w:t>
      </w:r>
      <w:r w:rsidRPr="007113DA">
        <w:rPr>
          <w:lang w:val="en-CA"/>
        </w:rPr>
        <w:tab/>
      </w:r>
      <w:bookmarkStart w:id="42" w:name="lt_pId085"/>
      <w:r w:rsidR="00D955E1" w:rsidRPr="007113DA">
        <w:rPr>
          <w:lang w:val="en-CA"/>
        </w:rPr>
        <w:t>Administrative record at 215.</w:t>
      </w:r>
      <w:bookmarkEnd w:id="42"/>
    </w:p>
  </w:footnote>
  <w:footnote w:id="3">
    <w:p w14:paraId="04C34A09" w14:textId="6FD15C9A" w:rsidR="00165652" w:rsidRPr="007113DA" w:rsidRDefault="000D541D" w:rsidP="00493A02">
      <w:pPr>
        <w:pStyle w:val="Notedebasdepage"/>
        <w:tabs>
          <w:tab w:val="left" w:pos="284"/>
        </w:tabs>
        <w:rPr>
          <w:lang w:val="en-CA"/>
        </w:rPr>
      </w:pPr>
      <w:r>
        <w:rPr>
          <w:rStyle w:val="Appelnotedebasdep"/>
        </w:rPr>
        <w:footnoteRef/>
      </w:r>
      <w:r w:rsidRPr="00D955E1">
        <w:rPr>
          <w:lang w:val="en-CA"/>
        </w:rPr>
        <w:t xml:space="preserve"> </w:t>
      </w:r>
      <w:r w:rsidRPr="00D955E1">
        <w:rPr>
          <w:lang w:val="en-CA"/>
        </w:rPr>
        <w:tab/>
      </w:r>
      <w:bookmarkStart w:id="46" w:name="lt_pId086"/>
      <w:r w:rsidR="00D955E1" w:rsidRPr="007113DA">
        <w:rPr>
          <w:lang w:val="en-CA"/>
        </w:rPr>
        <w:t>Administrative record at 456.</w:t>
      </w:r>
      <w:bookmarkEnd w:id="46"/>
    </w:p>
  </w:footnote>
  <w:footnote w:id="4">
    <w:p w14:paraId="52FBF69D" w14:textId="2B28C5C7" w:rsidR="00044C90" w:rsidRPr="00D955E1" w:rsidRDefault="000D541D" w:rsidP="00493A02">
      <w:pPr>
        <w:pStyle w:val="Notedebasdepage"/>
        <w:tabs>
          <w:tab w:val="left" w:pos="284"/>
        </w:tabs>
        <w:rPr>
          <w:lang w:val="en-CA"/>
        </w:rPr>
      </w:pPr>
      <w:r w:rsidRPr="007113DA">
        <w:rPr>
          <w:rStyle w:val="Appelnotedebasdep"/>
        </w:rPr>
        <w:footnoteRef/>
      </w:r>
      <w:r w:rsidRPr="007113DA">
        <w:rPr>
          <w:lang w:val="en-CA"/>
        </w:rPr>
        <w:t xml:space="preserve"> </w:t>
      </w:r>
      <w:r w:rsidRPr="007113DA">
        <w:rPr>
          <w:lang w:val="en-CA"/>
        </w:rPr>
        <w:tab/>
      </w:r>
      <w:bookmarkStart w:id="50" w:name="lt_pId087"/>
      <w:r w:rsidR="00D955E1" w:rsidRPr="007113DA">
        <w:rPr>
          <w:lang w:val="en-CA"/>
        </w:rPr>
        <w:t>Exhibit I-1.</w:t>
      </w:r>
      <w:bookmarkEnd w:id="50"/>
    </w:p>
  </w:footnote>
  <w:footnote w:id="5">
    <w:p w14:paraId="2730B97B" w14:textId="58AC8B58" w:rsidR="002E49A3" w:rsidRPr="007113DA" w:rsidRDefault="000D541D" w:rsidP="00420BDF">
      <w:pPr>
        <w:pStyle w:val="Notedebasdepage"/>
        <w:tabs>
          <w:tab w:val="left" w:pos="284"/>
        </w:tabs>
      </w:pPr>
      <w:r>
        <w:rPr>
          <w:rStyle w:val="Appelnotedebasdep"/>
        </w:rPr>
        <w:footnoteRef/>
      </w:r>
      <w:r>
        <w:t xml:space="preserve"> </w:t>
      </w:r>
      <w:r>
        <w:tab/>
      </w:r>
      <w:bookmarkStart w:id="70" w:name="lt_pId088"/>
      <w:r w:rsidR="00D955E1" w:rsidRPr="007113DA">
        <w:t>CQLR, c. A-25.</w:t>
      </w:r>
      <w:bookmarkEnd w:id="70"/>
    </w:p>
  </w:footnote>
  <w:footnote w:id="6">
    <w:p w14:paraId="1348725D" w14:textId="40D6BBC4" w:rsidR="006921FB" w:rsidRPr="00C30E09" w:rsidRDefault="000D541D" w:rsidP="00420BDF">
      <w:pPr>
        <w:pStyle w:val="Notedebasdepage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113DA">
        <w:rPr>
          <w:rStyle w:val="Appelnotedebasdep"/>
          <w:rFonts w:ascii="Arial" w:hAnsi="Arial" w:cs="Arial"/>
          <w:sz w:val="18"/>
          <w:szCs w:val="18"/>
        </w:rPr>
        <w:footnoteRef/>
      </w:r>
      <w:r w:rsidRPr="007113DA">
        <w:rPr>
          <w:rFonts w:ascii="Arial" w:hAnsi="Arial" w:cs="Arial"/>
          <w:sz w:val="18"/>
          <w:szCs w:val="18"/>
        </w:rPr>
        <w:t xml:space="preserve"> </w:t>
      </w:r>
      <w:r w:rsidRPr="007113DA">
        <w:rPr>
          <w:rFonts w:ascii="Arial" w:hAnsi="Arial" w:cs="Arial"/>
          <w:sz w:val="18"/>
          <w:szCs w:val="18"/>
        </w:rPr>
        <w:tab/>
      </w:r>
      <w:bookmarkStart w:id="74" w:name="lt_pId089"/>
      <w:r w:rsidR="00D955E1" w:rsidRPr="007113DA">
        <w:rPr>
          <w:rFonts w:ascii="Arial" w:hAnsi="Arial" w:cs="Arial"/>
          <w:sz w:val="18"/>
          <w:szCs w:val="18"/>
        </w:rPr>
        <w:t>2020 QCCA 1220.</w:t>
      </w:r>
      <w:bookmarkEnd w:id="7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E2C8" w14:textId="0C5DD7FF" w:rsidR="005F44B9" w:rsidRDefault="00E37772">
    <w:pPr>
      <w:pStyle w:val="09Entete"/>
      <w:tabs>
        <w:tab w:val="clear" w:pos="8222"/>
        <w:tab w:val="right" w:pos="10065"/>
      </w:tabs>
    </w:pPr>
    <w:fldSimple w:instr=" DOCPROPERTY &quot;GI_Entete&quot; \* MERGEFORMAT ">
      <w:r w:rsidR="00D955E1">
        <w:t>File</w:t>
      </w:r>
      <w:r w:rsidR="000D541D">
        <w:t>: SAS-M-292044-1911</w:t>
      </w:r>
    </w:fldSimple>
    <w:r w:rsidR="000D541D">
      <w:tab/>
    </w:r>
    <w:bookmarkStart w:id="28" w:name="lt_pId016"/>
    <w:r w:rsidR="000D541D" w:rsidRPr="007113DA">
      <w:t>Page:</w:t>
    </w:r>
    <w:bookmarkEnd w:id="28"/>
    <w:r w:rsidR="000D541D" w:rsidRPr="007113DA">
      <w:t xml:space="preserve"> </w:t>
    </w:r>
    <w:r w:rsidR="000D541D" w:rsidRPr="007113DA">
      <w:rPr>
        <w:rStyle w:val="Numrodepage"/>
      </w:rPr>
      <w:fldChar w:fldCharType="begin"/>
    </w:r>
    <w:r w:rsidR="000D541D" w:rsidRPr="007113DA">
      <w:rPr>
        <w:rStyle w:val="Numrodepage"/>
      </w:rPr>
      <w:instrText xml:space="preserve"> PAGE </w:instrText>
    </w:r>
    <w:r w:rsidR="000D541D" w:rsidRPr="007113DA">
      <w:rPr>
        <w:rStyle w:val="Numrodepage"/>
      </w:rPr>
      <w:fldChar w:fldCharType="separate"/>
    </w:r>
    <w:r w:rsidR="000828E6">
      <w:rPr>
        <w:rStyle w:val="Numrodepage"/>
      </w:rPr>
      <w:t>2</w:t>
    </w:r>
    <w:r w:rsidR="000D541D" w:rsidRPr="007113DA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63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AD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E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65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C1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66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E87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A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543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87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91DEE"/>
    <w:multiLevelType w:val="singleLevel"/>
    <w:tmpl w:val="4732BF5C"/>
    <w:lvl w:ilvl="0">
      <w:start w:val="1"/>
      <w:numFmt w:val="decimal"/>
      <w:pStyle w:val="F02-Texte"/>
      <w:lvlText w:val="[%1]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33F90B64"/>
    <w:multiLevelType w:val="singleLevel"/>
    <w:tmpl w:val="D2AC893C"/>
    <w:lvl w:ilvl="0">
      <w:numFmt w:val="bullet"/>
      <w:pStyle w:val="F06-Tir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2F7AD2"/>
    <w:multiLevelType w:val="singleLevel"/>
    <w:tmpl w:val="94F0666E"/>
    <w:lvl w:ilvl="0">
      <w:start w:val="1"/>
      <w:numFmt w:val="decimal"/>
      <w:pStyle w:val="12ContenuDecision"/>
      <w:lvlText w:val="[%1]"/>
      <w:lvlJc w:val="left"/>
      <w:pPr>
        <w:tabs>
          <w:tab w:val="num" w:pos="851"/>
        </w:tabs>
        <w:ind w:left="851" w:hanging="851"/>
      </w:pPr>
    </w:lvl>
  </w:abstractNum>
  <w:abstractNum w:abstractNumId="13" w15:restartNumberingAfterBreak="0">
    <w:nsid w:val="6D151798"/>
    <w:multiLevelType w:val="singleLevel"/>
    <w:tmpl w:val="2B301942"/>
    <w:lvl w:ilvl="0">
      <w:numFmt w:val="bullet"/>
      <w:pStyle w:val="F07-Bou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77485AB9"/>
    <w:multiLevelType w:val="hybridMultilevel"/>
    <w:tmpl w:val="6B60D39E"/>
    <w:lvl w:ilvl="0" w:tplc="6AC69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27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C28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CB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C6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6D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87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A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6"/>
    <w:rsid w:val="00025436"/>
    <w:rsid w:val="000828E6"/>
    <w:rsid w:val="000D2649"/>
    <w:rsid w:val="000D541D"/>
    <w:rsid w:val="000E2CCF"/>
    <w:rsid w:val="00160476"/>
    <w:rsid w:val="0016214B"/>
    <w:rsid w:val="0018495D"/>
    <w:rsid w:val="00187254"/>
    <w:rsid w:val="001A229B"/>
    <w:rsid w:val="001E68C3"/>
    <w:rsid w:val="00201CC1"/>
    <w:rsid w:val="002A6DA5"/>
    <w:rsid w:val="002D0F48"/>
    <w:rsid w:val="00340967"/>
    <w:rsid w:val="003F4A4E"/>
    <w:rsid w:val="003F7CFB"/>
    <w:rsid w:val="0040252B"/>
    <w:rsid w:val="00406DBF"/>
    <w:rsid w:val="00453000"/>
    <w:rsid w:val="00477933"/>
    <w:rsid w:val="0052396D"/>
    <w:rsid w:val="00533977"/>
    <w:rsid w:val="00537030"/>
    <w:rsid w:val="00545B32"/>
    <w:rsid w:val="005720FE"/>
    <w:rsid w:val="005B22D2"/>
    <w:rsid w:val="005D35E1"/>
    <w:rsid w:val="00635BBB"/>
    <w:rsid w:val="00644F46"/>
    <w:rsid w:val="007113DA"/>
    <w:rsid w:val="00733ECE"/>
    <w:rsid w:val="008013E7"/>
    <w:rsid w:val="00803191"/>
    <w:rsid w:val="0081507E"/>
    <w:rsid w:val="00886127"/>
    <w:rsid w:val="008A063D"/>
    <w:rsid w:val="008E65D8"/>
    <w:rsid w:val="00937BBF"/>
    <w:rsid w:val="00966BE3"/>
    <w:rsid w:val="009C1116"/>
    <w:rsid w:val="009F7E8C"/>
    <w:rsid w:val="00A401EF"/>
    <w:rsid w:val="00A4238A"/>
    <w:rsid w:val="00A44356"/>
    <w:rsid w:val="00A7610D"/>
    <w:rsid w:val="00A825BE"/>
    <w:rsid w:val="00A83EC6"/>
    <w:rsid w:val="00A96082"/>
    <w:rsid w:val="00AB775A"/>
    <w:rsid w:val="00BA7486"/>
    <w:rsid w:val="00BB08B6"/>
    <w:rsid w:val="00BC7264"/>
    <w:rsid w:val="00C51900"/>
    <w:rsid w:val="00C85F87"/>
    <w:rsid w:val="00CC3BAB"/>
    <w:rsid w:val="00CD0F07"/>
    <w:rsid w:val="00D955E1"/>
    <w:rsid w:val="00DB56C0"/>
    <w:rsid w:val="00DB5DF7"/>
    <w:rsid w:val="00E37772"/>
    <w:rsid w:val="00E50664"/>
    <w:rsid w:val="00E559F9"/>
    <w:rsid w:val="00EB7919"/>
    <w:rsid w:val="00EC390B"/>
    <w:rsid w:val="00F15EC4"/>
    <w:rsid w:val="00F64596"/>
    <w:rsid w:val="00F80F32"/>
    <w:rsid w:val="00F86ABD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B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NormalDecision">
    <w:name w:val="00_NormalDecision"/>
    <w:pPr>
      <w:keepLines/>
      <w:suppressAutoHyphens/>
    </w:pPr>
    <w:rPr>
      <w:rFonts w:ascii="Arial" w:hAnsi="Arial"/>
      <w:noProof/>
      <w:sz w:val="24"/>
      <w:lang w:val="en-US" w:eastAsia="en-US"/>
    </w:rPr>
  </w:style>
  <w:style w:type="paragraph" w:customStyle="1" w:styleId="01Tribunal">
    <w:name w:val="01_Tribunal"/>
    <w:basedOn w:val="00NormalDecision"/>
    <w:pPr>
      <w:jc w:val="center"/>
    </w:pPr>
    <w:rPr>
      <w:b/>
      <w:sz w:val="3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01aTribunal-ligne">
    <w:name w:val="01a_Tribunal-ligne"/>
    <w:basedOn w:val="01Tribunal"/>
    <w:next w:val="00NormalDecision"/>
    <w:pPr>
      <w:spacing w:after="720"/>
      <w:ind w:left="1531" w:right="1531"/>
    </w:pPr>
  </w:style>
  <w:style w:type="paragraph" w:customStyle="1" w:styleId="02Section">
    <w:name w:val="02_Section"/>
    <w:basedOn w:val="00NormalDecision"/>
    <w:next w:val="00NormalDecision"/>
    <w:rPr>
      <w:b/>
      <w:sz w:val="32"/>
    </w:rPr>
  </w:style>
  <w:style w:type="paragraph" w:customStyle="1" w:styleId="03Matiere">
    <w:name w:val="03_Matiere"/>
    <w:basedOn w:val="00NormalDecision"/>
    <w:next w:val="00NormalDecision"/>
  </w:style>
  <w:style w:type="paragraph" w:customStyle="1" w:styleId="072Agissant">
    <w:name w:val="07.2_Agissant"/>
    <w:basedOn w:val="00NormalDecision"/>
    <w:next w:val="00NormalDecision"/>
    <w:pPr>
      <w:keepNext/>
      <w:ind w:right="170"/>
    </w:pPr>
  </w:style>
  <w:style w:type="character" w:customStyle="1" w:styleId="040PrefixeDate">
    <w:name w:val="04.0_PrefixeDate"/>
    <w:rPr>
      <w:rFonts w:ascii="Arial" w:hAnsi="Arial"/>
      <w:b/>
      <w:sz w:val="28"/>
    </w:rPr>
  </w:style>
  <w:style w:type="paragraph" w:customStyle="1" w:styleId="04DateDecision">
    <w:name w:val="04_DateDecision"/>
    <w:basedOn w:val="00NormalDecision"/>
    <w:next w:val="00NormalDecision"/>
    <w:pPr>
      <w:spacing w:before="120"/>
    </w:pPr>
  </w:style>
  <w:style w:type="paragraph" w:customStyle="1" w:styleId="05Dossier">
    <w:name w:val="05_Dossier"/>
    <w:basedOn w:val="00NormalDecision"/>
    <w:next w:val="00NormalDecision"/>
    <w:pPr>
      <w:spacing w:before="120" w:after="240"/>
      <w:ind w:left="1440" w:hanging="1440"/>
    </w:pPr>
  </w:style>
  <w:style w:type="character" w:customStyle="1" w:styleId="050PrefixeDossier">
    <w:name w:val="05.0_PrefixeDossier"/>
    <w:rPr>
      <w:rFonts w:ascii="Arial" w:hAnsi="Arial"/>
      <w:b/>
      <w:sz w:val="28"/>
    </w:rPr>
  </w:style>
  <w:style w:type="paragraph" w:customStyle="1" w:styleId="060CompositionFormation">
    <w:name w:val="06.0_CompositionFormation"/>
    <w:basedOn w:val="00NormalDecision"/>
    <w:next w:val="00NormalDecision"/>
    <w:pPr>
      <w:spacing w:before="360" w:after="240"/>
    </w:pPr>
    <w:rPr>
      <w:b/>
      <w:sz w:val="28"/>
    </w:rPr>
  </w:style>
  <w:style w:type="paragraph" w:customStyle="1" w:styleId="06Membre">
    <w:name w:val="06_Membre"/>
    <w:basedOn w:val="00NormalDecision"/>
    <w:next w:val="00NormalDecision"/>
    <w:pPr>
      <w:pBdr>
        <w:bottom w:val="single" w:sz="4" w:space="12" w:color="auto"/>
      </w:pBdr>
    </w:pPr>
    <w:rPr>
      <w:caps/>
    </w:rPr>
  </w:style>
  <w:style w:type="paragraph" w:customStyle="1" w:styleId="071IdentificationPartie">
    <w:name w:val="07.1_IdentificationPartie"/>
    <w:basedOn w:val="00NormalDecision"/>
    <w:next w:val="00NormalDecision"/>
    <w:pPr>
      <w:spacing w:before="120"/>
      <w:ind w:right="176"/>
    </w:pPr>
  </w:style>
  <w:style w:type="paragraph" w:customStyle="1" w:styleId="070DebutDivParties">
    <w:name w:val="07.0_[DebutDivParties]"/>
    <w:basedOn w:val="00NormalDecision"/>
    <w:next w:val="00NormalDecision"/>
    <w:pPr>
      <w:spacing w:before="1440" w:after="120"/>
      <w:ind w:right="170"/>
    </w:pPr>
    <w:rPr>
      <w:color w:val="C0C0C0"/>
    </w:rPr>
  </w:style>
  <w:style w:type="paragraph" w:customStyle="1" w:styleId="073QualitePartie">
    <w:name w:val="07.3_QualitePartie"/>
    <w:basedOn w:val="00NormalDecision"/>
    <w:next w:val="00NormalDecision"/>
    <w:pPr>
      <w:spacing w:before="120"/>
      <w:ind w:right="176"/>
    </w:pPr>
  </w:style>
  <w:style w:type="paragraph" w:customStyle="1" w:styleId="074Indicateur-cet">
    <w:name w:val="07.4_Indicateur-c./et"/>
    <w:basedOn w:val="00NormalDecision"/>
    <w:next w:val="00NormalDecision"/>
    <w:pPr>
      <w:spacing w:before="80" w:after="60"/>
      <w:ind w:right="176"/>
    </w:pPr>
  </w:style>
  <w:style w:type="paragraph" w:customStyle="1" w:styleId="08aFinPageTitre-ligne">
    <w:name w:val="08a_FinPageTitre-ligne"/>
    <w:basedOn w:val="00NormalDecision"/>
    <w:next w:val="Normal"/>
    <w:pPr>
      <w:keepNext/>
      <w:pBdr>
        <w:bottom w:val="single" w:sz="6" w:space="1" w:color="auto"/>
      </w:pBdr>
      <w:ind w:left="3398" w:right="173"/>
    </w:pPr>
  </w:style>
  <w:style w:type="paragraph" w:customStyle="1" w:styleId="09Entete">
    <w:name w:val="09_Entete"/>
    <w:basedOn w:val="00NormalDecision"/>
    <w:next w:val="00NormalDecision"/>
    <w:pPr>
      <w:tabs>
        <w:tab w:val="right" w:pos="8222"/>
      </w:tabs>
    </w:pPr>
  </w:style>
  <w:style w:type="paragraph" w:customStyle="1" w:styleId="13aSignature-ligne">
    <w:name w:val="13a_Signature-ligne"/>
    <w:basedOn w:val="00NormalDecision"/>
    <w:next w:val="00NormalDecision"/>
    <w:pPr>
      <w:keepNext/>
      <w:pBdr>
        <w:bottom w:val="single" w:sz="4" w:space="1" w:color="auto"/>
      </w:pBdr>
      <w:spacing w:before="720" w:after="40"/>
      <w:ind w:left="3975"/>
    </w:pPr>
  </w:style>
  <w:style w:type="paragraph" w:customStyle="1" w:styleId="10TypeDecision">
    <w:name w:val="10_TypeDecision"/>
    <w:basedOn w:val="00NormalDecision"/>
    <w:next w:val="00NormalDecision"/>
    <w:pPr>
      <w:spacing w:before="240" w:after="60"/>
      <w:jc w:val="center"/>
    </w:pPr>
    <w:rPr>
      <w:b/>
      <w:caps/>
      <w:sz w:val="32"/>
    </w:rPr>
  </w:style>
  <w:style w:type="paragraph" w:customStyle="1" w:styleId="11MatierePageSignatures">
    <w:name w:val="11_MatierePageSignatures"/>
    <w:basedOn w:val="00NormalDecision"/>
    <w:next w:val="00NormalDecision"/>
    <w:pPr>
      <w:jc w:val="center"/>
    </w:pPr>
  </w:style>
  <w:style w:type="paragraph" w:customStyle="1" w:styleId="13Signature">
    <w:name w:val="13_Signature"/>
    <w:basedOn w:val="00NormalDecision"/>
    <w:next w:val="00NormalDecision"/>
    <w:pPr>
      <w:ind w:left="3975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ContenuDecision">
    <w:name w:val="12_ContenuDecision"/>
    <w:basedOn w:val="00NormalDecision"/>
    <w:pPr>
      <w:numPr>
        <w:numId w:val="13"/>
      </w:numPr>
      <w:shd w:val="solid" w:color="FFFFFF" w:fill="FFFFFF"/>
      <w:spacing w:after="240"/>
    </w:pPr>
  </w:style>
  <w:style w:type="paragraph" w:customStyle="1" w:styleId="12DebutDivContenuDecision">
    <w:name w:val="12_[DebutDivContenuDecision]"/>
    <w:basedOn w:val="00NormalDecision"/>
    <w:next w:val="00NormalDecision"/>
    <w:pPr>
      <w:spacing w:before="240"/>
    </w:pPr>
    <w:rPr>
      <w:color w:val="C0C0C0"/>
    </w:rPr>
  </w:style>
  <w:style w:type="paragraph" w:customStyle="1" w:styleId="100SectionsContinues">
    <w:name w:val="10.0_[SectionsContinues]"/>
    <w:basedOn w:val="00NormalDecision"/>
    <w:next w:val="00NormalDecision"/>
    <w:rPr>
      <w:color w:val="808080"/>
      <w:sz w:val="4"/>
    </w:rPr>
  </w:style>
  <w:style w:type="paragraph" w:customStyle="1" w:styleId="14DateDecisionFin">
    <w:name w:val="14_DateDecisionFin"/>
    <w:basedOn w:val="00NormalDecision"/>
    <w:next w:val="00NormalDecision"/>
    <w:pPr>
      <w:keepNext/>
      <w:keepLines w:val="0"/>
      <w:spacing w:before="480"/>
      <w:jc w:val="right"/>
    </w:pPr>
  </w:style>
  <w:style w:type="paragraph" w:styleId="Corpsdetexte">
    <w:name w:val="Body Text"/>
    <w:basedOn w:val="Normal"/>
    <w:pPr>
      <w:spacing w:after="120"/>
    </w:pPr>
  </w:style>
  <w:style w:type="character" w:customStyle="1" w:styleId="10aTypeDecisionBis">
    <w:name w:val="10a_TypeDecisionBis"/>
    <w:rPr>
      <w:noProof/>
    </w:rPr>
  </w:style>
  <w:style w:type="paragraph" w:customStyle="1" w:styleId="F02-Texte">
    <w:name w:val="F02-Texte"/>
    <w:basedOn w:val="Normal"/>
    <w:pPr>
      <w:numPr>
        <w:numId w:val="14"/>
      </w:numPr>
      <w:spacing w:before="320"/>
      <w:ind w:left="0" w:firstLine="0"/>
      <w:jc w:val="both"/>
    </w:pPr>
  </w:style>
  <w:style w:type="paragraph" w:customStyle="1" w:styleId="F04-Retrait">
    <w:name w:val="F04-Retrait"/>
    <w:basedOn w:val="Normal"/>
    <w:pPr>
      <w:spacing w:before="320"/>
      <w:ind w:left="850" w:right="850"/>
      <w:jc w:val="both"/>
    </w:pPr>
    <w:rPr>
      <w:i/>
    </w:rPr>
  </w:style>
  <w:style w:type="paragraph" w:customStyle="1" w:styleId="F05-Retrait2">
    <w:name w:val="F05-Retrait 2"/>
    <w:basedOn w:val="Normal"/>
    <w:pPr>
      <w:spacing w:before="320"/>
      <w:ind w:left="1440" w:right="1440"/>
      <w:jc w:val="both"/>
    </w:pPr>
    <w:rPr>
      <w:i/>
    </w:rPr>
  </w:style>
  <w:style w:type="paragraph" w:customStyle="1" w:styleId="F06-Tiret">
    <w:name w:val="F06-Tiret"/>
    <w:basedOn w:val="Normal"/>
    <w:pPr>
      <w:numPr>
        <w:numId w:val="15"/>
      </w:numPr>
      <w:spacing w:before="320"/>
      <w:jc w:val="both"/>
    </w:pPr>
  </w:style>
  <w:style w:type="paragraph" w:customStyle="1" w:styleId="F07-Boulet">
    <w:name w:val="F07-Boulet"/>
    <w:basedOn w:val="Normal"/>
    <w:pPr>
      <w:numPr>
        <w:numId w:val="16"/>
      </w:numPr>
      <w:spacing w:before="320"/>
      <w:jc w:val="both"/>
    </w:pPr>
  </w:style>
  <w:style w:type="paragraph" w:customStyle="1" w:styleId="F11-Filet">
    <w:name w:val="F11-Filet"/>
    <w:basedOn w:val="Normal"/>
    <w:next w:val="F02-Texte"/>
    <w:pPr>
      <w:pBdr>
        <w:top w:val="single" w:sz="4" w:space="16" w:color="auto"/>
      </w:pBdr>
      <w:spacing w:before="700"/>
      <w:ind w:left="2019" w:right="2019"/>
      <w:jc w:val="center"/>
    </w:pPr>
  </w:style>
  <w:style w:type="paragraph" w:customStyle="1" w:styleId="F12-Procureur">
    <w:name w:val="F12-Procureur"/>
    <w:basedOn w:val="Normal"/>
    <w:pPr>
      <w:widowControl w:val="0"/>
    </w:pPr>
  </w:style>
  <w:style w:type="paragraph" w:customStyle="1" w:styleId="F08-Titre">
    <w:name w:val="F08-Titre"/>
    <w:basedOn w:val="Normal"/>
    <w:pPr>
      <w:keepNext/>
      <w:spacing w:before="320"/>
      <w:jc w:val="both"/>
    </w:pPr>
    <w:rPr>
      <w:b/>
    </w:rPr>
  </w:style>
  <w:style w:type="paragraph" w:customStyle="1" w:styleId="13bSignature">
    <w:name w:val="13b_Signature"/>
    <w:basedOn w:val="00NormalDecision"/>
    <w:rPr>
      <w:caps/>
    </w:rPr>
  </w:style>
  <w:style w:type="paragraph" w:customStyle="1" w:styleId="13bSignatureTableau">
    <w:name w:val="13b_SignatureTableau"/>
    <w:basedOn w:val="00NormalDecision"/>
  </w:style>
  <w:style w:type="paragraph" w:customStyle="1" w:styleId="10aDecisionDate">
    <w:name w:val="10a_DecisionDate"/>
    <w:basedOn w:val="10TypeDecision"/>
    <w:rPr>
      <w:caps w:val="0"/>
    </w:rPr>
  </w:style>
  <w:style w:type="paragraph" w:styleId="Retraitcorpsdetexte">
    <w:name w:val="Body Text Indent"/>
    <w:basedOn w:val="Normal"/>
    <w:pPr>
      <w:spacing w:after="120"/>
      <w:ind w:left="360"/>
    </w:pPr>
  </w:style>
  <w:style w:type="character" w:customStyle="1" w:styleId="16Invisible">
    <w:name w:val="16_Invisible"/>
    <w:rPr>
      <w:rFonts w:ascii="Microsoft Sans Serif" w:hAnsi="Microsoft Sans Serif"/>
      <w:color w:val="FFFFFF"/>
      <w:sz w:val="2"/>
    </w:rPr>
  </w:style>
  <w:style w:type="paragraph" w:customStyle="1" w:styleId="15Procureur">
    <w:name w:val="15_Procureur"/>
    <w:basedOn w:val="00NormalDecision"/>
    <w:rPr>
      <w:noProof w:val="0"/>
      <w:lang w:val="fr-CA"/>
    </w:rPr>
  </w:style>
  <w:style w:type="paragraph" w:customStyle="1" w:styleId="F10-Date">
    <w:name w:val="F10-Date"/>
    <w:basedOn w:val="Normal"/>
  </w:style>
  <w:style w:type="paragraph" w:customStyle="1" w:styleId="F09-Signature">
    <w:name w:val="F09-Signature"/>
    <w:basedOn w:val="13aSignature-ligne"/>
    <w:pPr>
      <w:pBdr>
        <w:top w:val="single" w:sz="4" w:space="1" w:color="auto"/>
        <w:bottom w:val="none" w:sz="0" w:space="0" w:color="auto"/>
      </w:pBdr>
      <w:spacing w:after="240"/>
      <w:ind w:left="3969"/>
      <w:jc w:val="right"/>
    </w:pPr>
    <w:rPr>
      <w:caps/>
    </w:rPr>
  </w:style>
  <w:style w:type="paragraph" w:customStyle="1" w:styleId="074Indicateur-Cet1page">
    <w:name w:val="07.4_Indicateur-C./et1page"/>
    <w:basedOn w:val="074Indicateur-cet"/>
    <w:next w:val="074Indicateur-cet"/>
  </w:style>
  <w:style w:type="paragraph" w:customStyle="1" w:styleId="070FinDivParties">
    <w:name w:val="07.0_[FinDivParties]"/>
    <w:basedOn w:val="070DebutDivParties"/>
    <w:pPr>
      <w:spacing w:before="1460"/>
    </w:pPr>
  </w:style>
  <w:style w:type="paragraph" w:customStyle="1" w:styleId="16Invisible2">
    <w:name w:val="16_Invisible2"/>
    <w:pPr>
      <w:spacing w:line="20" w:lineRule="exact"/>
    </w:pPr>
    <w:rPr>
      <w:color w:val="FFFFFF"/>
      <w:sz w:val="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921FB"/>
    <w:rPr>
      <w:rFonts w:ascii="Trebuchet MS" w:eastAsia="Times" w:hAnsi="Trebuchet MS"/>
      <w:sz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6921FB"/>
    <w:rPr>
      <w:rFonts w:ascii="Trebuchet MS" w:eastAsia="Times" w:hAnsi="Trebuchet MS"/>
      <w:lang w:eastAsia="fr-FR"/>
    </w:rPr>
  </w:style>
  <w:style w:type="character" w:styleId="Appelnotedebasdep">
    <w:name w:val="footnote reference"/>
    <w:uiPriority w:val="99"/>
    <w:unhideWhenUsed/>
    <w:rsid w:val="006921FB"/>
    <w:rPr>
      <w:vertAlign w:val="superscript"/>
    </w:rPr>
  </w:style>
  <w:style w:type="paragraph" w:styleId="Textedebulles">
    <w:name w:val="Balloon Text"/>
    <w:basedOn w:val="Normal"/>
    <w:link w:val="TextedebullesCar"/>
    <w:rsid w:val="00420B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20BDF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rsid w:val="00A7610D"/>
    <w:rPr>
      <w:sz w:val="16"/>
      <w:szCs w:val="16"/>
    </w:rPr>
  </w:style>
  <w:style w:type="paragraph" w:styleId="Commentaire">
    <w:name w:val="annotation text"/>
    <w:basedOn w:val="Normal"/>
    <w:link w:val="CommentaireCar"/>
    <w:rsid w:val="00A7610D"/>
    <w:rPr>
      <w:sz w:val="20"/>
    </w:rPr>
  </w:style>
  <w:style w:type="character" w:customStyle="1" w:styleId="CommentaireCar">
    <w:name w:val="Commentaire Car"/>
    <w:basedOn w:val="Policepardfaut"/>
    <w:link w:val="Commentaire"/>
    <w:rsid w:val="00A7610D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76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7610D"/>
    <w:rPr>
      <w:rFonts w:ascii="Arial" w:hAnsi="Arial"/>
      <w:b/>
      <w:bCs/>
      <w:lang w:eastAsia="en-US"/>
    </w:rPr>
  </w:style>
  <w:style w:type="character" w:styleId="Lienhypertexte">
    <w:name w:val="Hyperlink"/>
    <w:basedOn w:val="Policepardfaut"/>
    <w:rsid w:val="00DB5D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B5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28CB-6EEE-4B51-9E29-6D5CF81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2022-06-17T16:04:00Z</dcterms:created>
  <dcterms:modified xsi:type="dcterms:W3CDTF">2022-06-22T19:07:00Z</dcterms:modified>
</cp:coreProperties>
</file>