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4F" w:rsidRPr="005620DC" w:rsidRDefault="00132D88">
      <w:pPr>
        <w:rPr>
          <w:lang w:val="en-CA"/>
        </w:rPr>
      </w:pPr>
      <w:r w:rsidRPr="005620DC">
        <w:rPr>
          <w:lang w:val="en-CA"/>
        </w:rPr>
        <w:t>Translated from the original French</w:t>
      </w:r>
    </w:p>
    <w:tbl>
      <w:tblPr>
        <w:tblW w:w="9518" w:type="dxa"/>
        <w:tblLayout w:type="fixed"/>
        <w:tblCellMar>
          <w:left w:w="70" w:type="dxa"/>
          <w:right w:w="70" w:type="dxa"/>
        </w:tblCellMar>
        <w:tblLook w:val="0000" w:firstRow="0" w:lastRow="0" w:firstColumn="0" w:lastColumn="0" w:noHBand="0" w:noVBand="0"/>
      </w:tblPr>
      <w:tblGrid>
        <w:gridCol w:w="1134"/>
        <w:gridCol w:w="5951"/>
        <w:gridCol w:w="1704"/>
        <w:gridCol w:w="142"/>
        <w:gridCol w:w="567"/>
        <w:gridCol w:w="7"/>
        <w:gridCol w:w="13"/>
      </w:tblGrid>
      <w:tr w:rsidR="001F7267" w:rsidTr="00236033">
        <w:trPr>
          <w:gridAfter w:val="1"/>
          <w:wAfter w:w="13" w:type="dxa"/>
          <w:trHeight w:val="360"/>
        </w:trPr>
        <w:tc>
          <w:tcPr>
            <w:tcW w:w="7085" w:type="dxa"/>
            <w:gridSpan w:val="2"/>
          </w:tcPr>
          <w:p w:rsidR="001F7267" w:rsidRPr="00B8549B" w:rsidRDefault="001F7267" w:rsidP="00236033">
            <w:pPr>
              <w:pStyle w:val="zSoquijdatRepertorie"/>
              <w:rPr>
                <w:rFonts w:cs="Arial"/>
              </w:rPr>
            </w:pPr>
            <w:r>
              <w:rPr>
                <w:rFonts w:cs="Arial"/>
              </w:rPr>
              <w:t>R. c. Killiktee</w:t>
            </w:r>
          </w:p>
        </w:tc>
        <w:tc>
          <w:tcPr>
            <w:tcW w:w="2420" w:type="dxa"/>
            <w:gridSpan w:val="4"/>
          </w:tcPr>
          <w:p w:rsidR="001F7267" w:rsidRPr="00483799" w:rsidRDefault="001F7267" w:rsidP="00236033">
            <w:pPr>
              <w:pStyle w:val="zSoquijdatRefNeutre"/>
              <w:jc w:val="right"/>
              <w:rPr>
                <w:rFonts w:cs="Arial"/>
              </w:rPr>
            </w:pPr>
            <w:r w:rsidRPr="00483799">
              <w:rPr>
                <w:rFonts w:cs="Arial"/>
              </w:rPr>
              <w:t>2021 QCCQ 13257</w:t>
            </w:r>
          </w:p>
        </w:tc>
      </w:tr>
      <w:tr w:rsidR="00905C1D" w:rsidTr="00A17E81">
        <w:trPr>
          <w:gridAfter w:val="1"/>
          <w:wAfter w:w="13" w:type="dxa"/>
          <w:trHeight w:val="900"/>
        </w:trPr>
        <w:tc>
          <w:tcPr>
            <w:tcW w:w="9505" w:type="dxa"/>
            <w:gridSpan w:val="6"/>
            <w:vAlign w:val="bottom"/>
          </w:tcPr>
          <w:p w:rsidR="00A17E81" w:rsidRPr="005620DC" w:rsidRDefault="00132D88">
            <w:pPr>
              <w:pStyle w:val="zSoquijlblCour"/>
              <w:rPr>
                <w:rFonts w:cs="Arial"/>
                <w:szCs w:val="36"/>
                <w:lang w:val="en-CA"/>
              </w:rPr>
            </w:pPr>
            <w:r w:rsidRPr="005620DC">
              <w:rPr>
                <w:rFonts w:cs="Arial"/>
                <w:szCs w:val="36"/>
                <w:lang w:val="en-CA"/>
              </w:rPr>
              <w:t>COURT OF QUEBEC</w:t>
            </w:r>
          </w:p>
        </w:tc>
      </w:tr>
      <w:tr w:rsidR="00905C1D" w:rsidTr="00A17E81">
        <w:trPr>
          <w:gridAfter w:val="1"/>
          <w:wAfter w:w="13" w:type="dxa"/>
          <w:trHeight w:val="540"/>
        </w:trPr>
        <w:tc>
          <w:tcPr>
            <w:tcW w:w="9505" w:type="dxa"/>
            <w:gridSpan w:val="6"/>
          </w:tcPr>
          <w:p w:rsidR="00A17E81" w:rsidRPr="005620DC" w:rsidRDefault="00A17E81">
            <w:pPr>
              <w:pStyle w:val="zSoquijdatDivision"/>
              <w:rPr>
                <w:rFonts w:cs="Arial"/>
                <w:sz w:val="24"/>
                <w:szCs w:val="24"/>
                <w:lang w:val="en-CA"/>
              </w:rPr>
            </w:pPr>
          </w:p>
        </w:tc>
      </w:tr>
      <w:tr w:rsidR="00905C1D" w:rsidTr="00A17E81">
        <w:trPr>
          <w:gridAfter w:val="1"/>
          <w:wAfter w:w="13" w:type="dxa"/>
        </w:trPr>
        <w:tc>
          <w:tcPr>
            <w:tcW w:w="9505" w:type="dxa"/>
            <w:gridSpan w:val="6"/>
          </w:tcPr>
          <w:p w:rsidR="00A17E81" w:rsidRPr="005620DC" w:rsidRDefault="00132D88">
            <w:pPr>
              <w:pStyle w:val="zSoquijlblPays"/>
              <w:rPr>
                <w:rFonts w:cs="Arial"/>
                <w:szCs w:val="24"/>
                <w:lang w:val="en-CA"/>
              </w:rPr>
            </w:pPr>
            <w:r w:rsidRPr="005620DC">
              <w:rPr>
                <w:rFonts w:cs="Arial"/>
                <w:szCs w:val="24"/>
                <w:lang w:val="en-CA"/>
              </w:rPr>
              <w:t>CANADA</w:t>
            </w:r>
          </w:p>
        </w:tc>
      </w:tr>
      <w:tr w:rsidR="00905C1D" w:rsidTr="00A17E81">
        <w:trPr>
          <w:gridAfter w:val="1"/>
          <w:wAfter w:w="13" w:type="dxa"/>
        </w:trPr>
        <w:tc>
          <w:tcPr>
            <w:tcW w:w="9505" w:type="dxa"/>
            <w:gridSpan w:val="6"/>
          </w:tcPr>
          <w:p w:rsidR="00A17E81" w:rsidRPr="005620DC" w:rsidRDefault="00132D88">
            <w:pPr>
              <w:pStyle w:val="zSoquijlblProvince"/>
              <w:rPr>
                <w:rFonts w:cs="Arial"/>
                <w:szCs w:val="24"/>
                <w:lang w:val="en-CA"/>
              </w:rPr>
            </w:pPr>
            <w:r w:rsidRPr="005620DC">
              <w:rPr>
                <w:rFonts w:cs="Arial"/>
                <w:szCs w:val="24"/>
                <w:lang w:val="en-CA"/>
              </w:rPr>
              <w:t>PROVINCE OF QUEBEC</w:t>
            </w:r>
          </w:p>
        </w:tc>
      </w:tr>
      <w:tr w:rsidR="00905C1D" w:rsidTr="00A17E81">
        <w:tblPrEx>
          <w:tblCellMar>
            <w:left w:w="0" w:type="dxa"/>
            <w:right w:w="0" w:type="dxa"/>
          </w:tblCellMar>
        </w:tblPrEx>
        <w:trPr>
          <w:cantSplit/>
        </w:trPr>
        <w:tc>
          <w:tcPr>
            <w:tcW w:w="9498" w:type="dxa"/>
            <w:gridSpan w:val="5"/>
          </w:tcPr>
          <w:p w:rsidR="00A17E81" w:rsidRPr="005620DC" w:rsidRDefault="00132D88">
            <w:pPr>
              <w:pStyle w:val="zSoquijlblGreffe"/>
              <w:rPr>
                <w:rFonts w:cs="Arial"/>
                <w:szCs w:val="24"/>
                <w:lang w:val="en-CA"/>
              </w:rPr>
            </w:pPr>
            <w:r w:rsidRPr="005620DC">
              <w:rPr>
                <w:rFonts w:cs="Arial"/>
                <w:szCs w:val="24"/>
                <w:lang w:val="en-CA"/>
              </w:rPr>
              <w:t>DISTRICT OF CHICOUTIMI</w:t>
            </w:r>
          </w:p>
        </w:tc>
        <w:tc>
          <w:tcPr>
            <w:tcW w:w="20" w:type="dxa"/>
            <w:gridSpan w:val="2"/>
          </w:tcPr>
          <w:p w:rsidR="00A17E81" w:rsidRPr="005620DC" w:rsidRDefault="00A17E81">
            <w:pPr>
              <w:pStyle w:val="zSoquijdatGreffe"/>
              <w:rPr>
                <w:rFonts w:cs="Arial"/>
                <w:szCs w:val="24"/>
                <w:lang w:val="en-CA"/>
              </w:rPr>
            </w:pPr>
          </w:p>
        </w:tc>
      </w:tr>
      <w:tr w:rsidR="00905C1D" w:rsidTr="00A17E81">
        <w:tblPrEx>
          <w:tblCellMar>
            <w:left w:w="0" w:type="dxa"/>
            <w:right w:w="0" w:type="dxa"/>
          </w:tblCellMar>
        </w:tblPrEx>
        <w:trPr>
          <w:gridAfter w:val="2"/>
          <w:wAfter w:w="20" w:type="dxa"/>
          <w:cantSplit/>
        </w:trPr>
        <w:tc>
          <w:tcPr>
            <w:tcW w:w="9498" w:type="dxa"/>
            <w:gridSpan w:val="5"/>
          </w:tcPr>
          <w:p w:rsidR="00A17E81" w:rsidRPr="005620DC" w:rsidRDefault="00132D88">
            <w:pPr>
              <w:pStyle w:val="zSoquijlblGreffe"/>
              <w:rPr>
                <w:rFonts w:cs="Arial"/>
                <w:szCs w:val="24"/>
                <w:lang w:val="en-CA"/>
              </w:rPr>
            </w:pPr>
            <w:r w:rsidRPr="005620DC">
              <w:rPr>
                <w:rFonts w:cs="Arial"/>
                <w:szCs w:val="24"/>
                <w:lang w:val="en-CA"/>
              </w:rPr>
              <w:t>LOCALITY OF CHICOUTIMI</w:t>
            </w:r>
          </w:p>
        </w:tc>
      </w:tr>
      <w:tr w:rsidR="00905C1D" w:rsidTr="00A17E81">
        <w:trPr>
          <w:gridAfter w:val="1"/>
          <w:wAfter w:w="13" w:type="dxa"/>
          <w:trHeight w:val="540"/>
        </w:trPr>
        <w:tc>
          <w:tcPr>
            <w:tcW w:w="9505" w:type="dxa"/>
            <w:gridSpan w:val="6"/>
          </w:tcPr>
          <w:p w:rsidR="00A17E81" w:rsidRPr="005620DC" w:rsidRDefault="00132D88">
            <w:pPr>
              <w:pStyle w:val="zSoquijlblNomChambre"/>
              <w:rPr>
                <w:rFonts w:cs="Arial"/>
                <w:szCs w:val="24"/>
                <w:lang w:val="en-CA"/>
              </w:rPr>
            </w:pPr>
            <w:r w:rsidRPr="005620DC">
              <w:rPr>
                <w:rFonts w:cs="Arial"/>
                <w:szCs w:val="24"/>
                <w:lang w:val="en-CA"/>
              </w:rPr>
              <w:t>“Criminal and Penal Division”</w:t>
            </w:r>
          </w:p>
        </w:tc>
      </w:tr>
      <w:tr w:rsidR="00905C1D" w:rsidTr="00A17E81">
        <w:trPr>
          <w:gridAfter w:val="1"/>
          <w:wAfter w:w="13" w:type="dxa"/>
        </w:trPr>
        <w:tc>
          <w:tcPr>
            <w:tcW w:w="1134" w:type="dxa"/>
          </w:tcPr>
          <w:p w:rsidR="00A17E81" w:rsidRPr="005620DC" w:rsidRDefault="00132D88">
            <w:pPr>
              <w:pStyle w:val="zSoquijlblNoDossier"/>
              <w:rPr>
                <w:rFonts w:cs="Arial"/>
                <w:szCs w:val="24"/>
                <w:lang w:val="en-CA"/>
              </w:rPr>
            </w:pPr>
            <w:r w:rsidRPr="005620DC">
              <w:rPr>
                <w:rFonts w:cs="Arial"/>
                <w:szCs w:val="24"/>
                <w:lang w:val="en-CA"/>
              </w:rPr>
              <w:t xml:space="preserve">Nos.: </w:t>
            </w:r>
          </w:p>
        </w:tc>
        <w:tc>
          <w:tcPr>
            <w:tcW w:w="8371" w:type="dxa"/>
            <w:gridSpan w:val="5"/>
          </w:tcPr>
          <w:p w:rsidR="00A17E81" w:rsidRPr="005620DC" w:rsidRDefault="00132D88" w:rsidP="00A17E81">
            <w:pPr>
              <w:pStyle w:val="zSoquijdatNoDossier"/>
              <w:ind w:left="-70"/>
              <w:rPr>
                <w:rFonts w:cs="Arial"/>
                <w:szCs w:val="24"/>
                <w:lang w:val="en-CA"/>
              </w:rPr>
            </w:pPr>
            <w:r w:rsidRPr="005620DC">
              <w:rPr>
                <w:rFonts w:cs="Arial"/>
                <w:szCs w:val="24"/>
                <w:lang w:val="en-CA"/>
              </w:rPr>
              <w:t>150-01-066204-216, 150-01-066203-218</w:t>
            </w:r>
          </w:p>
          <w:p w:rsidR="00A17E81" w:rsidRPr="005620DC" w:rsidRDefault="00132D88" w:rsidP="00A17E81">
            <w:pPr>
              <w:pStyle w:val="zSoquijdatNoDossier"/>
              <w:ind w:left="-70"/>
              <w:rPr>
                <w:rFonts w:cs="Arial"/>
                <w:szCs w:val="24"/>
                <w:lang w:val="en-CA"/>
              </w:rPr>
            </w:pPr>
            <w:r w:rsidRPr="005620DC">
              <w:rPr>
                <w:rFonts w:cs="Arial"/>
                <w:szCs w:val="24"/>
                <w:lang w:val="en-CA"/>
              </w:rPr>
              <w:t>150-01-064466-213, 150-01-064467-211</w:t>
            </w:r>
          </w:p>
          <w:p w:rsidR="00A17E81" w:rsidRPr="005620DC" w:rsidRDefault="00132D88" w:rsidP="00A17E81">
            <w:pPr>
              <w:pStyle w:val="zSoquijdatNoDossier"/>
              <w:ind w:left="-70"/>
              <w:rPr>
                <w:rFonts w:cs="Arial"/>
                <w:szCs w:val="24"/>
                <w:lang w:val="en-CA"/>
              </w:rPr>
            </w:pPr>
            <w:r w:rsidRPr="005620DC">
              <w:rPr>
                <w:rFonts w:cs="Arial"/>
                <w:szCs w:val="24"/>
                <w:lang w:val="en-CA"/>
              </w:rPr>
              <w:t>150-01-065313-216, 150-01-065311-20</w:t>
            </w:r>
            <w:r w:rsidR="00F47E25">
              <w:rPr>
                <w:rFonts w:cs="Arial"/>
                <w:szCs w:val="24"/>
                <w:lang w:val="en-CA"/>
              </w:rPr>
              <w:t>1</w:t>
            </w:r>
          </w:p>
          <w:p w:rsidR="00A17E81" w:rsidRPr="005620DC" w:rsidRDefault="00132D88" w:rsidP="00A17E81">
            <w:pPr>
              <w:pStyle w:val="zSoquijdatNoDossier"/>
              <w:ind w:left="-70"/>
              <w:rPr>
                <w:rFonts w:cs="Arial"/>
                <w:szCs w:val="24"/>
                <w:lang w:val="en-CA"/>
              </w:rPr>
            </w:pPr>
            <w:r w:rsidRPr="005620DC">
              <w:rPr>
                <w:rFonts w:cs="Arial"/>
                <w:szCs w:val="24"/>
                <w:lang w:val="en-CA"/>
              </w:rPr>
              <w:t>150-01-065312-218, 150-01-065604-218</w:t>
            </w:r>
            <w:bookmarkStart w:id="0" w:name="_GoBack"/>
            <w:bookmarkEnd w:id="0"/>
          </w:p>
          <w:p w:rsidR="00A17E81" w:rsidRPr="005620DC" w:rsidRDefault="00132D88" w:rsidP="00A17E81">
            <w:pPr>
              <w:pStyle w:val="zSoquijdatNoDossier"/>
              <w:ind w:left="-70"/>
              <w:rPr>
                <w:rFonts w:cs="Arial"/>
                <w:szCs w:val="24"/>
                <w:lang w:val="en-CA"/>
              </w:rPr>
            </w:pPr>
            <w:r w:rsidRPr="005620DC">
              <w:rPr>
                <w:rFonts w:cs="Arial"/>
                <w:szCs w:val="24"/>
                <w:lang w:val="en-CA"/>
              </w:rPr>
              <w:t>150-01-066036-212, 150-01-066047-219</w:t>
            </w:r>
          </w:p>
        </w:tc>
      </w:tr>
      <w:tr w:rsidR="00905C1D" w:rsidTr="00A17E81">
        <w:tblPrEx>
          <w:tblCellMar>
            <w:left w:w="0" w:type="dxa"/>
            <w:right w:w="0" w:type="dxa"/>
          </w:tblCellMar>
        </w:tblPrEx>
        <w:trPr>
          <w:gridAfter w:val="1"/>
          <w:wAfter w:w="13" w:type="dxa"/>
          <w:cantSplit/>
        </w:trPr>
        <w:tc>
          <w:tcPr>
            <w:tcW w:w="1134" w:type="dxa"/>
          </w:tcPr>
          <w:p w:rsidR="00A17E81" w:rsidRPr="005620DC" w:rsidRDefault="00A17E81">
            <w:pPr>
              <w:pStyle w:val="zSoquijlblGreffe"/>
              <w:rPr>
                <w:rFonts w:cs="Arial"/>
                <w:szCs w:val="24"/>
                <w:lang w:val="en-CA"/>
              </w:rPr>
            </w:pPr>
          </w:p>
        </w:tc>
        <w:tc>
          <w:tcPr>
            <w:tcW w:w="8371" w:type="dxa"/>
            <w:gridSpan w:val="5"/>
          </w:tcPr>
          <w:p w:rsidR="00A17E81" w:rsidRPr="005620DC" w:rsidRDefault="00A17E81">
            <w:pPr>
              <w:pStyle w:val="zSoquijdatNoDossierAnt"/>
              <w:rPr>
                <w:rFonts w:cs="Arial"/>
                <w:szCs w:val="24"/>
                <w:lang w:val="en-CA"/>
              </w:rPr>
            </w:pPr>
          </w:p>
        </w:tc>
      </w:tr>
      <w:tr w:rsidR="00905C1D" w:rsidTr="00A17E81">
        <w:tblPrEx>
          <w:tblCellMar>
            <w:left w:w="0" w:type="dxa"/>
            <w:right w:w="0" w:type="dxa"/>
          </w:tblCellMar>
        </w:tblPrEx>
        <w:trPr>
          <w:gridAfter w:val="1"/>
          <w:wAfter w:w="13" w:type="dxa"/>
          <w:cantSplit/>
        </w:trPr>
        <w:tc>
          <w:tcPr>
            <w:tcW w:w="1134" w:type="dxa"/>
          </w:tcPr>
          <w:p w:rsidR="00A17E81" w:rsidRPr="005620DC" w:rsidRDefault="00132D88">
            <w:pPr>
              <w:pStyle w:val="zSoquijlblGreffe"/>
              <w:rPr>
                <w:rFonts w:cs="Arial"/>
                <w:szCs w:val="24"/>
                <w:lang w:val="en-CA"/>
              </w:rPr>
            </w:pPr>
            <w:r w:rsidRPr="005620DC">
              <w:rPr>
                <w:rFonts w:cs="Arial"/>
                <w:szCs w:val="24"/>
                <w:lang w:val="en-CA"/>
              </w:rPr>
              <w:t xml:space="preserve">DATE: </w:t>
            </w:r>
          </w:p>
        </w:tc>
        <w:tc>
          <w:tcPr>
            <w:tcW w:w="8371" w:type="dxa"/>
            <w:gridSpan w:val="5"/>
          </w:tcPr>
          <w:p w:rsidR="00A17E81" w:rsidRPr="005620DC" w:rsidRDefault="00132D88">
            <w:pPr>
              <w:pStyle w:val="zSoquijdatNoDossierAnt"/>
              <w:rPr>
                <w:rFonts w:cs="Arial"/>
                <w:szCs w:val="24"/>
                <w:lang w:val="en-CA"/>
              </w:rPr>
            </w:pPr>
            <w:r w:rsidRPr="005620DC">
              <w:rPr>
                <w:rFonts w:cs="Arial"/>
                <w:szCs w:val="24"/>
                <w:lang w:val="en-CA"/>
              </w:rPr>
              <w:t>December 10, 2021</w:t>
            </w:r>
          </w:p>
        </w:tc>
      </w:tr>
      <w:tr w:rsidR="00905C1D" w:rsidTr="00A17E81">
        <w:trPr>
          <w:gridAfter w:val="1"/>
          <w:wAfter w:w="13" w:type="dxa"/>
        </w:trPr>
        <w:tc>
          <w:tcPr>
            <w:tcW w:w="9505" w:type="dxa"/>
            <w:gridSpan w:val="6"/>
          </w:tcPr>
          <w:p w:rsidR="00A17E81" w:rsidRPr="005620DC" w:rsidRDefault="00132D88">
            <w:pPr>
              <w:ind w:left="14" w:right="-67"/>
              <w:rPr>
                <w:rFonts w:cs="Arial"/>
                <w:szCs w:val="24"/>
                <w:lang w:val="en-CA"/>
              </w:rPr>
            </w:pPr>
            <w:r w:rsidRPr="005620DC">
              <w:rPr>
                <w:rFonts w:cs="Arial"/>
                <w:szCs w:val="24"/>
                <w:lang w:val="en-CA"/>
              </w:rPr>
              <w:t>______________________________________________________________________</w:t>
            </w:r>
          </w:p>
        </w:tc>
      </w:tr>
      <w:tr w:rsidR="00905C1D" w:rsidTr="00A17E81">
        <w:trPr>
          <w:gridAfter w:val="1"/>
          <w:wAfter w:w="13" w:type="dxa"/>
        </w:trPr>
        <w:tc>
          <w:tcPr>
            <w:tcW w:w="9505" w:type="dxa"/>
            <w:gridSpan w:val="6"/>
          </w:tcPr>
          <w:p w:rsidR="00A17E81" w:rsidRPr="005620DC" w:rsidRDefault="00A17E81">
            <w:pPr>
              <w:rPr>
                <w:rFonts w:cs="Arial"/>
                <w:szCs w:val="24"/>
                <w:lang w:val="en-CA"/>
              </w:rPr>
            </w:pPr>
          </w:p>
        </w:tc>
      </w:tr>
      <w:tr w:rsidR="00905C1D" w:rsidTr="00A17E81">
        <w:tblPrEx>
          <w:tblCellMar>
            <w:left w:w="0" w:type="dxa"/>
            <w:right w:w="0" w:type="dxa"/>
          </w:tblCellMar>
        </w:tblPrEx>
        <w:trPr>
          <w:gridAfter w:val="1"/>
          <w:wAfter w:w="13" w:type="dxa"/>
        </w:trPr>
        <w:tc>
          <w:tcPr>
            <w:tcW w:w="8789" w:type="dxa"/>
            <w:gridSpan w:val="3"/>
          </w:tcPr>
          <w:p w:rsidR="00A17E81" w:rsidRPr="005620DC" w:rsidRDefault="00132D88">
            <w:pPr>
              <w:pStyle w:val="zSoquijlblJuge"/>
              <w:rPr>
                <w:rFonts w:cs="Arial"/>
                <w:szCs w:val="24"/>
                <w:lang w:val="en-CA"/>
              </w:rPr>
            </w:pPr>
            <w:r w:rsidRPr="005620DC">
              <w:rPr>
                <w:rFonts w:cs="Arial"/>
                <w:szCs w:val="24"/>
                <w:lang w:val="en-CA"/>
              </w:rPr>
              <w:t>PRESIDING: THE HONOURABLE PIERRE LORTIE, J.C.Q.</w:t>
            </w:r>
          </w:p>
        </w:tc>
        <w:tc>
          <w:tcPr>
            <w:tcW w:w="142" w:type="dxa"/>
          </w:tcPr>
          <w:p w:rsidR="00A17E81" w:rsidRPr="005620DC" w:rsidRDefault="00A17E81" w:rsidP="00A17E81">
            <w:pPr>
              <w:pStyle w:val="zSoquijdatQteJuge"/>
              <w:ind w:left="0"/>
              <w:rPr>
                <w:rFonts w:cs="Arial"/>
                <w:szCs w:val="24"/>
                <w:lang w:val="en-CA"/>
              </w:rPr>
            </w:pPr>
          </w:p>
        </w:tc>
        <w:tc>
          <w:tcPr>
            <w:tcW w:w="574" w:type="dxa"/>
            <w:gridSpan w:val="2"/>
          </w:tcPr>
          <w:p w:rsidR="00A17E81" w:rsidRPr="005620DC" w:rsidRDefault="00A17E81" w:rsidP="00A17E81">
            <w:pPr>
              <w:pStyle w:val="zSoquijdatJuge"/>
              <w:ind w:left="0"/>
              <w:rPr>
                <w:rFonts w:cs="Arial"/>
                <w:szCs w:val="24"/>
                <w:lang w:val="en-CA"/>
              </w:rPr>
            </w:pPr>
          </w:p>
        </w:tc>
      </w:tr>
      <w:tr w:rsidR="00905C1D" w:rsidTr="00A17E81">
        <w:trPr>
          <w:gridAfter w:val="1"/>
          <w:wAfter w:w="13" w:type="dxa"/>
        </w:trPr>
        <w:tc>
          <w:tcPr>
            <w:tcW w:w="9505" w:type="dxa"/>
            <w:gridSpan w:val="6"/>
          </w:tcPr>
          <w:p w:rsidR="00A17E81" w:rsidRPr="005620DC" w:rsidRDefault="00132D88">
            <w:pPr>
              <w:ind w:left="14" w:right="-67"/>
              <w:rPr>
                <w:rFonts w:cs="Arial"/>
                <w:szCs w:val="24"/>
                <w:lang w:val="en-CA"/>
              </w:rPr>
            </w:pPr>
            <w:r w:rsidRPr="005620DC">
              <w:rPr>
                <w:rFonts w:cs="Arial"/>
                <w:szCs w:val="24"/>
                <w:lang w:val="en-CA"/>
              </w:rPr>
              <w:t>______________________________________________________________________</w:t>
            </w:r>
          </w:p>
        </w:tc>
      </w:tr>
      <w:tr w:rsidR="00905C1D" w:rsidTr="00A17E81">
        <w:trPr>
          <w:gridAfter w:val="1"/>
          <w:wAfter w:w="13" w:type="dxa"/>
        </w:trPr>
        <w:tc>
          <w:tcPr>
            <w:tcW w:w="9505" w:type="dxa"/>
            <w:gridSpan w:val="6"/>
          </w:tcPr>
          <w:p w:rsidR="00A17E81" w:rsidRPr="005620DC" w:rsidRDefault="00A17E81">
            <w:pPr>
              <w:pStyle w:val="zSoquijlblTitrePartie"/>
              <w:rPr>
                <w:rFonts w:cs="Arial"/>
                <w:sz w:val="20"/>
                <w:szCs w:val="24"/>
                <w:lang w:val="en-CA"/>
              </w:rPr>
            </w:pPr>
          </w:p>
        </w:tc>
      </w:tr>
      <w:tr w:rsidR="00905C1D" w:rsidTr="00A17E81">
        <w:trPr>
          <w:gridAfter w:val="1"/>
          <w:wAfter w:w="13" w:type="dxa"/>
        </w:trPr>
        <w:tc>
          <w:tcPr>
            <w:tcW w:w="9505" w:type="dxa"/>
            <w:gridSpan w:val="6"/>
          </w:tcPr>
          <w:p w:rsidR="00A17E81" w:rsidRPr="005620DC" w:rsidRDefault="00A17E81">
            <w:pPr>
              <w:pStyle w:val="zSoquijlblTitrePartie"/>
              <w:rPr>
                <w:rFonts w:cs="Arial"/>
                <w:sz w:val="20"/>
                <w:szCs w:val="24"/>
                <w:lang w:val="en-CA"/>
              </w:rPr>
            </w:pPr>
          </w:p>
        </w:tc>
      </w:tr>
      <w:tr w:rsidR="00905C1D" w:rsidTr="00A17E81">
        <w:trPr>
          <w:gridAfter w:val="1"/>
          <w:wAfter w:w="13" w:type="dxa"/>
        </w:trPr>
        <w:tc>
          <w:tcPr>
            <w:tcW w:w="9505" w:type="dxa"/>
            <w:gridSpan w:val="6"/>
          </w:tcPr>
          <w:p w:rsidR="00A17E81" w:rsidRPr="005620DC" w:rsidRDefault="00132D88">
            <w:pPr>
              <w:pStyle w:val="zSoquijdatNomPartieDem"/>
              <w:rPr>
                <w:rFonts w:cs="Arial"/>
                <w:szCs w:val="24"/>
                <w:lang w:val="en-CA"/>
              </w:rPr>
            </w:pPr>
            <w:r w:rsidRPr="005620DC">
              <w:rPr>
                <w:rFonts w:cs="Arial"/>
                <w:szCs w:val="24"/>
                <w:lang w:val="en-CA"/>
              </w:rPr>
              <w:t>THE QUEEN</w:t>
            </w:r>
          </w:p>
        </w:tc>
      </w:tr>
      <w:tr w:rsidR="00905C1D" w:rsidTr="00A17E81">
        <w:trPr>
          <w:gridAfter w:val="1"/>
          <w:wAfter w:w="13" w:type="dxa"/>
        </w:trPr>
        <w:tc>
          <w:tcPr>
            <w:tcW w:w="9505" w:type="dxa"/>
            <w:gridSpan w:val="6"/>
          </w:tcPr>
          <w:p w:rsidR="00A17E81" w:rsidRPr="005620DC" w:rsidRDefault="00A17E81">
            <w:pPr>
              <w:pStyle w:val="zSoquijdatNomPartieDem"/>
              <w:rPr>
                <w:rFonts w:cs="Arial"/>
                <w:b w:val="0"/>
                <w:szCs w:val="24"/>
                <w:lang w:val="en-CA"/>
              </w:rPr>
            </w:pPr>
          </w:p>
        </w:tc>
      </w:tr>
      <w:tr w:rsidR="00905C1D" w:rsidTr="00A17E81">
        <w:trPr>
          <w:gridAfter w:val="1"/>
          <w:wAfter w:w="13" w:type="dxa"/>
        </w:trPr>
        <w:tc>
          <w:tcPr>
            <w:tcW w:w="9505" w:type="dxa"/>
            <w:gridSpan w:val="6"/>
          </w:tcPr>
          <w:p w:rsidR="00A17E81" w:rsidRPr="005620DC" w:rsidRDefault="00132D88" w:rsidP="00A17E81">
            <w:pPr>
              <w:pStyle w:val="zSoquijdatQtePartieDem"/>
              <w:rPr>
                <w:rFonts w:cs="Arial"/>
                <w:szCs w:val="24"/>
                <w:lang w:val="en-CA"/>
              </w:rPr>
            </w:pPr>
            <w:proofErr w:type="spellStart"/>
            <w:r w:rsidRPr="005620DC">
              <w:rPr>
                <w:rFonts w:cs="Arial"/>
                <w:szCs w:val="24"/>
                <w:lang w:val="en-CA"/>
              </w:rPr>
              <w:t>Prosecutrix</w:t>
            </w:r>
            <w:proofErr w:type="spellEnd"/>
          </w:p>
        </w:tc>
      </w:tr>
      <w:tr w:rsidR="00905C1D" w:rsidTr="00A17E81">
        <w:trPr>
          <w:gridAfter w:val="1"/>
          <w:wAfter w:w="13" w:type="dxa"/>
        </w:trPr>
        <w:tc>
          <w:tcPr>
            <w:tcW w:w="9505" w:type="dxa"/>
            <w:gridSpan w:val="6"/>
          </w:tcPr>
          <w:p w:rsidR="00A17E81" w:rsidRPr="005620DC" w:rsidRDefault="00132D88">
            <w:pPr>
              <w:pStyle w:val="zSoquijlblLienParties"/>
              <w:rPr>
                <w:rFonts w:cs="Arial"/>
                <w:szCs w:val="24"/>
                <w:lang w:val="en-CA"/>
              </w:rPr>
            </w:pPr>
            <w:r w:rsidRPr="005620DC">
              <w:rPr>
                <w:rFonts w:cs="Arial"/>
                <w:szCs w:val="24"/>
                <w:lang w:val="en-CA"/>
              </w:rPr>
              <w:t>v.</w:t>
            </w:r>
          </w:p>
        </w:tc>
      </w:tr>
      <w:tr w:rsidR="00905C1D" w:rsidTr="00A17E81">
        <w:trPr>
          <w:gridAfter w:val="1"/>
          <w:wAfter w:w="13" w:type="dxa"/>
        </w:trPr>
        <w:tc>
          <w:tcPr>
            <w:tcW w:w="9505" w:type="dxa"/>
            <w:gridSpan w:val="6"/>
          </w:tcPr>
          <w:p w:rsidR="00A17E81" w:rsidRPr="005620DC" w:rsidRDefault="00A17E81">
            <w:pPr>
              <w:pStyle w:val="zSoquijlblLienParties"/>
              <w:rPr>
                <w:rFonts w:cs="Arial"/>
                <w:szCs w:val="24"/>
                <w:lang w:val="en-CA"/>
              </w:rPr>
            </w:pPr>
          </w:p>
        </w:tc>
      </w:tr>
      <w:tr w:rsidR="00905C1D" w:rsidTr="00A17E81">
        <w:trPr>
          <w:gridAfter w:val="1"/>
          <w:wAfter w:w="13" w:type="dxa"/>
        </w:trPr>
        <w:tc>
          <w:tcPr>
            <w:tcW w:w="9505" w:type="dxa"/>
            <w:gridSpan w:val="6"/>
          </w:tcPr>
          <w:p w:rsidR="00A17E81" w:rsidRPr="005620DC" w:rsidRDefault="00132D88" w:rsidP="00A17E81">
            <w:pPr>
              <w:pStyle w:val="zSoquijdatNomPartieDef"/>
              <w:rPr>
                <w:rFonts w:cs="Arial"/>
                <w:szCs w:val="24"/>
                <w:lang w:val="en-CA"/>
              </w:rPr>
            </w:pPr>
            <w:r w:rsidRPr="005620DC">
              <w:rPr>
                <w:rFonts w:cs="Arial"/>
                <w:szCs w:val="24"/>
                <w:lang w:val="en-CA"/>
              </w:rPr>
              <w:t xml:space="preserve">LOUISA KILLIKTEE </w:t>
            </w:r>
          </w:p>
        </w:tc>
      </w:tr>
      <w:tr w:rsidR="00905C1D" w:rsidTr="00A17E81">
        <w:trPr>
          <w:gridAfter w:val="1"/>
          <w:wAfter w:w="13" w:type="dxa"/>
        </w:trPr>
        <w:tc>
          <w:tcPr>
            <w:tcW w:w="9505" w:type="dxa"/>
            <w:gridSpan w:val="6"/>
          </w:tcPr>
          <w:p w:rsidR="00A17E81" w:rsidRPr="005620DC" w:rsidRDefault="00A17E81" w:rsidP="00A17E81">
            <w:pPr>
              <w:pStyle w:val="zSoquijdatNomPartieDef"/>
              <w:rPr>
                <w:rFonts w:cs="Arial"/>
                <w:b w:val="0"/>
                <w:szCs w:val="24"/>
                <w:lang w:val="en-CA"/>
              </w:rPr>
            </w:pPr>
          </w:p>
        </w:tc>
      </w:tr>
      <w:tr w:rsidR="00905C1D" w:rsidTr="00A17E81">
        <w:trPr>
          <w:gridAfter w:val="1"/>
          <w:wAfter w:w="13" w:type="dxa"/>
        </w:trPr>
        <w:tc>
          <w:tcPr>
            <w:tcW w:w="9505" w:type="dxa"/>
            <w:gridSpan w:val="6"/>
          </w:tcPr>
          <w:p w:rsidR="00A17E81" w:rsidRPr="005620DC" w:rsidRDefault="00132D88">
            <w:pPr>
              <w:pStyle w:val="zSoquijdatQtePartieDef"/>
              <w:rPr>
                <w:rFonts w:cs="Arial"/>
                <w:szCs w:val="24"/>
                <w:lang w:val="en-CA"/>
              </w:rPr>
            </w:pPr>
            <w:r w:rsidRPr="005620DC">
              <w:rPr>
                <w:rFonts w:cs="Arial"/>
                <w:szCs w:val="24"/>
                <w:lang w:val="en-CA"/>
              </w:rPr>
              <w:t>Accused</w:t>
            </w:r>
          </w:p>
        </w:tc>
      </w:tr>
      <w:tr w:rsidR="00905C1D" w:rsidTr="00A17E81">
        <w:trPr>
          <w:gridAfter w:val="1"/>
          <w:wAfter w:w="13" w:type="dxa"/>
        </w:trPr>
        <w:tc>
          <w:tcPr>
            <w:tcW w:w="9505" w:type="dxa"/>
            <w:gridSpan w:val="6"/>
          </w:tcPr>
          <w:p w:rsidR="00A17E81" w:rsidRPr="005620DC" w:rsidRDefault="00A17E81">
            <w:pPr>
              <w:ind w:left="14" w:right="-95"/>
              <w:rPr>
                <w:rFonts w:cs="Arial"/>
                <w:sz w:val="20"/>
                <w:szCs w:val="24"/>
                <w:lang w:val="en-CA"/>
              </w:rPr>
            </w:pPr>
          </w:p>
        </w:tc>
      </w:tr>
      <w:tr w:rsidR="00905C1D" w:rsidTr="00A17E81">
        <w:trPr>
          <w:gridAfter w:val="1"/>
          <w:wAfter w:w="13" w:type="dxa"/>
        </w:trPr>
        <w:tc>
          <w:tcPr>
            <w:tcW w:w="9505" w:type="dxa"/>
            <w:gridSpan w:val="6"/>
          </w:tcPr>
          <w:p w:rsidR="00A17E81" w:rsidRPr="005620DC" w:rsidRDefault="00132D88">
            <w:pPr>
              <w:ind w:left="14" w:right="-95"/>
              <w:rPr>
                <w:rFonts w:cs="Arial"/>
                <w:szCs w:val="24"/>
                <w:lang w:val="en-CA"/>
              </w:rPr>
            </w:pPr>
            <w:r w:rsidRPr="005620DC">
              <w:rPr>
                <w:rFonts w:cs="Arial"/>
                <w:szCs w:val="24"/>
                <w:lang w:val="en-CA"/>
              </w:rPr>
              <w:t>______________________________________________________________________</w:t>
            </w:r>
          </w:p>
        </w:tc>
      </w:tr>
      <w:tr w:rsidR="00905C1D" w:rsidTr="00A17E81">
        <w:trPr>
          <w:gridAfter w:val="1"/>
          <w:wAfter w:w="13" w:type="dxa"/>
        </w:trPr>
        <w:tc>
          <w:tcPr>
            <w:tcW w:w="9505" w:type="dxa"/>
            <w:gridSpan w:val="6"/>
          </w:tcPr>
          <w:p w:rsidR="00A17E81" w:rsidRPr="005620DC" w:rsidRDefault="00A17E81">
            <w:pPr>
              <w:jc w:val="center"/>
              <w:rPr>
                <w:rFonts w:cs="Arial"/>
                <w:szCs w:val="24"/>
                <w:lang w:val="en-CA"/>
              </w:rPr>
            </w:pPr>
          </w:p>
        </w:tc>
      </w:tr>
      <w:tr w:rsidR="00905C1D" w:rsidTr="00A17E81">
        <w:trPr>
          <w:gridAfter w:val="1"/>
          <w:wAfter w:w="13" w:type="dxa"/>
        </w:trPr>
        <w:tc>
          <w:tcPr>
            <w:tcW w:w="9505" w:type="dxa"/>
            <w:gridSpan w:val="6"/>
          </w:tcPr>
          <w:p w:rsidR="00A17E81" w:rsidRPr="005620DC" w:rsidRDefault="00132D88" w:rsidP="00A17E81">
            <w:pPr>
              <w:pStyle w:val="zSoquijlblTypeDocument"/>
              <w:rPr>
                <w:rFonts w:cs="Arial"/>
                <w:b/>
                <w:bCs/>
                <w:szCs w:val="24"/>
                <w:lang w:val="en-CA"/>
              </w:rPr>
            </w:pPr>
            <w:r w:rsidRPr="005620DC">
              <w:rPr>
                <w:rFonts w:cs="Arial"/>
                <w:b/>
                <w:bCs/>
                <w:szCs w:val="24"/>
                <w:lang w:val="en-CA"/>
              </w:rPr>
              <w:t>SENTENCING</w:t>
            </w:r>
          </w:p>
        </w:tc>
      </w:tr>
      <w:tr w:rsidR="00905C1D" w:rsidTr="00A17E81">
        <w:trPr>
          <w:gridAfter w:val="1"/>
          <w:wAfter w:w="13" w:type="dxa"/>
        </w:trPr>
        <w:tc>
          <w:tcPr>
            <w:tcW w:w="9505" w:type="dxa"/>
            <w:gridSpan w:val="6"/>
          </w:tcPr>
          <w:p w:rsidR="00A17E81" w:rsidRPr="005620DC" w:rsidRDefault="00132D88">
            <w:pPr>
              <w:ind w:left="14" w:right="-70"/>
              <w:rPr>
                <w:rFonts w:cs="Arial"/>
                <w:szCs w:val="24"/>
                <w:lang w:val="en-CA"/>
              </w:rPr>
            </w:pPr>
            <w:r w:rsidRPr="005620DC">
              <w:rPr>
                <w:rFonts w:cs="Arial"/>
                <w:szCs w:val="24"/>
                <w:lang w:val="en-CA"/>
              </w:rPr>
              <w:t>______________________________________________________________________</w:t>
            </w:r>
          </w:p>
        </w:tc>
      </w:tr>
      <w:tr w:rsidR="00905C1D" w:rsidTr="00A17E81">
        <w:trPr>
          <w:gridAfter w:val="1"/>
          <w:wAfter w:w="13" w:type="dxa"/>
        </w:trPr>
        <w:tc>
          <w:tcPr>
            <w:tcW w:w="9505" w:type="dxa"/>
            <w:gridSpan w:val="6"/>
          </w:tcPr>
          <w:p w:rsidR="00A17E81" w:rsidRPr="005620DC" w:rsidRDefault="00A17E81">
            <w:pPr>
              <w:rPr>
                <w:rFonts w:cs="Arial"/>
                <w:sz w:val="20"/>
                <w:szCs w:val="24"/>
                <w:lang w:val="en-CA"/>
              </w:rPr>
            </w:pPr>
          </w:p>
        </w:tc>
      </w:tr>
    </w:tbl>
    <w:p w:rsidR="00A17E81" w:rsidRPr="005620DC" w:rsidRDefault="00132D88" w:rsidP="00A17E81">
      <w:pPr>
        <w:pStyle w:val="Titre4"/>
        <w:spacing w:after="120"/>
        <w:rPr>
          <w:rFonts w:cs="Arial"/>
          <w:szCs w:val="24"/>
          <w:lang w:val="en-CA"/>
        </w:rPr>
      </w:pPr>
      <w:r w:rsidRPr="005620DC">
        <w:rPr>
          <w:rFonts w:cs="Arial"/>
          <w:szCs w:val="24"/>
          <w:lang w:val="en-CA"/>
        </w:rPr>
        <w:t>INTRODUCTION</w:t>
      </w:r>
    </w:p>
    <w:p w:rsidR="00A17E81" w:rsidRPr="005620DC" w:rsidRDefault="00864E4F" w:rsidP="00A17E81">
      <w:pPr>
        <w:pStyle w:val="Paragraphe"/>
        <w:widowControl w:val="0"/>
        <w:numPr>
          <w:ilvl w:val="0"/>
          <w:numId w:val="1"/>
        </w:numPr>
        <w:tabs>
          <w:tab w:val="clear" w:pos="360"/>
        </w:tabs>
        <w:spacing w:line="240" w:lineRule="auto"/>
        <w:rPr>
          <w:rFonts w:cs="Arial"/>
          <w:szCs w:val="24"/>
          <w:lang w:val="en-CA"/>
        </w:rPr>
      </w:pPr>
      <w:r w:rsidRPr="005620DC">
        <w:rPr>
          <w:rFonts w:cs="Arial"/>
          <w:szCs w:val="24"/>
          <w:lang w:val="en-CA"/>
        </w:rPr>
        <w:t xml:space="preserve">Louisa </w:t>
      </w:r>
      <w:proofErr w:type="spellStart"/>
      <w:r w:rsidRPr="005620DC">
        <w:rPr>
          <w:rFonts w:cs="Arial"/>
          <w:szCs w:val="24"/>
          <w:lang w:val="en-CA"/>
        </w:rPr>
        <w:t>Killiktee</w:t>
      </w:r>
      <w:proofErr w:type="spellEnd"/>
      <w:r w:rsidRPr="005620DC">
        <w:rPr>
          <w:rFonts w:cs="Arial"/>
          <w:szCs w:val="24"/>
          <w:lang w:val="en-CA"/>
        </w:rPr>
        <w:t>, 38 years old, pleaded guilty on November</w:t>
      </w:r>
      <w:r w:rsidR="00191D65">
        <w:rPr>
          <w:rFonts w:cs="Arial"/>
          <w:szCs w:val="24"/>
          <w:lang w:val="en-CA"/>
        </w:rPr>
        <w:t> </w:t>
      </w:r>
      <w:r w:rsidRPr="005620DC">
        <w:rPr>
          <w:rFonts w:cs="Arial"/>
          <w:szCs w:val="24"/>
          <w:lang w:val="en-CA"/>
        </w:rPr>
        <w:t>10,</w:t>
      </w:r>
      <w:r w:rsidR="00191D65">
        <w:rPr>
          <w:rFonts w:cs="Arial"/>
          <w:szCs w:val="24"/>
          <w:lang w:val="en-CA"/>
        </w:rPr>
        <w:t> </w:t>
      </w:r>
      <w:r w:rsidRPr="005620DC">
        <w:rPr>
          <w:rFonts w:cs="Arial"/>
          <w:szCs w:val="24"/>
          <w:lang w:val="en-CA"/>
        </w:rPr>
        <w:t>2021, to the following offences (in chronological order):</w:t>
      </w:r>
    </w:p>
    <w:p w:rsidR="00A17E81" w:rsidRPr="005620DC" w:rsidRDefault="00A17E81" w:rsidP="00A17E81">
      <w:pPr>
        <w:rPr>
          <w:lang w:val="en-CA"/>
        </w:rPr>
      </w:pPr>
    </w:p>
    <w:tbl>
      <w:tblPr>
        <w:tblStyle w:val="Grilledutableau"/>
        <w:tblW w:w="9351" w:type="dxa"/>
        <w:tblLook w:val="04A0" w:firstRow="1" w:lastRow="0" w:firstColumn="1" w:lastColumn="0" w:noHBand="0" w:noVBand="1"/>
      </w:tblPr>
      <w:tblGrid>
        <w:gridCol w:w="2157"/>
        <w:gridCol w:w="1807"/>
        <w:gridCol w:w="5387"/>
      </w:tblGrid>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 xml:space="preserve">File numbers </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Dates</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 xml:space="preserve">Offences and facts accepted by the Court </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150-01-066204-216</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April 29, 2020</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Threat</w:t>
            </w:r>
            <w:r w:rsidR="00F22B1C">
              <w:rPr>
                <w:rFonts w:cs="Arial"/>
                <w:sz w:val="22"/>
                <w:szCs w:val="22"/>
                <w:lang w:val="en-CA"/>
              </w:rPr>
              <w:t xml:space="preserve">ening and assaulting </w:t>
            </w:r>
            <w:proofErr w:type="spellStart"/>
            <w:r w:rsidRPr="005620DC">
              <w:rPr>
                <w:rFonts w:cs="Arial"/>
                <w:sz w:val="22"/>
                <w:szCs w:val="22"/>
                <w:lang w:val="en-CA"/>
              </w:rPr>
              <w:t>Shomari</w:t>
            </w:r>
            <w:proofErr w:type="spellEnd"/>
            <w:r w:rsidRPr="005620DC">
              <w:rPr>
                <w:rFonts w:cs="Arial"/>
                <w:sz w:val="22"/>
                <w:szCs w:val="22"/>
                <w:lang w:val="en-CA"/>
              </w:rPr>
              <w:t xml:space="preserve"> Blades. </w:t>
            </w:r>
          </w:p>
          <w:p w:rsidR="00A17E81" w:rsidRPr="005620DC" w:rsidRDefault="00132D88" w:rsidP="00655DED">
            <w:pPr>
              <w:jc w:val="both"/>
              <w:rPr>
                <w:rFonts w:cs="Arial"/>
                <w:sz w:val="22"/>
                <w:szCs w:val="22"/>
                <w:lang w:val="en-CA"/>
              </w:rPr>
            </w:pPr>
            <w:r w:rsidRPr="005620DC">
              <w:rPr>
                <w:rFonts w:cs="Arial"/>
                <w:sz w:val="22"/>
                <w:szCs w:val="22"/>
                <w:lang w:val="en-CA"/>
              </w:rPr>
              <w:t xml:space="preserve">Ms. </w:t>
            </w:r>
            <w:proofErr w:type="spellStart"/>
            <w:r w:rsidRPr="005620DC">
              <w:rPr>
                <w:rFonts w:cs="Arial"/>
                <w:sz w:val="22"/>
                <w:szCs w:val="22"/>
                <w:lang w:val="en-CA"/>
              </w:rPr>
              <w:t>Killiktee</w:t>
            </w:r>
            <w:proofErr w:type="spellEnd"/>
            <w:r w:rsidRPr="005620DC">
              <w:rPr>
                <w:rFonts w:cs="Arial"/>
                <w:sz w:val="22"/>
                <w:szCs w:val="22"/>
                <w:lang w:val="en-CA"/>
              </w:rPr>
              <w:t xml:space="preserve"> was intoxicated in a</w:t>
            </w:r>
            <w:r w:rsidR="00F47E25">
              <w:rPr>
                <w:rFonts w:cs="Arial"/>
                <w:sz w:val="22"/>
                <w:szCs w:val="22"/>
                <w:lang w:val="en-CA"/>
              </w:rPr>
              <w:t xml:space="preserve">n </w:t>
            </w:r>
            <w:r w:rsidRPr="005620DC">
              <w:rPr>
                <w:rFonts w:cs="Arial"/>
                <w:sz w:val="22"/>
                <w:szCs w:val="22"/>
                <w:lang w:val="en-CA"/>
              </w:rPr>
              <w:t>apartment</w:t>
            </w:r>
            <w:r w:rsidR="00F47E25">
              <w:rPr>
                <w:rFonts w:cs="Arial"/>
                <w:sz w:val="22"/>
                <w:szCs w:val="22"/>
                <w:lang w:val="en-CA"/>
              </w:rPr>
              <w:t xml:space="preserve"> in Montreal</w:t>
            </w:r>
            <w:r w:rsidRPr="005620DC">
              <w:rPr>
                <w:rFonts w:cs="Arial"/>
                <w:sz w:val="22"/>
                <w:szCs w:val="22"/>
                <w:lang w:val="en-CA"/>
              </w:rPr>
              <w:t xml:space="preserve">. Frustrated, she </w:t>
            </w:r>
            <w:r w:rsidR="00655DED">
              <w:rPr>
                <w:rFonts w:cs="Arial"/>
                <w:sz w:val="22"/>
                <w:szCs w:val="22"/>
                <w:lang w:val="en-CA"/>
              </w:rPr>
              <w:t>took</w:t>
            </w:r>
            <w:r w:rsidRPr="005620DC">
              <w:rPr>
                <w:rFonts w:cs="Arial"/>
                <w:sz w:val="22"/>
                <w:szCs w:val="22"/>
                <w:lang w:val="en-CA"/>
              </w:rPr>
              <w:t xml:space="preserve"> the victim’s face and </w:t>
            </w:r>
            <w:r w:rsidR="00F22B1C">
              <w:rPr>
                <w:rFonts w:cs="Arial"/>
                <w:sz w:val="22"/>
                <w:szCs w:val="22"/>
                <w:lang w:val="en-CA"/>
              </w:rPr>
              <w:t xml:space="preserve">dug </w:t>
            </w:r>
            <w:r w:rsidRPr="005620DC">
              <w:rPr>
                <w:rFonts w:cs="Arial"/>
                <w:sz w:val="22"/>
                <w:szCs w:val="22"/>
                <w:lang w:val="en-CA"/>
              </w:rPr>
              <w:t>her nails</w:t>
            </w:r>
            <w:r w:rsidR="00F22B1C">
              <w:rPr>
                <w:rFonts w:cs="Arial"/>
                <w:sz w:val="22"/>
                <w:szCs w:val="22"/>
                <w:lang w:val="en-CA"/>
              </w:rPr>
              <w:t xml:space="preserve"> into the skin</w:t>
            </w:r>
            <w:r w:rsidRPr="005620DC">
              <w:rPr>
                <w:rFonts w:cs="Arial"/>
                <w:sz w:val="22"/>
                <w:szCs w:val="22"/>
                <w:lang w:val="en-CA"/>
              </w:rPr>
              <w:t>. She also threatened to kill her.</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150-01-066203-218</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April 29, 2020</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 xml:space="preserve">Assaulting </w:t>
            </w:r>
            <w:r w:rsidR="00F22B1C">
              <w:rPr>
                <w:rFonts w:cs="Arial"/>
                <w:sz w:val="22"/>
                <w:szCs w:val="22"/>
                <w:lang w:val="en-CA"/>
              </w:rPr>
              <w:t xml:space="preserve">the </w:t>
            </w:r>
            <w:r w:rsidRPr="005620DC">
              <w:rPr>
                <w:rFonts w:cs="Arial"/>
                <w:sz w:val="22"/>
                <w:szCs w:val="22"/>
                <w:lang w:val="en-CA"/>
              </w:rPr>
              <w:t>police officers called to intervene.</w:t>
            </w:r>
          </w:p>
          <w:p w:rsidR="00A17E81" w:rsidRPr="005620DC" w:rsidRDefault="00132D88" w:rsidP="000F339D">
            <w:pPr>
              <w:jc w:val="both"/>
              <w:rPr>
                <w:rFonts w:cs="Arial"/>
                <w:sz w:val="22"/>
                <w:szCs w:val="22"/>
                <w:lang w:val="en-CA"/>
              </w:rPr>
            </w:pPr>
            <w:r w:rsidRPr="005620DC">
              <w:rPr>
                <w:rFonts w:cs="Arial"/>
                <w:sz w:val="22"/>
                <w:szCs w:val="22"/>
                <w:lang w:val="en-CA"/>
              </w:rPr>
              <w:t xml:space="preserve">Ms. </w:t>
            </w:r>
            <w:proofErr w:type="spellStart"/>
            <w:r w:rsidRPr="005620DC">
              <w:rPr>
                <w:rFonts w:cs="Arial"/>
                <w:sz w:val="22"/>
                <w:szCs w:val="22"/>
                <w:lang w:val="en-CA"/>
              </w:rPr>
              <w:t>Killiktee</w:t>
            </w:r>
            <w:proofErr w:type="spellEnd"/>
            <w:r w:rsidRPr="005620DC">
              <w:rPr>
                <w:rFonts w:cs="Arial"/>
                <w:sz w:val="22"/>
                <w:szCs w:val="22"/>
                <w:lang w:val="en-CA"/>
              </w:rPr>
              <w:t xml:space="preserve"> refused to cooperate and, in the context of COVID, spit on the police officers’ faces. The situation was worrisome because </w:t>
            </w:r>
            <w:r w:rsidR="00B95531">
              <w:rPr>
                <w:rFonts w:cs="Arial"/>
                <w:sz w:val="22"/>
                <w:szCs w:val="22"/>
                <w:lang w:val="en-CA"/>
              </w:rPr>
              <w:t>she ha</w:t>
            </w:r>
            <w:r w:rsidR="000F339D">
              <w:rPr>
                <w:rFonts w:cs="Arial"/>
                <w:sz w:val="22"/>
                <w:szCs w:val="22"/>
                <w:lang w:val="en-CA"/>
              </w:rPr>
              <w:t>d</w:t>
            </w:r>
            <w:r w:rsidR="00B95531">
              <w:rPr>
                <w:rFonts w:cs="Arial"/>
                <w:sz w:val="22"/>
                <w:szCs w:val="22"/>
                <w:lang w:val="en-CA"/>
              </w:rPr>
              <w:t xml:space="preserve"> a runny nose with</w:t>
            </w:r>
            <w:r w:rsidRPr="005620DC">
              <w:rPr>
                <w:rFonts w:cs="Arial"/>
                <w:sz w:val="22"/>
                <w:szCs w:val="22"/>
                <w:lang w:val="en-CA"/>
              </w:rPr>
              <w:t xml:space="preserve"> traces of blood.</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150-01-064466-213</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March 19,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 xml:space="preserve">In Chicoutimi, assaulting Mélanie </w:t>
            </w:r>
            <w:proofErr w:type="spellStart"/>
            <w:r w:rsidRPr="005620DC">
              <w:rPr>
                <w:rFonts w:cs="Arial"/>
                <w:sz w:val="22"/>
                <w:szCs w:val="22"/>
                <w:lang w:val="en-CA"/>
              </w:rPr>
              <w:t>Hince</w:t>
            </w:r>
            <w:proofErr w:type="spellEnd"/>
            <w:r w:rsidRPr="005620DC">
              <w:rPr>
                <w:rFonts w:cs="Arial"/>
                <w:sz w:val="22"/>
                <w:szCs w:val="22"/>
                <w:lang w:val="en-CA"/>
              </w:rPr>
              <w:t xml:space="preserve">. </w:t>
            </w:r>
          </w:p>
          <w:p w:rsidR="00A17E81" w:rsidRPr="005620DC" w:rsidRDefault="00132D88" w:rsidP="00F22B1C">
            <w:pPr>
              <w:jc w:val="both"/>
              <w:rPr>
                <w:rFonts w:cs="Arial"/>
                <w:sz w:val="22"/>
                <w:szCs w:val="22"/>
                <w:lang w:val="en-CA"/>
              </w:rPr>
            </w:pPr>
            <w:r w:rsidRPr="005620DC">
              <w:rPr>
                <w:rFonts w:cs="Arial"/>
                <w:sz w:val="22"/>
                <w:szCs w:val="22"/>
                <w:lang w:val="en-CA"/>
              </w:rPr>
              <w:t xml:space="preserve">Ms. </w:t>
            </w:r>
            <w:proofErr w:type="spellStart"/>
            <w:r w:rsidRPr="005620DC">
              <w:rPr>
                <w:rFonts w:cs="Arial"/>
                <w:sz w:val="22"/>
                <w:szCs w:val="22"/>
                <w:lang w:val="en-CA"/>
              </w:rPr>
              <w:t>Killiktee</w:t>
            </w:r>
            <w:proofErr w:type="spellEnd"/>
            <w:r w:rsidRPr="005620DC">
              <w:rPr>
                <w:rFonts w:cs="Arial"/>
                <w:sz w:val="22"/>
                <w:szCs w:val="22"/>
                <w:lang w:val="en-CA"/>
              </w:rPr>
              <w:t xml:space="preserve"> was at </w:t>
            </w:r>
            <w:proofErr w:type="spellStart"/>
            <w:r w:rsidR="00F22B1C">
              <w:rPr>
                <w:rFonts w:cs="Arial"/>
                <w:sz w:val="22"/>
                <w:szCs w:val="22"/>
                <w:lang w:val="en-CA"/>
              </w:rPr>
              <w:t>Maison</w:t>
            </w:r>
            <w:proofErr w:type="spellEnd"/>
            <w:r w:rsidR="00F22B1C">
              <w:rPr>
                <w:rFonts w:cs="Arial"/>
                <w:sz w:val="22"/>
                <w:szCs w:val="22"/>
                <w:lang w:val="en-CA"/>
              </w:rPr>
              <w:t xml:space="preserve"> des sans-</w:t>
            </w:r>
            <w:proofErr w:type="spellStart"/>
            <w:r w:rsidR="00F22B1C">
              <w:rPr>
                <w:rFonts w:cs="Arial"/>
                <w:sz w:val="22"/>
                <w:szCs w:val="22"/>
                <w:lang w:val="en-CA"/>
              </w:rPr>
              <w:t>abri</w:t>
            </w:r>
            <w:proofErr w:type="spellEnd"/>
            <w:r w:rsidRPr="005620DC">
              <w:rPr>
                <w:rFonts w:cs="Arial"/>
                <w:sz w:val="22"/>
                <w:szCs w:val="22"/>
                <w:lang w:val="en-CA"/>
              </w:rPr>
              <w:t xml:space="preserve">. For unknown reasons, she shoved the victim and hit her on the head. </w:t>
            </w:r>
            <w:r w:rsidR="00F22B1C">
              <w:rPr>
                <w:rFonts w:cs="Arial"/>
                <w:sz w:val="22"/>
                <w:szCs w:val="22"/>
                <w:lang w:val="en-CA"/>
              </w:rPr>
              <w:t>Workers had to stop it</w:t>
            </w:r>
            <w:r w:rsidRPr="005620DC">
              <w:rPr>
                <w:rFonts w:cs="Arial"/>
                <w:sz w:val="22"/>
                <w:szCs w:val="22"/>
                <w:lang w:val="en-CA"/>
              </w:rPr>
              <w:t>.</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150-01-064467-211</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March 19, 2021</w:t>
            </w:r>
          </w:p>
        </w:tc>
        <w:tc>
          <w:tcPr>
            <w:tcW w:w="5387" w:type="dxa"/>
          </w:tcPr>
          <w:p w:rsidR="00A17E81" w:rsidRPr="005620DC" w:rsidRDefault="00132D88" w:rsidP="00F22B1C">
            <w:pPr>
              <w:jc w:val="both"/>
              <w:rPr>
                <w:rFonts w:cs="Arial"/>
                <w:sz w:val="22"/>
                <w:szCs w:val="22"/>
                <w:lang w:val="en-CA"/>
              </w:rPr>
            </w:pPr>
            <w:r w:rsidRPr="005620DC">
              <w:rPr>
                <w:rFonts w:cs="Arial"/>
                <w:sz w:val="22"/>
                <w:szCs w:val="22"/>
                <w:lang w:val="en-CA"/>
              </w:rPr>
              <w:t>Breach of release o</w:t>
            </w:r>
            <w:r w:rsidR="00F22B1C">
              <w:rPr>
                <w:rFonts w:cs="Arial"/>
                <w:sz w:val="22"/>
                <w:szCs w:val="22"/>
                <w:lang w:val="en-CA"/>
              </w:rPr>
              <w:t>rder [R</w:t>
            </w:r>
            <w:r w:rsidRPr="005620DC">
              <w:rPr>
                <w:rFonts w:cs="Arial"/>
                <w:sz w:val="22"/>
                <w:szCs w:val="22"/>
                <w:lang w:val="en-CA"/>
              </w:rPr>
              <w:t>O</w:t>
            </w:r>
            <w:r w:rsidR="00F22B1C">
              <w:rPr>
                <w:rFonts w:cs="Arial"/>
                <w:sz w:val="22"/>
                <w:szCs w:val="22"/>
                <w:lang w:val="en-CA"/>
              </w:rPr>
              <w:t>]</w:t>
            </w:r>
            <w:r w:rsidRPr="005620DC">
              <w:rPr>
                <w:rFonts w:cs="Arial"/>
                <w:sz w:val="22"/>
                <w:szCs w:val="22"/>
                <w:lang w:val="en-CA"/>
              </w:rPr>
              <w:t xml:space="preserve"> by </w:t>
            </w:r>
            <w:r w:rsidR="00F22B1C">
              <w:rPr>
                <w:rFonts w:cs="Arial"/>
                <w:sz w:val="22"/>
                <w:szCs w:val="22"/>
                <w:lang w:val="en-CA"/>
              </w:rPr>
              <w:t xml:space="preserve">not </w:t>
            </w:r>
            <w:r w:rsidRPr="005620DC">
              <w:rPr>
                <w:rFonts w:cs="Arial"/>
                <w:sz w:val="22"/>
                <w:szCs w:val="22"/>
                <w:lang w:val="en-CA"/>
              </w:rPr>
              <w:t>be</w:t>
            </w:r>
            <w:r w:rsidR="00F22B1C">
              <w:rPr>
                <w:rFonts w:cs="Arial"/>
                <w:sz w:val="22"/>
                <w:szCs w:val="22"/>
                <w:lang w:val="en-CA"/>
              </w:rPr>
              <w:t>ing</w:t>
            </w:r>
            <w:r w:rsidRPr="005620DC">
              <w:rPr>
                <w:rFonts w:cs="Arial"/>
                <w:sz w:val="22"/>
                <w:szCs w:val="22"/>
                <w:lang w:val="en-CA"/>
              </w:rPr>
              <w:t xml:space="preserve"> at the proper address.</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150-01-065313-216</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June 15, 2021</w:t>
            </w:r>
          </w:p>
        </w:tc>
        <w:tc>
          <w:tcPr>
            <w:tcW w:w="5387" w:type="dxa"/>
          </w:tcPr>
          <w:p w:rsidR="00A17E81" w:rsidRPr="005620DC" w:rsidRDefault="00132D88" w:rsidP="00F22B1C">
            <w:pPr>
              <w:jc w:val="both"/>
              <w:rPr>
                <w:rFonts w:cs="Arial"/>
                <w:sz w:val="22"/>
                <w:szCs w:val="22"/>
                <w:lang w:val="en-CA"/>
              </w:rPr>
            </w:pPr>
            <w:r w:rsidRPr="005620DC">
              <w:rPr>
                <w:rFonts w:cs="Arial"/>
                <w:sz w:val="22"/>
                <w:szCs w:val="22"/>
                <w:lang w:val="en-CA"/>
              </w:rPr>
              <w:t>Three breaches of RO (</w:t>
            </w:r>
            <w:proofErr w:type="gramStart"/>
            <w:r w:rsidRPr="005620DC">
              <w:rPr>
                <w:rFonts w:cs="Arial"/>
                <w:sz w:val="22"/>
                <w:szCs w:val="22"/>
                <w:lang w:val="en-CA"/>
              </w:rPr>
              <w:t>keep the peace</w:t>
            </w:r>
            <w:proofErr w:type="gramEnd"/>
            <w:r w:rsidRPr="005620DC">
              <w:rPr>
                <w:rFonts w:cs="Arial"/>
                <w:sz w:val="22"/>
                <w:szCs w:val="22"/>
                <w:lang w:val="en-CA"/>
              </w:rPr>
              <w:t xml:space="preserve">, </w:t>
            </w:r>
            <w:proofErr w:type="gramStart"/>
            <w:r w:rsidRPr="005620DC">
              <w:rPr>
                <w:rFonts w:cs="Arial"/>
                <w:sz w:val="22"/>
                <w:szCs w:val="22"/>
                <w:lang w:val="en-CA"/>
              </w:rPr>
              <w:t>abstain from drugs or alcohol</w:t>
            </w:r>
            <w:proofErr w:type="gramEnd"/>
            <w:r w:rsidRPr="005620DC">
              <w:rPr>
                <w:rFonts w:cs="Arial"/>
                <w:sz w:val="22"/>
                <w:szCs w:val="22"/>
                <w:lang w:val="en-CA"/>
              </w:rPr>
              <w:t xml:space="preserve">). The police </w:t>
            </w:r>
            <w:proofErr w:type="gramStart"/>
            <w:r w:rsidRPr="005620DC">
              <w:rPr>
                <w:rFonts w:cs="Arial"/>
                <w:sz w:val="22"/>
                <w:szCs w:val="22"/>
                <w:lang w:val="en-CA"/>
              </w:rPr>
              <w:t>were called</w:t>
            </w:r>
            <w:proofErr w:type="gramEnd"/>
            <w:r w:rsidRPr="005620DC">
              <w:rPr>
                <w:rFonts w:cs="Arial"/>
                <w:sz w:val="22"/>
                <w:szCs w:val="22"/>
                <w:lang w:val="en-CA"/>
              </w:rPr>
              <w:t xml:space="preserve"> to intervene because of an argument with another person. They observed that she was highly intoxicated and in breach of her conditions.</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150-01-065311-20</w:t>
            </w:r>
            <w:r w:rsidR="00F47E25">
              <w:rPr>
                <w:rFonts w:cs="Arial"/>
                <w:sz w:val="22"/>
                <w:szCs w:val="22"/>
                <w:lang w:val="en-CA"/>
              </w:rPr>
              <w:t>1</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July 13,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 xml:space="preserve">Threatening the police. </w:t>
            </w:r>
          </w:p>
          <w:p w:rsidR="00A17E81" w:rsidRPr="005620DC" w:rsidRDefault="00132D88" w:rsidP="00F22B1C">
            <w:pPr>
              <w:jc w:val="both"/>
              <w:rPr>
                <w:rFonts w:cs="Arial"/>
                <w:sz w:val="22"/>
                <w:szCs w:val="22"/>
                <w:lang w:val="en-CA"/>
              </w:rPr>
            </w:pPr>
            <w:r w:rsidRPr="005620DC">
              <w:rPr>
                <w:rFonts w:cs="Arial"/>
                <w:sz w:val="22"/>
                <w:szCs w:val="22"/>
                <w:lang w:val="en-CA"/>
              </w:rPr>
              <w:t xml:space="preserve">Ms. </w:t>
            </w:r>
            <w:proofErr w:type="spellStart"/>
            <w:r w:rsidRPr="005620DC">
              <w:rPr>
                <w:rFonts w:cs="Arial"/>
                <w:sz w:val="22"/>
                <w:szCs w:val="22"/>
                <w:lang w:val="en-CA"/>
              </w:rPr>
              <w:t>Killiktee</w:t>
            </w:r>
            <w:proofErr w:type="spellEnd"/>
            <w:r w:rsidRPr="005620DC">
              <w:rPr>
                <w:rFonts w:cs="Arial"/>
                <w:sz w:val="22"/>
                <w:szCs w:val="22"/>
                <w:lang w:val="en-CA"/>
              </w:rPr>
              <w:t xml:space="preserve"> was at </w:t>
            </w:r>
            <w:proofErr w:type="spellStart"/>
            <w:r w:rsidR="00F22B1C">
              <w:rPr>
                <w:rFonts w:cs="Arial"/>
                <w:sz w:val="22"/>
                <w:szCs w:val="22"/>
                <w:lang w:val="en-CA"/>
              </w:rPr>
              <w:t>Maison</w:t>
            </w:r>
            <w:proofErr w:type="spellEnd"/>
            <w:r w:rsidR="00F22B1C">
              <w:rPr>
                <w:rFonts w:cs="Arial"/>
                <w:sz w:val="22"/>
                <w:szCs w:val="22"/>
                <w:lang w:val="en-CA"/>
              </w:rPr>
              <w:t xml:space="preserve"> des sans-</w:t>
            </w:r>
            <w:proofErr w:type="spellStart"/>
            <w:r w:rsidR="00F22B1C">
              <w:rPr>
                <w:rFonts w:cs="Arial"/>
                <w:sz w:val="22"/>
                <w:szCs w:val="22"/>
                <w:lang w:val="en-CA"/>
              </w:rPr>
              <w:t>abris</w:t>
            </w:r>
            <w:proofErr w:type="spellEnd"/>
            <w:r w:rsidRPr="005620DC">
              <w:rPr>
                <w:rFonts w:cs="Arial"/>
                <w:sz w:val="22"/>
                <w:szCs w:val="22"/>
                <w:lang w:val="en-CA"/>
              </w:rPr>
              <w:t xml:space="preserve">. The police </w:t>
            </w:r>
            <w:proofErr w:type="gramStart"/>
            <w:r w:rsidRPr="005620DC">
              <w:rPr>
                <w:rFonts w:cs="Arial"/>
                <w:sz w:val="22"/>
                <w:szCs w:val="22"/>
                <w:lang w:val="en-CA"/>
              </w:rPr>
              <w:t>were called</w:t>
            </w:r>
            <w:proofErr w:type="gramEnd"/>
            <w:r w:rsidRPr="005620DC">
              <w:rPr>
                <w:rFonts w:cs="Arial"/>
                <w:sz w:val="22"/>
                <w:szCs w:val="22"/>
                <w:lang w:val="en-CA"/>
              </w:rPr>
              <w:t xml:space="preserve"> to intervene because she was </w:t>
            </w:r>
            <w:r w:rsidR="00F22B1C">
              <w:rPr>
                <w:rFonts w:cs="Arial"/>
                <w:sz w:val="22"/>
                <w:szCs w:val="22"/>
                <w:lang w:val="en-CA"/>
              </w:rPr>
              <w:t>being disruptive</w:t>
            </w:r>
            <w:r w:rsidRPr="005620DC">
              <w:rPr>
                <w:rFonts w:cs="Arial"/>
                <w:sz w:val="22"/>
                <w:szCs w:val="22"/>
                <w:lang w:val="en-CA"/>
              </w:rPr>
              <w:t xml:space="preserve">. She was unhappy and threatened to kill the police officers and their families.  </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150-01-065312-218</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July 13,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Seven breaches of two RO (keep the peace, curfew, address, consumption).</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150-01-065604-218</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 xml:space="preserve">August 2, 2021 </w:t>
            </w:r>
          </w:p>
        </w:tc>
        <w:tc>
          <w:tcPr>
            <w:tcW w:w="5387" w:type="dxa"/>
          </w:tcPr>
          <w:p w:rsidR="00A17E81" w:rsidRPr="005620DC" w:rsidRDefault="00132D88" w:rsidP="00EA6FFC">
            <w:pPr>
              <w:jc w:val="both"/>
              <w:rPr>
                <w:rFonts w:cs="Arial"/>
                <w:sz w:val="22"/>
                <w:szCs w:val="22"/>
                <w:lang w:val="en-CA"/>
              </w:rPr>
            </w:pPr>
            <w:r w:rsidRPr="005620DC">
              <w:rPr>
                <w:rFonts w:cs="Arial"/>
                <w:sz w:val="22"/>
                <w:szCs w:val="22"/>
                <w:lang w:val="en-CA"/>
              </w:rPr>
              <w:t>Two breach</w:t>
            </w:r>
            <w:r w:rsidR="00F22B1C">
              <w:rPr>
                <w:rFonts w:cs="Arial"/>
                <w:sz w:val="22"/>
                <w:szCs w:val="22"/>
                <w:lang w:val="en-CA"/>
              </w:rPr>
              <w:t>e</w:t>
            </w:r>
            <w:r w:rsidR="00CF2333">
              <w:rPr>
                <w:rFonts w:cs="Arial"/>
                <w:sz w:val="22"/>
                <w:szCs w:val="22"/>
                <w:lang w:val="en-CA"/>
              </w:rPr>
              <w:t xml:space="preserve">s of </w:t>
            </w:r>
            <w:r w:rsidRPr="005620DC">
              <w:rPr>
                <w:rFonts w:cs="Arial"/>
                <w:sz w:val="22"/>
                <w:szCs w:val="22"/>
                <w:lang w:val="en-CA"/>
              </w:rPr>
              <w:t xml:space="preserve">RO (live at </w:t>
            </w:r>
            <w:r w:rsidR="009B306D">
              <w:rPr>
                <w:rFonts w:cs="Arial"/>
                <w:sz w:val="22"/>
                <w:szCs w:val="22"/>
                <w:lang w:val="en-CA"/>
              </w:rPr>
              <w:t xml:space="preserve">Le </w:t>
            </w:r>
            <w:proofErr w:type="spellStart"/>
            <w:r w:rsidRPr="005620DC">
              <w:rPr>
                <w:rFonts w:cs="Arial"/>
                <w:sz w:val="22"/>
                <w:szCs w:val="22"/>
                <w:lang w:val="en-CA"/>
              </w:rPr>
              <w:t>Rivage</w:t>
            </w:r>
            <w:proofErr w:type="spellEnd"/>
            <w:r w:rsidRPr="005620DC">
              <w:rPr>
                <w:rFonts w:cs="Arial"/>
                <w:sz w:val="22"/>
                <w:szCs w:val="22"/>
                <w:lang w:val="en-CA"/>
              </w:rPr>
              <w:t xml:space="preserve">, curfew). The police called to intervene because of the </w:t>
            </w:r>
            <w:r w:rsidR="00F22B1C">
              <w:rPr>
                <w:rFonts w:cs="Arial"/>
                <w:sz w:val="22"/>
                <w:szCs w:val="22"/>
                <w:lang w:val="en-CA"/>
              </w:rPr>
              <w:t>dis</w:t>
            </w:r>
            <w:r w:rsidR="009B306D">
              <w:rPr>
                <w:rFonts w:cs="Arial"/>
                <w:sz w:val="22"/>
                <w:szCs w:val="22"/>
                <w:lang w:val="en-CA"/>
              </w:rPr>
              <w:t>turbances</w:t>
            </w:r>
            <w:r w:rsidR="00F22B1C">
              <w:rPr>
                <w:rFonts w:cs="Arial"/>
                <w:sz w:val="22"/>
                <w:szCs w:val="22"/>
                <w:lang w:val="en-CA"/>
              </w:rPr>
              <w:t xml:space="preserve"> </w:t>
            </w:r>
            <w:r w:rsidR="00A218E2">
              <w:rPr>
                <w:rFonts w:cs="Arial"/>
                <w:sz w:val="22"/>
                <w:szCs w:val="22"/>
                <w:lang w:val="en-CA"/>
              </w:rPr>
              <w:t xml:space="preserve">realized </w:t>
            </w:r>
            <w:r w:rsidRPr="005620DC">
              <w:rPr>
                <w:rFonts w:cs="Arial"/>
                <w:sz w:val="22"/>
                <w:szCs w:val="22"/>
                <w:lang w:val="en-CA"/>
              </w:rPr>
              <w:t xml:space="preserve">that she </w:t>
            </w:r>
            <w:r w:rsidR="00F22B1C">
              <w:rPr>
                <w:rFonts w:cs="Arial"/>
                <w:sz w:val="22"/>
                <w:szCs w:val="22"/>
                <w:lang w:val="en-CA"/>
              </w:rPr>
              <w:t xml:space="preserve">was supposed to be </w:t>
            </w:r>
            <w:r w:rsidRPr="005620DC">
              <w:rPr>
                <w:rFonts w:cs="Arial"/>
                <w:sz w:val="22"/>
                <w:szCs w:val="22"/>
                <w:lang w:val="en-CA"/>
              </w:rPr>
              <w:t xml:space="preserve">at </w:t>
            </w:r>
            <w:r w:rsidR="009B306D">
              <w:rPr>
                <w:rFonts w:cs="Arial"/>
                <w:sz w:val="22"/>
                <w:szCs w:val="22"/>
                <w:lang w:val="en-CA"/>
              </w:rPr>
              <w:t xml:space="preserve">Le </w:t>
            </w:r>
            <w:proofErr w:type="spellStart"/>
            <w:r w:rsidRPr="005620DC">
              <w:rPr>
                <w:rFonts w:cs="Arial"/>
                <w:sz w:val="22"/>
                <w:szCs w:val="22"/>
                <w:lang w:val="en-CA"/>
              </w:rPr>
              <w:t>Rivage</w:t>
            </w:r>
            <w:proofErr w:type="spellEnd"/>
            <w:r w:rsidRPr="005620DC">
              <w:rPr>
                <w:rFonts w:cs="Arial"/>
                <w:sz w:val="22"/>
                <w:szCs w:val="22"/>
                <w:lang w:val="en-CA"/>
              </w:rPr>
              <w:t>, a residence for women in difficulty.</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150-01-066036-212</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October 3, 2021</w:t>
            </w:r>
          </w:p>
        </w:tc>
        <w:tc>
          <w:tcPr>
            <w:tcW w:w="5387" w:type="dxa"/>
          </w:tcPr>
          <w:p w:rsidR="00A17E81" w:rsidRPr="005620DC" w:rsidRDefault="00132D88" w:rsidP="00CF2333">
            <w:pPr>
              <w:jc w:val="both"/>
              <w:rPr>
                <w:rFonts w:cs="Arial"/>
                <w:sz w:val="22"/>
                <w:szCs w:val="22"/>
                <w:lang w:val="en-CA"/>
              </w:rPr>
            </w:pPr>
            <w:r w:rsidRPr="005620DC">
              <w:rPr>
                <w:rFonts w:cs="Arial"/>
                <w:sz w:val="22"/>
                <w:szCs w:val="22"/>
                <w:lang w:val="en-CA"/>
              </w:rPr>
              <w:t>Three breaches of RO (curfew, abstain from drugs or alcohol).</w:t>
            </w:r>
          </w:p>
        </w:tc>
      </w:tr>
      <w:tr w:rsidR="00905C1D" w:rsidTr="00A17E81">
        <w:tc>
          <w:tcPr>
            <w:tcW w:w="2157" w:type="dxa"/>
          </w:tcPr>
          <w:p w:rsidR="00A17E81" w:rsidRPr="005620DC" w:rsidRDefault="00132D88" w:rsidP="00A17E81">
            <w:pPr>
              <w:rPr>
                <w:rFonts w:cs="Arial"/>
                <w:sz w:val="22"/>
                <w:szCs w:val="22"/>
                <w:lang w:val="en-CA"/>
              </w:rPr>
            </w:pPr>
            <w:r w:rsidRPr="005620DC">
              <w:rPr>
                <w:rFonts w:cs="Arial"/>
                <w:sz w:val="22"/>
                <w:szCs w:val="22"/>
                <w:lang w:val="en-CA"/>
              </w:rPr>
              <w:t>150-01-066047-219</w:t>
            </w:r>
          </w:p>
        </w:tc>
        <w:tc>
          <w:tcPr>
            <w:tcW w:w="1807" w:type="dxa"/>
          </w:tcPr>
          <w:p w:rsidR="00A17E81" w:rsidRPr="005620DC" w:rsidRDefault="00132D88" w:rsidP="00A17E81">
            <w:pPr>
              <w:rPr>
                <w:rFonts w:cs="Arial"/>
                <w:sz w:val="22"/>
                <w:szCs w:val="22"/>
                <w:lang w:val="en-CA"/>
              </w:rPr>
            </w:pPr>
            <w:r w:rsidRPr="005620DC">
              <w:rPr>
                <w:rFonts w:cs="Arial"/>
                <w:sz w:val="22"/>
                <w:szCs w:val="22"/>
                <w:lang w:val="en-CA"/>
              </w:rPr>
              <w:t>October 3,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Two breach</w:t>
            </w:r>
            <w:r w:rsidR="00F22B1C">
              <w:rPr>
                <w:rFonts w:cs="Arial"/>
                <w:sz w:val="22"/>
                <w:szCs w:val="22"/>
                <w:lang w:val="en-CA"/>
              </w:rPr>
              <w:t>e</w:t>
            </w:r>
            <w:r w:rsidRPr="005620DC">
              <w:rPr>
                <w:rFonts w:cs="Arial"/>
                <w:sz w:val="22"/>
                <w:szCs w:val="22"/>
                <w:lang w:val="en-CA"/>
              </w:rPr>
              <w:t xml:space="preserve">s of RO (curfew and alcohol). </w:t>
            </w:r>
          </w:p>
          <w:p w:rsidR="00A17E81" w:rsidRPr="005620DC" w:rsidRDefault="00132D88" w:rsidP="00A17E81">
            <w:pPr>
              <w:jc w:val="both"/>
              <w:rPr>
                <w:rFonts w:cs="Arial"/>
                <w:sz w:val="22"/>
                <w:szCs w:val="22"/>
                <w:lang w:val="en-CA"/>
              </w:rPr>
            </w:pPr>
            <w:r w:rsidRPr="005620DC">
              <w:rPr>
                <w:rFonts w:cs="Arial"/>
                <w:sz w:val="22"/>
                <w:szCs w:val="22"/>
                <w:lang w:val="en-CA"/>
              </w:rPr>
              <w:t>The police office</w:t>
            </w:r>
            <w:r w:rsidR="00F22B1C">
              <w:rPr>
                <w:rFonts w:cs="Arial"/>
                <w:sz w:val="22"/>
                <w:szCs w:val="22"/>
                <w:lang w:val="en-CA"/>
              </w:rPr>
              <w:t>r</w:t>
            </w:r>
            <w:r w:rsidRPr="005620DC">
              <w:rPr>
                <w:rFonts w:cs="Arial"/>
                <w:sz w:val="22"/>
                <w:szCs w:val="22"/>
                <w:lang w:val="en-CA"/>
              </w:rPr>
              <w:t xml:space="preserve">s saw Ms. </w:t>
            </w:r>
            <w:proofErr w:type="spellStart"/>
            <w:r w:rsidRPr="005620DC">
              <w:rPr>
                <w:rFonts w:cs="Arial"/>
                <w:sz w:val="22"/>
                <w:szCs w:val="22"/>
                <w:lang w:val="en-CA"/>
              </w:rPr>
              <w:t>Killiktee</w:t>
            </w:r>
            <w:proofErr w:type="spellEnd"/>
            <w:r w:rsidRPr="005620DC">
              <w:rPr>
                <w:rFonts w:cs="Arial"/>
                <w:sz w:val="22"/>
                <w:szCs w:val="22"/>
                <w:lang w:val="en-CA"/>
              </w:rPr>
              <w:t xml:space="preserve"> sleeping outside. She was clearly disorganized and intoxicated.</w:t>
            </w:r>
          </w:p>
        </w:tc>
      </w:tr>
    </w:tbl>
    <w:p w:rsidR="00A17E81" w:rsidRPr="005620DC" w:rsidRDefault="00A17E81" w:rsidP="00A17E81">
      <w:pPr>
        <w:rPr>
          <w:lang w:val="en-CA"/>
        </w:rPr>
      </w:pPr>
    </w:p>
    <w:p w:rsidR="00A17E81" w:rsidRPr="005620DC" w:rsidRDefault="00132D88" w:rsidP="00A17E81">
      <w:pPr>
        <w:pStyle w:val="Paragraphe"/>
        <w:numPr>
          <w:ilvl w:val="0"/>
          <w:numId w:val="1"/>
        </w:numPr>
        <w:tabs>
          <w:tab w:val="clear" w:pos="360"/>
          <w:tab w:val="num" w:pos="720"/>
        </w:tabs>
        <w:spacing w:line="240" w:lineRule="auto"/>
        <w:rPr>
          <w:lang w:val="en-CA"/>
        </w:rPr>
      </w:pPr>
      <w:r w:rsidRPr="005620DC">
        <w:rPr>
          <w:lang w:val="en-CA"/>
        </w:rPr>
        <w:t xml:space="preserve">Ms. </w:t>
      </w:r>
      <w:proofErr w:type="spellStart"/>
      <w:r w:rsidRPr="005620DC">
        <w:rPr>
          <w:lang w:val="en-CA"/>
        </w:rPr>
        <w:t>Killiktee</w:t>
      </w:r>
      <w:proofErr w:type="spellEnd"/>
      <w:r w:rsidRPr="005620DC">
        <w:rPr>
          <w:lang w:val="en-CA"/>
        </w:rPr>
        <w:t xml:space="preserve"> was in custody </w:t>
      </w:r>
      <w:r>
        <w:rPr>
          <w:lang w:val="en-CA"/>
        </w:rPr>
        <w:t>a</w:t>
      </w:r>
      <w:r w:rsidR="00864E4F" w:rsidRPr="005620DC">
        <w:rPr>
          <w:lang w:val="en-CA"/>
        </w:rPr>
        <w:t>t the</w:t>
      </w:r>
      <w:r>
        <w:rPr>
          <w:lang w:val="en-CA"/>
        </w:rPr>
        <w:t xml:space="preserve"> time of sentencing submissions</w:t>
      </w:r>
      <w:r w:rsidR="00864E4F" w:rsidRPr="005620DC">
        <w:rPr>
          <w:lang w:val="en-CA"/>
        </w:rPr>
        <w:t>.</w:t>
      </w:r>
    </w:p>
    <w:p w:rsidR="00A17E81" w:rsidRPr="005620DC" w:rsidRDefault="00132D88" w:rsidP="00A17E81">
      <w:pPr>
        <w:pStyle w:val="Paragraphe"/>
        <w:numPr>
          <w:ilvl w:val="0"/>
          <w:numId w:val="1"/>
        </w:numPr>
        <w:tabs>
          <w:tab w:val="clear" w:pos="360"/>
          <w:tab w:val="num" w:pos="720"/>
        </w:tabs>
        <w:spacing w:line="240" w:lineRule="auto"/>
        <w:rPr>
          <w:lang w:val="en-CA"/>
        </w:rPr>
      </w:pPr>
      <w:r w:rsidRPr="005620DC">
        <w:rPr>
          <w:lang w:val="en-CA"/>
        </w:rPr>
        <w:t xml:space="preserve">The prosecution </w:t>
      </w:r>
      <w:r w:rsidR="005363D4">
        <w:rPr>
          <w:lang w:val="en-CA"/>
        </w:rPr>
        <w:t>note</w:t>
      </w:r>
      <w:r w:rsidR="00A218E2">
        <w:rPr>
          <w:lang w:val="en-CA"/>
        </w:rPr>
        <w:t>s</w:t>
      </w:r>
      <w:r w:rsidR="005363D4">
        <w:rPr>
          <w:lang w:val="en-CA"/>
        </w:rPr>
        <w:t xml:space="preserve"> </w:t>
      </w:r>
      <w:r w:rsidR="003812FA">
        <w:rPr>
          <w:lang w:val="en-CA"/>
        </w:rPr>
        <w:t xml:space="preserve">many </w:t>
      </w:r>
      <w:r w:rsidRPr="005620DC">
        <w:rPr>
          <w:lang w:val="en-CA"/>
        </w:rPr>
        <w:t>aggravating factors, including prior convictions for violent offences</w:t>
      </w:r>
      <w:r w:rsidR="003812FA">
        <w:rPr>
          <w:lang w:val="en-CA"/>
        </w:rPr>
        <w:t xml:space="preserve">, and seeks </w:t>
      </w:r>
      <w:r w:rsidRPr="005620DC">
        <w:rPr>
          <w:lang w:val="en-CA"/>
        </w:rPr>
        <w:t xml:space="preserve">consecutive sentences totalling four years, </w:t>
      </w:r>
      <w:r w:rsidR="003812FA">
        <w:rPr>
          <w:lang w:val="en-CA"/>
        </w:rPr>
        <w:t xml:space="preserve">thus </w:t>
      </w:r>
      <w:r w:rsidRPr="005620DC">
        <w:rPr>
          <w:lang w:val="en-CA"/>
        </w:rPr>
        <w:t>priorit</w:t>
      </w:r>
      <w:r w:rsidR="003812FA">
        <w:rPr>
          <w:lang w:val="en-CA"/>
        </w:rPr>
        <w:t>izing</w:t>
      </w:r>
      <w:r w:rsidRPr="005620DC">
        <w:rPr>
          <w:lang w:val="en-CA"/>
        </w:rPr>
        <w:t xml:space="preserve"> the objectives of denunciation and deterrence.</w:t>
      </w:r>
    </w:p>
    <w:p w:rsidR="00A17E81" w:rsidRPr="005620DC" w:rsidRDefault="00132D88" w:rsidP="00A17E81">
      <w:pPr>
        <w:pStyle w:val="Paragraphe"/>
        <w:numPr>
          <w:ilvl w:val="0"/>
          <w:numId w:val="1"/>
        </w:numPr>
        <w:tabs>
          <w:tab w:val="clear" w:pos="360"/>
          <w:tab w:val="num" w:pos="720"/>
        </w:tabs>
        <w:spacing w:line="240" w:lineRule="auto"/>
        <w:rPr>
          <w:lang w:val="en-CA"/>
        </w:rPr>
      </w:pPr>
      <w:r w:rsidRPr="005620DC">
        <w:rPr>
          <w:lang w:val="en-CA"/>
        </w:rPr>
        <w:lastRenderedPageBreak/>
        <w:t xml:space="preserve">Ms. </w:t>
      </w:r>
      <w:proofErr w:type="spellStart"/>
      <w:r w:rsidRPr="005620DC">
        <w:rPr>
          <w:lang w:val="en-CA"/>
        </w:rPr>
        <w:t>Killiktee</w:t>
      </w:r>
      <w:proofErr w:type="spellEnd"/>
      <w:r w:rsidRPr="005620DC">
        <w:rPr>
          <w:lang w:val="en-CA"/>
        </w:rPr>
        <w:t xml:space="preserve"> </w:t>
      </w:r>
      <w:r w:rsidR="003812FA">
        <w:rPr>
          <w:lang w:val="en-CA"/>
        </w:rPr>
        <w:t xml:space="preserve">proposes </w:t>
      </w:r>
      <w:r w:rsidRPr="005620DC">
        <w:rPr>
          <w:lang w:val="en-CA"/>
        </w:rPr>
        <w:t xml:space="preserve">a sentence of 6 to 9 months. </w:t>
      </w:r>
      <w:r w:rsidR="003812FA">
        <w:rPr>
          <w:lang w:val="en-CA"/>
        </w:rPr>
        <w:t>A</w:t>
      </w:r>
      <w:r w:rsidR="003812FA" w:rsidRPr="005620DC">
        <w:rPr>
          <w:lang w:val="en-CA"/>
        </w:rPr>
        <w:t xml:space="preserve"> member of the Inuit Nation</w:t>
      </w:r>
      <w:r w:rsidR="003812FA">
        <w:rPr>
          <w:lang w:val="en-CA"/>
        </w:rPr>
        <w:t>, o</w:t>
      </w:r>
      <w:r w:rsidRPr="005620DC">
        <w:rPr>
          <w:lang w:val="en-CA"/>
        </w:rPr>
        <w:t>riginally from Nunavut</w:t>
      </w:r>
      <w:r w:rsidR="003812FA">
        <w:rPr>
          <w:lang w:val="en-CA"/>
        </w:rPr>
        <w:t>,</w:t>
      </w:r>
      <w:r w:rsidRPr="005620DC">
        <w:rPr>
          <w:lang w:val="en-CA"/>
        </w:rPr>
        <w:t xml:space="preserve"> </w:t>
      </w:r>
      <w:r w:rsidR="003812FA">
        <w:rPr>
          <w:lang w:val="en-CA"/>
        </w:rPr>
        <w:t xml:space="preserve">she </w:t>
      </w:r>
      <w:r w:rsidRPr="005620DC">
        <w:rPr>
          <w:lang w:val="en-CA"/>
        </w:rPr>
        <w:t>described her unique life history</w:t>
      </w:r>
      <w:r w:rsidR="003812FA">
        <w:rPr>
          <w:lang w:val="en-CA"/>
        </w:rPr>
        <w:t xml:space="preserve"> and </w:t>
      </w:r>
      <w:r w:rsidRPr="005620DC">
        <w:rPr>
          <w:lang w:val="en-CA"/>
        </w:rPr>
        <w:t xml:space="preserve">submits that prison is not the solution. She </w:t>
      </w:r>
      <w:r w:rsidR="003812FA">
        <w:rPr>
          <w:lang w:val="en-CA"/>
        </w:rPr>
        <w:t xml:space="preserve">is </w:t>
      </w:r>
      <w:r w:rsidRPr="005620DC">
        <w:rPr>
          <w:lang w:val="en-CA"/>
        </w:rPr>
        <w:t>ask</w:t>
      </w:r>
      <w:r w:rsidR="003812FA">
        <w:rPr>
          <w:lang w:val="en-CA"/>
        </w:rPr>
        <w:t>ing</w:t>
      </w:r>
      <w:r w:rsidRPr="005620DC">
        <w:rPr>
          <w:lang w:val="en-CA"/>
        </w:rPr>
        <w:t xml:space="preserve"> for help and wants to enter therapy.</w:t>
      </w:r>
    </w:p>
    <w:p w:rsidR="00A17E81" w:rsidRPr="005620DC" w:rsidRDefault="00132D88" w:rsidP="00A17E81">
      <w:pPr>
        <w:pStyle w:val="Titre4"/>
        <w:spacing w:after="120"/>
        <w:rPr>
          <w:rFonts w:cs="Arial"/>
          <w:szCs w:val="24"/>
          <w:lang w:val="en-CA"/>
        </w:rPr>
      </w:pPr>
      <w:r w:rsidRPr="005620DC">
        <w:rPr>
          <w:rFonts w:cs="Arial"/>
          <w:szCs w:val="24"/>
          <w:lang w:val="en-CA"/>
        </w:rPr>
        <w:t>ISSUE</w:t>
      </w:r>
    </w:p>
    <w:p w:rsidR="00A17E81" w:rsidRPr="005620DC" w:rsidRDefault="00132D88" w:rsidP="00A17E81">
      <w:pPr>
        <w:pStyle w:val="Paragraphe"/>
        <w:tabs>
          <w:tab w:val="clear" w:pos="360"/>
          <w:tab w:val="num" w:pos="720"/>
          <w:tab w:val="num" w:pos="851"/>
        </w:tabs>
        <w:spacing w:line="240" w:lineRule="auto"/>
        <w:rPr>
          <w:rFonts w:cs="Arial"/>
          <w:iCs/>
          <w:szCs w:val="24"/>
          <w:lang w:val="en-CA"/>
        </w:rPr>
      </w:pPr>
      <w:r w:rsidRPr="005620DC">
        <w:rPr>
          <w:lang w:val="en-CA"/>
        </w:rPr>
        <w:t xml:space="preserve">What is the just and appropriate sentence </w:t>
      </w:r>
      <w:r w:rsidR="003812FA">
        <w:rPr>
          <w:lang w:val="en-CA"/>
        </w:rPr>
        <w:t xml:space="preserve">in light of </w:t>
      </w:r>
      <w:r w:rsidRPr="005620DC">
        <w:rPr>
          <w:lang w:val="en-CA"/>
        </w:rPr>
        <w:t xml:space="preserve">the aggravating circumstances and factors that mitigate moral </w:t>
      </w:r>
      <w:r w:rsidR="00CF2333">
        <w:rPr>
          <w:lang w:val="en-CA"/>
        </w:rPr>
        <w:t>culpability</w:t>
      </w:r>
      <w:r w:rsidRPr="005620DC">
        <w:rPr>
          <w:lang w:val="en-CA"/>
        </w:rPr>
        <w:t>?</w:t>
      </w:r>
    </w:p>
    <w:p w:rsidR="00A17E81" w:rsidRPr="005620DC" w:rsidRDefault="00132D88" w:rsidP="00A17E81">
      <w:pPr>
        <w:pStyle w:val="Paragraphe"/>
        <w:tabs>
          <w:tab w:val="clear" w:pos="360"/>
          <w:tab w:val="num" w:pos="720"/>
          <w:tab w:val="num" w:pos="851"/>
        </w:tabs>
        <w:spacing w:line="240" w:lineRule="auto"/>
        <w:rPr>
          <w:rFonts w:cs="Arial"/>
          <w:iCs/>
          <w:szCs w:val="24"/>
          <w:lang w:val="en-CA"/>
        </w:rPr>
      </w:pPr>
      <w:r w:rsidRPr="005620DC">
        <w:rPr>
          <w:rFonts w:cs="Arial"/>
          <w:iCs/>
          <w:szCs w:val="24"/>
          <w:lang w:val="en-CA"/>
        </w:rPr>
        <w:t>The gap between the parties is immense, from 6 months to 4 years</w:t>
      </w:r>
      <w:r w:rsidR="003812FA">
        <w:rPr>
          <w:rFonts w:cs="Arial"/>
          <w:iCs/>
          <w:szCs w:val="24"/>
          <w:lang w:val="en-CA"/>
        </w:rPr>
        <w:t xml:space="preserve">, which reflects </w:t>
      </w:r>
      <w:r w:rsidRPr="005620DC">
        <w:rPr>
          <w:rFonts w:cs="Arial"/>
          <w:iCs/>
          <w:szCs w:val="24"/>
          <w:lang w:val="en-CA"/>
        </w:rPr>
        <w:t xml:space="preserve">a different assessment of the weight to </w:t>
      </w:r>
      <w:proofErr w:type="gramStart"/>
      <w:r w:rsidRPr="005620DC">
        <w:rPr>
          <w:rFonts w:cs="Arial"/>
          <w:iCs/>
          <w:szCs w:val="24"/>
          <w:lang w:val="en-CA"/>
        </w:rPr>
        <w:t>be given</w:t>
      </w:r>
      <w:proofErr w:type="gramEnd"/>
      <w:r w:rsidRPr="005620DC">
        <w:rPr>
          <w:rFonts w:cs="Arial"/>
          <w:iCs/>
          <w:szCs w:val="24"/>
          <w:lang w:val="en-CA"/>
        </w:rPr>
        <w:t xml:space="preserve"> to the sentencing factors.</w:t>
      </w:r>
    </w:p>
    <w:p w:rsidR="00A17E81" w:rsidRPr="005620DC" w:rsidRDefault="00132D88" w:rsidP="00A17E81">
      <w:pPr>
        <w:pStyle w:val="Paragraphe"/>
        <w:tabs>
          <w:tab w:val="clear" w:pos="360"/>
          <w:tab w:val="num" w:pos="720"/>
          <w:tab w:val="num" w:pos="851"/>
        </w:tabs>
        <w:spacing w:line="240" w:lineRule="auto"/>
        <w:rPr>
          <w:rFonts w:cs="Arial"/>
          <w:iCs/>
          <w:szCs w:val="24"/>
          <w:lang w:val="en-CA"/>
        </w:rPr>
      </w:pPr>
      <w:r w:rsidRPr="005620DC">
        <w:rPr>
          <w:lang w:val="en-CA"/>
        </w:rPr>
        <w:t xml:space="preserve">The debate </w:t>
      </w:r>
      <w:r w:rsidR="003812FA">
        <w:rPr>
          <w:lang w:val="en-CA"/>
        </w:rPr>
        <w:t xml:space="preserve">arises </w:t>
      </w:r>
      <w:r w:rsidRPr="005620DC">
        <w:rPr>
          <w:lang w:val="en-CA"/>
        </w:rPr>
        <w:t xml:space="preserve">in </w:t>
      </w:r>
      <w:r w:rsidR="003812FA">
        <w:rPr>
          <w:lang w:val="en-CA"/>
        </w:rPr>
        <w:t xml:space="preserve">circumstances </w:t>
      </w:r>
      <w:r w:rsidRPr="005620DC">
        <w:rPr>
          <w:lang w:val="en-CA"/>
        </w:rPr>
        <w:t xml:space="preserve">where Ms. </w:t>
      </w:r>
      <w:proofErr w:type="spellStart"/>
      <w:r w:rsidRPr="005620DC">
        <w:rPr>
          <w:lang w:val="en-CA"/>
        </w:rPr>
        <w:t>Killiktee</w:t>
      </w:r>
      <w:proofErr w:type="spellEnd"/>
      <w:r w:rsidRPr="005620DC">
        <w:rPr>
          <w:lang w:val="en-CA"/>
        </w:rPr>
        <w:t xml:space="preserve"> is an Aboriginal person. Section 718.2(e) of the </w:t>
      </w:r>
      <w:r w:rsidRPr="005620DC">
        <w:rPr>
          <w:i/>
          <w:lang w:val="en-CA"/>
        </w:rPr>
        <w:t xml:space="preserve">Criminal Code </w:t>
      </w:r>
      <w:r w:rsidRPr="005620DC">
        <w:rPr>
          <w:lang w:val="en-CA"/>
        </w:rPr>
        <w:t>(</w:t>
      </w:r>
      <w:r w:rsidRPr="005620DC">
        <w:rPr>
          <w:i/>
          <w:lang w:val="en-CA"/>
        </w:rPr>
        <w:t>Cr. C.</w:t>
      </w:r>
      <w:r w:rsidRPr="005620DC">
        <w:rPr>
          <w:lang w:val="en-CA"/>
        </w:rPr>
        <w:t xml:space="preserve">) provides that the judge must take into consideration all available sanctions, other than imprisonment, “with particular attention to the circumstances of Aboriginal offenders”. </w:t>
      </w:r>
      <w:r w:rsidR="003812FA">
        <w:rPr>
          <w:lang w:val="en-CA"/>
        </w:rPr>
        <w:t>The Supreme Court analyzed s</w:t>
      </w:r>
      <w:r w:rsidRPr="005620DC">
        <w:rPr>
          <w:lang w:val="en-CA"/>
        </w:rPr>
        <w:t xml:space="preserve">entencing in Aboriginal matters in </w:t>
      </w:r>
      <w:proofErr w:type="spellStart"/>
      <w:r w:rsidRPr="005620DC">
        <w:rPr>
          <w:i/>
          <w:lang w:val="en-CA"/>
        </w:rPr>
        <w:t>Gladue</w:t>
      </w:r>
      <w:proofErr w:type="spellEnd"/>
      <w:r w:rsidRPr="005620DC">
        <w:rPr>
          <w:lang w:val="en-CA"/>
        </w:rPr>
        <w:t xml:space="preserve"> in 1999</w:t>
      </w:r>
      <w:r>
        <w:rPr>
          <w:rStyle w:val="Appelnotedebasdep"/>
          <w:lang w:val="en-CA"/>
        </w:rPr>
        <w:footnoteReference w:id="1"/>
      </w:r>
      <w:r w:rsidRPr="005620DC">
        <w:rPr>
          <w:lang w:val="en-CA"/>
        </w:rPr>
        <w:t xml:space="preserve"> and </w:t>
      </w:r>
      <w:proofErr w:type="spellStart"/>
      <w:r w:rsidRPr="005620DC">
        <w:rPr>
          <w:i/>
          <w:lang w:val="en-CA"/>
        </w:rPr>
        <w:t>Ipeelee</w:t>
      </w:r>
      <w:proofErr w:type="spellEnd"/>
      <w:r w:rsidRPr="005620DC">
        <w:rPr>
          <w:lang w:val="en-CA"/>
        </w:rPr>
        <w:t xml:space="preserve"> in 2012.</w:t>
      </w:r>
      <w:r>
        <w:rPr>
          <w:rStyle w:val="Appelnotedebasdep"/>
          <w:lang w:val="en-CA"/>
        </w:rPr>
        <w:footnoteReference w:id="2"/>
      </w:r>
    </w:p>
    <w:p w:rsidR="00A17E81" w:rsidRPr="005620DC" w:rsidRDefault="00132D88" w:rsidP="00A17E81">
      <w:pPr>
        <w:pStyle w:val="Titre4"/>
        <w:spacing w:after="120"/>
        <w:rPr>
          <w:lang w:val="en-CA"/>
        </w:rPr>
      </w:pPr>
      <w:r w:rsidRPr="005620DC">
        <w:rPr>
          <w:lang w:val="en-CA"/>
        </w:rPr>
        <w:t>EVIDENCE</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Ms. </w:t>
      </w:r>
      <w:proofErr w:type="spellStart"/>
      <w:r w:rsidRPr="005620DC">
        <w:rPr>
          <w:rFonts w:cs="Arial"/>
          <w:iCs/>
          <w:szCs w:val="24"/>
          <w:lang w:val="en-CA"/>
        </w:rPr>
        <w:t>Killiktee</w:t>
      </w:r>
      <w:proofErr w:type="spellEnd"/>
      <w:r w:rsidRPr="005620DC">
        <w:rPr>
          <w:rFonts w:cs="Arial"/>
          <w:iCs/>
          <w:szCs w:val="24"/>
          <w:lang w:val="en-CA"/>
        </w:rPr>
        <w:t xml:space="preserve"> testified at the sentencing hearing on November 10 and</w:t>
      </w:r>
      <w:r w:rsidR="00191D65">
        <w:rPr>
          <w:rFonts w:cs="Arial"/>
          <w:iCs/>
          <w:szCs w:val="24"/>
          <w:lang w:val="en-CA"/>
        </w:rPr>
        <w:t> </w:t>
      </w:r>
      <w:r w:rsidRPr="005620DC">
        <w:rPr>
          <w:rFonts w:cs="Arial"/>
          <w:iCs/>
          <w:szCs w:val="24"/>
          <w:lang w:val="en-CA"/>
        </w:rPr>
        <w:t xml:space="preserve">11, 2021. </w:t>
      </w:r>
      <w:r w:rsidR="003812FA">
        <w:rPr>
          <w:rFonts w:cs="Arial"/>
          <w:iCs/>
          <w:szCs w:val="24"/>
          <w:lang w:val="en-CA"/>
        </w:rPr>
        <w:t>S</w:t>
      </w:r>
      <w:r w:rsidR="003812FA" w:rsidRPr="005620DC">
        <w:rPr>
          <w:rFonts w:cs="Arial"/>
          <w:iCs/>
          <w:szCs w:val="24"/>
          <w:lang w:val="en-CA"/>
        </w:rPr>
        <w:t xml:space="preserve">he speaks English </w:t>
      </w:r>
      <w:r w:rsidR="003812FA">
        <w:rPr>
          <w:rFonts w:cs="Arial"/>
          <w:iCs/>
          <w:szCs w:val="24"/>
          <w:lang w:val="en-CA"/>
        </w:rPr>
        <w:t>e</w:t>
      </w:r>
      <w:r w:rsidRPr="005620DC">
        <w:rPr>
          <w:rFonts w:cs="Arial"/>
          <w:iCs/>
          <w:szCs w:val="24"/>
          <w:lang w:val="en-CA"/>
        </w:rPr>
        <w:t xml:space="preserve">ven though her </w:t>
      </w:r>
      <w:r w:rsidR="003812FA">
        <w:rPr>
          <w:rFonts w:cs="Arial"/>
          <w:iCs/>
          <w:szCs w:val="24"/>
          <w:lang w:val="en-CA"/>
        </w:rPr>
        <w:t>mother tongue is Inuktitut</w:t>
      </w:r>
      <w:r w:rsidRPr="005620DC">
        <w:rPr>
          <w:rFonts w:cs="Arial"/>
          <w:iCs/>
          <w:szCs w:val="24"/>
          <w:lang w:val="en-CA"/>
        </w:rPr>
        <w: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Her counsel filed a letter from the </w:t>
      </w:r>
      <w:proofErr w:type="spellStart"/>
      <w:r w:rsidRPr="005620DC">
        <w:rPr>
          <w:rFonts w:cs="Arial"/>
          <w:iCs/>
          <w:szCs w:val="24"/>
          <w:lang w:val="en-CA"/>
        </w:rPr>
        <w:t>Kapatakan</w:t>
      </w:r>
      <w:proofErr w:type="spellEnd"/>
      <w:r w:rsidRPr="005620DC">
        <w:rPr>
          <w:rFonts w:cs="Arial"/>
          <w:iCs/>
          <w:szCs w:val="24"/>
          <w:lang w:val="en-CA"/>
        </w:rPr>
        <w:t xml:space="preserve"> community residential centre</w:t>
      </w:r>
      <w:r w:rsidR="003812FA">
        <w:rPr>
          <w:rFonts w:cs="Arial"/>
          <w:iCs/>
          <w:szCs w:val="24"/>
          <w:lang w:val="en-CA"/>
        </w:rPr>
        <w:t>,</w:t>
      </w:r>
      <w:r w:rsidRPr="005620DC">
        <w:rPr>
          <w:rFonts w:cs="Arial"/>
          <w:iCs/>
          <w:szCs w:val="24"/>
          <w:lang w:val="en-CA"/>
        </w:rPr>
        <w:t xml:space="preserve"> </w:t>
      </w:r>
      <w:r w:rsidR="00581CD8">
        <w:rPr>
          <w:rFonts w:cs="Arial"/>
          <w:iCs/>
          <w:szCs w:val="24"/>
          <w:lang w:val="en-CA"/>
        </w:rPr>
        <w:t xml:space="preserve">which specializes </w:t>
      </w:r>
      <w:r w:rsidR="003812FA">
        <w:rPr>
          <w:rFonts w:cs="Arial"/>
          <w:iCs/>
          <w:szCs w:val="24"/>
          <w:lang w:val="en-CA"/>
        </w:rPr>
        <w:t>in</w:t>
      </w:r>
      <w:r w:rsidRPr="005620DC">
        <w:rPr>
          <w:rFonts w:cs="Arial"/>
          <w:iCs/>
          <w:szCs w:val="24"/>
          <w:lang w:val="en-CA"/>
        </w:rPr>
        <w:t xml:space="preserve"> therapy for Aboriginal people, stating that she is eligible for therapy following a conviction.</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The prosecution filed a list of prior convictions. </w:t>
      </w:r>
      <w:r w:rsidR="003812FA">
        <w:rPr>
          <w:rFonts w:cs="Arial"/>
          <w:iCs/>
          <w:szCs w:val="24"/>
          <w:lang w:val="en-CA"/>
        </w:rPr>
        <w:t>This</w:t>
      </w:r>
      <w:r w:rsidRPr="005620DC">
        <w:rPr>
          <w:rFonts w:cs="Arial"/>
          <w:iCs/>
          <w:szCs w:val="24"/>
          <w:lang w:val="en-CA"/>
        </w:rPr>
        <w:t xml:space="preserve"> list </w:t>
      </w:r>
      <w:proofErr w:type="gramStart"/>
      <w:r w:rsidRPr="005620DC">
        <w:rPr>
          <w:rFonts w:cs="Arial"/>
          <w:iCs/>
          <w:szCs w:val="24"/>
          <w:lang w:val="en-CA"/>
        </w:rPr>
        <w:t>is reproduced</w:t>
      </w:r>
      <w:proofErr w:type="gramEnd"/>
      <w:r w:rsidRPr="005620DC">
        <w:rPr>
          <w:rFonts w:cs="Arial"/>
          <w:iCs/>
          <w:szCs w:val="24"/>
          <w:lang w:val="en-CA"/>
        </w:rPr>
        <w:t xml:space="preserve"> in Schedule</w:t>
      </w:r>
      <w:r w:rsidR="00054169">
        <w:rPr>
          <w:rFonts w:cs="Arial"/>
          <w:iCs/>
          <w:szCs w:val="24"/>
          <w:lang w:val="en-CA"/>
        </w:rPr>
        <w:t> </w:t>
      </w:r>
      <w:r w:rsidRPr="005620DC">
        <w:rPr>
          <w:rFonts w:cs="Arial"/>
          <w:iCs/>
          <w:szCs w:val="24"/>
          <w:lang w:val="en-CA"/>
        </w:rPr>
        <w:t>1.</w:t>
      </w:r>
    </w:p>
    <w:p w:rsidR="00A17E81" w:rsidRPr="005620DC" w:rsidRDefault="00132D88" w:rsidP="00A17E81">
      <w:pPr>
        <w:pStyle w:val="Titre4"/>
        <w:rPr>
          <w:lang w:val="en-CA"/>
        </w:rPr>
      </w:pPr>
      <w:r w:rsidRPr="003812FA">
        <w:rPr>
          <w:i/>
          <w:lang w:val="en-CA"/>
        </w:rPr>
        <w:t>GLADUE</w:t>
      </w:r>
      <w:r w:rsidRPr="005620DC">
        <w:rPr>
          <w:lang w:val="en-CA"/>
        </w:rPr>
        <w:t xml:space="preserve"> REPORT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At the hearing, Ms. </w:t>
      </w:r>
      <w:proofErr w:type="spellStart"/>
      <w:r w:rsidRPr="005620DC">
        <w:rPr>
          <w:rFonts w:cs="Arial"/>
          <w:iCs/>
          <w:szCs w:val="24"/>
          <w:lang w:val="en-CA"/>
        </w:rPr>
        <w:t>Killiktee</w:t>
      </w:r>
      <w:proofErr w:type="spellEnd"/>
      <w:r w:rsidRPr="005620DC">
        <w:rPr>
          <w:rFonts w:cs="Arial"/>
          <w:iCs/>
          <w:szCs w:val="24"/>
          <w:lang w:val="en-CA"/>
        </w:rPr>
        <w:t xml:space="preserve"> formally waived a </w:t>
      </w:r>
      <w:proofErr w:type="spellStart"/>
      <w:r w:rsidRPr="005620DC">
        <w:rPr>
          <w:rFonts w:cs="Arial"/>
          <w:i/>
          <w:iCs/>
          <w:szCs w:val="24"/>
          <w:lang w:val="en-CA"/>
        </w:rPr>
        <w:t>Gladue</w:t>
      </w:r>
      <w:proofErr w:type="spellEnd"/>
      <w:r w:rsidRPr="005620DC">
        <w:rPr>
          <w:rFonts w:cs="Arial"/>
          <w:iCs/>
          <w:szCs w:val="24"/>
          <w:lang w:val="en-CA"/>
        </w:rPr>
        <w:t xml:space="preserve"> report, as is her right.</w:t>
      </w:r>
      <w:r>
        <w:rPr>
          <w:rStyle w:val="Appelnotedebasdep"/>
          <w:rFonts w:cs="Arial"/>
          <w:iCs/>
          <w:szCs w:val="24"/>
          <w:lang w:val="en-CA"/>
        </w:rPr>
        <w:footnoteReference w:id="3"/>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According to </w:t>
      </w:r>
      <w:r w:rsidR="00581CD8">
        <w:rPr>
          <w:rFonts w:cs="Arial"/>
          <w:iCs/>
          <w:szCs w:val="24"/>
          <w:lang w:val="en-CA"/>
        </w:rPr>
        <w:t>the</w:t>
      </w:r>
      <w:r w:rsidR="00581CD8" w:rsidRPr="005620DC">
        <w:rPr>
          <w:rFonts w:cs="Arial"/>
          <w:iCs/>
          <w:szCs w:val="24"/>
          <w:lang w:val="en-CA"/>
        </w:rPr>
        <w:t xml:space="preserve"> </w:t>
      </w:r>
      <w:r w:rsidRPr="005620DC">
        <w:rPr>
          <w:rFonts w:cs="Arial"/>
          <w:iCs/>
          <w:szCs w:val="24"/>
          <w:lang w:val="en-CA"/>
        </w:rPr>
        <w:t xml:space="preserve">judgment of </w:t>
      </w:r>
      <w:proofErr w:type="spellStart"/>
      <w:r w:rsidRPr="005620DC">
        <w:rPr>
          <w:rFonts w:cs="Arial"/>
          <w:iCs/>
          <w:szCs w:val="24"/>
          <w:lang w:val="en-CA"/>
        </w:rPr>
        <w:t>Ratushny</w:t>
      </w:r>
      <w:proofErr w:type="spellEnd"/>
      <w:r w:rsidRPr="005620DC">
        <w:rPr>
          <w:rFonts w:cs="Arial"/>
          <w:iCs/>
          <w:szCs w:val="24"/>
          <w:lang w:val="en-CA"/>
        </w:rPr>
        <w:t xml:space="preserve"> J. of Ontario</w:t>
      </w:r>
      <w:r w:rsidR="00581CD8">
        <w:rPr>
          <w:rFonts w:cs="Arial"/>
          <w:iCs/>
          <w:szCs w:val="24"/>
          <w:lang w:val="en-CA"/>
        </w:rPr>
        <w:t xml:space="preserve">’s Superior Court of Justice </w:t>
      </w:r>
      <w:r w:rsidR="00581CD8" w:rsidRPr="005620DC">
        <w:rPr>
          <w:rFonts w:cs="Arial"/>
          <w:iCs/>
          <w:szCs w:val="24"/>
          <w:lang w:val="en-CA"/>
        </w:rPr>
        <w:t>o</w:t>
      </w:r>
      <w:r w:rsidR="00581CD8">
        <w:rPr>
          <w:rFonts w:cs="Arial"/>
          <w:iCs/>
          <w:szCs w:val="24"/>
          <w:lang w:val="en-CA"/>
        </w:rPr>
        <w:t>n</w:t>
      </w:r>
      <w:r w:rsidR="00581CD8" w:rsidRPr="005620DC">
        <w:rPr>
          <w:rFonts w:cs="Arial"/>
          <w:iCs/>
          <w:szCs w:val="24"/>
          <w:lang w:val="en-CA"/>
        </w:rPr>
        <w:t xml:space="preserve"> </w:t>
      </w:r>
      <w:r w:rsidRPr="005620DC">
        <w:rPr>
          <w:rFonts w:cs="Arial"/>
          <w:iCs/>
          <w:szCs w:val="24"/>
          <w:lang w:val="en-CA"/>
        </w:rPr>
        <w:t>October 20,</w:t>
      </w:r>
      <w:r w:rsidR="00191D65">
        <w:rPr>
          <w:rFonts w:cs="Arial"/>
          <w:iCs/>
          <w:szCs w:val="24"/>
          <w:lang w:val="en-CA"/>
        </w:rPr>
        <w:t> </w:t>
      </w:r>
      <w:r w:rsidRPr="005620DC">
        <w:rPr>
          <w:rFonts w:cs="Arial"/>
          <w:iCs/>
          <w:szCs w:val="24"/>
          <w:lang w:val="en-CA"/>
        </w:rPr>
        <w:t>2011,</w:t>
      </w:r>
      <w:r>
        <w:rPr>
          <w:rStyle w:val="Appelnotedebasdep"/>
          <w:rFonts w:cs="Arial"/>
          <w:iCs/>
          <w:szCs w:val="24"/>
          <w:lang w:val="en-CA"/>
        </w:rPr>
        <w:footnoteReference w:id="4"/>
      </w:r>
      <w:r w:rsidRPr="005620DC">
        <w:rPr>
          <w:rFonts w:cs="Arial"/>
          <w:iCs/>
          <w:szCs w:val="24"/>
          <w:lang w:val="en-CA"/>
        </w:rPr>
        <w:t xml:space="preserve"> </w:t>
      </w:r>
      <w:r w:rsidR="003812FA" w:rsidRPr="005620DC">
        <w:rPr>
          <w:rFonts w:cs="Arial"/>
          <w:iCs/>
          <w:szCs w:val="24"/>
          <w:lang w:val="en-CA"/>
        </w:rPr>
        <w:t xml:space="preserve">a </w:t>
      </w:r>
      <w:proofErr w:type="spellStart"/>
      <w:r w:rsidR="003812FA" w:rsidRPr="005620DC">
        <w:rPr>
          <w:rFonts w:cs="Arial"/>
          <w:i/>
          <w:iCs/>
          <w:szCs w:val="24"/>
          <w:lang w:val="en-CA"/>
        </w:rPr>
        <w:t>Gladue</w:t>
      </w:r>
      <w:proofErr w:type="spellEnd"/>
      <w:r w:rsidR="003812FA" w:rsidRPr="005620DC">
        <w:rPr>
          <w:rFonts w:cs="Arial"/>
          <w:i/>
          <w:iCs/>
          <w:szCs w:val="24"/>
          <w:lang w:val="en-CA"/>
        </w:rPr>
        <w:t xml:space="preserve"> </w:t>
      </w:r>
      <w:r w:rsidR="003812FA" w:rsidRPr="005620DC">
        <w:rPr>
          <w:rFonts w:cs="Arial"/>
          <w:iCs/>
          <w:szCs w:val="24"/>
          <w:lang w:val="en-CA"/>
        </w:rPr>
        <w:t xml:space="preserve">report (or pre-sentence report for Aboriginal offenders) was prepared </w:t>
      </w:r>
      <w:r w:rsidRPr="005620DC">
        <w:rPr>
          <w:rFonts w:cs="Arial"/>
          <w:iCs/>
          <w:szCs w:val="24"/>
          <w:lang w:val="en-CA"/>
        </w:rPr>
        <w:t xml:space="preserve">concerning a sentence imposed on Ms. </w:t>
      </w:r>
      <w:proofErr w:type="spellStart"/>
      <w:r w:rsidRPr="005620DC">
        <w:rPr>
          <w:rFonts w:cs="Arial"/>
          <w:iCs/>
          <w:szCs w:val="24"/>
          <w:lang w:val="en-CA"/>
        </w:rPr>
        <w:t>Killiktee</w:t>
      </w:r>
      <w:proofErr w:type="spellEnd"/>
      <w:r w:rsidRPr="005620DC">
        <w:rPr>
          <w:rFonts w:cs="Arial"/>
          <w:iCs/>
          <w:szCs w:val="24"/>
          <w:lang w:val="en-CA"/>
        </w:rPr>
        <w:t xml:space="preserve">. Despite a joint effort by the Court and counsel, this report </w:t>
      </w:r>
      <w:proofErr w:type="gramStart"/>
      <w:r w:rsidRPr="005620DC">
        <w:rPr>
          <w:rFonts w:cs="Arial"/>
          <w:iCs/>
          <w:szCs w:val="24"/>
          <w:lang w:val="en-CA"/>
        </w:rPr>
        <w:t>could not be found</w:t>
      </w:r>
      <w:proofErr w:type="gramEnd"/>
      <w:r w:rsidRPr="005620DC">
        <w:rPr>
          <w:rFonts w:cs="Arial"/>
          <w:iCs/>
          <w:szCs w:val="24"/>
          <w:lang w:val="en-CA"/>
        </w:rPr>
        <w:t xml:space="preserve">.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lastRenderedPageBreak/>
        <w:t xml:space="preserve">Following a </w:t>
      </w:r>
      <w:r w:rsidR="003812FA">
        <w:rPr>
          <w:rFonts w:cs="Arial"/>
          <w:iCs/>
          <w:szCs w:val="24"/>
          <w:lang w:val="en-CA"/>
        </w:rPr>
        <w:t>search</w:t>
      </w:r>
      <w:r w:rsidRPr="005620DC">
        <w:rPr>
          <w:rFonts w:cs="Arial"/>
          <w:iCs/>
          <w:szCs w:val="24"/>
          <w:lang w:val="en-CA"/>
        </w:rPr>
        <w:t xml:space="preserve"> of the case law by the Court, counsel consented to filing four earlier Ontario judgments concerning Ms. </w:t>
      </w:r>
      <w:proofErr w:type="spellStart"/>
      <w:r w:rsidRPr="005620DC">
        <w:rPr>
          <w:rFonts w:cs="Arial"/>
          <w:iCs/>
          <w:szCs w:val="24"/>
          <w:lang w:val="en-CA"/>
        </w:rPr>
        <w:t>Killiktee</w:t>
      </w:r>
      <w:proofErr w:type="spellEnd"/>
      <w:r w:rsidRPr="005620DC">
        <w:rPr>
          <w:rFonts w:cs="Arial"/>
          <w:iCs/>
          <w:szCs w:val="24"/>
          <w:lang w:val="en-CA"/>
        </w:rPr>
        <w:t>.</w:t>
      </w:r>
      <w:r>
        <w:rPr>
          <w:rStyle w:val="Appelnotedebasdep"/>
          <w:rFonts w:cs="Arial"/>
          <w:iCs/>
          <w:szCs w:val="24"/>
          <w:lang w:val="en-CA"/>
        </w:rPr>
        <w:footnoteReference w:id="5"/>
      </w:r>
      <w:r w:rsidRPr="005620DC">
        <w:rPr>
          <w:rFonts w:cs="Arial"/>
          <w:iCs/>
          <w:szCs w:val="24"/>
          <w:lang w:val="en-CA"/>
        </w:rPr>
        <w:t xml:space="preserve"> Two judgments describe the main elements of the report.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Ms. </w:t>
      </w:r>
      <w:proofErr w:type="spellStart"/>
      <w:r w:rsidRPr="005620DC">
        <w:rPr>
          <w:rFonts w:cs="Arial"/>
          <w:iCs/>
          <w:szCs w:val="24"/>
          <w:lang w:val="en-CA"/>
        </w:rPr>
        <w:t>Killiktee</w:t>
      </w:r>
      <w:proofErr w:type="spellEnd"/>
      <w:r w:rsidRPr="005620DC">
        <w:rPr>
          <w:rFonts w:cs="Arial"/>
          <w:iCs/>
          <w:szCs w:val="24"/>
          <w:lang w:val="en-CA"/>
        </w:rPr>
        <w:t xml:space="preserve"> recounted her life story</w:t>
      </w:r>
      <w:r w:rsidR="003812FA">
        <w:rPr>
          <w:rFonts w:cs="Arial"/>
          <w:iCs/>
          <w:szCs w:val="24"/>
          <w:lang w:val="en-CA"/>
        </w:rPr>
        <w:t xml:space="preserve"> when she testified</w:t>
      </w:r>
      <w:r w:rsidRPr="005620DC">
        <w:rPr>
          <w:rFonts w:cs="Arial"/>
          <w:iCs/>
          <w:szCs w:val="24"/>
          <w:lang w:val="en-CA"/>
        </w:rPr>
        <w:t>.</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 xml:space="preserve">Added to this are </w:t>
      </w:r>
      <w:r w:rsidR="00A218E2">
        <w:rPr>
          <w:rFonts w:cs="Arial"/>
          <w:iCs/>
          <w:szCs w:val="24"/>
          <w:lang w:val="en-CA"/>
        </w:rPr>
        <w:t xml:space="preserve">the </w:t>
      </w:r>
      <w:r w:rsidRPr="005620DC">
        <w:rPr>
          <w:rFonts w:cs="Arial"/>
          <w:iCs/>
          <w:szCs w:val="24"/>
          <w:lang w:val="en-CA"/>
        </w:rPr>
        <w:t xml:space="preserve">observations of counsel and </w:t>
      </w:r>
      <w:r>
        <w:rPr>
          <w:rFonts w:cs="Arial"/>
          <w:iCs/>
          <w:szCs w:val="24"/>
          <w:lang w:val="en-CA"/>
        </w:rPr>
        <w:t>judicial notice by the Court</w:t>
      </w:r>
      <w:r w:rsidRPr="005620DC">
        <w:rPr>
          <w:rFonts w:cs="Arial"/>
          <w:iCs/>
          <w:szCs w:val="24"/>
          <w:lang w:val="en-CA"/>
        </w:rPr>
        <w:t xml:space="preserve"> of the broad systemic and background factors affecting Aboriginal people.</w:t>
      </w:r>
      <w:r>
        <w:rPr>
          <w:rStyle w:val="Appelnotedebasdep"/>
          <w:rFonts w:cs="Arial"/>
          <w:iCs/>
          <w:szCs w:val="24"/>
          <w:lang w:val="en-CA"/>
        </w:rPr>
        <w:footnoteReference w:id="6"/>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The</w:t>
      </w:r>
      <w:r w:rsidR="003812FA" w:rsidRPr="005620DC">
        <w:rPr>
          <w:rFonts w:cs="Arial"/>
          <w:iCs/>
          <w:szCs w:val="24"/>
          <w:lang w:val="en-CA"/>
        </w:rPr>
        <w:t xml:space="preserve"> </w:t>
      </w:r>
      <w:proofErr w:type="spellStart"/>
      <w:r w:rsidR="003812FA" w:rsidRPr="005620DC">
        <w:rPr>
          <w:rFonts w:cs="Arial"/>
          <w:i/>
          <w:iCs/>
          <w:szCs w:val="24"/>
          <w:lang w:val="en-CA"/>
        </w:rPr>
        <w:t>Gladue</w:t>
      </w:r>
      <w:proofErr w:type="spellEnd"/>
      <w:r w:rsidR="003812FA" w:rsidRPr="005620DC">
        <w:rPr>
          <w:rFonts w:cs="Arial"/>
          <w:iCs/>
          <w:szCs w:val="24"/>
          <w:lang w:val="en-CA"/>
        </w:rPr>
        <w:t xml:space="preserve"> factors </w:t>
      </w:r>
      <w:proofErr w:type="gramStart"/>
      <w:r w:rsidR="003812FA" w:rsidRPr="005620DC">
        <w:rPr>
          <w:rFonts w:cs="Arial"/>
          <w:iCs/>
          <w:szCs w:val="24"/>
          <w:lang w:val="en-CA"/>
        </w:rPr>
        <w:t xml:space="preserve">are </w:t>
      </w:r>
      <w:r w:rsidR="003812FA">
        <w:rPr>
          <w:rFonts w:cs="Arial"/>
          <w:iCs/>
          <w:szCs w:val="24"/>
          <w:lang w:val="en-CA"/>
        </w:rPr>
        <w:t xml:space="preserve">therefore </w:t>
      </w:r>
      <w:r w:rsidR="003812FA" w:rsidRPr="005620DC">
        <w:rPr>
          <w:rFonts w:cs="Arial"/>
          <w:iCs/>
          <w:szCs w:val="24"/>
          <w:lang w:val="en-CA"/>
        </w:rPr>
        <w:t>considered</w:t>
      </w:r>
      <w:proofErr w:type="gramEnd"/>
      <w:r w:rsidR="003812FA">
        <w:rPr>
          <w:rFonts w:cs="Arial"/>
          <w:iCs/>
          <w:szCs w:val="24"/>
          <w:lang w:val="en-CA"/>
        </w:rPr>
        <w:t>, even though there is no report</w:t>
      </w:r>
      <w:r w:rsidRPr="005620DC">
        <w:rPr>
          <w:rFonts w:cs="Arial"/>
          <w:iCs/>
          <w:szCs w:val="24"/>
          <w:lang w:val="en-CA"/>
        </w:rPr>
        <w:t>.</w:t>
      </w:r>
    </w:p>
    <w:p w:rsidR="00A17E81" w:rsidRPr="005620DC" w:rsidRDefault="00132D88" w:rsidP="00A17E81">
      <w:pPr>
        <w:pStyle w:val="Titre4"/>
        <w:rPr>
          <w:lang w:val="en-CA"/>
        </w:rPr>
      </w:pPr>
      <w:r w:rsidRPr="005620DC">
        <w:rPr>
          <w:lang w:val="en-CA"/>
        </w:rPr>
        <w:t>NUNAVUT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It is useful to paint an overall </w:t>
      </w:r>
      <w:r w:rsidR="003812FA">
        <w:rPr>
          <w:rFonts w:cs="Arial"/>
          <w:iCs/>
          <w:szCs w:val="24"/>
          <w:lang w:val="en-CA"/>
        </w:rPr>
        <w:t>portrait</w:t>
      </w:r>
      <w:r w:rsidRPr="005620DC">
        <w:rPr>
          <w:rFonts w:cs="Arial"/>
          <w:iCs/>
          <w:szCs w:val="24"/>
          <w:lang w:val="en-CA"/>
        </w:rPr>
        <w:t xml:space="preserve"> of Nunavut, where Ms. </w:t>
      </w:r>
      <w:proofErr w:type="spellStart"/>
      <w:r w:rsidRPr="005620DC">
        <w:rPr>
          <w:rFonts w:cs="Arial"/>
          <w:iCs/>
          <w:szCs w:val="24"/>
          <w:lang w:val="en-CA"/>
        </w:rPr>
        <w:t>Killiktee</w:t>
      </w:r>
      <w:proofErr w:type="spellEnd"/>
      <w:r w:rsidRPr="005620DC">
        <w:rPr>
          <w:rFonts w:cs="Arial"/>
          <w:iCs/>
          <w:szCs w:val="24"/>
          <w:lang w:val="en-CA"/>
        </w:rPr>
        <w:t xml:space="preserve"> </w:t>
      </w:r>
      <w:r w:rsidR="00D31730">
        <w:rPr>
          <w:rFonts w:cs="Arial"/>
          <w:iCs/>
          <w:szCs w:val="24"/>
          <w:lang w:val="en-CA"/>
        </w:rPr>
        <w:t>is</w:t>
      </w:r>
      <w:r w:rsidR="00D31730" w:rsidRPr="005620DC">
        <w:rPr>
          <w:rFonts w:cs="Arial"/>
          <w:iCs/>
          <w:szCs w:val="24"/>
          <w:lang w:val="en-CA"/>
        </w:rPr>
        <w:t xml:space="preserve"> </w:t>
      </w:r>
      <w:r w:rsidRPr="005620DC">
        <w:rPr>
          <w:rFonts w:cs="Arial"/>
          <w:iCs/>
          <w:szCs w:val="24"/>
          <w:lang w:val="en-CA"/>
        </w:rPr>
        <w:t xml:space="preserve">from. The Court acknowledges that this summary does not describe every </w:t>
      </w:r>
      <w:r w:rsidR="003812FA">
        <w:rPr>
          <w:rFonts w:cs="Arial"/>
          <w:iCs/>
          <w:szCs w:val="24"/>
          <w:lang w:val="en-CA"/>
        </w:rPr>
        <w:t xml:space="preserve">characteristic </w:t>
      </w:r>
      <w:r w:rsidRPr="005620DC">
        <w:rPr>
          <w:rFonts w:cs="Arial"/>
          <w:iCs/>
          <w:szCs w:val="24"/>
          <w:lang w:val="en-CA"/>
        </w:rPr>
        <w:t xml:space="preserve">of this territory or its population. Only the essential elements </w:t>
      </w:r>
      <w:proofErr w:type="gramStart"/>
      <w:r w:rsidRPr="005620DC">
        <w:rPr>
          <w:rFonts w:cs="Arial"/>
          <w:iCs/>
          <w:szCs w:val="24"/>
          <w:lang w:val="en-CA"/>
        </w:rPr>
        <w:t>are described</w:t>
      </w:r>
      <w:proofErr w:type="gramEnd"/>
      <w:r w:rsidRPr="005620DC">
        <w:rPr>
          <w:rFonts w:cs="Arial"/>
          <w:iCs/>
          <w:szCs w:val="24"/>
          <w:lang w:val="en-CA"/>
        </w:rPr>
        <w:t xml:space="preserve"> for the purposes of sentencing.</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Nunavut (O</w:t>
      </w:r>
      <w:r w:rsidRPr="005620DC">
        <w:rPr>
          <w:rFonts w:cs="Arial"/>
          <w:iCs/>
          <w:szCs w:val="24"/>
          <w:lang w:val="en-CA"/>
        </w:rPr>
        <w:t xml:space="preserve">ur </w:t>
      </w:r>
      <w:r>
        <w:rPr>
          <w:rFonts w:cs="Arial"/>
          <w:iCs/>
          <w:szCs w:val="24"/>
          <w:lang w:val="en-CA"/>
        </w:rPr>
        <w:t>L</w:t>
      </w:r>
      <w:r w:rsidRPr="005620DC">
        <w:rPr>
          <w:rFonts w:cs="Arial"/>
          <w:iCs/>
          <w:szCs w:val="24"/>
          <w:lang w:val="en-CA"/>
        </w:rPr>
        <w:t xml:space="preserve">and in Inuktitut) is an immense territory that encompasses </w:t>
      </w:r>
      <w:r>
        <w:rPr>
          <w:rFonts w:cs="Arial"/>
          <w:iCs/>
          <w:szCs w:val="24"/>
          <w:lang w:val="en-CA"/>
        </w:rPr>
        <w:t xml:space="preserve">primarily </w:t>
      </w:r>
      <w:r w:rsidRPr="005620DC">
        <w:rPr>
          <w:rFonts w:cs="Arial"/>
          <w:iCs/>
          <w:szCs w:val="24"/>
          <w:lang w:val="en-CA"/>
        </w:rPr>
        <w:t xml:space="preserve">the islands of the Canadian Arctic with approximately 36,000 inhabitants (85% Inuit) spread </w:t>
      </w:r>
      <w:r>
        <w:rPr>
          <w:rFonts w:cs="Arial"/>
          <w:iCs/>
          <w:szCs w:val="24"/>
          <w:lang w:val="en-CA"/>
        </w:rPr>
        <w:t xml:space="preserve">across </w:t>
      </w:r>
      <w:r w:rsidRPr="005620DC">
        <w:rPr>
          <w:rFonts w:cs="Arial"/>
          <w:iCs/>
          <w:szCs w:val="24"/>
          <w:lang w:val="en-CA"/>
        </w:rPr>
        <w:t xml:space="preserve">several communities, including the capital Iqaluit (place </w:t>
      </w:r>
      <w:r w:rsidR="00054169">
        <w:rPr>
          <w:rFonts w:cs="Arial"/>
          <w:iCs/>
          <w:szCs w:val="24"/>
          <w:lang w:val="en-CA"/>
        </w:rPr>
        <w:t xml:space="preserve">of </w:t>
      </w:r>
      <w:r w:rsidR="00A218E2">
        <w:rPr>
          <w:rFonts w:cs="Arial"/>
          <w:iCs/>
          <w:szCs w:val="24"/>
          <w:lang w:val="en-CA"/>
        </w:rPr>
        <w:t xml:space="preserve">many </w:t>
      </w:r>
      <w:r w:rsidRPr="005620DC">
        <w:rPr>
          <w:rFonts w:cs="Arial"/>
          <w:iCs/>
          <w:szCs w:val="24"/>
          <w:lang w:val="en-CA"/>
        </w:rPr>
        <w:t xml:space="preserve">fish). The territory </w:t>
      </w:r>
      <w:proofErr w:type="gramStart"/>
      <w:r w:rsidRPr="005620DC">
        <w:rPr>
          <w:rFonts w:cs="Arial"/>
          <w:iCs/>
          <w:szCs w:val="24"/>
          <w:lang w:val="en-CA"/>
        </w:rPr>
        <w:t>has been occupied</w:t>
      </w:r>
      <w:proofErr w:type="gramEnd"/>
      <w:r w:rsidRPr="005620DC">
        <w:rPr>
          <w:rFonts w:cs="Arial"/>
          <w:iCs/>
          <w:szCs w:val="24"/>
          <w:lang w:val="en-CA"/>
        </w:rPr>
        <w:t xml:space="preserve"> for several thousand</w:t>
      </w:r>
      <w:r>
        <w:rPr>
          <w:rFonts w:cs="Arial"/>
          <w:iCs/>
          <w:szCs w:val="24"/>
          <w:lang w:val="en-CA"/>
        </w:rPr>
        <w:t>s</w:t>
      </w:r>
      <w:r w:rsidRPr="005620DC">
        <w:rPr>
          <w:rFonts w:cs="Arial"/>
          <w:iCs/>
          <w:szCs w:val="24"/>
          <w:lang w:val="en-CA"/>
        </w:rPr>
        <w:t xml:space="preserve"> </w:t>
      </w:r>
      <w:r>
        <w:rPr>
          <w:rFonts w:cs="Arial"/>
          <w:iCs/>
          <w:szCs w:val="24"/>
          <w:lang w:val="en-CA"/>
        </w:rPr>
        <w:t>of years and the population had</w:t>
      </w:r>
      <w:r w:rsidRPr="005620DC">
        <w:rPr>
          <w:rFonts w:cs="Arial"/>
          <w:iCs/>
          <w:szCs w:val="24"/>
          <w:lang w:val="en-CA"/>
        </w:rPr>
        <w:t xml:space="preserve"> a nomadic lifestyle adapted to the environmental conditions. </w:t>
      </w:r>
      <w:r>
        <w:rPr>
          <w:rFonts w:cs="Arial"/>
          <w:iCs/>
          <w:szCs w:val="24"/>
          <w:lang w:val="en-CA"/>
        </w:rPr>
        <w:t xml:space="preserve">The first European forays were </w:t>
      </w:r>
      <w:r w:rsidRPr="005620DC">
        <w:rPr>
          <w:rFonts w:cs="Arial"/>
          <w:iCs/>
          <w:szCs w:val="24"/>
          <w:lang w:val="en-CA"/>
        </w:rPr>
        <w:t>in the 16th century. It was a cultur</w:t>
      </w:r>
      <w:r>
        <w:rPr>
          <w:rFonts w:cs="Arial"/>
          <w:iCs/>
          <w:szCs w:val="24"/>
          <w:lang w:val="en-CA"/>
        </w:rPr>
        <w:t>e</w:t>
      </w:r>
      <w:r w:rsidRPr="005620DC">
        <w:rPr>
          <w:rFonts w:cs="Arial"/>
          <w:iCs/>
          <w:szCs w:val="24"/>
          <w:lang w:val="en-CA"/>
        </w:rPr>
        <w:t xml:space="preserve"> shock, later ex</w:t>
      </w:r>
      <w:r w:rsidR="00793386" w:rsidRPr="005620DC">
        <w:rPr>
          <w:rFonts w:cs="Arial"/>
          <w:iCs/>
          <w:szCs w:val="24"/>
          <w:lang w:val="en-CA"/>
        </w:rPr>
        <w:t>a</w:t>
      </w:r>
      <w:r w:rsidRPr="005620DC">
        <w:rPr>
          <w:rFonts w:cs="Arial"/>
          <w:iCs/>
          <w:szCs w:val="24"/>
          <w:lang w:val="en-CA"/>
        </w:rPr>
        <w:t>cerbated by federal assimilation policies.</w:t>
      </w:r>
      <w:r>
        <w:rPr>
          <w:rFonts w:cs="Arial"/>
          <w:iCs/>
          <w:szCs w:val="24"/>
          <w:lang w:val="en-CA"/>
        </w:rPr>
        <w:t xml:space="preserve"> </w:t>
      </w:r>
      <w:r w:rsidRPr="005620DC">
        <w:rPr>
          <w:rFonts w:cs="Arial"/>
          <w:iCs/>
          <w:szCs w:val="24"/>
          <w:lang w:val="en-CA"/>
        </w:rPr>
        <w:t xml:space="preserve">Nunavut </w:t>
      </w:r>
      <w:proofErr w:type="gramStart"/>
      <w:r w:rsidRPr="005620DC">
        <w:rPr>
          <w:rFonts w:cs="Arial"/>
          <w:iCs/>
          <w:szCs w:val="24"/>
          <w:lang w:val="en-CA"/>
        </w:rPr>
        <w:t>was formally created</w:t>
      </w:r>
      <w:proofErr w:type="gramEnd"/>
      <w:r w:rsidRPr="005620DC">
        <w:rPr>
          <w:rFonts w:cs="Arial"/>
          <w:iCs/>
          <w:szCs w:val="24"/>
          <w:lang w:val="en-CA"/>
        </w:rPr>
        <w:t xml:space="preserve"> as a territory</w:t>
      </w:r>
      <w:r w:rsidRPr="003812FA">
        <w:rPr>
          <w:rFonts w:cs="Arial"/>
          <w:iCs/>
          <w:szCs w:val="24"/>
          <w:lang w:val="en-CA"/>
        </w:rPr>
        <w:t xml:space="preserve"> </w:t>
      </w:r>
      <w:r>
        <w:rPr>
          <w:rFonts w:cs="Arial"/>
          <w:iCs/>
          <w:szCs w:val="24"/>
          <w:lang w:val="en-CA"/>
        </w:rPr>
        <w:t>i</w:t>
      </w:r>
      <w:r w:rsidRPr="005620DC">
        <w:rPr>
          <w:rFonts w:cs="Arial"/>
          <w:iCs/>
          <w:szCs w:val="24"/>
          <w:lang w:val="en-CA"/>
        </w:rPr>
        <w:t>n 1993</w:t>
      </w:r>
      <w:r w:rsidRPr="003812FA">
        <w:rPr>
          <w:rFonts w:cs="Arial"/>
          <w:iCs/>
          <w:szCs w:val="24"/>
          <w:lang w:val="en-CA"/>
        </w:rPr>
        <w:t xml:space="preserve"> </w:t>
      </w:r>
      <w:r w:rsidRPr="005620DC">
        <w:rPr>
          <w:rFonts w:cs="Arial"/>
          <w:iCs/>
          <w:szCs w:val="24"/>
          <w:lang w:val="en-CA"/>
        </w:rPr>
        <w:t>following a federal/territorial agreement.</w:t>
      </w:r>
      <w:r>
        <w:rPr>
          <w:rStyle w:val="Appelnotedebasdep"/>
          <w:rFonts w:cs="Arial"/>
          <w:iCs/>
          <w:szCs w:val="24"/>
          <w:lang w:val="en-CA"/>
        </w:rPr>
        <w:footnoteReference w:id="7"/>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The </w:t>
      </w:r>
      <w:r w:rsidR="003812FA">
        <w:rPr>
          <w:rFonts w:cs="Arial"/>
          <w:iCs/>
          <w:szCs w:val="24"/>
          <w:lang w:val="en-CA"/>
        </w:rPr>
        <w:t xml:space="preserve">population still feels the </w:t>
      </w:r>
      <w:r w:rsidRPr="005620DC">
        <w:rPr>
          <w:rFonts w:cs="Arial"/>
          <w:iCs/>
          <w:szCs w:val="24"/>
          <w:lang w:val="en-CA"/>
        </w:rPr>
        <w:t>impact</w:t>
      </w:r>
      <w:r w:rsidR="003812FA">
        <w:rPr>
          <w:rFonts w:cs="Arial"/>
          <w:iCs/>
          <w:szCs w:val="24"/>
          <w:lang w:val="en-CA"/>
        </w:rPr>
        <w:t>s</w:t>
      </w:r>
      <w:r w:rsidRPr="005620DC">
        <w:rPr>
          <w:rFonts w:cs="Arial"/>
          <w:iCs/>
          <w:szCs w:val="24"/>
          <w:lang w:val="en-CA"/>
        </w:rPr>
        <w:t xml:space="preserve"> of colonialism. In </w:t>
      </w:r>
      <w:r w:rsidR="003812FA">
        <w:rPr>
          <w:rFonts w:cs="Arial"/>
          <w:iCs/>
          <w:szCs w:val="24"/>
          <w:lang w:val="en-CA"/>
        </w:rPr>
        <w:t>the</w:t>
      </w:r>
      <w:r w:rsidRPr="005620DC">
        <w:rPr>
          <w:rFonts w:cs="Arial"/>
          <w:iCs/>
          <w:szCs w:val="24"/>
          <w:lang w:val="en-CA"/>
        </w:rPr>
        <w:t xml:space="preserve"> judgment rendered on October 20,</w:t>
      </w:r>
      <w:r w:rsidR="00191D65">
        <w:rPr>
          <w:rFonts w:cs="Arial"/>
          <w:iCs/>
          <w:szCs w:val="24"/>
          <w:lang w:val="en-CA"/>
        </w:rPr>
        <w:t> </w:t>
      </w:r>
      <w:r w:rsidRPr="005620DC">
        <w:rPr>
          <w:rFonts w:cs="Arial"/>
          <w:iCs/>
          <w:szCs w:val="24"/>
          <w:lang w:val="en-CA"/>
        </w:rPr>
        <w:t xml:space="preserve">2011, </w:t>
      </w:r>
      <w:proofErr w:type="spellStart"/>
      <w:r w:rsidRPr="005620DC">
        <w:rPr>
          <w:rFonts w:cs="Arial"/>
          <w:iCs/>
          <w:szCs w:val="24"/>
          <w:lang w:val="en-CA"/>
        </w:rPr>
        <w:t>Ratushny</w:t>
      </w:r>
      <w:proofErr w:type="spellEnd"/>
      <w:r w:rsidRPr="005620DC">
        <w:rPr>
          <w:rFonts w:cs="Arial"/>
          <w:iCs/>
          <w:szCs w:val="24"/>
          <w:lang w:val="en-CA"/>
        </w:rPr>
        <w:t xml:space="preserve"> J. cite</w:t>
      </w:r>
      <w:r w:rsidR="003812FA">
        <w:rPr>
          <w:rFonts w:cs="Arial"/>
          <w:iCs/>
          <w:szCs w:val="24"/>
          <w:lang w:val="en-CA"/>
        </w:rPr>
        <w:t>s</w:t>
      </w:r>
      <w:r w:rsidRPr="005620DC">
        <w:rPr>
          <w:rFonts w:cs="Arial"/>
          <w:iCs/>
          <w:szCs w:val="24"/>
          <w:lang w:val="en-CA"/>
        </w:rPr>
        <w:t xml:space="preserve"> the following excerpt from the report:</w:t>
      </w:r>
      <w:r>
        <w:rPr>
          <w:rStyle w:val="Appelnotedebasdep"/>
          <w:rFonts w:cs="Arial"/>
          <w:iCs/>
          <w:szCs w:val="24"/>
          <w:lang w:val="en-CA"/>
        </w:rPr>
        <w:footnoteReference w:id="8"/>
      </w:r>
    </w:p>
    <w:p w:rsidR="00A17E81" w:rsidRPr="005620DC" w:rsidRDefault="00132D88" w:rsidP="00A17E81">
      <w:pPr>
        <w:pStyle w:val="Citation"/>
        <w:jc w:val="both"/>
        <w:rPr>
          <w:i w:val="0"/>
          <w:color w:val="000000" w:themeColor="text1"/>
          <w:sz w:val="22"/>
          <w:szCs w:val="22"/>
          <w:lang w:val="en-CA"/>
        </w:rPr>
      </w:pPr>
      <w:proofErr w:type="gramStart"/>
      <w:r w:rsidRPr="005620DC">
        <w:rPr>
          <w:i w:val="0"/>
          <w:color w:val="000000" w:themeColor="text1"/>
          <w:sz w:val="22"/>
          <w:szCs w:val="22"/>
          <w:lang w:val="en-CA"/>
        </w:rPr>
        <w:t xml:space="preserve">Forced relocation of families/traditional settlements, widespread killings of </w:t>
      </w:r>
      <w:proofErr w:type="spellStart"/>
      <w:r w:rsidRPr="005620DC">
        <w:rPr>
          <w:i w:val="0"/>
          <w:color w:val="000000" w:themeColor="text1"/>
          <w:sz w:val="22"/>
          <w:szCs w:val="22"/>
          <w:lang w:val="en-CA"/>
        </w:rPr>
        <w:t>Qimmit</w:t>
      </w:r>
      <w:proofErr w:type="spellEnd"/>
      <w:r w:rsidRPr="005620DC">
        <w:rPr>
          <w:i w:val="0"/>
          <w:color w:val="000000" w:themeColor="text1"/>
          <w:sz w:val="22"/>
          <w:szCs w:val="22"/>
          <w:lang w:val="en-CA"/>
        </w:rPr>
        <w:t xml:space="preserve"> (sled dogs) and mandatory residential school involvement are just a few of the “colonizing processes” that have been recognized as having far reaching negative consequences for a traditionally nomadic hunting culture that, in the passing of only a few generations, was rapidly transformed into a relatively static populace lost of both self-reliance and cultural identity.</w:t>
      </w:r>
      <w:proofErr w:type="gramEnd"/>
      <w:r w:rsidRPr="005620DC">
        <w:rPr>
          <w:i w:val="0"/>
          <w:color w:val="000000" w:themeColor="text1"/>
          <w:sz w:val="22"/>
          <w:szCs w:val="22"/>
          <w:lang w:val="en-CA"/>
        </w:rPr>
        <w:t xml:space="preserve"> </w:t>
      </w:r>
      <w:proofErr w:type="gramStart"/>
      <w:r w:rsidRPr="005620DC">
        <w:rPr>
          <w:i w:val="0"/>
          <w:color w:val="000000" w:themeColor="text1"/>
          <w:sz w:val="22"/>
          <w:szCs w:val="22"/>
          <w:lang w:val="en-CA"/>
        </w:rPr>
        <w:t>Trans-generational issues of exceptionally high levels of poverty, unemployment, violent crime, and substance abuse, appalling suicide rates, insufficient/over-crowded housing, limited public infrastructure, drastically high prices for basic good and services, and elevated patterns of individual, familial, and educational marginalization; including those patterns resulting from residential school experiences that not only have affected past participants but have also had negative residual effects on subsequent generations of Inuit.</w:t>
      </w:r>
      <w:proofErr w:type="gramEnd"/>
      <w:r w:rsidRPr="005620DC">
        <w:rPr>
          <w:i w:val="0"/>
          <w:color w:val="000000" w:themeColor="text1"/>
          <w:sz w:val="22"/>
          <w:szCs w:val="22"/>
          <w:lang w:val="en-CA"/>
        </w:rPr>
        <w:t xml:space="preserve"> Many of these </w:t>
      </w:r>
      <w:r w:rsidRPr="005620DC">
        <w:rPr>
          <w:i w:val="0"/>
          <w:color w:val="000000" w:themeColor="text1"/>
          <w:sz w:val="22"/>
          <w:szCs w:val="22"/>
          <w:lang w:val="en-CA"/>
        </w:rPr>
        <w:lastRenderedPageBreak/>
        <w:t xml:space="preserve">concerns continue to be pervasive amongst not only northern Inuit but also those who have traveled south to seek other opportunities.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This description is completed by that of the Honourable Paul </w:t>
      </w:r>
      <w:proofErr w:type="spellStart"/>
      <w:r w:rsidRPr="005620DC">
        <w:rPr>
          <w:rFonts w:cs="Arial"/>
          <w:iCs/>
          <w:szCs w:val="24"/>
          <w:lang w:val="en-CA"/>
        </w:rPr>
        <w:t>Bychok</w:t>
      </w:r>
      <w:proofErr w:type="spellEnd"/>
      <w:r w:rsidRPr="005620DC">
        <w:rPr>
          <w:rFonts w:cs="Arial"/>
          <w:iCs/>
          <w:szCs w:val="24"/>
          <w:lang w:val="en-CA"/>
        </w:rPr>
        <w:t xml:space="preserve"> of the Nunavut Court of Justice in </w:t>
      </w:r>
      <w:proofErr w:type="spellStart"/>
      <w:r w:rsidRPr="005620DC">
        <w:rPr>
          <w:rFonts w:cs="Arial"/>
          <w:i/>
          <w:iCs/>
          <w:szCs w:val="24"/>
          <w:lang w:val="en-CA"/>
        </w:rPr>
        <w:t>Mikijuk</w:t>
      </w:r>
      <w:proofErr w:type="spellEnd"/>
      <w:r w:rsidRPr="005620DC">
        <w:rPr>
          <w:rFonts w:cs="Arial"/>
          <w:iCs/>
          <w:szCs w:val="24"/>
          <w:lang w:val="en-CA"/>
        </w:rPr>
        <w:t>:</w:t>
      </w:r>
      <w:r>
        <w:rPr>
          <w:rStyle w:val="Appelnotedebasdep"/>
          <w:lang w:val="en-CA"/>
        </w:rPr>
        <w:footnoteReference w:id="9"/>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[17]</w:t>
      </w:r>
      <w:r w:rsidRPr="005620DC">
        <w:rPr>
          <w:i w:val="0"/>
          <w:color w:val="000000" w:themeColor="text1"/>
          <w:sz w:val="22"/>
          <w:szCs w:val="22"/>
          <w:lang w:val="en-CA"/>
        </w:rPr>
        <w:tab/>
        <w:t>Nunavut is a beautiful, wonderful land. It is a great place to live. Nunavummiut</w:t>
      </w:r>
      <w:r>
        <w:rPr>
          <w:rStyle w:val="Appelnotedebasdep"/>
          <w:i w:val="0"/>
          <w:color w:val="000000" w:themeColor="text1"/>
          <w:sz w:val="22"/>
          <w:szCs w:val="22"/>
          <w:lang w:val="en-CA"/>
        </w:rPr>
        <w:footnoteReference w:id="10"/>
      </w:r>
      <w:r w:rsidRPr="005620DC">
        <w:rPr>
          <w:i w:val="0"/>
          <w:color w:val="000000" w:themeColor="text1"/>
          <w:sz w:val="22"/>
          <w:szCs w:val="22"/>
          <w:lang w:val="en-CA"/>
        </w:rPr>
        <w:t xml:space="preserve"> are deservedly proud of their ancient heritage and history. </w:t>
      </w:r>
      <w:proofErr w:type="gramStart"/>
      <w:r w:rsidRPr="005620DC">
        <w:rPr>
          <w:i w:val="0"/>
          <w:color w:val="000000" w:themeColor="text1"/>
          <w:sz w:val="22"/>
          <w:szCs w:val="22"/>
          <w:lang w:val="en-CA"/>
        </w:rPr>
        <w:t xml:space="preserve">All of us who live here are enriched by Inuit </w:t>
      </w:r>
      <w:proofErr w:type="spellStart"/>
      <w:r w:rsidRPr="005620DC">
        <w:rPr>
          <w:i w:val="0"/>
          <w:color w:val="000000" w:themeColor="text1"/>
          <w:sz w:val="22"/>
          <w:szCs w:val="22"/>
          <w:lang w:val="en-CA"/>
        </w:rPr>
        <w:t>Qaujimajatuqangit</w:t>
      </w:r>
      <w:proofErr w:type="spellEnd"/>
      <w:proofErr w:type="gramEnd"/>
      <w:r>
        <w:rPr>
          <w:rStyle w:val="Appelnotedebasdep"/>
          <w:i w:val="0"/>
          <w:color w:val="000000" w:themeColor="text1"/>
          <w:sz w:val="22"/>
          <w:szCs w:val="22"/>
          <w:lang w:val="en-CA"/>
        </w:rPr>
        <w:footnoteReference w:id="11"/>
      </w:r>
      <w:r w:rsidRPr="005620DC">
        <w:rPr>
          <w:i w:val="0"/>
          <w:color w:val="000000" w:themeColor="text1"/>
          <w:sz w:val="22"/>
          <w:szCs w:val="22"/>
          <w:lang w:val="en-CA"/>
        </w:rPr>
        <w:t>.</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[18]</w:t>
      </w:r>
      <w:r w:rsidRPr="005620DC">
        <w:rPr>
          <w:i w:val="0"/>
          <w:color w:val="000000" w:themeColor="text1"/>
          <w:sz w:val="22"/>
          <w:szCs w:val="22"/>
          <w:lang w:val="en-CA"/>
        </w:rPr>
        <w:tab/>
        <w:t xml:space="preserve">But, Nunavut is in crisis. I must </w:t>
      </w:r>
      <w:proofErr w:type="gramStart"/>
      <w:r w:rsidRPr="005620DC">
        <w:rPr>
          <w:i w:val="0"/>
          <w:color w:val="000000" w:themeColor="text1"/>
          <w:sz w:val="22"/>
          <w:szCs w:val="22"/>
          <w:lang w:val="en-CA"/>
        </w:rPr>
        <w:t>take this fact into account</w:t>
      </w:r>
      <w:proofErr w:type="gramEnd"/>
      <w:r w:rsidRPr="005620DC">
        <w:rPr>
          <w:i w:val="0"/>
          <w:color w:val="000000" w:themeColor="text1"/>
          <w:sz w:val="22"/>
          <w:szCs w:val="22"/>
          <w:lang w:val="en-CA"/>
        </w:rPr>
        <w:t>.</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[19]</w:t>
      </w:r>
      <w:r w:rsidRPr="005620DC">
        <w:rPr>
          <w:i w:val="0"/>
          <w:color w:val="000000" w:themeColor="text1"/>
          <w:sz w:val="22"/>
          <w:szCs w:val="22"/>
          <w:lang w:val="en-CA"/>
        </w:rPr>
        <w:tab/>
        <w:t>Alcohol abuse is tearing apart our society. Binge drinking for many is a normal part of life. Alcohol abuse is destroying the lives of Nunavummiut. Alcohol abuse is tearing apart families. Alcohol abuse fills our child protection dockets - right across the territory. Alcohol abuse is filling our jails. Offenders convicted of serious alcohol-related crime are thrown into the maw of southern prisons</w:t>
      </w:r>
      <w:proofErr w:type="gramStart"/>
      <w:r w:rsidRPr="005620DC">
        <w:rPr>
          <w:i w:val="0"/>
          <w:color w:val="000000" w:themeColor="text1"/>
          <w:sz w:val="22"/>
          <w:szCs w:val="22"/>
          <w:lang w:val="en-CA"/>
        </w:rPr>
        <w:t>;</w:t>
      </w:r>
      <w:proofErr w:type="gramEnd"/>
      <w:r w:rsidRPr="005620DC">
        <w:rPr>
          <w:i w:val="0"/>
          <w:color w:val="000000" w:themeColor="text1"/>
          <w:sz w:val="22"/>
          <w:szCs w:val="22"/>
          <w:lang w:val="en-CA"/>
        </w:rPr>
        <w:t xml:space="preserve"> isolated and far from home. Every court circuit, we learn bootlegging is rampant. Everywhere. The Liquor Act' and past sentences have not been, and are not, effective deterrents. Bootleggers </w:t>
      </w:r>
      <w:proofErr w:type="gramStart"/>
      <w:r w:rsidRPr="005620DC">
        <w:rPr>
          <w:i w:val="0"/>
          <w:color w:val="000000" w:themeColor="text1"/>
          <w:sz w:val="22"/>
          <w:szCs w:val="22"/>
          <w:lang w:val="en-CA"/>
        </w:rPr>
        <w:t>don't</w:t>
      </w:r>
      <w:proofErr w:type="gramEnd"/>
      <w:r w:rsidRPr="005620DC">
        <w:rPr>
          <w:i w:val="0"/>
          <w:color w:val="000000" w:themeColor="text1"/>
          <w:sz w:val="22"/>
          <w:szCs w:val="22"/>
          <w:lang w:val="en-CA"/>
        </w:rPr>
        <w:t xml:space="preserve"> just sell alcohol; bootleggers callously and calculatedly purvey human misery. Our sentencing regime should reflect that fact.</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[20]</w:t>
      </w:r>
      <w:r w:rsidRPr="005620DC">
        <w:rPr>
          <w:i w:val="0"/>
          <w:color w:val="000000" w:themeColor="text1"/>
          <w:sz w:val="22"/>
          <w:szCs w:val="22"/>
          <w:lang w:val="en-CA"/>
        </w:rPr>
        <w:tab/>
        <w:t xml:space="preserve">Seventeen years after division from the NWT, there is still no residential treatment facility in Nunavut. Nunavummiut who belong in secure residential treatment wind up in jail. Those few Nunavummiut who are lucky enough to get residential treatment </w:t>
      </w:r>
      <w:proofErr w:type="gramStart"/>
      <w:r w:rsidRPr="005620DC">
        <w:rPr>
          <w:i w:val="0"/>
          <w:color w:val="000000" w:themeColor="text1"/>
          <w:sz w:val="22"/>
          <w:szCs w:val="22"/>
          <w:lang w:val="en-CA"/>
        </w:rPr>
        <w:t>are sent</w:t>
      </w:r>
      <w:proofErr w:type="gramEnd"/>
      <w:r w:rsidRPr="005620DC">
        <w:rPr>
          <w:i w:val="0"/>
          <w:color w:val="000000" w:themeColor="text1"/>
          <w:sz w:val="22"/>
          <w:szCs w:val="22"/>
          <w:lang w:val="en-CA"/>
        </w:rPr>
        <w:t xml:space="preserve"> south. Again, where they are isolated and far from home. Those few frontline responders we have </w:t>
      </w:r>
      <w:proofErr w:type="gramStart"/>
      <w:r w:rsidRPr="005620DC">
        <w:rPr>
          <w:i w:val="0"/>
          <w:color w:val="000000" w:themeColor="text1"/>
          <w:sz w:val="22"/>
          <w:szCs w:val="22"/>
          <w:lang w:val="en-CA"/>
        </w:rPr>
        <w:t>are given</w:t>
      </w:r>
      <w:proofErr w:type="gramEnd"/>
      <w:r w:rsidRPr="005620DC">
        <w:rPr>
          <w:i w:val="0"/>
          <w:color w:val="000000" w:themeColor="text1"/>
          <w:sz w:val="22"/>
          <w:szCs w:val="22"/>
          <w:lang w:val="en-CA"/>
        </w:rPr>
        <w:t xml:space="preserve"> few resources to deal with the epidemic of alcohol's victims. Few resources are available to help our many neighbours who suffer from real mental health concerns, like Fetal Alcohol Spectrum Disorder. The need to address these issues is urgent.</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[21]</w:t>
      </w:r>
      <w:r w:rsidRPr="005620DC">
        <w:rPr>
          <w:i w:val="0"/>
          <w:color w:val="000000" w:themeColor="text1"/>
          <w:sz w:val="22"/>
          <w:szCs w:val="22"/>
          <w:lang w:val="en-CA"/>
        </w:rPr>
        <w:tab/>
        <w:t xml:space="preserve">In my lifetime, Inuit </w:t>
      </w:r>
      <w:proofErr w:type="gramStart"/>
      <w:r w:rsidRPr="005620DC">
        <w:rPr>
          <w:i w:val="0"/>
          <w:color w:val="000000" w:themeColor="text1"/>
          <w:sz w:val="22"/>
          <w:szCs w:val="22"/>
          <w:lang w:val="en-CA"/>
        </w:rPr>
        <w:t>were forced</w:t>
      </w:r>
      <w:proofErr w:type="gramEnd"/>
      <w:r w:rsidRPr="005620DC">
        <w:rPr>
          <w:i w:val="0"/>
          <w:color w:val="000000" w:themeColor="text1"/>
          <w:sz w:val="22"/>
          <w:szCs w:val="22"/>
          <w:lang w:val="en-CA"/>
        </w:rPr>
        <w:t xml:space="preserve"> off the land. </w:t>
      </w:r>
      <w:proofErr w:type="gramStart"/>
      <w:r w:rsidRPr="005620DC">
        <w:rPr>
          <w:i w:val="0"/>
          <w:color w:val="000000" w:themeColor="text1"/>
          <w:sz w:val="22"/>
          <w:szCs w:val="22"/>
          <w:lang w:val="en-CA"/>
        </w:rPr>
        <w:t>Many were moved, sometimes forcibly, by alien authority into artificial and isolated communities</w:t>
      </w:r>
      <w:proofErr w:type="gramEnd"/>
      <w:r w:rsidRPr="005620DC">
        <w:rPr>
          <w:i w:val="0"/>
          <w:color w:val="000000" w:themeColor="text1"/>
          <w:sz w:val="22"/>
          <w:szCs w:val="22"/>
          <w:lang w:val="en-CA"/>
        </w:rPr>
        <w:t xml:space="preserve">. Children </w:t>
      </w:r>
      <w:proofErr w:type="gramStart"/>
      <w:r w:rsidRPr="005620DC">
        <w:rPr>
          <w:i w:val="0"/>
          <w:color w:val="000000" w:themeColor="text1"/>
          <w:sz w:val="22"/>
          <w:szCs w:val="22"/>
          <w:lang w:val="en-CA"/>
        </w:rPr>
        <w:t>were taken from the bosoms of their families and sent to far away residential schools</w:t>
      </w:r>
      <w:proofErr w:type="gramEnd"/>
      <w:r w:rsidRPr="005620DC">
        <w:rPr>
          <w:i w:val="0"/>
          <w:color w:val="000000" w:themeColor="text1"/>
          <w:sz w:val="22"/>
          <w:szCs w:val="22"/>
          <w:lang w:val="en-CA"/>
        </w:rPr>
        <w:t xml:space="preserve">. One of the purposes of these schools was to supplant their culture and language. That painful legacy reverberates today. […]. The Inuit world and very way of life </w:t>
      </w:r>
      <w:proofErr w:type="gramStart"/>
      <w:r w:rsidRPr="005620DC">
        <w:rPr>
          <w:i w:val="0"/>
          <w:color w:val="000000" w:themeColor="text1"/>
          <w:sz w:val="22"/>
          <w:szCs w:val="22"/>
          <w:lang w:val="en-CA"/>
        </w:rPr>
        <w:t>was turned</w:t>
      </w:r>
      <w:proofErr w:type="gramEnd"/>
      <w:r w:rsidRPr="005620DC">
        <w:rPr>
          <w:i w:val="0"/>
          <w:color w:val="000000" w:themeColor="text1"/>
          <w:sz w:val="22"/>
          <w:szCs w:val="22"/>
          <w:lang w:val="en-CA"/>
        </w:rPr>
        <w:t xml:space="preserve"> upside down.</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[22]</w:t>
      </w:r>
      <w:r w:rsidRPr="005620DC">
        <w:rPr>
          <w:i w:val="0"/>
          <w:color w:val="000000" w:themeColor="text1"/>
          <w:sz w:val="22"/>
          <w:szCs w:val="22"/>
          <w:lang w:val="en-CA"/>
        </w:rPr>
        <w:tab/>
        <w:t xml:space="preserve">Inuit society is still adjusting to that collective trauma. Jobs of any kind outside Iqaluit and Rankin Inlet are scarce. What little economy there is government and mineral exploration </w:t>
      </w:r>
      <w:proofErr w:type="gramStart"/>
      <w:r w:rsidRPr="005620DC">
        <w:rPr>
          <w:i w:val="0"/>
          <w:color w:val="000000" w:themeColor="text1"/>
          <w:sz w:val="22"/>
          <w:szCs w:val="22"/>
          <w:lang w:val="en-CA"/>
        </w:rPr>
        <w:t>driven.</w:t>
      </w:r>
      <w:proofErr w:type="gramEnd"/>
      <w:r w:rsidRPr="005620DC">
        <w:rPr>
          <w:i w:val="0"/>
          <w:color w:val="000000" w:themeColor="text1"/>
          <w:sz w:val="22"/>
          <w:szCs w:val="22"/>
          <w:lang w:val="en-CA"/>
        </w:rPr>
        <w:t xml:space="preserve"> There is an ongoing and serious housing crisis. Overcrowding plagues many Nunavummiut. Overcrowding </w:t>
      </w:r>
      <w:r w:rsidRPr="005620DC">
        <w:rPr>
          <w:i w:val="0"/>
          <w:color w:val="000000" w:themeColor="text1"/>
          <w:sz w:val="22"/>
          <w:szCs w:val="22"/>
          <w:lang w:val="en-CA"/>
        </w:rPr>
        <w:lastRenderedPageBreak/>
        <w:t xml:space="preserve">affects their health. It adds stress to an already hard life. It contributes to our shocking domestic violence statistics. Safe houses for families in distress are </w:t>
      </w:r>
      <w:proofErr w:type="gramStart"/>
      <w:r w:rsidRPr="005620DC">
        <w:rPr>
          <w:i w:val="0"/>
          <w:color w:val="000000" w:themeColor="text1"/>
          <w:sz w:val="22"/>
          <w:szCs w:val="22"/>
          <w:lang w:val="en-CA"/>
        </w:rPr>
        <w:t>few and far between</w:t>
      </w:r>
      <w:proofErr w:type="gramEnd"/>
      <w:r w:rsidRPr="005620DC">
        <w:rPr>
          <w:i w:val="0"/>
          <w:color w:val="000000" w:themeColor="text1"/>
          <w:sz w:val="22"/>
          <w:szCs w:val="22"/>
          <w:lang w:val="en-CA"/>
        </w:rPr>
        <w:t xml:space="preserve">. A shocking number of our children go to school hungry. Social and recreational infrastructure is woefully lacking. </w:t>
      </w:r>
      <w:proofErr w:type="gramStart"/>
      <w:r w:rsidRPr="005620DC">
        <w:rPr>
          <w:i w:val="0"/>
          <w:color w:val="000000" w:themeColor="text1"/>
          <w:sz w:val="22"/>
          <w:szCs w:val="22"/>
          <w:lang w:val="en-CA"/>
        </w:rPr>
        <w:t>Time and time again</w:t>
      </w:r>
      <w:proofErr w:type="gramEnd"/>
      <w:r w:rsidRPr="005620DC">
        <w:rPr>
          <w:i w:val="0"/>
          <w:color w:val="000000" w:themeColor="text1"/>
          <w:sz w:val="22"/>
          <w:szCs w:val="22"/>
          <w:lang w:val="en-CA"/>
        </w:rPr>
        <w:t xml:space="preserve"> we are told that utter boredom leads many youth into delinquency. For some, despair and misery lead to thoughts that suicide is an option. Our suicide rate is many times the national average. Thirty-two Nunavummiut killed themselves in 2016.</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The Court will now examine h</w:t>
      </w:r>
      <w:r w:rsidRPr="005620DC">
        <w:rPr>
          <w:rFonts w:cs="Arial"/>
          <w:iCs/>
          <w:szCs w:val="24"/>
          <w:lang w:val="en-CA"/>
        </w:rPr>
        <w:t xml:space="preserve">ow these factors contributed to Ms. </w:t>
      </w:r>
      <w:proofErr w:type="spellStart"/>
      <w:r w:rsidRPr="005620DC">
        <w:rPr>
          <w:rFonts w:cs="Arial"/>
          <w:iCs/>
          <w:szCs w:val="24"/>
          <w:lang w:val="en-CA"/>
        </w:rPr>
        <w:t>Killiktee</w:t>
      </w:r>
      <w:r w:rsidR="00A218E2">
        <w:rPr>
          <w:rFonts w:cs="Arial"/>
          <w:iCs/>
          <w:szCs w:val="24"/>
          <w:lang w:val="en-CA"/>
        </w:rPr>
        <w:t>’s</w:t>
      </w:r>
      <w:proofErr w:type="spellEnd"/>
      <w:r w:rsidRPr="005620DC">
        <w:rPr>
          <w:rFonts w:cs="Arial"/>
          <w:iCs/>
          <w:szCs w:val="24"/>
          <w:lang w:val="en-CA"/>
        </w:rPr>
        <w:t xml:space="preserve"> commi</w:t>
      </w:r>
      <w:r>
        <w:rPr>
          <w:rFonts w:cs="Arial"/>
          <w:iCs/>
          <w:szCs w:val="24"/>
          <w:lang w:val="en-CA"/>
        </w:rPr>
        <w:t>tting</w:t>
      </w:r>
      <w:r w:rsidRPr="005620DC">
        <w:rPr>
          <w:rFonts w:cs="Arial"/>
          <w:iCs/>
          <w:szCs w:val="24"/>
          <w:lang w:val="en-CA"/>
        </w:rPr>
        <w:t xml:space="preserve"> criminal acts and her appearances before the courts.</w:t>
      </w:r>
    </w:p>
    <w:p w:rsidR="00A17E81" w:rsidRPr="005620DC" w:rsidRDefault="00132D88" w:rsidP="00A17E81">
      <w:pPr>
        <w:pStyle w:val="Titre4"/>
        <w:rPr>
          <w:lang w:val="en-CA"/>
        </w:rPr>
      </w:pPr>
      <w:r w:rsidRPr="005620DC">
        <w:rPr>
          <w:lang w:val="en-CA"/>
        </w:rPr>
        <w:t xml:space="preserve">PROFILE OF MS. KILLIKTEE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Ms. </w:t>
      </w:r>
      <w:proofErr w:type="spellStart"/>
      <w:r w:rsidRPr="005620DC">
        <w:rPr>
          <w:rFonts w:cs="Arial"/>
          <w:iCs/>
          <w:szCs w:val="24"/>
          <w:lang w:val="en-CA"/>
        </w:rPr>
        <w:t>Killiktee</w:t>
      </w:r>
      <w:proofErr w:type="spellEnd"/>
      <w:r w:rsidRPr="005620DC">
        <w:rPr>
          <w:rFonts w:cs="Arial"/>
          <w:iCs/>
          <w:szCs w:val="24"/>
          <w:lang w:val="en-CA"/>
        </w:rPr>
        <w:t xml:space="preserve"> was born in 1983</w:t>
      </w:r>
      <w:r w:rsidR="003812FA">
        <w:rPr>
          <w:rFonts w:cs="Arial"/>
          <w:iCs/>
          <w:szCs w:val="24"/>
          <w:lang w:val="en-CA"/>
        </w:rPr>
        <w:t>. She</w:t>
      </w:r>
      <w:r w:rsidRPr="005620DC">
        <w:rPr>
          <w:rFonts w:cs="Arial"/>
          <w:iCs/>
          <w:szCs w:val="24"/>
          <w:lang w:val="en-CA"/>
        </w:rPr>
        <w:t xml:space="preserve"> grew up in Cape Dorset, Nunavut, a community now known as </w:t>
      </w:r>
      <w:proofErr w:type="spellStart"/>
      <w:r w:rsidRPr="005620DC">
        <w:rPr>
          <w:rFonts w:cs="Arial"/>
          <w:iCs/>
          <w:szCs w:val="24"/>
          <w:lang w:val="en-CA"/>
        </w:rPr>
        <w:t>Kinngait</w:t>
      </w:r>
      <w:proofErr w:type="spellEnd"/>
      <w:r w:rsidRPr="005620DC">
        <w:rPr>
          <w:rFonts w:cs="Arial"/>
          <w:iCs/>
          <w:szCs w:val="24"/>
          <w:lang w:val="en-CA"/>
        </w:rPr>
        <w: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Her mother </w:t>
      </w:r>
      <w:proofErr w:type="gramStart"/>
      <w:r w:rsidRPr="005620DC">
        <w:rPr>
          <w:rFonts w:cs="Arial"/>
          <w:iCs/>
          <w:szCs w:val="24"/>
          <w:lang w:val="en-CA"/>
        </w:rPr>
        <w:t xml:space="preserve">was </w:t>
      </w:r>
      <w:r w:rsidR="00542ABF">
        <w:rPr>
          <w:rFonts w:cs="Arial"/>
          <w:iCs/>
          <w:szCs w:val="24"/>
          <w:lang w:val="en-CA"/>
        </w:rPr>
        <w:t>sent</w:t>
      </w:r>
      <w:proofErr w:type="gramEnd"/>
      <w:r w:rsidR="00542ABF">
        <w:rPr>
          <w:rFonts w:cs="Arial"/>
          <w:iCs/>
          <w:szCs w:val="24"/>
          <w:lang w:val="en-CA"/>
        </w:rPr>
        <w:t xml:space="preserve"> to </w:t>
      </w:r>
      <w:r w:rsidRPr="005620DC">
        <w:rPr>
          <w:rFonts w:cs="Arial"/>
          <w:iCs/>
          <w:szCs w:val="24"/>
          <w:lang w:val="en-CA"/>
        </w:rPr>
        <w:t xml:space="preserve">a residential school, a traumatic experience for </w:t>
      </w:r>
      <w:r w:rsidR="003812FA">
        <w:rPr>
          <w:rFonts w:cs="Arial"/>
          <w:iCs/>
          <w:szCs w:val="24"/>
          <w:lang w:val="en-CA"/>
        </w:rPr>
        <w:t xml:space="preserve">both </w:t>
      </w:r>
      <w:r w:rsidRPr="005620DC">
        <w:rPr>
          <w:rFonts w:cs="Arial"/>
          <w:iCs/>
          <w:szCs w:val="24"/>
          <w:lang w:val="en-CA"/>
        </w:rPr>
        <w:t>her and her community.</w:t>
      </w:r>
      <w:r>
        <w:rPr>
          <w:rStyle w:val="Appelnotedebasdep"/>
          <w:rFonts w:cs="Arial"/>
          <w:iCs/>
          <w:szCs w:val="24"/>
          <w:lang w:val="en-CA"/>
        </w:rPr>
        <w:footnoteReference w:id="12"/>
      </w:r>
      <w:r w:rsidRPr="005620DC">
        <w:rPr>
          <w:rFonts w:cs="Arial"/>
          <w:iCs/>
          <w:szCs w:val="24"/>
          <w:lang w:val="en-CA"/>
        </w:rPr>
        <w:t xml:space="preserve"> She subsequently had 10 children (6 boys and 4 girls). Ms. </w:t>
      </w:r>
      <w:proofErr w:type="spellStart"/>
      <w:r w:rsidRPr="005620DC">
        <w:rPr>
          <w:rFonts w:cs="Arial"/>
          <w:iCs/>
          <w:szCs w:val="24"/>
          <w:lang w:val="en-CA"/>
        </w:rPr>
        <w:t>Killiktee</w:t>
      </w:r>
      <w:proofErr w:type="spellEnd"/>
      <w:r w:rsidRPr="005620DC">
        <w:rPr>
          <w:rFonts w:cs="Arial"/>
          <w:iCs/>
          <w:szCs w:val="24"/>
          <w:lang w:val="en-CA"/>
        </w:rPr>
        <w:t xml:space="preserve"> is the youngest </w:t>
      </w:r>
      <w:r w:rsidR="003812FA">
        <w:rPr>
          <w:rFonts w:cs="Arial"/>
          <w:iCs/>
          <w:szCs w:val="24"/>
          <w:lang w:val="en-CA"/>
        </w:rPr>
        <w:t>girl</w:t>
      </w:r>
      <w:r w:rsidRPr="005620DC">
        <w:rPr>
          <w:rFonts w:cs="Arial"/>
          <w:iCs/>
          <w:szCs w:val="24"/>
          <w:lang w:val="en-CA"/>
        </w:rPr>
        <w: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As a youth, Ms. </w:t>
      </w:r>
      <w:proofErr w:type="spellStart"/>
      <w:r w:rsidRPr="005620DC">
        <w:rPr>
          <w:rFonts w:cs="Arial"/>
          <w:iCs/>
          <w:szCs w:val="24"/>
          <w:lang w:val="en-CA"/>
        </w:rPr>
        <w:t>Killiktee</w:t>
      </w:r>
      <w:proofErr w:type="spellEnd"/>
      <w:r w:rsidRPr="005620DC">
        <w:rPr>
          <w:rFonts w:cs="Arial"/>
          <w:iCs/>
          <w:szCs w:val="24"/>
          <w:lang w:val="en-CA"/>
        </w:rPr>
        <w:t xml:space="preserve"> </w:t>
      </w:r>
      <w:r w:rsidR="00952359">
        <w:rPr>
          <w:rFonts w:cs="Arial"/>
          <w:iCs/>
          <w:szCs w:val="24"/>
          <w:lang w:val="en-CA"/>
        </w:rPr>
        <w:t xml:space="preserve">witnessed </w:t>
      </w:r>
      <w:r w:rsidRPr="005620DC">
        <w:rPr>
          <w:rFonts w:cs="Arial"/>
          <w:iCs/>
          <w:szCs w:val="24"/>
          <w:lang w:val="en-CA"/>
        </w:rPr>
        <w:t>her parents’ alcoholism and conjugal violence.</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Her father </w:t>
      </w:r>
      <w:r w:rsidR="003812FA">
        <w:rPr>
          <w:rFonts w:cs="Arial"/>
          <w:iCs/>
          <w:szCs w:val="24"/>
          <w:lang w:val="en-CA"/>
        </w:rPr>
        <w:t>died</w:t>
      </w:r>
      <w:r w:rsidRPr="005620DC">
        <w:rPr>
          <w:rFonts w:cs="Arial"/>
          <w:iCs/>
          <w:szCs w:val="24"/>
          <w:lang w:val="en-CA"/>
        </w:rPr>
        <w:t xml:space="preserve"> when she was 10 years old, which added another trauma.</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She </w:t>
      </w:r>
      <w:proofErr w:type="gramStart"/>
      <w:r w:rsidRPr="005620DC">
        <w:rPr>
          <w:rFonts w:cs="Arial"/>
          <w:iCs/>
          <w:szCs w:val="24"/>
          <w:lang w:val="en-CA"/>
        </w:rPr>
        <w:t xml:space="preserve">was </w:t>
      </w:r>
      <w:r w:rsidR="00952359">
        <w:rPr>
          <w:rFonts w:cs="Arial"/>
          <w:iCs/>
          <w:szCs w:val="24"/>
          <w:lang w:val="en-CA"/>
        </w:rPr>
        <w:t xml:space="preserve">then </w:t>
      </w:r>
      <w:r w:rsidRPr="005620DC">
        <w:rPr>
          <w:rFonts w:cs="Arial"/>
          <w:iCs/>
          <w:szCs w:val="24"/>
          <w:lang w:val="en-CA"/>
        </w:rPr>
        <w:t>sexually abused and sunk into a depression</w:t>
      </w:r>
      <w:proofErr w:type="gramEnd"/>
      <w:r w:rsidRPr="005620DC">
        <w:rPr>
          <w:rFonts w:cs="Arial"/>
          <w:iCs/>
          <w:szCs w:val="24"/>
          <w:lang w:val="en-CA"/>
        </w:rPr>
        <w: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She sniffed gas when she was 12 years old</w:t>
      </w:r>
      <w:r w:rsidR="00195D43">
        <w:rPr>
          <w:rFonts w:cs="Arial"/>
          <w:iCs/>
          <w:szCs w:val="24"/>
          <w:lang w:val="en-CA"/>
        </w:rPr>
        <w:t>. A</w:t>
      </w:r>
      <w:r w:rsidR="00195D43" w:rsidRPr="005620DC">
        <w:rPr>
          <w:rFonts w:cs="Arial"/>
          <w:iCs/>
          <w:szCs w:val="24"/>
          <w:lang w:val="en-CA"/>
        </w:rPr>
        <w:t xml:space="preserve">lcohol </w:t>
      </w:r>
      <w:r w:rsidRPr="005620DC">
        <w:rPr>
          <w:rFonts w:cs="Arial"/>
          <w:iCs/>
          <w:szCs w:val="24"/>
          <w:lang w:val="en-CA"/>
        </w:rPr>
        <w:t>and drugs</w:t>
      </w:r>
      <w:r w:rsidR="00195D43">
        <w:rPr>
          <w:rFonts w:cs="Arial"/>
          <w:iCs/>
          <w:szCs w:val="24"/>
          <w:lang w:val="en-CA"/>
        </w:rPr>
        <w:t xml:space="preserve"> came next</w:t>
      </w:r>
      <w:r w:rsidRPr="005620DC">
        <w:rPr>
          <w:rFonts w:cs="Arial"/>
          <w:iCs/>
          <w:szCs w:val="24"/>
          <w:lang w:val="en-CA"/>
        </w:rPr>
        <w:t xml:space="preserve">. All this allowed her to </w:t>
      </w:r>
      <w:r w:rsidR="00B965A9">
        <w:rPr>
          <w:rFonts w:cs="Arial"/>
          <w:iCs/>
          <w:szCs w:val="24"/>
          <w:lang w:val="en-CA"/>
        </w:rPr>
        <w:t>[</w:t>
      </w:r>
      <w:r w:rsidR="00B965A9" w:rsidRPr="00A218E2">
        <w:rPr>
          <w:rFonts w:cs="Arial"/>
          <w:iCs/>
          <w:smallCaps/>
          <w:szCs w:val="24"/>
          <w:lang w:val="en-CA"/>
        </w:rPr>
        <w:t>translation</w:t>
      </w:r>
      <w:r w:rsidR="00B965A9">
        <w:rPr>
          <w:rFonts w:cs="Arial"/>
          <w:iCs/>
          <w:szCs w:val="24"/>
          <w:lang w:val="en-CA"/>
        </w:rPr>
        <w:t xml:space="preserve">] </w:t>
      </w:r>
      <w:r w:rsidRPr="005620DC">
        <w:rPr>
          <w:rFonts w:cs="Arial"/>
          <w:iCs/>
          <w:szCs w:val="24"/>
          <w:lang w:val="en-CA"/>
        </w:rPr>
        <w:t>“</w:t>
      </w:r>
      <w:r w:rsidR="00A218E2">
        <w:rPr>
          <w:rFonts w:cs="Arial"/>
          <w:iCs/>
          <w:szCs w:val="24"/>
          <w:lang w:val="en-CA"/>
        </w:rPr>
        <w:t>numb</w:t>
      </w:r>
      <w:r w:rsidRPr="005620DC">
        <w:rPr>
          <w:rFonts w:cs="Arial"/>
          <w:iCs/>
          <w:szCs w:val="24"/>
          <w:lang w:val="en-CA"/>
        </w:rPr>
        <w:t xml:space="preserve">” her emotions.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In 2000, when she was 17 years old, she moved to Iqaluit, 400 kilometres from Cape Dorset.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She then left Nunavut to move down South.</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She began a relationship with a man who introduced her to cocaine and crack. She suffered violence.</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In 2004, she moved to Ottawa. </w:t>
      </w:r>
    </w:p>
    <w:p w:rsidR="00A17E81" w:rsidRPr="005620DC" w:rsidRDefault="00132D88" w:rsidP="00A17E81">
      <w:pPr>
        <w:pStyle w:val="Paragraphe"/>
        <w:tabs>
          <w:tab w:val="clear" w:pos="360"/>
        </w:tabs>
        <w:spacing w:line="240" w:lineRule="auto"/>
        <w:rPr>
          <w:rFonts w:cs="Arial"/>
          <w:iCs/>
          <w:szCs w:val="24"/>
          <w:lang w:val="en-CA"/>
        </w:rPr>
      </w:pPr>
      <w:proofErr w:type="gramStart"/>
      <w:r w:rsidRPr="005620DC">
        <w:rPr>
          <w:rFonts w:cs="Arial"/>
          <w:iCs/>
          <w:szCs w:val="24"/>
          <w:lang w:val="en-CA"/>
        </w:rPr>
        <w:t xml:space="preserve">Her behaviour led her to commit criminal </w:t>
      </w:r>
      <w:r w:rsidR="00952359">
        <w:rPr>
          <w:rFonts w:cs="Arial"/>
          <w:iCs/>
          <w:szCs w:val="24"/>
          <w:lang w:val="en-CA"/>
        </w:rPr>
        <w:t xml:space="preserve">offences, summarized </w:t>
      </w:r>
      <w:r w:rsidR="00B965A9">
        <w:rPr>
          <w:rFonts w:cs="Arial"/>
          <w:iCs/>
          <w:szCs w:val="24"/>
          <w:lang w:val="en-CA"/>
        </w:rPr>
        <w:t xml:space="preserve">as follows </w:t>
      </w:r>
      <w:r w:rsidR="00952359">
        <w:rPr>
          <w:rFonts w:cs="Arial"/>
          <w:iCs/>
          <w:szCs w:val="24"/>
          <w:lang w:val="en-CA"/>
        </w:rPr>
        <w:t>by</w:t>
      </w:r>
      <w:r w:rsidRPr="005620DC">
        <w:rPr>
          <w:rFonts w:cs="Arial"/>
          <w:iCs/>
          <w:szCs w:val="24"/>
          <w:lang w:val="en-CA"/>
        </w:rPr>
        <w:t xml:space="preserve"> </w:t>
      </w:r>
      <w:proofErr w:type="spellStart"/>
      <w:r w:rsidRPr="005620DC">
        <w:rPr>
          <w:lang w:val="en-CA"/>
        </w:rPr>
        <w:t>Ratushny</w:t>
      </w:r>
      <w:proofErr w:type="spellEnd"/>
      <w:r w:rsidRPr="005620DC">
        <w:rPr>
          <w:lang w:val="en-CA"/>
        </w:rPr>
        <w:t xml:space="preserve"> J.: “... the accused’s violence against others including against family members and strangers and as reflected in her criminal record, has involved kicking, punching, throwing large rocks at people, pursuing others so as to fight with them, pushing one person into the river, submerging another in the river until she was unconscious, </w:t>
      </w:r>
      <w:r w:rsidRPr="005620DC">
        <w:rPr>
          <w:lang w:val="en-CA"/>
        </w:rPr>
        <w:lastRenderedPageBreak/>
        <w:t>scratching the face of a person who was holding her daughter and kicking at him, narrowly missing her daughter’s head, and striking at a person unknown to her, for no reason.</w:t>
      </w:r>
      <w:proofErr w:type="gramEnd"/>
      <w:r w:rsidRPr="005620DC">
        <w:rPr>
          <w:lang w:val="en-CA"/>
        </w:rPr>
        <w:t xml:space="preserve"> She had been intoxicated on each occasion</w:t>
      </w:r>
      <w:r w:rsidR="00C31433" w:rsidRPr="005620DC">
        <w:rPr>
          <w:lang w:val="en-CA"/>
        </w:rPr>
        <w:t>”.</w:t>
      </w:r>
      <w:r>
        <w:rPr>
          <w:rStyle w:val="Appelnotedebasdep"/>
          <w:lang w:val="en-CA"/>
        </w:rPr>
        <w:footnoteReference w:id="13"/>
      </w:r>
    </w:p>
    <w:p w:rsidR="00A17E81" w:rsidRPr="005620DC" w:rsidRDefault="00132D88" w:rsidP="00A17E81">
      <w:pPr>
        <w:pStyle w:val="Paragraphe"/>
        <w:tabs>
          <w:tab w:val="clear" w:pos="360"/>
        </w:tabs>
        <w:spacing w:line="240" w:lineRule="auto"/>
        <w:rPr>
          <w:rFonts w:cs="Arial"/>
          <w:iCs/>
          <w:szCs w:val="24"/>
          <w:lang w:val="en-CA"/>
        </w:rPr>
      </w:pPr>
      <w:r w:rsidRPr="005620DC">
        <w:rPr>
          <w:lang w:val="en-CA"/>
        </w:rPr>
        <w:t xml:space="preserve">She received various sentences: conditional sentence, </w:t>
      </w:r>
      <w:r w:rsidR="00CF2333">
        <w:rPr>
          <w:lang w:val="en-CA"/>
        </w:rPr>
        <w:t xml:space="preserve">sentence </w:t>
      </w:r>
      <w:r w:rsidRPr="005620DC">
        <w:rPr>
          <w:lang w:val="en-CA"/>
        </w:rPr>
        <w:t xml:space="preserve">in the community, </w:t>
      </w:r>
      <w:r w:rsidR="00CF2333">
        <w:rPr>
          <w:lang w:val="en-CA"/>
        </w:rPr>
        <w:t xml:space="preserve">and </w:t>
      </w:r>
      <w:r w:rsidRPr="005620DC">
        <w:rPr>
          <w:lang w:val="en-CA"/>
        </w:rPr>
        <w:t>imprisonment</w:t>
      </w:r>
      <w:r w:rsidR="00B965A9">
        <w:rPr>
          <w:lang w:val="en-CA"/>
        </w:rPr>
        <w:t>,</w:t>
      </w:r>
      <w:r w:rsidRPr="005620DC">
        <w:rPr>
          <w:lang w:val="en-CA"/>
        </w:rPr>
        <w:t xml:space="preserve"> the longest </w:t>
      </w:r>
      <w:r w:rsidR="00552FF0">
        <w:rPr>
          <w:lang w:val="en-CA"/>
        </w:rPr>
        <w:t xml:space="preserve">term being </w:t>
      </w:r>
      <w:r w:rsidRPr="005620DC">
        <w:rPr>
          <w:lang w:val="en-CA"/>
        </w:rPr>
        <w:t>155 days.</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In 2004, she participated in </w:t>
      </w:r>
      <w:r w:rsidR="00CF2333">
        <w:rPr>
          <w:rFonts w:cs="Arial"/>
          <w:iCs/>
          <w:szCs w:val="24"/>
          <w:lang w:val="en-CA"/>
        </w:rPr>
        <w:t xml:space="preserve">Inuit-specific </w:t>
      </w:r>
      <w:r w:rsidRPr="005620DC">
        <w:rPr>
          <w:rFonts w:cs="Arial"/>
          <w:iCs/>
          <w:szCs w:val="24"/>
          <w:lang w:val="en-CA"/>
        </w:rPr>
        <w:t xml:space="preserve">therapy at the </w:t>
      </w:r>
      <w:proofErr w:type="spellStart"/>
      <w:r w:rsidRPr="005620DC">
        <w:rPr>
          <w:rFonts w:cs="Arial"/>
          <w:iCs/>
          <w:szCs w:val="24"/>
          <w:lang w:val="en-CA"/>
        </w:rPr>
        <w:t>Mamisarvik</w:t>
      </w:r>
      <w:proofErr w:type="spellEnd"/>
      <w:r w:rsidRPr="005620DC">
        <w:rPr>
          <w:rFonts w:cs="Arial"/>
          <w:iCs/>
          <w:szCs w:val="24"/>
          <w:lang w:val="en-CA"/>
        </w:rPr>
        <w:t xml:space="preserve"> Healing Centre in Ottawa.</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At the same time, she </w:t>
      </w:r>
      <w:r w:rsidR="00CF2333">
        <w:rPr>
          <w:rFonts w:cs="Arial"/>
          <w:iCs/>
          <w:szCs w:val="24"/>
          <w:lang w:val="en-CA"/>
        </w:rPr>
        <w:t xml:space="preserve">was in </w:t>
      </w:r>
      <w:r w:rsidRPr="005620DC">
        <w:rPr>
          <w:rFonts w:cs="Arial"/>
          <w:iCs/>
          <w:szCs w:val="24"/>
          <w:lang w:val="en-CA"/>
        </w:rPr>
        <w:t>a relationship with a man and had two daughters</w:t>
      </w:r>
      <w:r w:rsidR="00CF2333">
        <w:rPr>
          <w:rFonts w:cs="Arial"/>
          <w:iCs/>
          <w:szCs w:val="24"/>
          <w:lang w:val="en-CA"/>
        </w:rPr>
        <w:t>,</w:t>
      </w:r>
      <w:r w:rsidRPr="005620DC">
        <w:rPr>
          <w:rFonts w:cs="Arial"/>
          <w:iCs/>
          <w:szCs w:val="24"/>
          <w:lang w:val="en-CA"/>
        </w:rPr>
        <w:t xml:space="preserve"> today 13 and 15 years old. The father has custody</w:t>
      </w:r>
      <w:r w:rsidR="00552FF0">
        <w:rPr>
          <w:rFonts w:cs="Arial"/>
          <w:iCs/>
          <w:szCs w:val="24"/>
          <w:lang w:val="en-CA"/>
        </w:rPr>
        <w:t xml:space="preserve"> of the children</w:t>
      </w:r>
      <w:r w:rsidRPr="005620DC">
        <w:rPr>
          <w:rFonts w:cs="Arial"/>
          <w:iCs/>
          <w:szCs w:val="24"/>
          <w:lang w:val="en-CA"/>
        </w:rPr>
        <w: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The year 2009 </w:t>
      </w:r>
      <w:r w:rsidR="00CF2333">
        <w:rPr>
          <w:rFonts w:cs="Arial"/>
          <w:iCs/>
          <w:szCs w:val="24"/>
          <w:lang w:val="en-CA"/>
        </w:rPr>
        <w:t xml:space="preserve">was significant in </w:t>
      </w:r>
      <w:r w:rsidRPr="005620DC">
        <w:rPr>
          <w:rFonts w:cs="Arial"/>
          <w:iCs/>
          <w:szCs w:val="24"/>
          <w:lang w:val="en-CA"/>
        </w:rPr>
        <w:t xml:space="preserve">Ms. </w:t>
      </w:r>
      <w:proofErr w:type="spellStart"/>
      <w:r w:rsidRPr="005620DC">
        <w:rPr>
          <w:rFonts w:cs="Arial"/>
          <w:iCs/>
          <w:szCs w:val="24"/>
          <w:lang w:val="en-CA"/>
        </w:rPr>
        <w:t>Killiktee’s</w:t>
      </w:r>
      <w:proofErr w:type="spellEnd"/>
      <w:r w:rsidRPr="005620DC">
        <w:rPr>
          <w:rFonts w:cs="Arial"/>
          <w:iCs/>
          <w:szCs w:val="24"/>
          <w:lang w:val="en-CA"/>
        </w:rPr>
        <w:t xml:space="preserve"> life. She was then 26 years old.</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Her brother committed suicide in May.</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She had a miscarriage in June. She was carrying triplets.</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On July 10, she </w:t>
      </w:r>
      <w:r w:rsidR="00CF2333">
        <w:rPr>
          <w:rFonts w:cs="Arial"/>
          <w:iCs/>
          <w:szCs w:val="24"/>
          <w:lang w:val="en-CA"/>
        </w:rPr>
        <w:t>was</w:t>
      </w:r>
      <w:r w:rsidRPr="005620DC">
        <w:rPr>
          <w:rFonts w:cs="Arial"/>
          <w:iCs/>
          <w:szCs w:val="24"/>
          <w:lang w:val="en-CA"/>
        </w:rPr>
        <w:t xml:space="preserve"> in a homeless shelter. Arlene </w:t>
      </w:r>
      <w:proofErr w:type="spellStart"/>
      <w:r w:rsidRPr="005620DC">
        <w:rPr>
          <w:rFonts w:cs="Arial"/>
          <w:iCs/>
          <w:szCs w:val="24"/>
          <w:lang w:val="en-CA"/>
        </w:rPr>
        <w:t>Lahey</w:t>
      </w:r>
      <w:proofErr w:type="spellEnd"/>
      <w:r w:rsidRPr="005620DC">
        <w:rPr>
          <w:rFonts w:cs="Arial"/>
          <w:iCs/>
          <w:szCs w:val="24"/>
          <w:lang w:val="en-CA"/>
        </w:rPr>
        <w:t xml:space="preserve"> w</w:t>
      </w:r>
      <w:r w:rsidR="00CF2333">
        <w:rPr>
          <w:rFonts w:cs="Arial"/>
          <w:iCs/>
          <w:szCs w:val="24"/>
          <w:lang w:val="en-CA"/>
        </w:rPr>
        <w:t>as</w:t>
      </w:r>
      <w:r w:rsidRPr="005620DC">
        <w:rPr>
          <w:rFonts w:cs="Arial"/>
          <w:iCs/>
          <w:szCs w:val="24"/>
          <w:lang w:val="en-CA"/>
        </w:rPr>
        <w:t xml:space="preserve"> visit</w:t>
      </w:r>
      <w:r w:rsidR="00CF2333">
        <w:rPr>
          <w:rFonts w:cs="Arial"/>
          <w:iCs/>
          <w:szCs w:val="24"/>
          <w:lang w:val="en-CA"/>
        </w:rPr>
        <w:t>ing</w:t>
      </w:r>
      <w:r w:rsidRPr="005620DC">
        <w:rPr>
          <w:rFonts w:cs="Arial"/>
          <w:iCs/>
          <w:szCs w:val="24"/>
          <w:lang w:val="en-CA"/>
        </w:rPr>
        <w:t xml:space="preserve"> friends </w:t>
      </w:r>
      <w:r w:rsidR="00CF2333">
        <w:rPr>
          <w:rFonts w:cs="Arial"/>
          <w:iCs/>
          <w:szCs w:val="24"/>
          <w:lang w:val="en-CA"/>
        </w:rPr>
        <w:t xml:space="preserve">there </w:t>
      </w:r>
      <w:r w:rsidRPr="005620DC">
        <w:rPr>
          <w:rFonts w:cs="Arial"/>
          <w:iCs/>
          <w:szCs w:val="24"/>
          <w:lang w:val="en-CA"/>
        </w:rPr>
        <w:t xml:space="preserve">and insulted Ms. </w:t>
      </w:r>
      <w:proofErr w:type="spellStart"/>
      <w:r w:rsidRPr="005620DC">
        <w:rPr>
          <w:rFonts w:cs="Arial"/>
          <w:iCs/>
          <w:szCs w:val="24"/>
          <w:lang w:val="en-CA"/>
        </w:rPr>
        <w:t>Killiktee</w:t>
      </w:r>
      <w:proofErr w:type="spellEnd"/>
      <w:r w:rsidR="00CF2333">
        <w:rPr>
          <w:rFonts w:cs="Arial"/>
          <w:iCs/>
          <w:szCs w:val="24"/>
          <w:lang w:val="en-CA"/>
        </w:rPr>
        <w:t>, who</w:t>
      </w:r>
      <w:r w:rsidRPr="005620DC">
        <w:rPr>
          <w:rFonts w:cs="Arial"/>
          <w:iCs/>
          <w:szCs w:val="24"/>
          <w:lang w:val="en-CA"/>
        </w:rPr>
        <w:t xml:space="preserve"> </w:t>
      </w:r>
      <w:r w:rsidR="00CF2333">
        <w:rPr>
          <w:rFonts w:cs="Arial"/>
          <w:iCs/>
          <w:szCs w:val="24"/>
          <w:lang w:val="en-CA"/>
        </w:rPr>
        <w:t xml:space="preserve">responded </w:t>
      </w:r>
      <w:r w:rsidRPr="005620DC">
        <w:rPr>
          <w:rFonts w:cs="Arial"/>
          <w:iCs/>
          <w:szCs w:val="24"/>
          <w:lang w:val="en-CA"/>
        </w:rPr>
        <w:t xml:space="preserve">by </w:t>
      </w:r>
      <w:r w:rsidR="00CF2333">
        <w:rPr>
          <w:rFonts w:cs="Arial"/>
          <w:iCs/>
          <w:szCs w:val="24"/>
          <w:lang w:val="en-CA"/>
        </w:rPr>
        <w:t xml:space="preserve">pulling </w:t>
      </w:r>
      <w:r w:rsidRPr="005620DC">
        <w:rPr>
          <w:rFonts w:cs="Arial"/>
          <w:iCs/>
          <w:szCs w:val="24"/>
          <w:lang w:val="en-CA"/>
        </w:rPr>
        <w:t xml:space="preserve">Ms. </w:t>
      </w:r>
      <w:proofErr w:type="spellStart"/>
      <w:r w:rsidRPr="005620DC">
        <w:rPr>
          <w:rFonts w:cs="Arial"/>
          <w:iCs/>
          <w:szCs w:val="24"/>
          <w:lang w:val="en-CA"/>
        </w:rPr>
        <w:t>Lahey</w:t>
      </w:r>
      <w:proofErr w:type="spellEnd"/>
      <w:r w:rsidRPr="005620DC">
        <w:rPr>
          <w:rFonts w:cs="Arial"/>
          <w:iCs/>
          <w:szCs w:val="24"/>
          <w:lang w:val="en-CA"/>
        </w:rPr>
        <w:t xml:space="preserve"> to the ground and hitting her violently in the head. The victim </w:t>
      </w:r>
      <w:proofErr w:type="gramStart"/>
      <w:r w:rsidRPr="005620DC">
        <w:rPr>
          <w:rFonts w:cs="Arial"/>
          <w:iCs/>
          <w:szCs w:val="24"/>
          <w:lang w:val="en-CA"/>
        </w:rPr>
        <w:t>was taken</w:t>
      </w:r>
      <w:proofErr w:type="gramEnd"/>
      <w:r w:rsidRPr="005620DC">
        <w:rPr>
          <w:rFonts w:cs="Arial"/>
          <w:iCs/>
          <w:szCs w:val="24"/>
          <w:lang w:val="en-CA"/>
        </w:rPr>
        <w:t xml:space="preserve"> to the emergency </w:t>
      </w:r>
      <w:r w:rsidR="004B5A10">
        <w:rPr>
          <w:rFonts w:cs="Arial"/>
          <w:iCs/>
          <w:szCs w:val="24"/>
          <w:lang w:val="en-CA"/>
        </w:rPr>
        <w:t xml:space="preserve">room </w:t>
      </w:r>
      <w:r w:rsidRPr="005620DC">
        <w:rPr>
          <w:rFonts w:cs="Arial"/>
          <w:iCs/>
          <w:szCs w:val="24"/>
          <w:lang w:val="en-CA"/>
        </w:rPr>
        <w:t xml:space="preserve">at the hospital. She </w:t>
      </w:r>
      <w:proofErr w:type="gramStart"/>
      <w:r w:rsidRPr="005620DC">
        <w:rPr>
          <w:rFonts w:cs="Arial"/>
          <w:iCs/>
          <w:szCs w:val="24"/>
          <w:lang w:val="en-CA"/>
        </w:rPr>
        <w:t>was intubated</w:t>
      </w:r>
      <w:proofErr w:type="gramEnd"/>
      <w:r w:rsidRPr="005620DC">
        <w:rPr>
          <w:rFonts w:cs="Arial"/>
          <w:iCs/>
          <w:szCs w:val="24"/>
          <w:lang w:val="en-CA"/>
        </w:rPr>
        <w:t xml:space="preserve"> due to her brain injuries and loss of independence. After </w:t>
      </w:r>
      <w:r w:rsidR="00CF2333">
        <w:rPr>
          <w:rFonts w:cs="Arial"/>
          <w:iCs/>
          <w:szCs w:val="24"/>
          <w:lang w:val="en-CA"/>
        </w:rPr>
        <w:t>three</w:t>
      </w:r>
      <w:r w:rsidR="00CF2333">
        <w:rPr>
          <w:rFonts w:cs="Arial"/>
          <w:iCs/>
          <w:szCs w:val="24"/>
          <w:vertAlign w:val="superscript"/>
          <w:lang w:val="en-CA"/>
        </w:rPr>
        <w:t xml:space="preserve"> </w:t>
      </w:r>
      <w:r w:rsidR="00CF2333">
        <w:rPr>
          <w:rFonts w:cs="Arial"/>
          <w:iCs/>
          <w:szCs w:val="24"/>
          <w:lang w:val="en-CA"/>
        </w:rPr>
        <w:t>and a half</w:t>
      </w:r>
      <w:r w:rsidRPr="005620DC">
        <w:rPr>
          <w:rFonts w:cs="Arial"/>
          <w:iCs/>
          <w:szCs w:val="24"/>
          <w:lang w:val="en-CA"/>
        </w:rPr>
        <w:t xml:space="preserve"> months, Ms. </w:t>
      </w:r>
      <w:proofErr w:type="spellStart"/>
      <w:r w:rsidRPr="005620DC">
        <w:rPr>
          <w:rFonts w:cs="Arial"/>
          <w:iCs/>
          <w:szCs w:val="24"/>
          <w:lang w:val="en-CA"/>
        </w:rPr>
        <w:t>Lahey</w:t>
      </w:r>
      <w:proofErr w:type="spellEnd"/>
      <w:r w:rsidRPr="005620DC">
        <w:rPr>
          <w:rFonts w:cs="Arial"/>
          <w:iCs/>
          <w:szCs w:val="24"/>
          <w:lang w:val="en-CA"/>
        </w:rPr>
        <w:t xml:space="preserve"> </w:t>
      </w:r>
      <w:r w:rsidR="00CF2333">
        <w:rPr>
          <w:rFonts w:cs="Arial"/>
          <w:iCs/>
          <w:szCs w:val="24"/>
          <w:lang w:val="en-CA"/>
        </w:rPr>
        <w:t>died</w:t>
      </w:r>
      <w:r w:rsidRPr="005620DC">
        <w:rPr>
          <w:rFonts w:cs="Arial"/>
          <w:iCs/>
          <w:szCs w:val="24"/>
          <w:lang w:val="en-CA"/>
        </w:rPr>
        <w:t xml:space="preserve"> from pneumonia resulting from her injuries.</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Ms. </w:t>
      </w:r>
      <w:proofErr w:type="spellStart"/>
      <w:r w:rsidRPr="005620DC">
        <w:rPr>
          <w:rFonts w:cs="Arial"/>
          <w:iCs/>
          <w:szCs w:val="24"/>
          <w:lang w:val="en-CA"/>
        </w:rPr>
        <w:t>Killiktee</w:t>
      </w:r>
      <w:proofErr w:type="spellEnd"/>
      <w:r w:rsidRPr="005620DC">
        <w:rPr>
          <w:rFonts w:cs="Arial"/>
          <w:iCs/>
          <w:szCs w:val="24"/>
          <w:lang w:val="en-CA"/>
        </w:rPr>
        <w:t xml:space="preserve"> was charged with </w:t>
      </w:r>
      <w:proofErr w:type="gramStart"/>
      <w:r w:rsidRPr="005620DC">
        <w:rPr>
          <w:rFonts w:cs="Arial"/>
          <w:iCs/>
          <w:szCs w:val="24"/>
          <w:lang w:val="en-CA"/>
        </w:rPr>
        <w:t>second degree</w:t>
      </w:r>
      <w:proofErr w:type="gramEnd"/>
      <w:r w:rsidRPr="005620DC">
        <w:rPr>
          <w:rFonts w:cs="Arial"/>
          <w:iCs/>
          <w:szCs w:val="24"/>
          <w:lang w:val="en-CA"/>
        </w:rPr>
        <w:t xml:space="preserve"> murder. She then pleaded guilty to manslaughter. On October 20,</w:t>
      </w:r>
      <w:r w:rsidR="00191D65">
        <w:rPr>
          <w:rFonts w:cs="Arial"/>
          <w:iCs/>
          <w:szCs w:val="24"/>
          <w:lang w:val="en-CA"/>
        </w:rPr>
        <w:t> </w:t>
      </w:r>
      <w:r w:rsidRPr="005620DC">
        <w:rPr>
          <w:rFonts w:cs="Arial"/>
          <w:iCs/>
          <w:szCs w:val="24"/>
          <w:lang w:val="en-CA"/>
        </w:rPr>
        <w:t xml:space="preserve">2011, </w:t>
      </w:r>
      <w:proofErr w:type="spellStart"/>
      <w:r w:rsidRPr="005620DC">
        <w:rPr>
          <w:rFonts w:cs="Arial"/>
          <w:iCs/>
          <w:szCs w:val="24"/>
          <w:lang w:val="en-CA"/>
        </w:rPr>
        <w:t>Ratushny</w:t>
      </w:r>
      <w:proofErr w:type="spellEnd"/>
      <w:r w:rsidRPr="005620DC">
        <w:rPr>
          <w:rFonts w:cs="Arial"/>
          <w:iCs/>
          <w:szCs w:val="24"/>
          <w:lang w:val="en-CA"/>
        </w:rPr>
        <w:t xml:space="preserve"> J. sentenced her to 9 years less pre</w:t>
      </w:r>
      <w:r w:rsidR="00CF2333">
        <w:rPr>
          <w:rFonts w:cs="Arial"/>
          <w:iCs/>
          <w:szCs w:val="24"/>
          <w:lang w:val="en-CA"/>
        </w:rPr>
        <w:t>-sentence</w:t>
      </w:r>
      <w:r w:rsidRPr="005620DC">
        <w:rPr>
          <w:rFonts w:cs="Arial"/>
          <w:iCs/>
          <w:szCs w:val="24"/>
          <w:lang w:val="en-CA"/>
        </w:rPr>
        <w:t xml:space="preserve"> custody, leaving </w:t>
      </w:r>
      <w:r w:rsidR="00CF2333">
        <w:rPr>
          <w:rFonts w:cs="Arial"/>
          <w:iCs/>
          <w:szCs w:val="24"/>
          <w:lang w:val="en-CA"/>
        </w:rPr>
        <w:t xml:space="preserve">a balance of </w:t>
      </w:r>
      <w:r w:rsidRPr="005620DC">
        <w:rPr>
          <w:rFonts w:cs="Arial"/>
          <w:iCs/>
          <w:szCs w:val="24"/>
          <w:lang w:val="en-CA"/>
        </w:rPr>
        <w:t>4 years and 5 months. Here are the main reasons:</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[66]</w:t>
      </w:r>
      <w:r w:rsidRPr="005620DC">
        <w:rPr>
          <w:i w:val="0"/>
          <w:color w:val="000000" w:themeColor="text1"/>
          <w:sz w:val="22"/>
          <w:szCs w:val="22"/>
          <w:lang w:val="en-CA"/>
        </w:rPr>
        <w:tab/>
        <w:t xml:space="preserve">This </w:t>
      </w:r>
      <w:proofErr w:type="gramStart"/>
      <w:r w:rsidRPr="005620DC">
        <w:rPr>
          <w:i w:val="0"/>
          <w:color w:val="000000" w:themeColor="text1"/>
          <w:sz w:val="22"/>
          <w:szCs w:val="22"/>
          <w:lang w:val="en-CA"/>
        </w:rPr>
        <w:t>is meant</w:t>
      </w:r>
      <w:proofErr w:type="gramEnd"/>
      <w:r w:rsidRPr="005620DC">
        <w:rPr>
          <w:i w:val="0"/>
          <w:color w:val="000000" w:themeColor="text1"/>
          <w:sz w:val="22"/>
          <w:szCs w:val="22"/>
          <w:lang w:val="en-CA"/>
        </w:rPr>
        <w:t xml:space="preserve"> to be a sentence that emphasizes the objectives of denunciation, public safety, specific deterrence and rehabilitation. It is a longer sentence that recognizes the seriousness of your crime, the difficult path ahead for you, and your need for sustained treatment in a controlled setting. And notwithstanding its length, it </w:t>
      </w:r>
      <w:proofErr w:type="gramStart"/>
      <w:r w:rsidRPr="005620DC">
        <w:rPr>
          <w:i w:val="0"/>
          <w:color w:val="000000" w:themeColor="text1"/>
          <w:sz w:val="22"/>
          <w:szCs w:val="22"/>
          <w:lang w:val="en-CA"/>
        </w:rPr>
        <w:t>is also</w:t>
      </w:r>
      <w:proofErr w:type="gramEnd"/>
      <w:r w:rsidRPr="005620DC">
        <w:rPr>
          <w:i w:val="0"/>
          <w:color w:val="000000" w:themeColor="text1"/>
          <w:sz w:val="22"/>
          <w:szCs w:val="22"/>
          <w:lang w:val="en-CA"/>
        </w:rPr>
        <w:t xml:space="preserve"> a sentence that recognizes the role of your very difficult past in your actions against Ms. </w:t>
      </w:r>
      <w:proofErr w:type="spellStart"/>
      <w:r w:rsidRPr="005620DC">
        <w:rPr>
          <w:i w:val="0"/>
          <w:color w:val="000000" w:themeColor="text1"/>
          <w:sz w:val="22"/>
          <w:szCs w:val="22"/>
          <w:lang w:val="en-CA"/>
        </w:rPr>
        <w:t>Lahey</w:t>
      </w:r>
      <w:proofErr w:type="spellEnd"/>
      <w:r w:rsidRPr="005620DC">
        <w:rPr>
          <w:i w:val="0"/>
          <w:color w:val="000000" w:themeColor="text1"/>
          <w:sz w:val="22"/>
          <w:szCs w:val="22"/>
          <w:lang w:val="en-CA"/>
        </w:rPr>
        <w:t xml:space="preserve">. Your abusive childhood and background serve to reduce your moral culpability for your actions in taking her life and, </w:t>
      </w:r>
      <w:proofErr w:type="gramStart"/>
      <w:r w:rsidRPr="005620DC">
        <w:rPr>
          <w:i w:val="0"/>
          <w:color w:val="000000" w:themeColor="text1"/>
          <w:sz w:val="22"/>
          <w:szCs w:val="22"/>
          <w:lang w:val="en-CA"/>
        </w:rPr>
        <w:t>as a consequence</w:t>
      </w:r>
      <w:proofErr w:type="gramEnd"/>
      <w:r w:rsidRPr="005620DC">
        <w:rPr>
          <w:i w:val="0"/>
          <w:color w:val="000000" w:themeColor="text1"/>
          <w:sz w:val="22"/>
          <w:szCs w:val="22"/>
          <w:lang w:val="en-CA"/>
        </w:rPr>
        <w:t xml:space="preserve">, they are able to serve to reduce the length of your sentence. However, because your background also serves to increase the risk you present to the safety of the community, that factor counterbalances its mitigating force. Your sentence </w:t>
      </w:r>
      <w:proofErr w:type="gramStart"/>
      <w:r w:rsidRPr="005620DC">
        <w:rPr>
          <w:i w:val="0"/>
          <w:color w:val="000000" w:themeColor="text1"/>
          <w:sz w:val="22"/>
          <w:szCs w:val="22"/>
          <w:lang w:val="en-CA"/>
        </w:rPr>
        <w:t>is meant</w:t>
      </w:r>
      <w:proofErr w:type="gramEnd"/>
      <w:r w:rsidRPr="005620DC">
        <w:rPr>
          <w:i w:val="0"/>
          <w:color w:val="000000" w:themeColor="text1"/>
          <w:sz w:val="22"/>
          <w:szCs w:val="22"/>
          <w:lang w:val="en-CA"/>
        </w:rPr>
        <w:t xml:space="preserve">, therefore, to emphasize both objectives of public safety and rehabilitation. The two go hand in hand. The longer you </w:t>
      </w:r>
      <w:proofErr w:type="gramStart"/>
      <w:r w:rsidRPr="005620DC">
        <w:rPr>
          <w:i w:val="0"/>
          <w:color w:val="000000" w:themeColor="text1"/>
          <w:sz w:val="22"/>
          <w:szCs w:val="22"/>
          <w:lang w:val="en-CA"/>
        </w:rPr>
        <w:t>are able to</w:t>
      </w:r>
      <w:proofErr w:type="gramEnd"/>
      <w:r w:rsidRPr="005620DC">
        <w:rPr>
          <w:i w:val="0"/>
          <w:color w:val="000000" w:themeColor="text1"/>
          <w:sz w:val="22"/>
          <w:szCs w:val="22"/>
          <w:lang w:val="en-CA"/>
        </w:rPr>
        <w:t xml:space="preserve"> be treated while you are supervised and controlled and the longer you are able to work hard at treatment while you are supervised and controlled, the safer the public will be at the time of your release.</w:t>
      </w:r>
    </w:p>
    <w:p w:rsidR="00A17E81" w:rsidRPr="005620DC" w:rsidRDefault="00132D88" w:rsidP="00A17E81">
      <w:pPr>
        <w:pStyle w:val="Paragraphe"/>
        <w:tabs>
          <w:tab w:val="clear" w:pos="360"/>
        </w:tabs>
        <w:spacing w:line="240" w:lineRule="auto"/>
        <w:rPr>
          <w:rFonts w:cs="Arial"/>
          <w:iCs/>
          <w:szCs w:val="24"/>
          <w:lang w:val="en-CA"/>
        </w:rPr>
      </w:pPr>
      <w:proofErr w:type="gramStart"/>
      <w:r w:rsidRPr="005620DC">
        <w:rPr>
          <w:rFonts w:cs="Arial"/>
          <w:iCs/>
          <w:szCs w:val="24"/>
          <w:lang w:val="en-CA"/>
        </w:rPr>
        <w:lastRenderedPageBreak/>
        <w:t>This sentence was confirmed by the Court of Appeal for Ontario</w:t>
      </w:r>
      <w:proofErr w:type="gramEnd"/>
      <w:r w:rsidRPr="005620DC">
        <w:rPr>
          <w:rFonts w:cs="Arial"/>
          <w:iCs/>
          <w:szCs w:val="24"/>
          <w:lang w:val="en-CA"/>
        </w:rPr>
        <w:t xml:space="preserve"> on May</w:t>
      </w:r>
      <w:r w:rsidR="00191D65">
        <w:rPr>
          <w:rFonts w:cs="Arial"/>
          <w:iCs/>
          <w:szCs w:val="24"/>
          <w:lang w:val="en-CA"/>
        </w:rPr>
        <w:t> </w:t>
      </w:r>
      <w:r w:rsidRPr="005620DC">
        <w:rPr>
          <w:rFonts w:cs="Arial"/>
          <w:iCs/>
          <w:szCs w:val="24"/>
          <w:lang w:val="en-CA"/>
        </w:rPr>
        <w:t>23,</w:t>
      </w:r>
      <w:r w:rsidR="00191D65">
        <w:rPr>
          <w:rFonts w:cs="Arial"/>
          <w:iCs/>
          <w:szCs w:val="24"/>
          <w:lang w:val="en-CA"/>
        </w:rPr>
        <w:t> </w:t>
      </w:r>
      <w:r w:rsidRPr="005620DC">
        <w:rPr>
          <w:rFonts w:cs="Arial"/>
          <w:iCs/>
          <w:szCs w:val="24"/>
          <w:lang w:val="en-CA"/>
        </w:rPr>
        <w:t>2013.</w:t>
      </w:r>
      <w:r>
        <w:rPr>
          <w:rStyle w:val="Appelnotedebasdep"/>
          <w:rFonts w:cs="Arial"/>
          <w:iCs/>
          <w:szCs w:val="24"/>
          <w:lang w:val="en-CA"/>
        </w:rPr>
        <w:footnoteReference w:id="14"/>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On May 27,</w:t>
      </w:r>
      <w:r w:rsidR="00191D65">
        <w:rPr>
          <w:rFonts w:cs="Arial"/>
          <w:iCs/>
          <w:szCs w:val="24"/>
          <w:lang w:val="en-CA"/>
        </w:rPr>
        <w:t> </w:t>
      </w:r>
      <w:r w:rsidRPr="005620DC">
        <w:rPr>
          <w:rFonts w:cs="Arial"/>
          <w:iCs/>
          <w:szCs w:val="24"/>
          <w:lang w:val="en-CA"/>
        </w:rPr>
        <w:t xml:space="preserve">2016, Ms. </w:t>
      </w:r>
      <w:proofErr w:type="spellStart"/>
      <w:r w:rsidRPr="005620DC">
        <w:rPr>
          <w:rFonts w:cs="Arial"/>
          <w:iCs/>
          <w:szCs w:val="24"/>
          <w:lang w:val="en-CA"/>
        </w:rPr>
        <w:t>Killiktee</w:t>
      </w:r>
      <w:proofErr w:type="spellEnd"/>
      <w:r w:rsidRPr="005620DC">
        <w:rPr>
          <w:rFonts w:cs="Arial"/>
          <w:iCs/>
          <w:szCs w:val="24"/>
          <w:lang w:val="en-CA"/>
        </w:rPr>
        <w:t xml:space="preserve"> </w:t>
      </w:r>
      <w:r w:rsidR="00CF2333">
        <w:rPr>
          <w:rFonts w:cs="Arial"/>
          <w:iCs/>
          <w:szCs w:val="24"/>
          <w:lang w:val="en-CA"/>
        </w:rPr>
        <w:t>assault</w:t>
      </w:r>
      <w:r w:rsidRPr="005620DC">
        <w:rPr>
          <w:rFonts w:cs="Arial"/>
          <w:iCs/>
          <w:szCs w:val="24"/>
          <w:lang w:val="en-CA"/>
        </w:rPr>
        <w:t>ed a</w:t>
      </w:r>
      <w:r w:rsidR="00CF2333">
        <w:rPr>
          <w:rFonts w:cs="Arial"/>
          <w:iCs/>
          <w:szCs w:val="24"/>
          <w:lang w:val="en-CA"/>
        </w:rPr>
        <w:t xml:space="preserve"> fellow</w:t>
      </w:r>
      <w:r w:rsidRPr="005620DC">
        <w:rPr>
          <w:rFonts w:cs="Arial"/>
          <w:iCs/>
          <w:szCs w:val="24"/>
          <w:lang w:val="en-CA"/>
        </w:rPr>
        <w:t xml:space="preserve"> inmate, </w:t>
      </w:r>
      <w:proofErr w:type="spellStart"/>
      <w:r w:rsidRPr="005620DC">
        <w:rPr>
          <w:rFonts w:cs="Arial"/>
          <w:iCs/>
          <w:szCs w:val="24"/>
          <w:lang w:val="en-CA"/>
        </w:rPr>
        <w:t>Decla</w:t>
      </w:r>
      <w:proofErr w:type="spellEnd"/>
      <w:r w:rsidRPr="005620DC">
        <w:rPr>
          <w:rFonts w:cs="Arial"/>
          <w:iCs/>
          <w:szCs w:val="24"/>
          <w:lang w:val="en-CA"/>
        </w:rPr>
        <w:t xml:space="preserve"> Petra, </w:t>
      </w:r>
      <w:r w:rsidR="00CF2333">
        <w:rPr>
          <w:rFonts w:cs="Arial"/>
          <w:iCs/>
          <w:szCs w:val="24"/>
          <w:lang w:val="en-CA"/>
        </w:rPr>
        <w:t xml:space="preserve">for </w:t>
      </w:r>
      <w:r w:rsidRPr="005620DC">
        <w:rPr>
          <w:rFonts w:cs="Arial"/>
          <w:iCs/>
          <w:szCs w:val="24"/>
          <w:lang w:val="en-CA"/>
        </w:rPr>
        <w:t>a trivial matter. On March 31,</w:t>
      </w:r>
      <w:r w:rsidR="00191D65">
        <w:rPr>
          <w:rFonts w:cs="Arial"/>
          <w:iCs/>
          <w:szCs w:val="24"/>
          <w:lang w:val="en-CA"/>
        </w:rPr>
        <w:t> </w:t>
      </w:r>
      <w:r w:rsidRPr="005620DC">
        <w:rPr>
          <w:rFonts w:cs="Arial"/>
          <w:iCs/>
          <w:szCs w:val="24"/>
          <w:lang w:val="en-CA"/>
        </w:rPr>
        <w:t>2017, Perkins-McVey J. of the Ontario Court of Justice sentenced her to 15 months, corresponding to time served.</w:t>
      </w:r>
      <w:r>
        <w:rPr>
          <w:rStyle w:val="Appelnotedebasdep"/>
          <w:rFonts w:cs="Arial"/>
          <w:iCs/>
          <w:szCs w:val="24"/>
          <w:lang w:val="en-CA"/>
        </w:rPr>
        <w:footnoteReference w:id="15"/>
      </w:r>
      <w:r w:rsidRPr="005620DC">
        <w:rPr>
          <w:rFonts w:cs="Arial"/>
          <w:iCs/>
          <w:szCs w:val="24"/>
          <w:lang w:val="en-CA"/>
        </w:rPr>
        <w:t xml:space="preserve"> In her judgment, the judge summarized the therapy to date:</w:t>
      </w:r>
    </w:p>
    <w:p w:rsidR="00A17E81" w:rsidRPr="005620DC" w:rsidRDefault="00132D88" w:rsidP="00A17E81">
      <w:pPr>
        <w:pStyle w:val="Citation"/>
        <w:jc w:val="both"/>
        <w:rPr>
          <w:i w:val="0"/>
          <w:color w:val="000000" w:themeColor="text1"/>
          <w:sz w:val="22"/>
          <w:szCs w:val="22"/>
          <w:lang w:val="en-CA"/>
        </w:rPr>
      </w:pPr>
      <w:r w:rsidRPr="005620DC">
        <w:rPr>
          <w:i w:val="0"/>
          <w:color w:val="000000" w:themeColor="text1"/>
          <w:sz w:val="22"/>
          <w:szCs w:val="22"/>
          <w:lang w:val="en-CA"/>
        </w:rPr>
        <w:t>[13]</w:t>
      </w:r>
      <w:r w:rsidRPr="005620DC">
        <w:rPr>
          <w:i w:val="0"/>
          <w:color w:val="000000" w:themeColor="text1"/>
          <w:sz w:val="22"/>
          <w:szCs w:val="22"/>
          <w:lang w:val="en-CA"/>
        </w:rPr>
        <w:tab/>
        <w:t xml:space="preserve">While in custody in the past and again during this period of custody, the accused has been working with Counsellor, Michelle </w:t>
      </w:r>
      <w:proofErr w:type="spellStart"/>
      <w:r w:rsidRPr="005620DC">
        <w:rPr>
          <w:i w:val="0"/>
          <w:color w:val="000000" w:themeColor="text1"/>
          <w:sz w:val="22"/>
          <w:szCs w:val="22"/>
          <w:lang w:val="en-CA"/>
        </w:rPr>
        <w:t>Motiuk</w:t>
      </w:r>
      <w:proofErr w:type="spellEnd"/>
      <w:r w:rsidRPr="005620DC">
        <w:rPr>
          <w:i w:val="0"/>
          <w:color w:val="000000" w:themeColor="text1"/>
          <w:sz w:val="22"/>
          <w:szCs w:val="22"/>
          <w:lang w:val="en-CA"/>
        </w:rPr>
        <w:t xml:space="preserve">. Ms. </w:t>
      </w:r>
      <w:proofErr w:type="spellStart"/>
      <w:r w:rsidRPr="005620DC">
        <w:rPr>
          <w:i w:val="0"/>
          <w:color w:val="000000" w:themeColor="text1"/>
          <w:sz w:val="22"/>
          <w:szCs w:val="22"/>
          <w:lang w:val="en-CA"/>
        </w:rPr>
        <w:t>Motiuk</w:t>
      </w:r>
      <w:proofErr w:type="spellEnd"/>
      <w:r w:rsidRPr="005620DC">
        <w:rPr>
          <w:i w:val="0"/>
          <w:color w:val="000000" w:themeColor="text1"/>
          <w:sz w:val="22"/>
          <w:szCs w:val="22"/>
          <w:lang w:val="en-CA"/>
        </w:rPr>
        <w:t xml:space="preserve"> is trying to assist the accused in reconciling her </w:t>
      </w:r>
      <w:proofErr w:type="gramStart"/>
      <w:r w:rsidRPr="005620DC">
        <w:rPr>
          <w:i w:val="0"/>
          <w:color w:val="000000" w:themeColor="text1"/>
          <w:sz w:val="22"/>
          <w:szCs w:val="22"/>
          <w:lang w:val="en-CA"/>
        </w:rPr>
        <w:t>past history</w:t>
      </w:r>
      <w:proofErr w:type="gramEnd"/>
      <w:r w:rsidRPr="005620DC">
        <w:rPr>
          <w:i w:val="0"/>
          <w:color w:val="000000" w:themeColor="text1"/>
          <w:sz w:val="22"/>
          <w:szCs w:val="22"/>
          <w:lang w:val="en-CA"/>
        </w:rPr>
        <w:t xml:space="preserve"> and feeling of betrayal regarding her mother. </w:t>
      </w:r>
      <w:r w:rsidR="00CF2333">
        <w:rPr>
          <w:i w:val="0"/>
          <w:color w:val="000000" w:themeColor="text1"/>
          <w:sz w:val="22"/>
          <w:szCs w:val="22"/>
          <w:lang w:val="en-CA"/>
        </w:rPr>
        <w:t>In a letter …</w:t>
      </w:r>
      <w:r w:rsidRPr="005620DC">
        <w:rPr>
          <w:i w:val="0"/>
          <w:color w:val="000000" w:themeColor="text1"/>
          <w:sz w:val="22"/>
          <w:szCs w:val="22"/>
          <w:lang w:val="en-CA"/>
        </w:rPr>
        <w:t xml:space="preserve">, Ms. </w:t>
      </w:r>
      <w:proofErr w:type="spellStart"/>
      <w:r w:rsidRPr="005620DC">
        <w:rPr>
          <w:i w:val="0"/>
          <w:color w:val="000000" w:themeColor="text1"/>
          <w:sz w:val="22"/>
          <w:szCs w:val="22"/>
          <w:lang w:val="en-CA"/>
        </w:rPr>
        <w:t>Motiuk</w:t>
      </w:r>
      <w:proofErr w:type="spellEnd"/>
      <w:r w:rsidRPr="005620DC">
        <w:rPr>
          <w:i w:val="0"/>
          <w:color w:val="000000" w:themeColor="text1"/>
          <w:sz w:val="22"/>
          <w:szCs w:val="22"/>
          <w:lang w:val="en-CA"/>
        </w:rPr>
        <w:t xml:space="preserve"> confirms that she has continued to work with Ms. </w:t>
      </w:r>
      <w:proofErr w:type="spellStart"/>
      <w:r w:rsidRPr="005620DC">
        <w:rPr>
          <w:i w:val="0"/>
          <w:color w:val="000000" w:themeColor="text1"/>
          <w:sz w:val="22"/>
          <w:szCs w:val="22"/>
          <w:lang w:val="en-CA"/>
        </w:rPr>
        <w:t>Killiktee</w:t>
      </w:r>
      <w:proofErr w:type="spellEnd"/>
      <w:r w:rsidRPr="005620DC">
        <w:rPr>
          <w:i w:val="0"/>
          <w:color w:val="000000" w:themeColor="text1"/>
          <w:sz w:val="22"/>
          <w:szCs w:val="22"/>
          <w:lang w:val="en-CA"/>
        </w:rPr>
        <w:t xml:space="preserve"> and that the accused has attended all of the programs available to her such as Native Spirituality, Violence Against Women and Alcoholics Anonymous. Further, Ms. </w:t>
      </w:r>
      <w:proofErr w:type="spellStart"/>
      <w:r w:rsidRPr="005620DC">
        <w:rPr>
          <w:i w:val="0"/>
          <w:color w:val="000000" w:themeColor="text1"/>
          <w:sz w:val="22"/>
          <w:szCs w:val="22"/>
          <w:lang w:val="en-CA"/>
        </w:rPr>
        <w:t>Killiktee</w:t>
      </w:r>
      <w:proofErr w:type="spellEnd"/>
      <w:r w:rsidRPr="005620DC">
        <w:rPr>
          <w:i w:val="0"/>
          <w:color w:val="000000" w:themeColor="text1"/>
          <w:sz w:val="22"/>
          <w:szCs w:val="22"/>
          <w:lang w:val="en-CA"/>
        </w:rPr>
        <w:t xml:space="preserve"> has been involved with Álvaro González, a counsellor at </w:t>
      </w:r>
      <w:proofErr w:type="spellStart"/>
      <w:r w:rsidRPr="005620DC">
        <w:rPr>
          <w:i w:val="0"/>
          <w:color w:val="000000" w:themeColor="text1"/>
          <w:sz w:val="22"/>
          <w:szCs w:val="22"/>
          <w:lang w:val="en-CA"/>
        </w:rPr>
        <w:t>Ivirtivik</w:t>
      </w:r>
      <w:proofErr w:type="spellEnd"/>
      <w:r w:rsidRPr="005620DC">
        <w:rPr>
          <w:i w:val="0"/>
          <w:color w:val="000000" w:themeColor="text1"/>
          <w:sz w:val="22"/>
          <w:szCs w:val="22"/>
          <w:lang w:val="en-CA"/>
        </w:rPr>
        <w:t xml:space="preserve"> of the Inuit Centre in Montreal. …</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O</w:t>
      </w:r>
      <w:r w:rsidR="003A5946" w:rsidRPr="005620DC">
        <w:rPr>
          <w:rFonts w:cs="Arial"/>
          <w:iCs/>
          <w:szCs w:val="24"/>
          <w:lang w:val="en-CA"/>
        </w:rPr>
        <w:t>n March 5,</w:t>
      </w:r>
      <w:r w:rsidR="00191D65">
        <w:rPr>
          <w:rFonts w:cs="Arial"/>
          <w:iCs/>
          <w:szCs w:val="24"/>
          <w:lang w:val="en-CA"/>
        </w:rPr>
        <w:t> </w:t>
      </w:r>
      <w:r w:rsidR="003A5946" w:rsidRPr="005620DC">
        <w:rPr>
          <w:rFonts w:cs="Arial"/>
          <w:iCs/>
          <w:szCs w:val="24"/>
          <w:lang w:val="en-CA"/>
        </w:rPr>
        <w:t xml:space="preserve">2017, </w:t>
      </w:r>
      <w:r>
        <w:rPr>
          <w:rFonts w:cs="Arial"/>
          <w:iCs/>
          <w:szCs w:val="24"/>
          <w:lang w:val="en-CA"/>
        </w:rPr>
        <w:t xml:space="preserve">therefore, </w:t>
      </w:r>
      <w:r w:rsidR="003A5946" w:rsidRPr="005620DC">
        <w:rPr>
          <w:rFonts w:cs="Arial"/>
          <w:iCs/>
          <w:szCs w:val="24"/>
          <w:lang w:val="en-CA"/>
        </w:rPr>
        <w:t xml:space="preserve">before </w:t>
      </w:r>
      <w:r>
        <w:rPr>
          <w:rFonts w:cs="Arial"/>
          <w:iCs/>
          <w:szCs w:val="24"/>
          <w:lang w:val="en-CA"/>
        </w:rPr>
        <w:t xml:space="preserve">she </w:t>
      </w:r>
      <w:proofErr w:type="gramStart"/>
      <w:r>
        <w:rPr>
          <w:rFonts w:cs="Arial"/>
          <w:iCs/>
          <w:szCs w:val="24"/>
          <w:lang w:val="en-CA"/>
        </w:rPr>
        <w:t xml:space="preserve">was </w:t>
      </w:r>
      <w:r w:rsidR="003A5946" w:rsidRPr="005620DC">
        <w:rPr>
          <w:rFonts w:cs="Arial"/>
          <w:iCs/>
          <w:szCs w:val="24"/>
          <w:lang w:val="en-CA"/>
        </w:rPr>
        <w:t>sentence</w:t>
      </w:r>
      <w:r>
        <w:rPr>
          <w:rFonts w:cs="Arial"/>
          <w:iCs/>
          <w:szCs w:val="24"/>
          <w:lang w:val="en-CA"/>
        </w:rPr>
        <w:t>d</w:t>
      </w:r>
      <w:proofErr w:type="gramEnd"/>
      <w:r w:rsidR="003A5946" w:rsidRPr="005620DC">
        <w:rPr>
          <w:rFonts w:cs="Arial"/>
          <w:iCs/>
          <w:szCs w:val="24"/>
          <w:lang w:val="en-CA"/>
        </w:rPr>
        <w:t xml:space="preserve"> on March 31, she committed another assault </w:t>
      </w:r>
      <w:r>
        <w:rPr>
          <w:rFonts w:cs="Arial"/>
          <w:iCs/>
          <w:szCs w:val="24"/>
          <w:lang w:val="en-CA"/>
        </w:rPr>
        <w:t xml:space="preserve">that </w:t>
      </w:r>
      <w:r w:rsidR="003A5946" w:rsidRPr="005620DC">
        <w:rPr>
          <w:rFonts w:cs="Arial"/>
          <w:iCs/>
          <w:szCs w:val="24"/>
          <w:lang w:val="en-CA"/>
        </w:rPr>
        <w:t>result</w:t>
      </w:r>
      <w:r>
        <w:rPr>
          <w:rFonts w:cs="Arial"/>
          <w:iCs/>
          <w:szCs w:val="24"/>
          <w:lang w:val="en-CA"/>
        </w:rPr>
        <w:t>ed</w:t>
      </w:r>
      <w:r w:rsidR="003A5946" w:rsidRPr="005620DC">
        <w:rPr>
          <w:rFonts w:cs="Arial"/>
          <w:iCs/>
          <w:szCs w:val="24"/>
          <w:lang w:val="en-CA"/>
        </w:rPr>
        <w:t xml:space="preserve"> in a sentence of 28 months on May 23,</w:t>
      </w:r>
      <w:r w:rsidR="00191D65">
        <w:rPr>
          <w:rFonts w:cs="Arial"/>
          <w:iCs/>
          <w:szCs w:val="24"/>
          <w:lang w:val="en-CA"/>
        </w:rPr>
        <w:t> </w:t>
      </w:r>
      <w:r w:rsidR="003A5946" w:rsidRPr="005620DC">
        <w:rPr>
          <w:rFonts w:cs="Arial"/>
          <w:iCs/>
          <w:szCs w:val="24"/>
          <w:lang w:val="en-CA"/>
        </w:rPr>
        <w:t xml:space="preserve">2017.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I</w:t>
      </w:r>
      <w:r w:rsidR="00CF2333">
        <w:rPr>
          <w:rFonts w:cs="Arial"/>
          <w:iCs/>
          <w:szCs w:val="24"/>
          <w:lang w:val="en-CA"/>
        </w:rPr>
        <w:t>n 2017, while she was in a half</w:t>
      </w:r>
      <w:r w:rsidRPr="005620DC">
        <w:rPr>
          <w:rFonts w:cs="Arial"/>
          <w:iCs/>
          <w:szCs w:val="24"/>
          <w:lang w:val="en-CA"/>
        </w:rPr>
        <w:t xml:space="preserve">way house, she had her file transferred to Quebec to be closer to her children. She then started therapy with Portage. </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 xml:space="preserve">After a </w:t>
      </w:r>
      <w:r w:rsidR="00542ABF">
        <w:rPr>
          <w:rFonts w:cs="Arial"/>
          <w:iCs/>
          <w:szCs w:val="24"/>
          <w:lang w:val="en-CA"/>
        </w:rPr>
        <w:t xml:space="preserve">period </w:t>
      </w:r>
      <w:r>
        <w:rPr>
          <w:rFonts w:cs="Arial"/>
          <w:iCs/>
          <w:szCs w:val="24"/>
          <w:lang w:val="en-CA"/>
        </w:rPr>
        <w:t>in Montreal, she</w:t>
      </w:r>
      <w:r w:rsidR="003A5946" w:rsidRPr="005620DC">
        <w:rPr>
          <w:rFonts w:cs="Arial"/>
          <w:iCs/>
          <w:szCs w:val="24"/>
          <w:lang w:val="en-CA"/>
        </w:rPr>
        <w:t xml:space="preserve"> moved to Chicoutimi in October</w:t>
      </w:r>
      <w:r w:rsidR="00191D65">
        <w:rPr>
          <w:rFonts w:cs="Arial"/>
          <w:iCs/>
          <w:szCs w:val="24"/>
          <w:lang w:val="en-CA"/>
        </w:rPr>
        <w:t> </w:t>
      </w:r>
      <w:r w:rsidR="003A5946" w:rsidRPr="005620DC">
        <w:rPr>
          <w:rFonts w:cs="Arial"/>
          <w:iCs/>
          <w:szCs w:val="24"/>
          <w:lang w:val="en-CA"/>
        </w:rPr>
        <w:t>2020 to be closer to her daughters.</w:t>
      </w:r>
      <w:r w:rsidRPr="005620DC">
        <w:rPr>
          <w:rFonts w:cs="Arial"/>
          <w:iCs/>
          <w:szCs w:val="24"/>
          <w:lang w:val="en-CA"/>
        </w:rPr>
        <w:t xml:space="preserve"> </w:t>
      </w:r>
      <w:r w:rsidR="00CF2333">
        <w:rPr>
          <w:rFonts w:cs="Arial"/>
          <w:iCs/>
          <w:szCs w:val="24"/>
          <w:lang w:val="en-CA"/>
        </w:rPr>
        <w:t>At that time, t</w:t>
      </w:r>
      <w:r w:rsidR="003A5946" w:rsidRPr="005620DC">
        <w:rPr>
          <w:rFonts w:cs="Arial"/>
          <w:iCs/>
          <w:szCs w:val="24"/>
          <w:lang w:val="en-CA"/>
        </w:rPr>
        <w:t>he father was working in Chicoutimi.</w:t>
      </w:r>
      <w:r w:rsidRPr="005620DC">
        <w:rPr>
          <w:rFonts w:cs="Arial"/>
          <w:iCs/>
          <w:szCs w:val="24"/>
          <w:lang w:val="en-CA"/>
        </w:rPr>
        <w:t xml:space="preserve"> </w:t>
      </w:r>
      <w:r w:rsidR="003A5946" w:rsidRPr="005620DC">
        <w:rPr>
          <w:rFonts w:cs="Arial"/>
          <w:iCs/>
          <w:szCs w:val="24"/>
          <w:lang w:val="en-CA"/>
        </w:rPr>
        <w:t xml:space="preserve">As she had no fixed address, contact with her children was difficult, especially since she continued to </w:t>
      </w:r>
      <w:r w:rsidR="00CF2333">
        <w:rPr>
          <w:rFonts w:cs="Arial"/>
          <w:iCs/>
          <w:szCs w:val="24"/>
          <w:lang w:val="en-CA"/>
        </w:rPr>
        <w:t>use substances</w:t>
      </w:r>
      <w:r w:rsidR="003A5946" w:rsidRPr="005620DC">
        <w:rPr>
          <w:rFonts w:cs="Arial"/>
          <w:iCs/>
          <w:szCs w:val="24"/>
          <w:lang w:val="en-CA"/>
        </w:rPr>
        <w:t>.</w:t>
      </w:r>
      <w:r w:rsidRPr="005620DC">
        <w:rPr>
          <w:rFonts w:cs="Arial"/>
          <w:iCs/>
          <w:szCs w:val="24"/>
          <w:lang w:val="en-CA"/>
        </w:rPr>
        <w:t xml:space="preserve"> </w:t>
      </w:r>
      <w:r w:rsidR="003A5946" w:rsidRPr="005620DC">
        <w:rPr>
          <w:rFonts w:cs="Arial"/>
          <w:iCs/>
          <w:szCs w:val="24"/>
          <w:lang w:val="en-CA"/>
        </w:rPr>
        <w:t>She had trouble ad</w:t>
      </w:r>
      <w:r w:rsidR="00CF2333">
        <w:rPr>
          <w:rFonts w:cs="Arial"/>
          <w:iCs/>
          <w:szCs w:val="24"/>
          <w:lang w:val="en-CA"/>
        </w:rPr>
        <w:t>justing</w:t>
      </w:r>
      <w:r w:rsidR="003A5946" w:rsidRPr="005620DC">
        <w:rPr>
          <w:rFonts w:cs="Arial"/>
          <w:iCs/>
          <w:szCs w:val="24"/>
          <w:lang w:val="en-CA"/>
        </w:rPr>
        <w:t xml:space="preserve"> </w:t>
      </w:r>
      <w:r w:rsidR="00542ABF">
        <w:rPr>
          <w:rFonts w:cs="Arial"/>
          <w:iCs/>
          <w:szCs w:val="24"/>
          <w:lang w:val="en-CA"/>
        </w:rPr>
        <w:t xml:space="preserve">to </w:t>
      </w:r>
      <w:r w:rsidR="003A5946" w:rsidRPr="005620DC">
        <w:rPr>
          <w:rFonts w:cs="Arial"/>
          <w:iCs/>
          <w:szCs w:val="24"/>
          <w:lang w:val="en-CA"/>
        </w:rPr>
        <w:t>Chicoutimi, primarily because she does not speak French.</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It was in this context that she committed the present offences between April</w:t>
      </w:r>
      <w:r w:rsidR="00191D65">
        <w:rPr>
          <w:rFonts w:cs="Arial"/>
          <w:iCs/>
          <w:szCs w:val="24"/>
          <w:lang w:val="en-CA"/>
        </w:rPr>
        <w:t> </w:t>
      </w:r>
      <w:r w:rsidRPr="005620DC">
        <w:rPr>
          <w:rFonts w:cs="Arial"/>
          <w:iCs/>
          <w:szCs w:val="24"/>
          <w:lang w:val="en-CA"/>
        </w:rPr>
        <w:t>29,</w:t>
      </w:r>
      <w:r w:rsidR="00191D65">
        <w:rPr>
          <w:rFonts w:cs="Arial"/>
          <w:iCs/>
          <w:szCs w:val="24"/>
          <w:lang w:val="en-CA"/>
        </w:rPr>
        <w:t> </w:t>
      </w:r>
      <w:r w:rsidRPr="005620DC">
        <w:rPr>
          <w:rFonts w:cs="Arial"/>
          <w:iCs/>
          <w:szCs w:val="24"/>
          <w:lang w:val="en-CA"/>
        </w:rPr>
        <w:t>2020, and October 3,</w:t>
      </w:r>
      <w:r w:rsidR="00191D65">
        <w:rPr>
          <w:rFonts w:cs="Arial"/>
          <w:iCs/>
          <w:szCs w:val="24"/>
          <w:lang w:val="en-CA"/>
        </w:rPr>
        <w:t> </w:t>
      </w:r>
      <w:r w:rsidRPr="005620DC">
        <w:rPr>
          <w:rFonts w:cs="Arial"/>
          <w:iCs/>
          <w:szCs w:val="24"/>
          <w:lang w:val="en-CA"/>
        </w:rPr>
        <w:t>2021.</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She </w:t>
      </w:r>
      <w:proofErr w:type="gramStart"/>
      <w:r w:rsidRPr="005620DC">
        <w:rPr>
          <w:rFonts w:cs="Arial"/>
          <w:iCs/>
          <w:szCs w:val="24"/>
          <w:lang w:val="en-CA"/>
        </w:rPr>
        <w:t>was arrested and released with various conditions</w:t>
      </w:r>
      <w:r w:rsidR="00CF2333" w:rsidRPr="00CF2333">
        <w:rPr>
          <w:rFonts w:cs="Arial"/>
          <w:iCs/>
          <w:szCs w:val="24"/>
          <w:lang w:val="en-CA"/>
        </w:rPr>
        <w:t xml:space="preserve"> </w:t>
      </w:r>
      <w:r w:rsidR="00CF2333" w:rsidRPr="005620DC">
        <w:rPr>
          <w:rFonts w:cs="Arial"/>
          <w:iCs/>
          <w:szCs w:val="24"/>
          <w:lang w:val="en-CA"/>
        </w:rPr>
        <w:t>several times</w:t>
      </w:r>
      <w:proofErr w:type="gramEnd"/>
      <w:r w:rsidRPr="005620DC">
        <w:rPr>
          <w:rFonts w:cs="Arial"/>
          <w:iCs/>
          <w:szCs w:val="24"/>
          <w:lang w:val="en-CA"/>
        </w:rPr>
        <w:t xml:space="preserve">. In Chicoutimi, she </w:t>
      </w:r>
      <w:proofErr w:type="gramStart"/>
      <w:r w:rsidRPr="005620DC">
        <w:rPr>
          <w:rFonts w:cs="Arial"/>
          <w:iCs/>
          <w:szCs w:val="24"/>
          <w:lang w:val="en-CA"/>
        </w:rPr>
        <w:t xml:space="preserve">was </w:t>
      </w:r>
      <w:r w:rsidR="00CF2333">
        <w:rPr>
          <w:rFonts w:cs="Arial"/>
          <w:iCs/>
          <w:szCs w:val="24"/>
          <w:lang w:val="en-CA"/>
        </w:rPr>
        <w:t>sent</w:t>
      </w:r>
      <w:proofErr w:type="gramEnd"/>
      <w:r w:rsidR="00CF2333">
        <w:rPr>
          <w:rFonts w:cs="Arial"/>
          <w:iCs/>
          <w:szCs w:val="24"/>
          <w:lang w:val="en-CA"/>
        </w:rPr>
        <w:t xml:space="preserve"> </w:t>
      </w:r>
      <w:r w:rsidRPr="005620DC">
        <w:rPr>
          <w:rFonts w:cs="Arial"/>
          <w:iCs/>
          <w:szCs w:val="24"/>
          <w:lang w:val="en-CA"/>
        </w:rPr>
        <w:t xml:space="preserve">to </w:t>
      </w:r>
      <w:proofErr w:type="spellStart"/>
      <w:r w:rsidR="00CF2333">
        <w:rPr>
          <w:rFonts w:cs="Arial"/>
          <w:iCs/>
          <w:szCs w:val="24"/>
          <w:lang w:val="en-CA"/>
        </w:rPr>
        <w:t>Maison</w:t>
      </w:r>
      <w:proofErr w:type="spellEnd"/>
      <w:r w:rsidR="00CF2333">
        <w:rPr>
          <w:rFonts w:cs="Arial"/>
          <w:iCs/>
          <w:szCs w:val="24"/>
          <w:lang w:val="en-CA"/>
        </w:rPr>
        <w:t xml:space="preserve"> des sans-</w:t>
      </w:r>
      <w:proofErr w:type="spellStart"/>
      <w:r w:rsidR="00CF2333">
        <w:rPr>
          <w:rFonts w:cs="Arial"/>
          <w:iCs/>
          <w:szCs w:val="24"/>
          <w:lang w:val="en-CA"/>
        </w:rPr>
        <w:t>abris</w:t>
      </w:r>
      <w:proofErr w:type="spellEnd"/>
      <w:r w:rsidR="00CF2333">
        <w:rPr>
          <w:rFonts w:cs="Arial"/>
          <w:iCs/>
          <w:szCs w:val="24"/>
          <w:lang w:val="en-CA"/>
        </w:rPr>
        <w:t xml:space="preserve"> </w:t>
      </w:r>
      <w:r w:rsidRPr="005620DC">
        <w:rPr>
          <w:rFonts w:cs="Arial"/>
          <w:iCs/>
          <w:szCs w:val="24"/>
          <w:lang w:val="en-CA"/>
        </w:rPr>
        <w:t xml:space="preserve">and Le </w:t>
      </w:r>
      <w:proofErr w:type="spellStart"/>
      <w:r w:rsidRPr="005620DC">
        <w:rPr>
          <w:rFonts w:cs="Arial"/>
          <w:iCs/>
          <w:szCs w:val="24"/>
          <w:lang w:val="en-CA"/>
        </w:rPr>
        <w:t>Rivage</w:t>
      </w:r>
      <w:proofErr w:type="spellEnd"/>
      <w:r w:rsidRPr="005620DC">
        <w:rPr>
          <w:rFonts w:cs="Arial"/>
          <w:iCs/>
          <w:szCs w:val="24"/>
          <w:lang w:val="en-CA"/>
        </w:rPr>
        <w:t xml:space="preserve">, an organization for women in difficulty. She </w:t>
      </w:r>
      <w:r w:rsidR="00542ABF">
        <w:rPr>
          <w:rFonts w:cs="Arial"/>
          <w:iCs/>
          <w:szCs w:val="24"/>
          <w:lang w:val="en-CA"/>
        </w:rPr>
        <w:t xml:space="preserve">was unable to </w:t>
      </w:r>
      <w:r w:rsidRPr="005620DC">
        <w:rPr>
          <w:rFonts w:cs="Arial"/>
          <w:iCs/>
          <w:szCs w:val="24"/>
          <w:lang w:val="en-CA"/>
        </w:rPr>
        <w:t>comply with her undertakings concerning consumption, curfew, and addresses.</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 xml:space="preserve">At the time of </w:t>
      </w:r>
      <w:r w:rsidR="003A5946" w:rsidRPr="005620DC">
        <w:rPr>
          <w:rFonts w:cs="Arial"/>
          <w:iCs/>
          <w:szCs w:val="24"/>
          <w:lang w:val="en-CA"/>
        </w:rPr>
        <w:t>sentencing submissions on November 11,</w:t>
      </w:r>
      <w:r w:rsidR="00191D65">
        <w:rPr>
          <w:rFonts w:cs="Arial"/>
          <w:iCs/>
          <w:szCs w:val="24"/>
          <w:lang w:val="en-CA"/>
        </w:rPr>
        <w:t> </w:t>
      </w:r>
      <w:r w:rsidR="003A5946" w:rsidRPr="005620DC">
        <w:rPr>
          <w:rFonts w:cs="Arial"/>
          <w:iCs/>
          <w:szCs w:val="24"/>
          <w:lang w:val="en-CA"/>
        </w:rPr>
        <w:t>2021, she had spent 42 days in custody.</w:t>
      </w:r>
      <w:r w:rsidRPr="005620DC">
        <w:rPr>
          <w:rFonts w:cs="Arial"/>
          <w:iCs/>
          <w:szCs w:val="24"/>
          <w:lang w:val="en-CA"/>
        </w:rPr>
        <w:t xml:space="preserve"> </w:t>
      </w:r>
      <w:r w:rsidR="003A5946" w:rsidRPr="005620DC">
        <w:rPr>
          <w:rFonts w:cs="Arial"/>
          <w:iCs/>
          <w:szCs w:val="24"/>
          <w:lang w:val="en-CA"/>
        </w:rPr>
        <w:t xml:space="preserve">Additional credit </w:t>
      </w:r>
      <w:proofErr w:type="gramStart"/>
      <w:r w:rsidR="003A5946" w:rsidRPr="005620DC">
        <w:rPr>
          <w:rFonts w:cs="Arial"/>
          <w:iCs/>
          <w:szCs w:val="24"/>
          <w:lang w:val="en-CA"/>
        </w:rPr>
        <w:t>was added</w:t>
      </w:r>
      <w:proofErr w:type="gramEnd"/>
      <w:r w:rsidR="003A5946" w:rsidRPr="005620DC">
        <w:rPr>
          <w:rFonts w:cs="Arial"/>
          <w:iCs/>
          <w:szCs w:val="24"/>
          <w:lang w:val="en-CA"/>
        </w:rPr>
        <w:t xml:space="preserve"> for the subsequent period of deliberations.</w:t>
      </w:r>
    </w:p>
    <w:p w:rsidR="00A17E81" w:rsidRPr="005620DC" w:rsidRDefault="00132D88" w:rsidP="00A17E81">
      <w:pPr>
        <w:pStyle w:val="Titre4"/>
        <w:spacing w:after="120"/>
        <w:rPr>
          <w:rFonts w:cs="Arial"/>
          <w:szCs w:val="24"/>
          <w:lang w:val="en-CA"/>
        </w:rPr>
      </w:pPr>
      <w:r w:rsidRPr="005620DC">
        <w:rPr>
          <w:rFonts w:cs="Arial"/>
          <w:szCs w:val="24"/>
          <w:lang w:val="en-CA"/>
        </w:rPr>
        <w:lastRenderedPageBreak/>
        <w:t>ANALYSIS AND DECISION</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Ms. </w:t>
      </w:r>
      <w:proofErr w:type="spellStart"/>
      <w:r w:rsidRPr="005620DC">
        <w:rPr>
          <w:rFonts w:cs="Arial"/>
          <w:iCs/>
          <w:szCs w:val="24"/>
          <w:lang w:val="en-CA"/>
        </w:rPr>
        <w:t>Killiktee</w:t>
      </w:r>
      <w:proofErr w:type="spellEnd"/>
      <w:r w:rsidRPr="005620DC">
        <w:rPr>
          <w:rFonts w:cs="Arial"/>
          <w:iCs/>
          <w:szCs w:val="24"/>
          <w:lang w:val="en-CA"/>
        </w:rPr>
        <w:t xml:space="preserve"> pleaded guilty to the following offences,</w:t>
      </w:r>
      <w:r>
        <w:rPr>
          <w:rStyle w:val="Appelnotedebasdep"/>
          <w:rFonts w:cs="Arial"/>
          <w:iCs/>
          <w:szCs w:val="24"/>
          <w:lang w:val="en-CA"/>
        </w:rPr>
        <w:footnoteReference w:id="16"/>
      </w:r>
      <w:r w:rsidRPr="005620DC">
        <w:rPr>
          <w:rFonts w:cs="Arial"/>
          <w:iCs/>
          <w:szCs w:val="24"/>
          <w:lang w:val="en-CA"/>
        </w:rPr>
        <w:t xml:space="preserve"> even though she </w:t>
      </w:r>
      <w:r w:rsidR="006000C2" w:rsidRPr="005620DC">
        <w:rPr>
          <w:rFonts w:cs="Arial"/>
          <w:iCs/>
          <w:szCs w:val="24"/>
          <w:lang w:val="en-CA"/>
        </w:rPr>
        <w:t>ha</w:t>
      </w:r>
      <w:r w:rsidR="006000C2">
        <w:rPr>
          <w:rFonts w:cs="Arial"/>
          <w:iCs/>
          <w:szCs w:val="24"/>
          <w:lang w:val="en-CA"/>
        </w:rPr>
        <w:t>s</w:t>
      </w:r>
      <w:r w:rsidR="006000C2" w:rsidRPr="005620DC">
        <w:rPr>
          <w:rFonts w:cs="Arial"/>
          <w:iCs/>
          <w:szCs w:val="24"/>
          <w:lang w:val="en-CA"/>
        </w:rPr>
        <w:t xml:space="preserve"> </w:t>
      </w:r>
      <w:r w:rsidR="004B5A10">
        <w:rPr>
          <w:rFonts w:cs="Arial"/>
          <w:iCs/>
          <w:szCs w:val="24"/>
          <w:lang w:val="en-CA"/>
        </w:rPr>
        <w:t xml:space="preserve">little </w:t>
      </w:r>
      <w:r w:rsidRPr="005620DC">
        <w:rPr>
          <w:rFonts w:cs="Arial"/>
          <w:iCs/>
          <w:szCs w:val="24"/>
          <w:lang w:val="en-CA"/>
        </w:rPr>
        <w:t xml:space="preserve">memory </w:t>
      </w:r>
      <w:r w:rsidR="004B5A10">
        <w:rPr>
          <w:rFonts w:cs="Arial"/>
          <w:iCs/>
          <w:szCs w:val="24"/>
          <w:lang w:val="en-CA"/>
        </w:rPr>
        <w:t xml:space="preserve">of most </w:t>
      </w:r>
      <w:r w:rsidRPr="005620DC">
        <w:rPr>
          <w:rFonts w:cs="Arial"/>
          <w:iCs/>
          <w:szCs w:val="24"/>
          <w:lang w:val="en-CA"/>
        </w:rPr>
        <w:t xml:space="preserve">of them because she was intoxicated: </w:t>
      </w:r>
    </w:p>
    <w:p w:rsidR="00A17E81" w:rsidRPr="005620DC" w:rsidRDefault="00A17E81" w:rsidP="00A17E81">
      <w:pPr>
        <w:rPr>
          <w:lang w:val="en-CA"/>
        </w:rPr>
      </w:pPr>
    </w:p>
    <w:tbl>
      <w:tblPr>
        <w:tblStyle w:val="Grilledutableau"/>
        <w:tblW w:w="7194" w:type="dxa"/>
        <w:jc w:val="center"/>
        <w:tblLook w:val="04A0" w:firstRow="1" w:lastRow="0" w:firstColumn="1" w:lastColumn="0" w:noHBand="0" w:noVBand="1"/>
      </w:tblPr>
      <w:tblGrid>
        <w:gridCol w:w="1807"/>
        <w:gridCol w:w="5387"/>
      </w:tblGrid>
      <w:tr w:rsidR="00905C1D" w:rsidTr="00A17E81">
        <w:trPr>
          <w:jc w:val="center"/>
        </w:trPr>
        <w:tc>
          <w:tcPr>
            <w:tcW w:w="1807" w:type="dxa"/>
          </w:tcPr>
          <w:p w:rsidR="00A17E81" w:rsidRPr="005620DC" w:rsidRDefault="00132D88" w:rsidP="00A17E81">
            <w:pPr>
              <w:rPr>
                <w:rFonts w:cs="Arial"/>
                <w:sz w:val="22"/>
                <w:szCs w:val="22"/>
                <w:lang w:val="en-CA"/>
              </w:rPr>
            </w:pPr>
            <w:r w:rsidRPr="005620DC">
              <w:rPr>
                <w:rFonts w:cs="Arial"/>
                <w:sz w:val="22"/>
                <w:szCs w:val="22"/>
                <w:lang w:val="en-CA"/>
              </w:rPr>
              <w:t>April 29, 2020</w:t>
            </w:r>
          </w:p>
        </w:tc>
        <w:tc>
          <w:tcPr>
            <w:tcW w:w="5387" w:type="dxa"/>
          </w:tcPr>
          <w:p w:rsidR="00A17E81" w:rsidRPr="005620DC" w:rsidRDefault="00132D88" w:rsidP="00A17E81">
            <w:pPr>
              <w:jc w:val="both"/>
              <w:rPr>
                <w:rFonts w:cs="Arial"/>
                <w:sz w:val="22"/>
                <w:szCs w:val="22"/>
                <w:lang w:val="en-CA"/>
              </w:rPr>
            </w:pPr>
            <w:r>
              <w:rPr>
                <w:rFonts w:cs="Arial"/>
                <w:sz w:val="22"/>
                <w:szCs w:val="22"/>
                <w:lang w:val="en-CA"/>
              </w:rPr>
              <w:t>Threating</w:t>
            </w:r>
            <w:r w:rsidR="003A5946" w:rsidRPr="005620DC">
              <w:rPr>
                <w:rFonts w:cs="Arial"/>
                <w:sz w:val="22"/>
                <w:szCs w:val="22"/>
                <w:lang w:val="en-CA"/>
              </w:rPr>
              <w:t xml:space="preserve"> and assault</w:t>
            </w:r>
            <w:r>
              <w:rPr>
                <w:rFonts w:cs="Arial"/>
                <w:sz w:val="22"/>
                <w:szCs w:val="22"/>
                <w:lang w:val="en-CA"/>
              </w:rPr>
              <w:t>ing</w:t>
            </w:r>
            <w:r w:rsidR="003A5946" w:rsidRPr="005620DC">
              <w:rPr>
                <w:rFonts w:cs="Arial"/>
                <w:sz w:val="22"/>
                <w:szCs w:val="22"/>
                <w:lang w:val="en-CA"/>
              </w:rPr>
              <w:t xml:space="preserve"> </w:t>
            </w:r>
            <w:proofErr w:type="spellStart"/>
            <w:r w:rsidR="003A5946" w:rsidRPr="005620DC">
              <w:rPr>
                <w:rFonts w:cs="Arial"/>
                <w:sz w:val="22"/>
                <w:szCs w:val="22"/>
                <w:lang w:val="en-CA"/>
              </w:rPr>
              <w:t>Shomari</w:t>
            </w:r>
            <w:proofErr w:type="spellEnd"/>
            <w:r w:rsidR="003A5946" w:rsidRPr="005620DC">
              <w:rPr>
                <w:rFonts w:cs="Arial"/>
                <w:sz w:val="22"/>
                <w:szCs w:val="22"/>
                <w:lang w:val="en-CA"/>
              </w:rPr>
              <w:t xml:space="preserve"> Blades</w:t>
            </w:r>
          </w:p>
          <w:p w:rsidR="00A17E81" w:rsidRPr="005620DC" w:rsidRDefault="00132D88" w:rsidP="00CF2333">
            <w:pPr>
              <w:jc w:val="both"/>
              <w:rPr>
                <w:rFonts w:cs="Arial"/>
                <w:sz w:val="22"/>
                <w:szCs w:val="22"/>
                <w:lang w:val="en-CA"/>
              </w:rPr>
            </w:pPr>
            <w:r>
              <w:rPr>
                <w:rFonts w:cs="Arial"/>
                <w:sz w:val="22"/>
                <w:szCs w:val="22"/>
                <w:lang w:val="en-CA"/>
              </w:rPr>
              <w:t>Assaulting</w:t>
            </w:r>
            <w:r w:rsidR="003A5946" w:rsidRPr="005620DC">
              <w:rPr>
                <w:rFonts w:cs="Arial"/>
                <w:sz w:val="22"/>
                <w:szCs w:val="22"/>
                <w:lang w:val="en-CA"/>
              </w:rPr>
              <w:t xml:space="preserve"> police officers</w:t>
            </w:r>
            <w:r w:rsidRPr="005620DC">
              <w:rPr>
                <w:rFonts w:cs="Arial"/>
                <w:sz w:val="22"/>
                <w:szCs w:val="22"/>
                <w:lang w:val="en-CA"/>
              </w:rPr>
              <w:t xml:space="preserve"> </w:t>
            </w:r>
          </w:p>
        </w:tc>
      </w:tr>
      <w:tr w:rsidR="00905C1D" w:rsidTr="00A17E81">
        <w:trPr>
          <w:jc w:val="center"/>
        </w:trPr>
        <w:tc>
          <w:tcPr>
            <w:tcW w:w="1807" w:type="dxa"/>
          </w:tcPr>
          <w:p w:rsidR="00A17E81" w:rsidRPr="005620DC" w:rsidRDefault="00132D88" w:rsidP="00A17E81">
            <w:pPr>
              <w:rPr>
                <w:rFonts w:cs="Arial"/>
                <w:sz w:val="22"/>
                <w:szCs w:val="22"/>
                <w:lang w:val="en-CA"/>
              </w:rPr>
            </w:pPr>
            <w:r w:rsidRPr="005620DC">
              <w:rPr>
                <w:rFonts w:cs="Arial"/>
                <w:sz w:val="22"/>
                <w:szCs w:val="22"/>
                <w:lang w:val="en-CA"/>
              </w:rPr>
              <w:t>March 19,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Assault</w:t>
            </w:r>
            <w:r w:rsidR="00952359">
              <w:rPr>
                <w:rFonts w:cs="Arial"/>
                <w:sz w:val="22"/>
                <w:szCs w:val="22"/>
                <w:lang w:val="en-CA"/>
              </w:rPr>
              <w:t>ing</w:t>
            </w:r>
            <w:r w:rsidRPr="005620DC">
              <w:rPr>
                <w:rFonts w:cs="Arial"/>
                <w:sz w:val="22"/>
                <w:szCs w:val="22"/>
                <w:lang w:val="en-CA"/>
              </w:rPr>
              <w:t xml:space="preserve"> Mélanie </w:t>
            </w:r>
            <w:proofErr w:type="spellStart"/>
            <w:r w:rsidRPr="005620DC">
              <w:rPr>
                <w:rFonts w:cs="Arial"/>
                <w:sz w:val="22"/>
                <w:szCs w:val="22"/>
                <w:lang w:val="en-CA"/>
              </w:rPr>
              <w:t>Hince</w:t>
            </w:r>
            <w:proofErr w:type="spellEnd"/>
          </w:p>
          <w:p w:rsidR="00A17E81" w:rsidRPr="005620DC" w:rsidRDefault="00132D88" w:rsidP="00A17E81">
            <w:pPr>
              <w:jc w:val="both"/>
              <w:rPr>
                <w:rFonts w:cs="Arial"/>
                <w:sz w:val="22"/>
                <w:szCs w:val="22"/>
                <w:lang w:val="en-CA"/>
              </w:rPr>
            </w:pPr>
            <w:r>
              <w:rPr>
                <w:rFonts w:cs="Arial"/>
                <w:sz w:val="22"/>
                <w:szCs w:val="22"/>
                <w:lang w:val="en-CA"/>
              </w:rPr>
              <w:t xml:space="preserve">Breach of </w:t>
            </w:r>
            <w:r w:rsidR="003A5946" w:rsidRPr="005620DC">
              <w:rPr>
                <w:rFonts w:cs="Arial"/>
                <w:sz w:val="22"/>
                <w:szCs w:val="22"/>
                <w:lang w:val="en-CA"/>
              </w:rPr>
              <w:t>RO</w:t>
            </w:r>
          </w:p>
        </w:tc>
      </w:tr>
      <w:tr w:rsidR="00905C1D" w:rsidTr="00A17E81">
        <w:trPr>
          <w:jc w:val="center"/>
        </w:trPr>
        <w:tc>
          <w:tcPr>
            <w:tcW w:w="1807" w:type="dxa"/>
          </w:tcPr>
          <w:p w:rsidR="00A17E81" w:rsidRPr="005620DC" w:rsidRDefault="00132D88" w:rsidP="00A17E81">
            <w:pPr>
              <w:rPr>
                <w:rFonts w:cs="Arial"/>
                <w:sz w:val="22"/>
                <w:szCs w:val="22"/>
                <w:lang w:val="en-CA"/>
              </w:rPr>
            </w:pPr>
            <w:r w:rsidRPr="005620DC">
              <w:rPr>
                <w:rFonts w:cs="Arial"/>
                <w:sz w:val="22"/>
                <w:szCs w:val="22"/>
                <w:lang w:val="en-CA"/>
              </w:rPr>
              <w:t>June 15, 2021</w:t>
            </w:r>
          </w:p>
        </w:tc>
        <w:tc>
          <w:tcPr>
            <w:tcW w:w="5387" w:type="dxa"/>
          </w:tcPr>
          <w:p w:rsidR="00A17E81" w:rsidRPr="004B5A10" w:rsidRDefault="00132D88" w:rsidP="00CF2333">
            <w:pPr>
              <w:jc w:val="both"/>
              <w:rPr>
                <w:rFonts w:cs="Arial"/>
                <w:sz w:val="22"/>
                <w:szCs w:val="22"/>
                <w:lang w:val="en-CA"/>
              </w:rPr>
            </w:pPr>
            <w:r w:rsidRPr="005620DC">
              <w:rPr>
                <w:rFonts w:cs="Arial"/>
                <w:sz w:val="22"/>
                <w:szCs w:val="22"/>
                <w:lang w:val="en-CA"/>
              </w:rPr>
              <w:t>Three breaches of RO</w:t>
            </w:r>
          </w:p>
        </w:tc>
      </w:tr>
      <w:tr w:rsidR="00905C1D" w:rsidTr="00A17E81">
        <w:trPr>
          <w:jc w:val="center"/>
        </w:trPr>
        <w:tc>
          <w:tcPr>
            <w:tcW w:w="1807" w:type="dxa"/>
          </w:tcPr>
          <w:p w:rsidR="00A17E81" w:rsidRPr="005620DC" w:rsidRDefault="00132D88" w:rsidP="00A17E81">
            <w:pPr>
              <w:rPr>
                <w:rFonts w:cs="Arial"/>
                <w:sz w:val="22"/>
                <w:szCs w:val="22"/>
                <w:lang w:val="en-CA"/>
              </w:rPr>
            </w:pPr>
            <w:r w:rsidRPr="005620DC">
              <w:rPr>
                <w:rFonts w:cs="Arial"/>
                <w:sz w:val="22"/>
                <w:szCs w:val="22"/>
                <w:lang w:val="en-CA"/>
              </w:rPr>
              <w:t>July 13,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Threatening police officers</w:t>
            </w:r>
          </w:p>
          <w:p w:rsidR="00A17E81" w:rsidRPr="005620DC" w:rsidRDefault="00132D88" w:rsidP="00CF2333">
            <w:pPr>
              <w:jc w:val="both"/>
              <w:rPr>
                <w:rFonts w:cs="Arial"/>
                <w:sz w:val="22"/>
                <w:szCs w:val="22"/>
                <w:lang w:val="en-CA"/>
              </w:rPr>
            </w:pPr>
            <w:r w:rsidRPr="005620DC">
              <w:rPr>
                <w:rFonts w:cs="Arial"/>
                <w:sz w:val="22"/>
                <w:szCs w:val="22"/>
                <w:lang w:val="en-CA"/>
              </w:rPr>
              <w:t>Seven breaches of RO</w:t>
            </w:r>
          </w:p>
        </w:tc>
      </w:tr>
      <w:tr w:rsidR="00905C1D" w:rsidTr="00A17E81">
        <w:trPr>
          <w:jc w:val="center"/>
        </w:trPr>
        <w:tc>
          <w:tcPr>
            <w:tcW w:w="1807" w:type="dxa"/>
          </w:tcPr>
          <w:p w:rsidR="00A17E81" w:rsidRPr="005620DC" w:rsidRDefault="00132D88" w:rsidP="00A17E81">
            <w:pPr>
              <w:rPr>
                <w:rFonts w:cs="Arial"/>
                <w:sz w:val="22"/>
                <w:szCs w:val="22"/>
                <w:lang w:val="en-CA"/>
              </w:rPr>
            </w:pPr>
            <w:r w:rsidRPr="005620DC">
              <w:rPr>
                <w:rFonts w:cs="Arial"/>
                <w:sz w:val="22"/>
                <w:szCs w:val="22"/>
                <w:lang w:val="en-CA"/>
              </w:rPr>
              <w:t xml:space="preserve">August 2, 2021 </w:t>
            </w:r>
          </w:p>
        </w:tc>
        <w:tc>
          <w:tcPr>
            <w:tcW w:w="5387" w:type="dxa"/>
          </w:tcPr>
          <w:p w:rsidR="00A17E81" w:rsidRPr="005620DC" w:rsidRDefault="00132D88" w:rsidP="00A17E81">
            <w:pPr>
              <w:jc w:val="both"/>
              <w:rPr>
                <w:rFonts w:cs="Arial"/>
                <w:sz w:val="22"/>
                <w:szCs w:val="22"/>
                <w:lang w:val="en-CA"/>
              </w:rPr>
            </w:pPr>
            <w:r>
              <w:rPr>
                <w:rFonts w:cs="Arial"/>
                <w:sz w:val="22"/>
                <w:szCs w:val="22"/>
                <w:lang w:val="en-CA"/>
              </w:rPr>
              <w:t xml:space="preserve">Two breaches of </w:t>
            </w:r>
            <w:r w:rsidR="003A5946" w:rsidRPr="005620DC">
              <w:rPr>
                <w:rFonts w:cs="Arial"/>
                <w:sz w:val="22"/>
                <w:szCs w:val="22"/>
                <w:lang w:val="en-CA"/>
              </w:rPr>
              <w:t>RO</w:t>
            </w:r>
          </w:p>
        </w:tc>
      </w:tr>
      <w:tr w:rsidR="00905C1D" w:rsidTr="00A17E81">
        <w:trPr>
          <w:jc w:val="center"/>
        </w:trPr>
        <w:tc>
          <w:tcPr>
            <w:tcW w:w="1807" w:type="dxa"/>
          </w:tcPr>
          <w:p w:rsidR="00A17E81" w:rsidRPr="005620DC" w:rsidRDefault="00132D88" w:rsidP="00A17E81">
            <w:pPr>
              <w:rPr>
                <w:rFonts w:cs="Arial"/>
                <w:sz w:val="22"/>
                <w:szCs w:val="22"/>
                <w:lang w:val="en-CA"/>
              </w:rPr>
            </w:pPr>
            <w:r w:rsidRPr="005620DC">
              <w:rPr>
                <w:rFonts w:cs="Arial"/>
                <w:sz w:val="22"/>
                <w:szCs w:val="22"/>
                <w:lang w:val="en-CA"/>
              </w:rPr>
              <w:t>October 3, 2021</w:t>
            </w:r>
          </w:p>
        </w:tc>
        <w:tc>
          <w:tcPr>
            <w:tcW w:w="5387" w:type="dxa"/>
          </w:tcPr>
          <w:p w:rsidR="00A17E81" w:rsidRPr="005620DC" w:rsidRDefault="00132D88" w:rsidP="00A17E81">
            <w:pPr>
              <w:jc w:val="both"/>
              <w:rPr>
                <w:rFonts w:cs="Arial"/>
                <w:sz w:val="22"/>
                <w:szCs w:val="22"/>
                <w:lang w:val="en-CA"/>
              </w:rPr>
            </w:pPr>
            <w:r w:rsidRPr="005620DC">
              <w:rPr>
                <w:rFonts w:cs="Arial"/>
                <w:sz w:val="22"/>
                <w:szCs w:val="22"/>
                <w:lang w:val="en-CA"/>
              </w:rPr>
              <w:t>Three breaches of RO (summary proceeding)</w:t>
            </w:r>
          </w:p>
          <w:p w:rsidR="00A17E81" w:rsidRPr="005620DC" w:rsidRDefault="00132D88" w:rsidP="00A17E81">
            <w:pPr>
              <w:jc w:val="both"/>
              <w:rPr>
                <w:rFonts w:cs="Arial"/>
                <w:sz w:val="22"/>
                <w:szCs w:val="22"/>
                <w:lang w:val="en-CA"/>
              </w:rPr>
            </w:pPr>
            <w:r>
              <w:rPr>
                <w:rFonts w:cs="Arial"/>
                <w:sz w:val="22"/>
                <w:szCs w:val="22"/>
                <w:lang w:val="en-CA"/>
              </w:rPr>
              <w:t xml:space="preserve">Two breaches of </w:t>
            </w:r>
            <w:r w:rsidR="003A5946" w:rsidRPr="005620DC">
              <w:rPr>
                <w:rFonts w:cs="Arial"/>
                <w:sz w:val="22"/>
                <w:szCs w:val="22"/>
                <w:lang w:val="en-CA"/>
              </w:rPr>
              <w:t>RO</w:t>
            </w:r>
          </w:p>
        </w:tc>
      </w:tr>
    </w:tbl>
    <w:p w:rsidR="00A17E81" w:rsidRPr="005620DC" w:rsidRDefault="00A17E81" w:rsidP="00A17E81">
      <w:pPr>
        <w:rPr>
          <w:lang w:val="en-CA"/>
        </w:rPr>
      </w:pP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The </w:t>
      </w:r>
      <w:r w:rsidRPr="00CF2333">
        <w:rPr>
          <w:rFonts w:cs="Arial"/>
          <w:i/>
          <w:iCs/>
          <w:szCs w:val="24"/>
          <w:lang w:val="en-CA"/>
        </w:rPr>
        <w:t>Criminal Code</w:t>
      </w:r>
      <w:r w:rsidRPr="005620DC">
        <w:rPr>
          <w:rFonts w:cs="Arial"/>
          <w:iCs/>
          <w:szCs w:val="24"/>
          <w:lang w:val="en-CA"/>
        </w:rPr>
        <w:t xml:space="preserve"> pr</w:t>
      </w:r>
      <w:r w:rsidR="00CF2333">
        <w:rPr>
          <w:rFonts w:cs="Arial"/>
          <w:iCs/>
          <w:szCs w:val="24"/>
          <w:lang w:val="en-CA"/>
        </w:rPr>
        <w:t>ovides</w:t>
      </w:r>
      <w:r w:rsidRPr="005620DC">
        <w:rPr>
          <w:rFonts w:cs="Arial"/>
          <w:iCs/>
          <w:szCs w:val="24"/>
          <w:lang w:val="en-CA"/>
        </w:rPr>
        <w:t xml:space="preserve"> maximum sentences of 5 years for assaulting a peace officer,</w:t>
      </w:r>
      <w:r>
        <w:rPr>
          <w:rStyle w:val="Appelnotedebasdep"/>
          <w:lang w:val="en-CA"/>
        </w:rPr>
        <w:footnoteReference w:id="17"/>
      </w:r>
      <w:r w:rsidRPr="005620DC">
        <w:rPr>
          <w:lang w:val="en-CA"/>
        </w:rPr>
        <w:t xml:space="preserve"> assault,</w:t>
      </w:r>
      <w:r>
        <w:rPr>
          <w:rStyle w:val="Appelnotedebasdep"/>
          <w:lang w:val="en-CA"/>
        </w:rPr>
        <w:footnoteReference w:id="18"/>
      </w:r>
      <w:r w:rsidRPr="005620DC">
        <w:rPr>
          <w:lang w:val="en-CA"/>
        </w:rPr>
        <w:t xml:space="preserve"> and uttering threats.</w:t>
      </w:r>
      <w:r>
        <w:rPr>
          <w:rStyle w:val="Appelnotedebasdep"/>
          <w:lang w:val="en-CA"/>
        </w:rPr>
        <w:footnoteReference w:id="19"/>
      </w:r>
      <w:r w:rsidRPr="005620DC">
        <w:rPr>
          <w:lang w:val="en-CA"/>
        </w:rPr>
        <w:t xml:space="preserve"> The offender i</w:t>
      </w:r>
      <w:r w:rsidR="00CF2333">
        <w:rPr>
          <w:lang w:val="en-CA"/>
        </w:rPr>
        <w:t>s liable to 2 years for breach</w:t>
      </w:r>
      <w:r w:rsidRPr="005620DC">
        <w:rPr>
          <w:lang w:val="en-CA"/>
        </w:rPr>
        <w:t xml:space="preserve"> of recognizance.</w:t>
      </w:r>
      <w:r>
        <w:rPr>
          <w:rStyle w:val="Appelnotedebasdep"/>
          <w:lang w:val="en-CA"/>
        </w:rPr>
        <w:footnoteReference w:id="20"/>
      </w:r>
    </w:p>
    <w:p w:rsidR="00A17E81" w:rsidRPr="005620DC" w:rsidRDefault="00132D88" w:rsidP="00A17E81">
      <w:pPr>
        <w:pStyle w:val="Paragraphe"/>
        <w:numPr>
          <w:ilvl w:val="0"/>
          <w:numId w:val="1"/>
        </w:numPr>
        <w:tabs>
          <w:tab w:val="clear" w:pos="360"/>
        </w:tabs>
        <w:spacing w:line="240" w:lineRule="auto"/>
        <w:rPr>
          <w:lang w:val="en-CA"/>
        </w:rPr>
      </w:pPr>
      <w:r w:rsidRPr="005620DC">
        <w:rPr>
          <w:lang w:val="en-CA"/>
        </w:rPr>
        <w:t xml:space="preserve">Moreover, s. 718 </w:t>
      </w:r>
      <w:r w:rsidRPr="00952359">
        <w:rPr>
          <w:i/>
          <w:lang w:val="en-CA"/>
        </w:rPr>
        <w:t>Cr. C.</w:t>
      </w:r>
      <w:r w:rsidRPr="005620DC">
        <w:rPr>
          <w:lang w:val="en-CA"/>
        </w:rPr>
        <w:t xml:space="preserve"> describes the general sentencing objectives: </w:t>
      </w:r>
      <w:r w:rsidR="00CF2333">
        <w:rPr>
          <w:lang w:val="en-CA"/>
        </w:rPr>
        <w:t xml:space="preserve">to </w:t>
      </w:r>
      <w:r w:rsidRPr="005620DC">
        <w:rPr>
          <w:lang w:val="en-CA"/>
        </w:rPr>
        <w:t xml:space="preserve">denounce, </w:t>
      </w:r>
      <w:r w:rsidR="00CF2333">
        <w:rPr>
          <w:lang w:val="en-CA"/>
        </w:rPr>
        <w:t xml:space="preserve">to </w:t>
      </w:r>
      <w:r w:rsidRPr="005620DC">
        <w:rPr>
          <w:lang w:val="en-CA"/>
        </w:rPr>
        <w:t xml:space="preserve">deter, </w:t>
      </w:r>
      <w:r w:rsidR="00CF2333">
        <w:rPr>
          <w:lang w:val="en-CA"/>
        </w:rPr>
        <w:t xml:space="preserve">to </w:t>
      </w:r>
      <w:r w:rsidRPr="005620DC">
        <w:rPr>
          <w:lang w:val="en-CA"/>
        </w:rPr>
        <w:t>separate offender</w:t>
      </w:r>
      <w:r w:rsidR="00CF2333">
        <w:rPr>
          <w:lang w:val="en-CA"/>
        </w:rPr>
        <w:t>s</w:t>
      </w:r>
      <w:r w:rsidRPr="005620DC">
        <w:rPr>
          <w:lang w:val="en-CA"/>
        </w:rPr>
        <w:t xml:space="preserve"> where necessary, </w:t>
      </w:r>
      <w:r w:rsidR="00CF2333">
        <w:rPr>
          <w:lang w:val="en-CA"/>
        </w:rPr>
        <w:t xml:space="preserve">to </w:t>
      </w:r>
      <w:r w:rsidRPr="005620DC">
        <w:rPr>
          <w:lang w:val="en-CA"/>
        </w:rPr>
        <w:t xml:space="preserve">assist in rehabilitating offenders, </w:t>
      </w:r>
      <w:r w:rsidR="00CF2333">
        <w:rPr>
          <w:lang w:val="en-CA"/>
        </w:rPr>
        <w:t xml:space="preserve">to </w:t>
      </w:r>
      <w:r w:rsidRPr="005620DC">
        <w:rPr>
          <w:lang w:val="en-CA"/>
        </w:rPr>
        <w:t xml:space="preserve">provide reparations for harm done, and </w:t>
      </w:r>
      <w:r w:rsidR="00CF2333">
        <w:rPr>
          <w:lang w:val="en-CA"/>
        </w:rPr>
        <w:t xml:space="preserve">to </w:t>
      </w:r>
      <w:r w:rsidRPr="005620DC">
        <w:rPr>
          <w:lang w:val="en-CA"/>
        </w:rPr>
        <w:t>promote a sense of responsibility in offenders and ackno</w:t>
      </w:r>
      <w:r w:rsidR="00952359">
        <w:rPr>
          <w:lang w:val="en-CA"/>
        </w:rPr>
        <w:t>w</w:t>
      </w:r>
      <w:r w:rsidRPr="005620DC">
        <w:rPr>
          <w:lang w:val="en-CA"/>
        </w:rPr>
        <w:t xml:space="preserve">ledgment of the harm done.   </w:t>
      </w:r>
    </w:p>
    <w:p w:rsidR="00A17E81" w:rsidRPr="005620DC" w:rsidRDefault="00132D88" w:rsidP="00A17E81">
      <w:pPr>
        <w:pStyle w:val="Paragraphe"/>
        <w:numPr>
          <w:ilvl w:val="0"/>
          <w:numId w:val="1"/>
        </w:numPr>
        <w:tabs>
          <w:tab w:val="clear" w:pos="360"/>
        </w:tabs>
        <w:spacing w:line="240" w:lineRule="auto"/>
        <w:rPr>
          <w:lang w:val="en-CA"/>
        </w:rPr>
      </w:pPr>
      <w:r w:rsidRPr="005620DC">
        <w:rPr>
          <w:lang w:val="en-CA"/>
        </w:rPr>
        <w:t xml:space="preserve">Section 718.1 </w:t>
      </w:r>
      <w:r w:rsidRPr="005620DC">
        <w:rPr>
          <w:i/>
          <w:lang w:val="en-CA"/>
        </w:rPr>
        <w:t>Cr. C.</w:t>
      </w:r>
      <w:r w:rsidRPr="005620DC">
        <w:rPr>
          <w:lang w:val="en-CA"/>
        </w:rPr>
        <w:t xml:space="preserve"> adds this fundamental principle: </w:t>
      </w:r>
      <w:r w:rsidR="00CF2333">
        <w:rPr>
          <w:lang w:val="en-CA"/>
        </w:rPr>
        <w:t>a</w:t>
      </w:r>
      <w:r w:rsidRPr="005620DC">
        <w:rPr>
          <w:lang w:val="en-CA"/>
        </w:rPr>
        <w:t xml:space="preserve"> sentence must be proportionate to the gravity of the offence and the degree of responsibility of the offender.</w:t>
      </w:r>
    </w:p>
    <w:p w:rsidR="00A17E81" w:rsidRPr="005620DC" w:rsidRDefault="00132D88" w:rsidP="00A17E81">
      <w:pPr>
        <w:pStyle w:val="Paragraphe"/>
        <w:numPr>
          <w:ilvl w:val="0"/>
          <w:numId w:val="1"/>
        </w:numPr>
        <w:tabs>
          <w:tab w:val="clear" w:pos="360"/>
        </w:tabs>
        <w:spacing w:line="240" w:lineRule="auto"/>
        <w:rPr>
          <w:lang w:val="en-CA"/>
        </w:rPr>
      </w:pPr>
      <w:r w:rsidRPr="005620DC">
        <w:rPr>
          <w:lang w:val="en-CA"/>
        </w:rPr>
        <w:t xml:space="preserve">According to s. 718.2, </w:t>
      </w:r>
      <w:r w:rsidR="00CF2333">
        <w:rPr>
          <w:lang w:val="en-CA"/>
        </w:rPr>
        <w:t>a</w:t>
      </w:r>
      <w:r w:rsidRPr="005620DC">
        <w:rPr>
          <w:lang w:val="en-CA"/>
        </w:rPr>
        <w:t xml:space="preserve"> sentence should be increased or reduced to account for any relevant aggravating or mitigating circumstances relating to the offence or the offender.</w:t>
      </w:r>
    </w:p>
    <w:p w:rsidR="00A17E81" w:rsidRPr="005620DC" w:rsidRDefault="00132D88" w:rsidP="00A17E81">
      <w:pPr>
        <w:pStyle w:val="Paragraphe"/>
        <w:numPr>
          <w:ilvl w:val="0"/>
          <w:numId w:val="1"/>
        </w:numPr>
        <w:tabs>
          <w:tab w:val="clear" w:pos="360"/>
        </w:tabs>
        <w:spacing w:line="240" w:lineRule="auto"/>
        <w:rPr>
          <w:rFonts w:eastAsia="Calibri"/>
          <w:lang w:val="en-CA" w:eastAsia="en-US"/>
        </w:rPr>
      </w:pPr>
      <w:r w:rsidRPr="005620DC">
        <w:rPr>
          <w:rFonts w:eastAsia="Calibri"/>
          <w:lang w:val="en-CA" w:eastAsia="en-US"/>
        </w:rPr>
        <w:t>In this case, the Court accepts the following aggravating factors:</w:t>
      </w:r>
    </w:p>
    <w:p w:rsidR="00A17E81" w:rsidRPr="005620DC" w:rsidRDefault="00132D88" w:rsidP="00A17E81">
      <w:pPr>
        <w:numPr>
          <w:ilvl w:val="0"/>
          <w:numId w:val="9"/>
        </w:numPr>
        <w:spacing w:before="120" w:after="120"/>
        <w:ind w:left="1260" w:hanging="540"/>
        <w:jc w:val="both"/>
        <w:rPr>
          <w:rFonts w:eastAsia="Calibri"/>
          <w:lang w:val="en-CA" w:eastAsia="en-US"/>
        </w:rPr>
      </w:pPr>
      <w:bookmarkStart w:id="1" w:name="_Ref517353223"/>
      <w:r>
        <w:rPr>
          <w:rFonts w:eastAsia="Calibri"/>
          <w:lang w:val="en-CA" w:eastAsia="en-US"/>
        </w:rPr>
        <w:t>Regarding t</w:t>
      </w:r>
      <w:r w:rsidR="003A5946" w:rsidRPr="005620DC">
        <w:rPr>
          <w:rFonts w:eastAsia="Calibri"/>
          <w:lang w:val="en-CA" w:eastAsia="en-US"/>
        </w:rPr>
        <w:t xml:space="preserve">he subjective gravity, </w:t>
      </w:r>
      <w:r>
        <w:rPr>
          <w:rFonts w:eastAsia="Calibri"/>
          <w:lang w:val="en-CA" w:eastAsia="en-US"/>
        </w:rPr>
        <w:t>that is,</w:t>
      </w:r>
      <w:r w:rsidRPr="005620DC">
        <w:rPr>
          <w:rFonts w:eastAsia="Calibri"/>
          <w:lang w:val="en-CA" w:eastAsia="en-US"/>
        </w:rPr>
        <w:t xml:space="preserve"> </w:t>
      </w:r>
      <w:r w:rsidR="003A5946" w:rsidRPr="005620DC">
        <w:rPr>
          <w:rFonts w:eastAsia="Calibri"/>
          <w:lang w:val="en-CA" w:eastAsia="en-US"/>
        </w:rPr>
        <w:t>the circumstances of the offences (how they were committed),</w:t>
      </w:r>
      <w:r>
        <w:rPr>
          <w:rStyle w:val="Appelnotedebasdep"/>
          <w:lang w:val="en-CA"/>
        </w:rPr>
        <w:footnoteReference w:id="21"/>
      </w:r>
      <w:bookmarkEnd w:id="1"/>
      <w:r w:rsidR="003A5946" w:rsidRPr="005620DC">
        <w:rPr>
          <w:lang w:val="en-CA"/>
        </w:rPr>
        <w:t xml:space="preserve"> </w:t>
      </w:r>
      <w:r>
        <w:rPr>
          <w:lang w:val="en-CA"/>
        </w:rPr>
        <w:t>there is</w:t>
      </w:r>
      <w:r w:rsidRPr="005620DC">
        <w:rPr>
          <w:lang w:val="en-CA"/>
        </w:rPr>
        <w:t xml:space="preserve"> </w:t>
      </w:r>
      <w:r w:rsidR="003A5946" w:rsidRPr="005620DC">
        <w:rPr>
          <w:lang w:val="en-CA"/>
        </w:rPr>
        <w:t>a disproportionate reaction to civil victims and police officers</w:t>
      </w:r>
      <w:r w:rsidR="00B46DBC">
        <w:rPr>
          <w:lang w:val="en-CA"/>
        </w:rPr>
        <w:t>, who</w:t>
      </w:r>
      <w:r w:rsidRPr="005620DC">
        <w:rPr>
          <w:lang w:val="en-CA"/>
        </w:rPr>
        <w:t xml:space="preserve"> </w:t>
      </w:r>
      <w:r w:rsidR="00B46DBC">
        <w:rPr>
          <w:lang w:val="en-CA"/>
        </w:rPr>
        <w:t xml:space="preserve">might </w:t>
      </w:r>
      <w:r>
        <w:rPr>
          <w:lang w:val="en-CA"/>
        </w:rPr>
        <w:t>have</w:t>
      </w:r>
      <w:r w:rsidRPr="005620DC">
        <w:rPr>
          <w:lang w:val="en-CA"/>
        </w:rPr>
        <w:t xml:space="preserve"> </w:t>
      </w:r>
      <w:r w:rsidR="003A5946" w:rsidRPr="005620DC">
        <w:rPr>
          <w:lang w:val="en-CA"/>
        </w:rPr>
        <w:t xml:space="preserve">feared for their health </w:t>
      </w:r>
      <w:r w:rsidR="00B46DBC">
        <w:rPr>
          <w:lang w:val="en-CA"/>
        </w:rPr>
        <w:t xml:space="preserve">in light of </w:t>
      </w:r>
      <w:r w:rsidR="003A5946" w:rsidRPr="005620DC">
        <w:rPr>
          <w:lang w:val="en-CA"/>
        </w:rPr>
        <w:t>COVID.</w:t>
      </w:r>
      <w:r w:rsidRPr="005620DC">
        <w:rPr>
          <w:lang w:val="en-CA"/>
        </w:rPr>
        <w:t xml:space="preserve"> </w:t>
      </w:r>
      <w:r w:rsidR="003A5946" w:rsidRPr="005620DC">
        <w:rPr>
          <w:lang w:val="en-CA"/>
        </w:rPr>
        <w:t xml:space="preserve">Furthermore, Ms. </w:t>
      </w:r>
      <w:proofErr w:type="spellStart"/>
      <w:r w:rsidR="003A5946" w:rsidRPr="005620DC">
        <w:rPr>
          <w:lang w:val="en-CA"/>
        </w:rPr>
        <w:t>Killiktee’s</w:t>
      </w:r>
      <w:proofErr w:type="spellEnd"/>
      <w:r w:rsidR="003A5946" w:rsidRPr="005620DC">
        <w:rPr>
          <w:lang w:val="en-CA"/>
        </w:rPr>
        <w:t xml:space="preserve"> behaviour was unacceptable </w:t>
      </w:r>
      <w:r w:rsidR="00CF2333">
        <w:rPr>
          <w:lang w:val="en-CA"/>
        </w:rPr>
        <w:t xml:space="preserve">because </w:t>
      </w:r>
      <w:r w:rsidR="003A5946" w:rsidRPr="005620DC">
        <w:rPr>
          <w:lang w:val="en-CA"/>
        </w:rPr>
        <w:lastRenderedPageBreak/>
        <w:t>the police officers were acting to provide assistance and prevent violence.</w:t>
      </w:r>
      <w:r>
        <w:rPr>
          <w:rStyle w:val="Appelnotedebasdep"/>
          <w:rFonts w:eastAsia="Calibri"/>
          <w:lang w:val="en-CA" w:eastAsia="en-US"/>
        </w:rPr>
        <w:footnoteReference w:id="22"/>
      </w:r>
      <w:r w:rsidRPr="005620DC">
        <w:rPr>
          <w:lang w:val="en-CA"/>
        </w:rPr>
        <w:t xml:space="preserve"> </w:t>
      </w:r>
      <w:r w:rsidR="00CF2333">
        <w:rPr>
          <w:lang w:val="en-CA"/>
        </w:rPr>
        <w:t>The Court</w:t>
      </w:r>
      <w:r w:rsidR="003A5946" w:rsidRPr="005620DC">
        <w:rPr>
          <w:lang w:val="en-CA"/>
        </w:rPr>
        <w:t xml:space="preserve"> acknowledge</w:t>
      </w:r>
      <w:r w:rsidR="00CF2333">
        <w:rPr>
          <w:lang w:val="en-CA"/>
        </w:rPr>
        <w:t>s,</w:t>
      </w:r>
      <w:r w:rsidR="00CF2333" w:rsidRPr="00CF2333">
        <w:rPr>
          <w:lang w:val="en-CA"/>
        </w:rPr>
        <w:t xml:space="preserve"> </w:t>
      </w:r>
      <w:r w:rsidR="00CF2333" w:rsidRPr="005620DC">
        <w:rPr>
          <w:lang w:val="en-CA"/>
        </w:rPr>
        <w:t xml:space="preserve">however, </w:t>
      </w:r>
      <w:r w:rsidR="003A5946" w:rsidRPr="005620DC">
        <w:rPr>
          <w:lang w:val="en-CA"/>
        </w:rPr>
        <w:t xml:space="preserve">that these offences are not as serious </w:t>
      </w:r>
      <w:proofErr w:type="gramStart"/>
      <w:r w:rsidR="003A5946" w:rsidRPr="005620DC">
        <w:rPr>
          <w:lang w:val="en-CA"/>
        </w:rPr>
        <w:t xml:space="preserve">as </w:t>
      </w:r>
      <w:r w:rsidR="00CF2333">
        <w:rPr>
          <w:lang w:val="en-CA"/>
        </w:rPr>
        <w:t xml:space="preserve">some of the </w:t>
      </w:r>
      <w:r w:rsidR="003A5946" w:rsidRPr="005620DC">
        <w:rPr>
          <w:lang w:val="en-CA"/>
        </w:rPr>
        <w:t xml:space="preserve">previous violent </w:t>
      </w:r>
      <w:r w:rsidR="00CF2333">
        <w:rPr>
          <w:lang w:val="en-CA"/>
        </w:rPr>
        <w:t>offences</w:t>
      </w:r>
      <w:proofErr w:type="gramEnd"/>
      <w:r w:rsidR="003A5946" w:rsidRPr="005620DC">
        <w:rPr>
          <w:lang w:val="en-CA"/>
        </w:rPr>
        <w:t>.</w:t>
      </w:r>
    </w:p>
    <w:p w:rsidR="00A17E81" w:rsidRPr="005620DC" w:rsidRDefault="00132D88" w:rsidP="00A17E81">
      <w:pPr>
        <w:numPr>
          <w:ilvl w:val="0"/>
          <w:numId w:val="9"/>
        </w:numPr>
        <w:spacing w:before="120" w:after="120"/>
        <w:ind w:left="1260" w:hanging="540"/>
        <w:jc w:val="both"/>
        <w:rPr>
          <w:rFonts w:eastAsia="Calibri"/>
          <w:lang w:val="en-CA" w:eastAsia="en-US"/>
        </w:rPr>
      </w:pPr>
      <w:r w:rsidRPr="005620DC">
        <w:rPr>
          <w:lang w:val="en-CA"/>
        </w:rPr>
        <w:t xml:space="preserve">Several offences were committed while she was </w:t>
      </w:r>
      <w:r w:rsidR="00CF2333">
        <w:rPr>
          <w:lang w:val="en-CA"/>
        </w:rPr>
        <w:t>subject to</w:t>
      </w:r>
      <w:r w:rsidRPr="005620DC">
        <w:rPr>
          <w:lang w:val="en-CA"/>
        </w:rPr>
        <w:t xml:space="preserve"> release conditions.</w:t>
      </w:r>
    </w:p>
    <w:p w:rsidR="00A17E81" w:rsidRPr="005620DC" w:rsidRDefault="00132D88" w:rsidP="00A17E81">
      <w:pPr>
        <w:numPr>
          <w:ilvl w:val="0"/>
          <w:numId w:val="9"/>
        </w:numPr>
        <w:spacing w:before="120" w:after="120"/>
        <w:ind w:left="1260" w:hanging="540"/>
        <w:jc w:val="both"/>
        <w:rPr>
          <w:rFonts w:eastAsia="Calibri"/>
          <w:lang w:val="en-CA" w:eastAsia="en-US"/>
        </w:rPr>
      </w:pPr>
      <w:r w:rsidRPr="005620DC">
        <w:rPr>
          <w:lang w:val="en-CA"/>
        </w:rPr>
        <w:t xml:space="preserve">She has many violent </w:t>
      </w:r>
      <w:r w:rsidR="00CF2333">
        <w:rPr>
          <w:lang w:val="en-CA"/>
        </w:rPr>
        <w:t xml:space="preserve">prior convictions </w:t>
      </w:r>
      <w:r w:rsidRPr="005620DC">
        <w:rPr>
          <w:lang w:val="en-CA"/>
        </w:rPr>
        <w:t xml:space="preserve">with </w:t>
      </w:r>
      <w:r w:rsidR="00CF2333">
        <w:rPr>
          <w:lang w:val="en-CA"/>
        </w:rPr>
        <w:t xml:space="preserve">significant </w:t>
      </w:r>
      <w:r w:rsidRPr="005620DC">
        <w:rPr>
          <w:lang w:val="en-CA"/>
        </w:rPr>
        <w:t xml:space="preserve">sentences. Clearly, her </w:t>
      </w:r>
      <w:r w:rsidR="00CF2333">
        <w:rPr>
          <w:lang w:val="en-CA"/>
        </w:rPr>
        <w:t xml:space="preserve">court </w:t>
      </w:r>
      <w:r w:rsidRPr="005620DC">
        <w:rPr>
          <w:lang w:val="en-CA"/>
        </w:rPr>
        <w:t xml:space="preserve">appearances </w:t>
      </w:r>
      <w:r w:rsidR="00CF2333">
        <w:rPr>
          <w:lang w:val="en-CA"/>
        </w:rPr>
        <w:t xml:space="preserve">have not </w:t>
      </w:r>
      <w:r w:rsidRPr="005620DC">
        <w:rPr>
          <w:lang w:val="en-CA"/>
        </w:rPr>
        <w:t xml:space="preserve">had </w:t>
      </w:r>
      <w:r w:rsidR="00CF2333">
        <w:rPr>
          <w:lang w:val="en-CA"/>
        </w:rPr>
        <w:t xml:space="preserve">any </w:t>
      </w:r>
      <w:r w:rsidRPr="005620DC">
        <w:rPr>
          <w:lang w:val="en-CA"/>
        </w:rPr>
        <w:t xml:space="preserve">deterrent effect, despite the probation periods and therapies, including </w:t>
      </w:r>
      <w:r w:rsidR="00302A99">
        <w:rPr>
          <w:lang w:val="en-CA"/>
        </w:rPr>
        <w:t>some</w:t>
      </w:r>
      <w:r w:rsidRPr="005620DC">
        <w:rPr>
          <w:lang w:val="en-CA"/>
        </w:rPr>
        <w:t xml:space="preserve"> </w:t>
      </w:r>
      <w:r w:rsidR="00302A99">
        <w:rPr>
          <w:lang w:val="en-CA"/>
        </w:rPr>
        <w:t xml:space="preserve">adapted to her </w:t>
      </w:r>
      <w:r w:rsidR="00CF2333">
        <w:rPr>
          <w:lang w:val="en-CA"/>
        </w:rPr>
        <w:t>Aboriginal</w:t>
      </w:r>
      <w:r w:rsidR="00302A99" w:rsidRPr="00302A99">
        <w:rPr>
          <w:lang w:val="en-CA"/>
        </w:rPr>
        <w:t xml:space="preserve"> </w:t>
      </w:r>
      <w:r w:rsidR="00302A99">
        <w:rPr>
          <w:lang w:val="en-CA"/>
        </w:rPr>
        <w:t>circumstances</w:t>
      </w:r>
      <w:r w:rsidRPr="005620DC">
        <w:rPr>
          <w:lang w:val="en-CA"/>
        </w:rPr>
        <w:t>.</w:t>
      </w:r>
    </w:p>
    <w:p w:rsidR="00A17E81" w:rsidRPr="005620DC" w:rsidRDefault="00132D88" w:rsidP="00A17E81">
      <w:pPr>
        <w:numPr>
          <w:ilvl w:val="0"/>
          <w:numId w:val="9"/>
        </w:numPr>
        <w:spacing w:before="120" w:after="120"/>
        <w:ind w:left="1260" w:hanging="540"/>
        <w:jc w:val="both"/>
        <w:rPr>
          <w:rFonts w:eastAsia="Calibri"/>
          <w:lang w:val="en-CA" w:eastAsia="en-US"/>
        </w:rPr>
      </w:pPr>
      <w:r w:rsidRPr="005620DC">
        <w:rPr>
          <w:lang w:val="en-CA"/>
        </w:rPr>
        <w:t xml:space="preserve">Past behaviour establishes a risk of reoffending for the future, especially since the violence is often gratuitous. As long as she has not </w:t>
      </w:r>
      <w:r w:rsidR="00CF2333">
        <w:rPr>
          <w:lang w:val="en-CA"/>
        </w:rPr>
        <w:t xml:space="preserve">addressed </w:t>
      </w:r>
      <w:r w:rsidRPr="005620DC">
        <w:rPr>
          <w:lang w:val="en-CA"/>
        </w:rPr>
        <w:t xml:space="preserve">her </w:t>
      </w:r>
      <w:r w:rsidR="00CF2333">
        <w:rPr>
          <w:lang w:val="en-CA"/>
        </w:rPr>
        <w:t xml:space="preserve">substance abuse </w:t>
      </w:r>
      <w:r w:rsidRPr="005620DC">
        <w:rPr>
          <w:lang w:val="en-CA"/>
        </w:rPr>
        <w:t>issue, she will reoffend.</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The mitigating circumstances are as follows:</w:t>
      </w:r>
    </w:p>
    <w:p w:rsidR="00A17E81" w:rsidRPr="005620DC" w:rsidRDefault="00132D88" w:rsidP="00A17E81">
      <w:pPr>
        <w:numPr>
          <w:ilvl w:val="0"/>
          <w:numId w:val="10"/>
        </w:numPr>
        <w:spacing w:before="120" w:after="120"/>
        <w:ind w:left="1260" w:hanging="540"/>
        <w:jc w:val="both"/>
        <w:rPr>
          <w:rFonts w:eastAsia="Calibri"/>
          <w:lang w:val="en-CA" w:eastAsia="en-US"/>
        </w:rPr>
      </w:pPr>
      <w:r w:rsidRPr="005620DC">
        <w:rPr>
          <w:rFonts w:eastAsia="Calibri"/>
          <w:lang w:val="en-CA" w:eastAsia="en-US"/>
        </w:rPr>
        <w:t xml:space="preserve">Ms. </w:t>
      </w:r>
      <w:proofErr w:type="spellStart"/>
      <w:r w:rsidRPr="005620DC">
        <w:rPr>
          <w:rFonts w:eastAsia="Calibri"/>
          <w:lang w:val="en-CA" w:eastAsia="en-US"/>
        </w:rPr>
        <w:t>Killiktee</w:t>
      </w:r>
      <w:proofErr w:type="spellEnd"/>
      <w:r w:rsidRPr="005620DC">
        <w:rPr>
          <w:rFonts w:eastAsia="Calibri"/>
          <w:lang w:val="en-CA" w:eastAsia="en-US"/>
        </w:rPr>
        <w:t xml:space="preserve"> pleaded guilty</w:t>
      </w:r>
      <w:r w:rsidR="00CF2333">
        <w:rPr>
          <w:rFonts w:eastAsia="Calibri"/>
          <w:lang w:val="en-CA" w:eastAsia="en-US"/>
        </w:rPr>
        <w:t>, thereby</w:t>
      </w:r>
      <w:r w:rsidRPr="005620DC">
        <w:rPr>
          <w:rFonts w:eastAsia="Calibri"/>
          <w:lang w:val="en-CA" w:eastAsia="en-US"/>
        </w:rPr>
        <w:t xml:space="preserve"> spar</w:t>
      </w:r>
      <w:r w:rsidR="00CF2333">
        <w:rPr>
          <w:rFonts w:eastAsia="Calibri"/>
          <w:lang w:val="en-CA" w:eastAsia="en-US"/>
        </w:rPr>
        <w:t>ing</w:t>
      </w:r>
      <w:r w:rsidRPr="005620DC">
        <w:rPr>
          <w:rFonts w:eastAsia="Calibri"/>
          <w:lang w:val="en-CA" w:eastAsia="en-US"/>
        </w:rPr>
        <w:t xml:space="preserve"> the victims from testifying.</w:t>
      </w:r>
    </w:p>
    <w:p w:rsidR="00A17E81" w:rsidRPr="005620DC" w:rsidRDefault="00132D88" w:rsidP="00A17E81">
      <w:pPr>
        <w:numPr>
          <w:ilvl w:val="0"/>
          <w:numId w:val="10"/>
        </w:numPr>
        <w:spacing w:before="120" w:after="120"/>
        <w:ind w:left="1260" w:hanging="540"/>
        <w:jc w:val="both"/>
        <w:rPr>
          <w:rFonts w:eastAsia="Calibri"/>
          <w:lang w:val="en-CA" w:eastAsia="en-US"/>
        </w:rPr>
      </w:pPr>
      <w:r w:rsidRPr="005620DC">
        <w:rPr>
          <w:rFonts w:eastAsia="Calibri"/>
          <w:lang w:val="en-CA" w:eastAsia="en-US"/>
        </w:rPr>
        <w:t xml:space="preserve">During her testimony, she was transparent, </w:t>
      </w:r>
      <w:r w:rsidR="00CF2333">
        <w:rPr>
          <w:rFonts w:eastAsia="Calibri"/>
          <w:lang w:val="en-CA" w:eastAsia="en-US"/>
        </w:rPr>
        <w:t>acknowledg</w:t>
      </w:r>
      <w:r w:rsidRPr="005620DC">
        <w:rPr>
          <w:rFonts w:eastAsia="Calibri"/>
          <w:lang w:val="en-CA" w:eastAsia="en-US"/>
        </w:rPr>
        <w:t>ed her issues, and asked for help. She said she is tired of this life.</w:t>
      </w:r>
    </w:p>
    <w:p w:rsidR="00A17E81" w:rsidRPr="005620DC" w:rsidRDefault="00132D88" w:rsidP="00A17E81">
      <w:pPr>
        <w:numPr>
          <w:ilvl w:val="0"/>
          <w:numId w:val="10"/>
        </w:numPr>
        <w:spacing w:before="120" w:after="120"/>
        <w:ind w:left="1260" w:hanging="540"/>
        <w:jc w:val="both"/>
        <w:rPr>
          <w:rFonts w:eastAsia="Calibri"/>
          <w:lang w:val="en-CA" w:eastAsia="en-US"/>
        </w:rPr>
      </w:pPr>
      <w:r w:rsidRPr="005620DC">
        <w:rPr>
          <w:rFonts w:eastAsia="Calibri"/>
          <w:lang w:val="en-CA" w:eastAsia="en-US"/>
        </w:rPr>
        <w:t xml:space="preserve">Despite her criminal past and </w:t>
      </w:r>
      <w:r w:rsidR="009B306D">
        <w:rPr>
          <w:rFonts w:eastAsia="Calibri"/>
          <w:lang w:val="en-CA" w:eastAsia="en-US"/>
        </w:rPr>
        <w:t>considerable</w:t>
      </w:r>
      <w:r w:rsidRPr="005620DC">
        <w:rPr>
          <w:rFonts w:eastAsia="Calibri"/>
          <w:lang w:val="en-CA" w:eastAsia="en-US"/>
        </w:rPr>
        <w:t xml:space="preserve"> </w:t>
      </w:r>
      <w:r w:rsidR="009B306D">
        <w:rPr>
          <w:rFonts w:eastAsia="Calibri"/>
          <w:lang w:val="en-CA" w:eastAsia="en-US"/>
        </w:rPr>
        <w:t>substance abuse</w:t>
      </w:r>
      <w:r w:rsidRPr="005620DC">
        <w:rPr>
          <w:rFonts w:eastAsia="Calibri"/>
          <w:lang w:val="en-CA" w:eastAsia="en-US"/>
        </w:rPr>
        <w:t xml:space="preserve">, there are anchors. </w:t>
      </w:r>
      <w:r w:rsidR="009B306D">
        <w:rPr>
          <w:rFonts w:eastAsia="Calibri"/>
          <w:lang w:val="en-CA" w:eastAsia="en-US"/>
        </w:rPr>
        <w:t>First</w:t>
      </w:r>
      <w:r w:rsidRPr="005620DC">
        <w:rPr>
          <w:rFonts w:eastAsia="Calibri"/>
          <w:lang w:val="en-CA" w:eastAsia="en-US"/>
        </w:rPr>
        <w:t>, her two daughters motivate her to change her lifestyle</w:t>
      </w:r>
      <w:r w:rsidR="009B306D">
        <w:rPr>
          <w:rFonts w:eastAsia="Calibri"/>
          <w:lang w:val="en-CA" w:eastAsia="en-US"/>
        </w:rPr>
        <w:t xml:space="preserve"> and second</w:t>
      </w:r>
      <w:r w:rsidRPr="005620DC">
        <w:rPr>
          <w:rFonts w:eastAsia="Calibri"/>
          <w:lang w:val="en-CA" w:eastAsia="en-US"/>
        </w:rPr>
        <w:t>, she is proud of her Aboriginal roots.</w:t>
      </w:r>
    </w:p>
    <w:p w:rsidR="00A17E81" w:rsidRPr="005620DC" w:rsidRDefault="00132D88" w:rsidP="00A17E81">
      <w:pPr>
        <w:numPr>
          <w:ilvl w:val="0"/>
          <w:numId w:val="10"/>
        </w:numPr>
        <w:spacing w:before="120" w:after="120"/>
        <w:ind w:left="1260" w:hanging="540"/>
        <w:jc w:val="both"/>
        <w:rPr>
          <w:rFonts w:eastAsia="Calibri"/>
          <w:lang w:val="en-CA" w:eastAsia="en-US"/>
        </w:rPr>
      </w:pPr>
      <w:r w:rsidRPr="005620DC">
        <w:rPr>
          <w:rFonts w:eastAsia="Calibri"/>
          <w:lang w:val="en-CA" w:eastAsia="en-US"/>
        </w:rPr>
        <w:t xml:space="preserve">Certain collateral consequences </w:t>
      </w:r>
      <w:proofErr w:type="gramStart"/>
      <w:r w:rsidRPr="005620DC">
        <w:rPr>
          <w:rFonts w:eastAsia="Calibri"/>
          <w:lang w:val="en-CA" w:eastAsia="en-US"/>
        </w:rPr>
        <w:t xml:space="preserve">must be </w:t>
      </w:r>
      <w:r w:rsidR="009B306D">
        <w:rPr>
          <w:rFonts w:eastAsia="Calibri"/>
          <w:lang w:val="en-CA" w:eastAsia="en-US"/>
        </w:rPr>
        <w:t>taken</w:t>
      </w:r>
      <w:proofErr w:type="gramEnd"/>
      <w:r w:rsidR="009B306D">
        <w:rPr>
          <w:rFonts w:eastAsia="Calibri"/>
          <w:lang w:val="en-CA" w:eastAsia="en-US"/>
        </w:rPr>
        <w:t xml:space="preserve"> into account</w:t>
      </w:r>
      <w:r w:rsidRPr="005620DC">
        <w:rPr>
          <w:rFonts w:eastAsia="Calibri"/>
          <w:lang w:val="en-CA" w:eastAsia="en-US"/>
        </w:rPr>
        <w:t>.</w:t>
      </w:r>
      <w:r>
        <w:rPr>
          <w:rStyle w:val="Appelnotedebasdep"/>
          <w:rFonts w:eastAsia="Calibri"/>
          <w:lang w:val="en-CA" w:eastAsia="en-US"/>
        </w:rPr>
        <w:footnoteReference w:id="23"/>
      </w:r>
      <w:r w:rsidRPr="005620DC">
        <w:rPr>
          <w:rFonts w:eastAsia="Calibri"/>
          <w:lang w:val="en-CA" w:eastAsia="en-US"/>
        </w:rPr>
        <w:t xml:space="preserve"> Ms. </w:t>
      </w:r>
      <w:proofErr w:type="spellStart"/>
      <w:r w:rsidRPr="005620DC">
        <w:rPr>
          <w:rFonts w:eastAsia="Calibri"/>
          <w:lang w:val="en-CA" w:eastAsia="en-US"/>
        </w:rPr>
        <w:t>Killiktee</w:t>
      </w:r>
      <w:proofErr w:type="spellEnd"/>
      <w:r w:rsidRPr="005620DC">
        <w:rPr>
          <w:rFonts w:eastAsia="Calibri"/>
          <w:lang w:val="en-CA" w:eastAsia="en-US"/>
        </w:rPr>
        <w:t xml:space="preserve"> is currently isolated due to the language barrier, which limits services. She is also far from her community in a prison environment that is foreign to her.</w:t>
      </w:r>
      <w:r>
        <w:rPr>
          <w:rStyle w:val="Appelnotedebasdep"/>
          <w:rFonts w:eastAsia="Calibri"/>
          <w:lang w:val="en-CA" w:eastAsia="en-US"/>
        </w:rPr>
        <w:footnoteReference w:id="24"/>
      </w:r>
      <w:r w:rsidRPr="005620DC">
        <w:rPr>
          <w:rFonts w:eastAsia="Calibri"/>
          <w:lang w:val="en-CA" w:eastAsia="en-US"/>
        </w:rPr>
        <w:t xml:space="preserve"> Her counsel noted the difficulties encountered by an English-speaking Aboriginal woman in Quebec </w:t>
      </w:r>
      <w:r w:rsidR="009B306D">
        <w:rPr>
          <w:rFonts w:eastAsia="Calibri"/>
          <w:lang w:val="en-CA" w:eastAsia="en-US"/>
        </w:rPr>
        <w:t xml:space="preserve">receiving </w:t>
      </w:r>
      <w:r w:rsidRPr="005620DC">
        <w:rPr>
          <w:rFonts w:eastAsia="Calibri"/>
          <w:lang w:val="en-CA" w:eastAsia="en-US"/>
        </w:rPr>
        <w:t>services adapted to her circumstances.</w:t>
      </w:r>
    </w:p>
    <w:p w:rsidR="00A17E81" w:rsidRPr="005620DC" w:rsidRDefault="00132D88" w:rsidP="00A17E81">
      <w:pPr>
        <w:pStyle w:val="Paragraphe"/>
        <w:numPr>
          <w:ilvl w:val="0"/>
          <w:numId w:val="1"/>
        </w:numPr>
        <w:tabs>
          <w:tab w:val="clear" w:pos="360"/>
        </w:tabs>
        <w:spacing w:line="240" w:lineRule="auto"/>
        <w:rPr>
          <w:rFonts w:eastAsia="Calibri"/>
          <w:lang w:val="en-CA" w:eastAsia="en-US"/>
        </w:rPr>
      </w:pPr>
      <w:r w:rsidRPr="005620DC">
        <w:rPr>
          <w:rFonts w:eastAsia="Calibri"/>
          <w:lang w:val="en-CA" w:eastAsia="en-US"/>
        </w:rPr>
        <w:t>What is the impact of her intoxicat</w:t>
      </w:r>
      <w:r w:rsidR="009B306D">
        <w:rPr>
          <w:rFonts w:eastAsia="Calibri"/>
          <w:lang w:val="en-CA" w:eastAsia="en-US"/>
        </w:rPr>
        <w:t>ion</w:t>
      </w:r>
      <w:r w:rsidRPr="005620DC">
        <w:rPr>
          <w:rFonts w:eastAsia="Calibri"/>
          <w:lang w:val="en-CA" w:eastAsia="en-US"/>
        </w:rPr>
        <w:t xml:space="preserve"> while committing the offences? The Court of Appeal in </w:t>
      </w:r>
      <w:proofErr w:type="spellStart"/>
      <w:r w:rsidRPr="005620DC">
        <w:rPr>
          <w:rFonts w:eastAsia="Calibri"/>
          <w:i/>
          <w:lang w:val="en-CA" w:eastAsia="en-US"/>
        </w:rPr>
        <w:t>Régimballe</w:t>
      </w:r>
      <w:proofErr w:type="spellEnd"/>
      <w:r w:rsidRPr="005620DC">
        <w:rPr>
          <w:rFonts w:eastAsia="Calibri"/>
          <w:lang w:val="en-CA" w:eastAsia="en-US"/>
        </w:rPr>
        <w:t xml:space="preserve"> noted that, in violent crimes, this state </w:t>
      </w:r>
      <w:proofErr w:type="gramStart"/>
      <w:r w:rsidRPr="005620DC">
        <w:rPr>
          <w:rFonts w:eastAsia="Calibri"/>
          <w:lang w:val="en-CA" w:eastAsia="en-US"/>
        </w:rPr>
        <w:t>is generally considered</w:t>
      </w:r>
      <w:proofErr w:type="gramEnd"/>
      <w:r w:rsidRPr="005620DC">
        <w:rPr>
          <w:rFonts w:eastAsia="Calibri"/>
          <w:lang w:val="en-CA" w:eastAsia="en-US"/>
        </w:rPr>
        <w:t xml:space="preserve"> as an aggravating or, at best, a neutral, factor.</w:t>
      </w:r>
      <w:r>
        <w:rPr>
          <w:rStyle w:val="Appelnotedebasdep"/>
          <w:rFonts w:eastAsia="Calibri"/>
          <w:lang w:val="en-CA" w:eastAsia="en-US"/>
        </w:rPr>
        <w:footnoteReference w:id="25"/>
      </w:r>
      <w:r w:rsidRPr="005620DC">
        <w:rPr>
          <w:rFonts w:eastAsia="Calibri"/>
          <w:lang w:val="en-CA" w:eastAsia="en-US"/>
        </w:rPr>
        <w:t xml:space="preserve"> To paraphrase authors Parent and </w:t>
      </w:r>
      <w:proofErr w:type="spellStart"/>
      <w:r w:rsidRPr="005620DC">
        <w:rPr>
          <w:rFonts w:eastAsia="Calibri"/>
          <w:lang w:val="en-CA" w:eastAsia="en-US"/>
        </w:rPr>
        <w:t>Desrosiers</w:t>
      </w:r>
      <w:proofErr w:type="spellEnd"/>
      <w:r w:rsidRPr="005620DC">
        <w:rPr>
          <w:rFonts w:eastAsia="Calibri"/>
          <w:lang w:val="en-CA" w:eastAsia="en-US"/>
        </w:rPr>
        <w:t xml:space="preserve">, it is easier to forgive an inexperienced young person who commits an offence while intoxicated than someone </w:t>
      </w:r>
      <w:proofErr w:type="gramStart"/>
      <w:r w:rsidRPr="005620DC">
        <w:rPr>
          <w:rFonts w:eastAsia="Calibri"/>
          <w:lang w:val="en-CA" w:eastAsia="en-US"/>
        </w:rPr>
        <w:t xml:space="preserve">who has been consuming for many years and whose </w:t>
      </w:r>
      <w:r w:rsidRPr="005620DC">
        <w:rPr>
          <w:rFonts w:eastAsia="Calibri"/>
          <w:lang w:val="en-CA" w:eastAsia="en-US"/>
        </w:rPr>
        <w:lastRenderedPageBreak/>
        <w:t>behaviour results in the commission of repeated violent acts</w:t>
      </w:r>
      <w:proofErr w:type="gramEnd"/>
      <w:r w:rsidRPr="005620DC">
        <w:rPr>
          <w:rFonts w:eastAsia="Calibri"/>
          <w:lang w:val="en-CA" w:eastAsia="en-US"/>
        </w:rPr>
        <w:t>.</w:t>
      </w:r>
      <w:r>
        <w:rPr>
          <w:rStyle w:val="Appelnotedebasdep"/>
          <w:rFonts w:eastAsia="Calibri"/>
          <w:lang w:val="en-CA" w:eastAsia="en-US"/>
        </w:rPr>
        <w:footnoteReference w:id="26"/>
      </w:r>
      <w:r w:rsidRPr="005620DC">
        <w:rPr>
          <w:rFonts w:eastAsia="Calibri"/>
          <w:lang w:val="en-CA" w:eastAsia="en-US"/>
        </w:rPr>
        <w:t xml:space="preserve"> In this case, Ms. </w:t>
      </w:r>
      <w:proofErr w:type="spellStart"/>
      <w:r w:rsidRPr="005620DC">
        <w:rPr>
          <w:rFonts w:eastAsia="Calibri"/>
          <w:lang w:val="en-CA" w:eastAsia="en-US"/>
        </w:rPr>
        <w:t>Killiktee</w:t>
      </w:r>
      <w:proofErr w:type="spellEnd"/>
      <w:r w:rsidRPr="005620DC">
        <w:rPr>
          <w:rFonts w:eastAsia="Calibri"/>
          <w:lang w:val="en-CA" w:eastAsia="en-US"/>
        </w:rPr>
        <w:t xml:space="preserve"> cannot ignore her potential for violence when intoxicated.</w:t>
      </w:r>
    </w:p>
    <w:p w:rsidR="00A17E81" w:rsidRPr="005620DC" w:rsidRDefault="00132D88" w:rsidP="00A17E81">
      <w:pPr>
        <w:pStyle w:val="Paragraphe"/>
        <w:numPr>
          <w:ilvl w:val="0"/>
          <w:numId w:val="1"/>
        </w:numPr>
        <w:tabs>
          <w:tab w:val="clear" w:pos="360"/>
        </w:tabs>
        <w:spacing w:line="240" w:lineRule="auto"/>
        <w:rPr>
          <w:rFonts w:eastAsia="Calibri"/>
          <w:lang w:val="en-CA" w:eastAsia="en-US"/>
        </w:rPr>
      </w:pPr>
      <w:r w:rsidRPr="005620DC">
        <w:rPr>
          <w:rFonts w:eastAsia="Calibri"/>
          <w:lang w:val="en-CA" w:eastAsia="en-US"/>
        </w:rPr>
        <w:t xml:space="preserve">Moreover, the principle of proportionality ensures that a sentence does not exceed what is appropriate, given the moral </w:t>
      </w:r>
      <w:r w:rsidR="009B306D">
        <w:rPr>
          <w:rFonts w:eastAsia="Calibri"/>
          <w:lang w:val="en-CA" w:eastAsia="en-US"/>
        </w:rPr>
        <w:t>culpability</w:t>
      </w:r>
      <w:r w:rsidRPr="005620DC">
        <w:rPr>
          <w:rFonts w:eastAsia="Calibri"/>
          <w:lang w:val="en-CA" w:eastAsia="en-US"/>
        </w:rPr>
        <w:t>.</w:t>
      </w:r>
      <w:r>
        <w:rPr>
          <w:rStyle w:val="Appelnotedebasdep"/>
          <w:rFonts w:eastAsia="Calibri"/>
          <w:lang w:val="en-CA" w:eastAsia="en-US"/>
        </w:rPr>
        <w:footnoteReference w:id="27"/>
      </w:r>
    </w:p>
    <w:p w:rsidR="00A17E81" w:rsidRPr="005620DC" w:rsidRDefault="00132D88" w:rsidP="00A17E81">
      <w:pPr>
        <w:pStyle w:val="Paragraphe"/>
        <w:numPr>
          <w:ilvl w:val="0"/>
          <w:numId w:val="1"/>
        </w:numPr>
        <w:tabs>
          <w:tab w:val="clear" w:pos="360"/>
        </w:tabs>
        <w:spacing w:line="240" w:lineRule="auto"/>
        <w:rPr>
          <w:rFonts w:eastAsia="Calibri"/>
          <w:lang w:val="en-CA" w:eastAsia="en-US"/>
        </w:rPr>
      </w:pPr>
      <w:r w:rsidRPr="005620DC">
        <w:rPr>
          <w:rFonts w:eastAsia="Calibri"/>
          <w:lang w:val="en-CA" w:eastAsia="en-US"/>
        </w:rPr>
        <w:t>In Aboriginal matters, systemic and background factors may bear on this degree of culpability.</w:t>
      </w:r>
      <w:r>
        <w:rPr>
          <w:rStyle w:val="Appelnotedebasdep"/>
          <w:rFonts w:eastAsia="Calibri"/>
          <w:lang w:val="en-CA" w:eastAsia="en-US"/>
        </w:rPr>
        <w:footnoteReference w:id="28"/>
      </w:r>
    </w:p>
    <w:p w:rsidR="00A17E81" w:rsidRPr="005620DC" w:rsidRDefault="00132D88" w:rsidP="00A17E81">
      <w:pPr>
        <w:pStyle w:val="Paragraphe"/>
        <w:numPr>
          <w:ilvl w:val="0"/>
          <w:numId w:val="1"/>
        </w:numPr>
        <w:tabs>
          <w:tab w:val="clear" w:pos="360"/>
        </w:tabs>
        <w:spacing w:line="240" w:lineRule="auto"/>
        <w:rPr>
          <w:lang w:val="en-CA"/>
        </w:rPr>
      </w:pPr>
      <w:r w:rsidRPr="005620DC">
        <w:rPr>
          <w:lang w:val="en-CA"/>
        </w:rPr>
        <w:t xml:space="preserve">In 1996, Parliament amended the </w:t>
      </w:r>
      <w:r w:rsidRPr="005620DC">
        <w:rPr>
          <w:i/>
          <w:lang w:val="en-CA"/>
        </w:rPr>
        <w:t xml:space="preserve">Criminal Code </w:t>
      </w:r>
      <w:r w:rsidR="00B46DBC">
        <w:rPr>
          <w:lang w:val="en-CA"/>
        </w:rPr>
        <w:t>to provide in</w:t>
      </w:r>
      <w:r w:rsidRPr="005620DC">
        <w:rPr>
          <w:lang w:val="en-CA"/>
        </w:rPr>
        <w:t xml:space="preserve"> s. 718.2(</w:t>
      </w:r>
      <w:r w:rsidR="005C3134">
        <w:rPr>
          <w:lang w:val="en-CA"/>
        </w:rPr>
        <w:t>e) that</w:t>
      </w:r>
      <w:r w:rsidRPr="005620DC">
        <w:rPr>
          <w:lang w:val="en-CA"/>
        </w:rPr>
        <w:t xml:space="preserve"> a</w:t>
      </w:r>
      <w:r w:rsidR="005C3134">
        <w:rPr>
          <w:lang w:val="en-CA"/>
        </w:rPr>
        <w:t xml:space="preserve"> </w:t>
      </w:r>
      <w:r w:rsidR="008565F5">
        <w:rPr>
          <w:lang w:val="en-CA"/>
        </w:rPr>
        <w:t>sentence</w:t>
      </w:r>
      <w:r w:rsidR="005C3134">
        <w:rPr>
          <w:lang w:val="en-CA"/>
        </w:rPr>
        <w:t xml:space="preserve"> </w:t>
      </w:r>
      <w:r w:rsidR="005C3134" w:rsidRPr="005620DC">
        <w:rPr>
          <w:lang w:val="en-CA"/>
        </w:rPr>
        <w:t>sh</w:t>
      </w:r>
      <w:r w:rsidR="005C3134">
        <w:rPr>
          <w:lang w:val="en-CA"/>
        </w:rPr>
        <w:t>all</w:t>
      </w:r>
      <w:r w:rsidR="005C3134" w:rsidRPr="005620DC">
        <w:rPr>
          <w:lang w:val="en-CA"/>
        </w:rPr>
        <w:t xml:space="preserve"> </w:t>
      </w:r>
      <w:r w:rsidR="008565F5">
        <w:rPr>
          <w:lang w:val="en-CA"/>
        </w:rPr>
        <w:t xml:space="preserve">take into </w:t>
      </w:r>
      <w:r w:rsidR="008565F5" w:rsidRPr="005620DC">
        <w:rPr>
          <w:lang w:val="en-CA"/>
        </w:rPr>
        <w:t>consider</w:t>
      </w:r>
      <w:r w:rsidR="008565F5">
        <w:rPr>
          <w:lang w:val="en-CA"/>
        </w:rPr>
        <w:t>ation</w:t>
      </w:r>
      <w:r w:rsidR="005C3134">
        <w:rPr>
          <w:lang w:val="en-CA"/>
        </w:rPr>
        <w:t xml:space="preserve"> </w:t>
      </w:r>
      <w:r w:rsidRPr="005620DC">
        <w:rPr>
          <w:lang w:val="en-CA"/>
        </w:rPr>
        <w:t>“all available sanctions other than imprisonment that are reasonable in the circumstances</w:t>
      </w:r>
      <w:r w:rsidR="008565F5">
        <w:rPr>
          <w:lang w:val="en-CA"/>
        </w:rPr>
        <w:t xml:space="preserve"> should be considered for all offenders, with </w:t>
      </w:r>
      <w:r w:rsidRPr="005620DC">
        <w:rPr>
          <w:lang w:val="en-CA"/>
        </w:rPr>
        <w:t xml:space="preserve">particular attention to the circumstances of aboriginal offenders.” </w:t>
      </w:r>
      <w:r w:rsidR="008565F5">
        <w:rPr>
          <w:lang w:val="en-CA"/>
        </w:rPr>
        <w:t xml:space="preserve">That provision was part of </w:t>
      </w:r>
      <w:r w:rsidRPr="005620DC">
        <w:rPr>
          <w:lang w:val="en-CA"/>
        </w:rPr>
        <w:t xml:space="preserve">the general reform of the </w:t>
      </w:r>
      <w:r w:rsidRPr="005C3134">
        <w:rPr>
          <w:i/>
          <w:lang w:val="en-CA"/>
        </w:rPr>
        <w:t>Code</w:t>
      </w:r>
      <w:r w:rsidRPr="005620DC">
        <w:rPr>
          <w:lang w:val="en-CA"/>
        </w:rPr>
        <w:t xml:space="preserve"> focussing on restorative goals.</w:t>
      </w:r>
    </w:p>
    <w:p w:rsidR="00A17E81" w:rsidRPr="005620DC" w:rsidRDefault="00132D88" w:rsidP="00A17E81">
      <w:pPr>
        <w:pStyle w:val="Paragraphe"/>
        <w:tabs>
          <w:tab w:val="clear" w:pos="360"/>
        </w:tabs>
        <w:spacing w:line="240" w:lineRule="auto"/>
        <w:rPr>
          <w:rFonts w:cs="Arial"/>
          <w:iCs/>
          <w:szCs w:val="24"/>
          <w:lang w:val="en-CA"/>
        </w:rPr>
      </w:pPr>
      <w:r w:rsidRPr="005620DC">
        <w:rPr>
          <w:lang w:val="en-CA"/>
        </w:rPr>
        <w:t xml:space="preserve">In 1999, the Supreme Court in </w:t>
      </w:r>
      <w:proofErr w:type="spellStart"/>
      <w:r w:rsidRPr="005620DC">
        <w:rPr>
          <w:i/>
          <w:lang w:val="en-CA"/>
        </w:rPr>
        <w:t>Gladue</w:t>
      </w:r>
      <w:proofErr w:type="spellEnd"/>
      <w:r>
        <w:rPr>
          <w:rStyle w:val="Appelnotedebasdep"/>
          <w:lang w:val="en-CA"/>
        </w:rPr>
        <w:footnoteReference w:id="29"/>
      </w:r>
      <w:r w:rsidRPr="005620DC">
        <w:rPr>
          <w:rFonts w:cs="Arial"/>
          <w:iCs/>
          <w:szCs w:val="24"/>
          <w:lang w:val="en-CA"/>
        </w:rPr>
        <w:t xml:space="preserve"> noted that </w:t>
      </w:r>
      <w:r w:rsidR="007D2776">
        <w:rPr>
          <w:rFonts w:cs="Arial"/>
          <w:iCs/>
          <w:szCs w:val="24"/>
          <w:lang w:val="en-CA"/>
        </w:rPr>
        <w:t>s. 718.2(e)</w:t>
      </w:r>
      <w:r w:rsidRPr="005620DC">
        <w:rPr>
          <w:rFonts w:cs="Arial"/>
          <w:iCs/>
          <w:szCs w:val="24"/>
          <w:lang w:val="en-CA"/>
        </w:rPr>
        <w:t xml:space="preserve"> </w:t>
      </w:r>
      <w:proofErr w:type="gramStart"/>
      <w:r w:rsidRPr="005620DC">
        <w:rPr>
          <w:rFonts w:cs="Arial"/>
          <w:iCs/>
          <w:szCs w:val="24"/>
          <w:lang w:val="en-CA"/>
        </w:rPr>
        <w:t>is designed</w:t>
      </w:r>
      <w:proofErr w:type="gramEnd"/>
      <w:r w:rsidRPr="005620DC">
        <w:rPr>
          <w:rFonts w:cs="Arial"/>
          <w:iCs/>
          <w:szCs w:val="24"/>
          <w:lang w:val="en-CA"/>
        </w:rPr>
        <w:t xml:space="preserve"> to ameliorate the serious problem of overrepresentation of </w:t>
      </w:r>
      <w:r w:rsidR="00B46DBC">
        <w:rPr>
          <w:rFonts w:cs="Arial"/>
          <w:iCs/>
          <w:szCs w:val="24"/>
          <w:lang w:val="en-CA"/>
        </w:rPr>
        <w:t>A</w:t>
      </w:r>
      <w:r w:rsidRPr="005620DC">
        <w:rPr>
          <w:rFonts w:cs="Arial"/>
          <w:iCs/>
          <w:szCs w:val="24"/>
          <w:lang w:val="en-CA"/>
        </w:rPr>
        <w:t xml:space="preserve">boriginal people in prisons, and to encourage sentencing judges to have recourse to a restorative approach to sentencing. </w:t>
      </w:r>
      <w:r w:rsidR="008565F5">
        <w:rPr>
          <w:rFonts w:cs="Arial"/>
          <w:iCs/>
          <w:szCs w:val="24"/>
          <w:lang w:val="en-CA"/>
        </w:rPr>
        <w:t>The Court developed a method that</w:t>
      </w:r>
      <w:r w:rsidRPr="005620DC">
        <w:rPr>
          <w:rFonts w:cs="Arial"/>
          <w:iCs/>
          <w:szCs w:val="24"/>
          <w:lang w:val="en-CA"/>
        </w:rPr>
        <w:t xml:space="preserve"> consider</w:t>
      </w:r>
      <w:r w:rsidR="008565F5">
        <w:rPr>
          <w:rFonts w:cs="Arial"/>
          <w:iCs/>
          <w:szCs w:val="24"/>
          <w:lang w:val="en-CA"/>
        </w:rPr>
        <w:t>s</w:t>
      </w:r>
      <w:r w:rsidRPr="005620DC">
        <w:rPr>
          <w:rFonts w:cs="Arial"/>
          <w:iCs/>
          <w:szCs w:val="24"/>
          <w:lang w:val="en-CA"/>
        </w:rPr>
        <w:t xml:space="preserve"> the unique systemic factors and the appropriate types of procedures by considering innovative practices. Judges </w:t>
      </w:r>
      <w:proofErr w:type="gramStart"/>
      <w:r w:rsidRPr="005620DC">
        <w:rPr>
          <w:rFonts w:cs="Arial"/>
          <w:iCs/>
          <w:szCs w:val="24"/>
          <w:lang w:val="en-CA"/>
        </w:rPr>
        <w:t>are asked</w:t>
      </w:r>
      <w:proofErr w:type="gramEnd"/>
      <w:r w:rsidRPr="005620DC">
        <w:rPr>
          <w:rFonts w:cs="Arial"/>
          <w:iCs/>
          <w:szCs w:val="24"/>
          <w:lang w:val="en-CA"/>
        </w:rPr>
        <w:t xml:space="preserve"> to take judicial notice of the systemic factors and of the priority given in </w:t>
      </w:r>
      <w:r w:rsidR="00B46DBC">
        <w:rPr>
          <w:rFonts w:cs="Arial"/>
          <w:iCs/>
          <w:szCs w:val="24"/>
          <w:lang w:val="en-CA"/>
        </w:rPr>
        <w:t>A</w:t>
      </w:r>
      <w:r w:rsidRPr="005620DC">
        <w:rPr>
          <w:rFonts w:cs="Arial"/>
          <w:iCs/>
          <w:szCs w:val="24"/>
          <w:lang w:val="en-CA"/>
        </w:rPr>
        <w:t xml:space="preserve">boriginal cultures to a restorative approach. They must consider </w:t>
      </w:r>
      <w:r w:rsidR="008565F5">
        <w:rPr>
          <w:rFonts w:cs="Arial"/>
          <w:iCs/>
          <w:szCs w:val="24"/>
          <w:lang w:val="en-CA"/>
        </w:rPr>
        <w:t xml:space="preserve">the </w:t>
      </w:r>
      <w:r w:rsidRPr="005620DC">
        <w:rPr>
          <w:rFonts w:cs="Arial"/>
          <w:iCs/>
          <w:szCs w:val="24"/>
          <w:lang w:val="en-CA"/>
        </w:rPr>
        <w:t>“perspectives of aboriginal people or aboriginal communities”</w:t>
      </w:r>
      <w:r>
        <w:rPr>
          <w:rStyle w:val="Appelnotedebasdep"/>
          <w:rFonts w:cs="Arial"/>
          <w:iCs/>
          <w:szCs w:val="24"/>
          <w:lang w:val="en-CA"/>
        </w:rPr>
        <w:footnoteReference w:id="30"/>
      </w:r>
      <w:r w:rsidRPr="005620DC">
        <w:rPr>
          <w:rFonts w:cs="Arial"/>
          <w:iCs/>
          <w:szCs w:val="24"/>
          <w:lang w:val="en-CA"/>
        </w:rPr>
        <w:t xml:space="preserve"> as well as alternatives to incarceration.</w:t>
      </w:r>
      <w:r>
        <w:rPr>
          <w:rStyle w:val="Appelnotedebasdep"/>
          <w:rFonts w:cs="Arial"/>
          <w:iCs/>
          <w:szCs w:val="24"/>
          <w:lang w:val="en-CA"/>
        </w:rPr>
        <w:footnoteReference w:id="31"/>
      </w:r>
      <w:r w:rsidRPr="005620DC">
        <w:rPr>
          <w:rFonts w:cs="Arial"/>
          <w:iCs/>
          <w:szCs w:val="24"/>
          <w:lang w:val="en-CA"/>
        </w:rPr>
        <w:t xml:space="preserve"> If there is no alternative to incarceration, the length of the term </w:t>
      </w:r>
      <w:proofErr w:type="gramStart"/>
      <w:r w:rsidRPr="005620DC">
        <w:rPr>
          <w:rFonts w:cs="Arial"/>
          <w:iCs/>
          <w:szCs w:val="24"/>
          <w:lang w:val="en-CA"/>
        </w:rPr>
        <w:t>must be carefully considered</w:t>
      </w:r>
      <w:proofErr w:type="gramEnd"/>
      <w:r w:rsidRPr="005620DC">
        <w:rPr>
          <w:rFonts w:cs="Arial"/>
          <w:iCs/>
          <w:szCs w:val="24"/>
          <w:lang w:val="en-CA"/>
        </w:rPr>
        <w:t>.</w:t>
      </w:r>
      <w:r>
        <w:rPr>
          <w:rStyle w:val="Appelnotedebasdep"/>
          <w:rFonts w:cs="Arial"/>
          <w:iCs/>
          <w:szCs w:val="24"/>
          <w:lang w:val="en-CA"/>
        </w:rPr>
        <w:footnoteReference w:id="32"/>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t xml:space="preserve">It should be noted that </w:t>
      </w:r>
      <w:r w:rsidR="003A5946" w:rsidRPr="005620DC">
        <w:rPr>
          <w:rFonts w:cs="Arial"/>
          <w:iCs/>
          <w:szCs w:val="24"/>
          <w:lang w:val="en-CA"/>
        </w:rPr>
        <w:t xml:space="preserve">the </w:t>
      </w:r>
      <w:r w:rsidRPr="005620DC">
        <w:rPr>
          <w:rFonts w:cs="Arial"/>
          <w:iCs/>
          <w:szCs w:val="24"/>
          <w:lang w:val="en-CA"/>
        </w:rPr>
        <w:t xml:space="preserve">principles </w:t>
      </w:r>
      <w:r>
        <w:rPr>
          <w:rFonts w:cs="Arial"/>
          <w:iCs/>
          <w:szCs w:val="24"/>
          <w:lang w:val="en-CA"/>
        </w:rPr>
        <w:t xml:space="preserve">developed in </w:t>
      </w:r>
      <w:proofErr w:type="spellStart"/>
      <w:r w:rsidR="003A5946" w:rsidRPr="005620DC">
        <w:rPr>
          <w:rFonts w:cs="Arial"/>
          <w:i/>
          <w:iCs/>
          <w:szCs w:val="24"/>
          <w:lang w:val="en-CA"/>
        </w:rPr>
        <w:t>Gladue</w:t>
      </w:r>
      <w:proofErr w:type="spellEnd"/>
      <w:r w:rsidR="003A5946" w:rsidRPr="005620DC">
        <w:rPr>
          <w:rFonts w:cs="Arial"/>
          <w:iCs/>
          <w:szCs w:val="24"/>
          <w:lang w:val="en-CA"/>
        </w:rPr>
        <w:t xml:space="preserve"> apply to Aboriginal offenders living </w:t>
      </w:r>
      <w:proofErr w:type="gramStart"/>
      <w:r w:rsidR="003A5946" w:rsidRPr="005620DC">
        <w:rPr>
          <w:rFonts w:cs="Arial"/>
          <w:iCs/>
          <w:szCs w:val="24"/>
          <w:lang w:val="en-CA"/>
        </w:rPr>
        <w:t>off-reserve</w:t>
      </w:r>
      <w:proofErr w:type="gramEnd"/>
      <w:r w:rsidR="003A5946" w:rsidRPr="005620DC">
        <w:rPr>
          <w:rFonts w:cs="Arial"/>
          <w:iCs/>
          <w:szCs w:val="24"/>
          <w:lang w:val="en-CA"/>
        </w:rPr>
        <w:t>, for example in a large city.</w:t>
      </w:r>
      <w:r>
        <w:rPr>
          <w:rStyle w:val="Appelnotedebasdep"/>
          <w:rFonts w:cs="Arial"/>
          <w:iCs/>
          <w:szCs w:val="24"/>
          <w:lang w:val="en-CA"/>
        </w:rPr>
        <w:footnoteReference w:id="33"/>
      </w:r>
    </w:p>
    <w:p w:rsidR="00A17E81" w:rsidRPr="005620DC" w:rsidRDefault="00132D88" w:rsidP="00A17E81">
      <w:pPr>
        <w:pStyle w:val="Paragraphe"/>
        <w:tabs>
          <w:tab w:val="clear" w:pos="360"/>
        </w:tabs>
        <w:spacing w:line="240" w:lineRule="auto"/>
        <w:rPr>
          <w:rFonts w:cs="Arial"/>
          <w:iCs/>
          <w:szCs w:val="24"/>
          <w:lang w:val="en-CA"/>
        </w:rPr>
      </w:pPr>
      <w:r w:rsidRPr="005620DC">
        <w:rPr>
          <w:lang w:val="en-CA"/>
        </w:rPr>
        <w:t xml:space="preserve">In 2012, the Supreme Court </w:t>
      </w:r>
      <w:r w:rsidR="008565F5" w:rsidRPr="005620DC">
        <w:rPr>
          <w:lang w:val="en-CA"/>
        </w:rPr>
        <w:t xml:space="preserve">in </w:t>
      </w:r>
      <w:proofErr w:type="spellStart"/>
      <w:r w:rsidR="008565F5" w:rsidRPr="005620DC">
        <w:rPr>
          <w:i/>
          <w:lang w:val="en-CA"/>
        </w:rPr>
        <w:t>Ipeelee</w:t>
      </w:r>
      <w:proofErr w:type="spellEnd"/>
      <w:r>
        <w:rPr>
          <w:rStyle w:val="Appelnotedebasdep"/>
          <w:lang w:val="en-CA"/>
        </w:rPr>
        <w:footnoteReference w:id="34"/>
      </w:r>
      <w:r w:rsidR="008565F5" w:rsidRPr="005620DC">
        <w:rPr>
          <w:lang w:val="en-CA"/>
        </w:rPr>
        <w:t xml:space="preserve"> </w:t>
      </w:r>
      <w:r w:rsidRPr="005620DC">
        <w:rPr>
          <w:lang w:val="en-CA"/>
        </w:rPr>
        <w:t xml:space="preserve">confirmed the </w:t>
      </w:r>
      <w:proofErr w:type="spellStart"/>
      <w:r w:rsidRPr="005620DC">
        <w:rPr>
          <w:i/>
          <w:lang w:val="en-CA"/>
        </w:rPr>
        <w:t>Gladue</w:t>
      </w:r>
      <w:proofErr w:type="spellEnd"/>
      <w:r w:rsidRPr="005620DC">
        <w:rPr>
          <w:lang w:val="en-CA"/>
        </w:rPr>
        <w:t xml:space="preserve"> principles. It added that judges had significantly curtailed the scope and potential remedial impact of s.</w:t>
      </w:r>
      <w:r w:rsidR="008565F5">
        <w:rPr>
          <w:lang w:val="en-CA"/>
        </w:rPr>
        <w:t> </w:t>
      </w:r>
      <w:r w:rsidRPr="005620DC">
        <w:rPr>
          <w:lang w:val="en-CA"/>
        </w:rPr>
        <w:t xml:space="preserve">718.2(e) </w:t>
      </w:r>
      <w:r w:rsidRPr="005620DC">
        <w:rPr>
          <w:i/>
          <w:lang w:val="en-CA"/>
        </w:rPr>
        <w:t xml:space="preserve">Cr. C., </w:t>
      </w:r>
      <w:r w:rsidRPr="005620DC">
        <w:rPr>
          <w:lang w:val="en-CA"/>
        </w:rPr>
        <w:t xml:space="preserve">thwarting what was originally envisioned by </w:t>
      </w:r>
      <w:proofErr w:type="spellStart"/>
      <w:r w:rsidRPr="005620DC">
        <w:rPr>
          <w:i/>
          <w:lang w:val="en-CA"/>
        </w:rPr>
        <w:t>Gladue</w:t>
      </w:r>
      <w:proofErr w:type="spellEnd"/>
      <w:r w:rsidRPr="005620DC">
        <w:rPr>
          <w:lang w:val="en-CA"/>
        </w:rPr>
        <w:t>. The Court recall</w:t>
      </w:r>
      <w:r w:rsidR="006F61C1">
        <w:rPr>
          <w:lang w:val="en-CA"/>
        </w:rPr>
        <w:t>ed</w:t>
      </w:r>
      <w:r w:rsidRPr="005620DC">
        <w:rPr>
          <w:lang w:val="en-CA"/>
        </w:rPr>
        <w:t xml:space="preserve"> that courts must take judicial notice of such matters as the history of colonialism, displacement, and residential schools and how that history continues to translate for Aboriginal peoples. The Court notes that Aboriginal offenders </w:t>
      </w:r>
      <w:r w:rsidR="008565F5">
        <w:rPr>
          <w:lang w:val="en-CA"/>
        </w:rPr>
        <w:t xml:space="preserve">are </w:t>
      </w:r>
      <w:r w:rsidRPr="005620DC">
        <w:rPr>
          <w:lang w:val="en-CA"/>
        </w:rPr>
        <w:t xml:space="preserve">not </w:t>
      </w:r>
      <w:r w:rsidR="008565F5">
        <w:rPr>
          <w:lang w:val="en-CA"/>
        </w:rPr>
        <w:t xml:space="preserve">required to </w:t>
      </w:r>
      <w:r w:rsidRPr="005620DC">
        <w:rPr>
          <w:lang w:val="en-CA"/>
        </w:rPr>
        <w:t xml:space="preserve">establish a causal </w:t>
      </w:r>
      <w:r w:rsidR="008565F5">
        <w:rPr>
          <w:lang w:val="en-CA"/>
        </w:rPr>
        <w:t>link</w:t>
      </w:r>
      <w:r w:rsidRPr="005620DC">
        <w:rPr>
          <w:lang w:val="en-CA"/>
        </w:rPr>
        <w:t xml:space="preserve"> between background factors and the commission of the offence. Moreover, </w:t>
      </w:r>
      <w:r w:rsidRPr="005620DC">
        <w:rPr>
          <w:lang w:val="en-CA"/>
        </w:rPr>
        <w:lastRenderedPageBreak/>
        <w:t xml:space="preserve">it is </w:t>
      </w:r>
      <w:proofErr w:type="gramStart"/>
      <w:r w:rsidRPr="005620DC">
        <w:rPr>
          <w:lang w:val="en-CA"/>
        </w:rPr>
        <w:t>not unfair</w:t>
      </w:r>
      <w:proofErr w:type="gramEnd"/>
      <w:r w:rsidRPr="005620DC">
        <w:rPr>
          <w:lang w:val="en-CA"/>
        </w:rPr>
        <w:t xml:space="preserve"> to </w:t>
      </w:r>
      <w:r w:rsidR="008565F5">
        <w:rPr>
          <w:lang w:val="en-CA"/>
        </w:rPr>
        <w:t>sanction</w:t>
      </w:r>
      <w:r w:rsidRPr="005620DC">
        <w:rPr>
          <w:lang w:val="en-CA"/>
        </w:rPr>
        <w:t xml:space="preserve"> Aboriginal offenders differently. This disparity is justified </w:t>
      </w:r>
      <w:r w:rsidR="008565F5">
        <w:rPr>
          <w:lang w:val="en-CA"/>
        </w:rPr>
        <w:t xml:space="preserve">based on </w:t>
      </w:r>
      <w:r w:rsidRPr="005620DC">
        <w:rPr>
          <w:lang w:val="en-CA"/>
        </w:rPr>
        <w:t>the</w:t>
      </w:r>
      <w:r w:rsidR="008565F5">
        <w:rPr>
          <w:lang w:val="en-CA"/>
        </w:rPr>
        <w:t>ir</w:t>
      </w:r>
      <w:r w:rsidRPr="005620DC">
        <w:rPr>
          <w:lang w:val="en-CA"/>
        </w:rPr>
        <w:t xml:space="preserve"> unique circumstance</w:t>
      </w:r>
      <w:r w:rsidR="008565F5">
        <w:rPr>
          <w:lang w:val="en-CA"/>
        </w:rPr>
        <w:t>s, a</w:t>
      </w:r>
      <w:r w:rsidRPr="005620DC">
        <w:rPr>
          <w:lang w:val="en-CA"/>
        </w:rPr>
        <w:t xml:space="preserve">ll </w:t>
      </w:r>
      <w:r w:rsidR="008565F5">
        <w:rPr>
          <w:lang w:val="en-CA"/>
        </w:rPr>
        <w:t>of which</w:t>
      </w:r>
      <w:r w:rsidRPr="005620DC">
        <w:rPr>
          <w:lang w:val="en-CA"/>
        </w:rPr>
        <w:t xml:space="preserve"> diminishes moral culpability.</w:t>
      </w:r>
      <w:r>
        <w:rPr>
          <w:rStyle w:val="Appelnotedebasdep"/>
          <w:lang w:val="en-CA"/>
        </w:rPr>
        <w:footnoteReference w:id="35"/>
      </w:r>
    </w:p>
    <w:p w:rsidR="00A17E81" w:rsidRPr="005620DC" w:rsidRDefault="00132D88" w:rsidP="00A17E81">
      <w:pPr>
        <w:pStyle w:val="Paragraphe"/>
        <w:rPr>
          <w:lang w:val="en-CA"/>
        </w:rPr>
      </w:pPr>
      <w:r w:rsidRPr="005620DC">
        <w:rPr>
          <w:lang w:val="en-CA"/>
        </w:rPr>
        <w:t>In 2015, s. 718.2(e) was amended and now reads:</w:t>
      </w:r>
    </w:p>
    <w:p w:rsidR="00A17E81" w:rsidRPr="005620DC" w:rsidRDefault="00132D88" w:rsidP="00A17E81">
      <w:pPr>
        <w:pStyle w:val="Citation"/>
        <w:jc w:val="both"/>
        <w:rPr>
          <w:i w:val="0"/>
          <w:color w:val="000000"/>
          <w:sz w:val="22"/>
          <w:szCs w:val="22"/>
          <w:lang w:val="en-CA"/>
        </w:rPr>
      </w:pPr>
      <w:proofErr w:type="gramStart"/>
      <w:r w:rsidRPr="005620DC">
        <w:rPr>
          <w:i w:val="0"/>
          <w:color w:val="000000"/>
          <w:sz w:val="22"/>
          <w:szCs w:val="22"/>
          <w:lang w:val="en-CA"/>
        </w:rPr>
        <w:t>all</w:t>
      </w:r>
      <w:proofErr w:type="gramEnd"/>
      <w:r w:rsidRPr="005620DC">
        <w:rPr>
          <w:i w:val="0"/>
          <w:color w:val="000000"/>
          <w:sz w:val="22"/>
          <w:szCs w:val="22"/>
          <w:lang w:val="en-CA"/>
        </w:rPr>
        <w:t xml:space="preserve"> available sanctions, other than imprisonment, that are reasonable in the circumstances </w:t>
      </w:r>
      <w:r w:rsidRPr="005620DC">
        <w:rPr>
          <w:i w:val="0"/>
          <w:color w:val="000000"/>
          <w:sz w:val="22"/>
          <w:szCs w:val="22"/>
          <w:u w:val="single"/>
          <w:lang w:val="en-CA"/>
        </w:rPr>
        <w:t>and consistent with the harm done to victims or to the community</w:t>
      </w:r>
      <w:r w:rsidRPr="005620DC">
        <w:rPr>
          <w:i w:val="0"/>
          <w:color w:val="000000"/>
          <w:sz w:val="22"/>
          <w:szCs w:val="22"/>
          <w:lang w:val="en-CA"/>
        </w:rPr>
        <w:t xml:space="preserve"> should be considered for all offenders, with particular attention to the circumstances of Aboriginal offenders.</w:t>
      </w:r>
      <w:r>
        <w:rPr>
          <w:rStyle w:val="Appelnotedebasdep"/>
          <w:i w:val="0"/>
          <w:color w:val="000000"/>
          <w:sz w:val="22"/>
          <w:szCs w:val="22"/>
          <w:lang w:val="en-CA"/>
        </w:rPr>
        <w:footnoteReference w:id="36"/>
      </w:r>
    </w:p>
    <w:p w:rsidR="00A17E81" w:rsidRPr="005620DC" w:rsidRDefault="00132D88" w:rsidP="00A17E81">
      <w:pPr>
        <w:pStyle w:val="Paragraphe"/>
        <w:tabs>
          <w:tab w:val="clear" w:pos="360"/>
        </w:tabs>
        <w:spacing w:line="240" w:lineRule="auto"/>
        <w:rPr>
          <w:rFonts w:cs="Arial"/>
          <w:iCs/>
          <w:szCs w:val="24"/>
          <w:lang w:val="en-CA"/>
        </w:rPr>
      </w:pPr>
      <w:r w:rsidRPr="005620DC">
        <w:rPr>
          <w:lang w:val="en-CA"/>
        </w:rPr>
        <w:t xml:space="preserve">In 2018, the Court of Appeal in </w:t>
      </w:r>
      <w:r w:rsidRPr="00952359">
        <w:rPr>
          <w:i/>
          <w:lang w:val="en-CA"/>
        </w:rPr>
        <w:t>Denis-</w:t>
      </w:r>
      <w:proofErr w:type="spellStart"/>
      <w:r w:rsidRPr="00952359">
        <w:rPr>
          <w:i/>
          <w:lang w:val="en-CA"/>
        </w:rPr>
        <w:t>Damée</w:t>
      </w:r>
      <w:proofErr w:type="spellEnd"/>
      <w:r>
        <w:rPr>
          <w:rStyle w:val="Appelnotedebasdep"/>
          <w:lang w:val="en-CA"/>
        </w:rPr>
        <w:footnoteReference w:id="37"/>
      </w:r>
      <w:r w:rsidRPr="005620DC">
        <w:rPr>
          <w:lang w:val="en-CA"/>
        </w:rPr>
        <w:t xml:space="preserve"> applied the </w:t>
      </w:r>
      <w:proofErr w:type="spellStart"/>
      <w:r w:rsidRPr="005620DC">
        <w:rPr>
          <w:i/>
          <w:lang w:val="en-CA"/>
        </w:rPr>
        <w:t>Gladue</w:t>
      </w:r>
      <w:proofErr w:type="spellEnd"/>
      <w:r w:rsidRPr="005620DC">
        <w:rPr>
          <w:lang w:val="en-CA"/>
        </w:rPr>
        <w:t xml:space="preserve"> and </w:t>
      </w:r>
      <w:proofErr w:type="spellStart"/>
      <w:r w:rsidRPr="005620DC">
        <w:rPr>
          <w:i/>
          <w:lang w:val="en-CA"/>
        </w:rPr>
        <w:t>Ipeelee</w:t>
      </w:r>
      <w:proofErr w:type="spellEnd"/>
      <w:r w:rsidRPr="005620DC">
        <w:rPr>
          <w:lang w:val="en-CA"/>
        </w:rPr>
        <w:t xml:space="preserve"> principles. In that case, the accused, then 21</w:t>
      </w:r>
      <w:r w:rsidR="008565F5">
        <w:rPr>
          <w:lang w:val="en-CA"/>
        </w:rPr>
        <w:t xml:space="preserve"> years old</w:t>
      </w:r>
      <w:r w:rsidRPr="005620DC">
        <w:rPr>
          <w:lang w:val="en-CA"/>
        </w:rPr>
        <w:t xml:space="preserve">, stabbed her father during a family argument while she was intoxicated. </w:t>
      </w:r>
      <w:r w:rsidR="008565F5">
        <w:rPr>
          <w:lang w:val="en-CA"/>
        </w:rPr>
        <w:t>She was c</w:t>
      </w:r>
      <w:r w:rsidRPr="005620DC">
        <w:rPr>
          <w:lang w:val="en-CA"/>
        </w:rPr>
        <w:t xml:space="preserve">harged with </w:t>
      </w:r>
      <w:proofErr w:type="gramStart"/>
      <w:r w:rsidRPr="005620DC">
        <w:rPr>
          <w:lang w:val="en-CA"/>
        </w:rPr>
        <w:t>first degree</w:t>
      </w:r>
      <w:proofErr w:type="gramEnd"/>
      <w:r w:rsidRPr="005620DC">
        <w:rPr>
          <w:lang w:val="en-CA"/>
        </w:rPr>
        <w:t xml:space="preserve"> murder</w:t>
      </w:r>
      <w:r>
        <w:rPr>
          <w:rStyle w:val="Appelnotedebasdep"/>
          <w:lang w:val="en-CA"/>
        </w:rPr>
        <w:footnoteReference w:id="38"/>
      </w:r>
      <w:r w:rsidRPr="005620DC">
        <w:rPr>
          <w:lang w:val="en-CA"/>
        </w:rPr>
        <w:t xml:space="preserve"> </w:t>
      </w:r>
      <w:r w:rsidR="008565F5">
        <w:rPr>
          <w:lang w:val="en-CA"/>
        </w:rPr>
        <w:t xml:space="preserve">and </w:t>
      </w:r>
      <w:r w:rsidRPr="005620DC">
        <w:rPr>
          <w:lang w:val="en-CA"/>
        </w:rPr>
        <w:t>pleaded guilty to a reduced charge of manslaughter.</w:t>
      </w:r>
      <w:r>
        <w:rPr>
          <w:rStyle w:val="Appelnotedebasdep"/>
          <w:lang w:val="en-CA"/>
        </w:rPr>
        <w:footnoteReference w:id="39"/>
      </w:r>
      <w:r w:rsidRPr="005620DC">
        <w:rPr>
          <w:lang w:val="en-CA"/>
        </w:rPr>
        <w:t xml:space="preserve"> The trial judge sentenced her to 6 years,</w:t>
      </w:r>
      <w:r>
        <w:rPr>
          <w:rStyle w:val="Appelnotedebasdep"/>
          <w:lang w:val="en-CA"/>
        </w:rPr>
        <w:footnoteReference w:id="40"/>
      </w:r>
      <w:r w:rsidRPr="005620DC">
        <w:rPr>
          <w:lang w:val="en-CA"/>
        </w:rPr>
        <w:t xml:space="preserve"> later reduced to 2 years by the Court of Appeal, which considered </w:t>
      </w:r>
      <w:r w:rsidR="008565F5">
        <w:rPr>
          <w:lang w:val="en-CA"/>
        </w:rPr>
        <w:t xml:space="preserve">in particular </w:t>
      </w:r>
      <w:r w:rsidRPr="005620DC">
        <w:rPr>
          <w:lang w:val="en-CA"/>
        </w:rPr>
        <w:t xml:space="preserve">the </w:t>
      </w:r>
      <w:proofErr w:type="spellStart"/>
      <w:r w:rsidRPr="005620DC">
        <w:rPr>
          <w:i/>
          <w:lang w:val="en-CA"/>
        </w:rPr>
        <w:t>Gladue</w:t>
      </w:r>
      <w:proofErr w:type="spellEnd"/>
      <w:r w:rsidRPr="005620DC">
        <w:rPr>
          <w:lang w:val="en-CA"/>
        </w:rPr>
        <w:t xml:space="preserve"> report describing the systemic and background factors that diminished the accused’s degree of moral culpability.</w:t>
      </w:r>
    </w:p>
    <w:p w:rsidR="00A17E81" w:rsidRPr="005620DC" w:rsidRDefault="00132D88" w:rsidP="00A17E81">
      <w:pPr>
        <w:pStyle w:val="Paragraphe"/>
        <w:tabs>
          <w:tab w:val="clear" w:pos="360"/>
        </w:tabs>
        <w:spacing w:line="240" w:lineRule="auto"/>
        <w:rPr>
          <w:lang w:val="en-CA"/>
        </w:rPr>
      </w:pPr>
      <w:r w:rsidRPr="005620DC">
        <w:rPr>
          <w:lang w:val="en-CA"/>
        </w:rPr>
        <w:t xml:space="preserve">Ultimately, as the Supreme Court stated in </w:t>
      </w:r>
      <w:r w:rsidRPr="005620DC">
        <w:rPr>
          <w:i/>
          <w:lang w:val="en-CA"/>
        </w:rPr>
        <w:t>Wells</w:t>
      </w:r>
      <w:r w:rsidRPr="005620DC">
        <w:rPr>
          <w:lang w:val="en-CA"/>
        </w:rPr>
        <w:t xml:space="preserve">, the unique systemic or background factors </w:t>
      </w:r>
      <w:proofErr w:type="gramStart"/>
      <w:r w:rsidRPr="005620DC">
        <w:rPr>
          <w:lang w:val="en-CA"/>
        </w:rPr>
        <w:t>may be considered</w:t>
      </w:r>
      <w:proofErr w:type="gramEnd"/>
      <w:r w:rsidRPr="005620DC">
        <w:rPr>
          <w:lang w:val="en-CA"/>
        </w:rPr>
        <w:t xml:space="preserve"> as mitigating in nature in that they</w:t>
      </w:r>
      <w:r w:rsidR="00302A99">
        <w:rPr>
          <w:lang w:val="en-CA"/>
        </w:rPr>
        <w:t xml:space="preserve"> may have played a part in the A</w:t>
      </w:r>
      <w:r w:rsidRPr="005620DC">
        <w:rPr>
          <w:lang w:val="en-CA"/>
        </w:rPr>
        <w:t>boriginal offender’s conduct.</w:t>
      </w:r>
      <w:r>
        <w:rPr>
          <w:rStyle w:val="Appelnotedebasdep"/>
          <w:lang w:val="en-CA"/>
        </w:rPr>
        <w:footnoteReference w:id="41"/>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Such factors apply in this case. To paraphrase the Supreme Court regarding </w:t>
      </w:r>
      <w:proofErr w:type="spellStart"/>
      <w:r w:rsidRPr="005620DC">
        <w:rPr>
          <w:rFonts w:cs="Arial"/>
          <w:iCs/>
          <w:szCs w:val="24"/>
          <w:lang w:val="en-CA"/>
        </w:rPr>
        <w:t>Manasie</w:t>
      </w:r>
      <w:proofErr w:type="spellEnd"/>
      <w:r w:rsidRPr="005620DC">
        <w:rPr>
          <w:rFonts w:cs="Arial"/>
          <w:iCs/>
          <w:szCs w:val="24"/>
          <w:lang w:val="en-CA"/>
        </w:rPr>
        <w:t xml:space="preserve"> </w:t>
      </w:r>
      <w:proofErr w:type="spellStart"/>
      <w:r w:rsidRPr="005620DC">
        <w:rPr>
          <w:rFonts w:cs="Arial"/>
          <w:iCs/>
          <w:szCs w:val="24"/>
          <w:lang w:val="en-CA"/>
        </w:rPr>
        <w:t>Ipeelee</w:t>
      </w:r>
      <w:proofErr w:type="spellEnd"/>
      <w:r w:rsidRPr="005620DC">
        <w:rPr>
          <w:rFonts w:cs="Arial"/>
          <w:iCs/>
          <w:szCs w:val="24"/>
          <w:lang w:val="en-CA"/>
        </w:rPr>
        <w:t xml:space="preserve">, also from Nunavut, Ms. </w:t>
      </w:r>
      <w:proofErr w:type="spellStart"/>
      <w:r w:rsidRPr="005620DC">
        <w:rPr>
          <w:rFonts w:cs="Arial"/>
          <w:iCs/>
          <w:szCs w:val="24"/>
          <w:lang w:val="en-CA"/>
        </w:rPr>
        <w:t>Killiktee’s</w:t>
      </w:r>
      <w:proofErr w:type="spellEnd"/>
      <w:r w:rsidRPr="005620DC">
        <w:rPr>
          <w:rFonts w:cs="Arial"/>
          <w:iCs/>
          <w:szCs w:val="24"/>
          <w:lang w:val="en-CA"/>
        </w:rPr>
        <w:t xml:space="preserve"> life story </w:t>
      </w:r>
      <w:proofErr w:type="gramStart"/>
      <w:r w:rsidRPr="005620DC">
        <w:rPr>
          <w:rFonts w:cs="Arial"/>
          <w:iCs/>
          <w:szCs w:val="24"/>
          <w:lang w:val="en-CA"/>
        </w:rPr>
        <w:t>is far removed</w:t>
      </w:r>
      <w:proofErr w:type="gramEnd"/>
      <w:r w:rsidRPr="005620DC">
        <w:rPr>
          <w:rFonts w:cs="Arial"/>
          <w:iCs/>
          <w:szCs w:val="24"/>
          <w:lang w:val="en-CA"/>
        </w:rPr>
        <w:t xml:space="preserve"> from the experience of most Canadians.</w:t>
      </w:r>
      <w:r>
        <w:rPr>
          <w:rStyle w:val="Appelnotedebasdep"/>
          <w:rFonts w:cs="Arial"/>
          <w:iCs/>
          <w:szCs w:val="24"/>
          <w:lang w:val="en-CA"/>
        </w:rPr>
        <w:footnoteReference w:id="42"/>
      </w:r>
      <w:r w:rsidRPr="005620DC">
        <w:rPr>
          <w:rFonts w:cs="Arial"/>
          <w:iCs/>
          <w:szCs w:val="24"/>
          <w:lang w:val="en-CA"/>
        </w:rPr>
        <w:t xml:space="preserve"> This </w:t>
      </w:r>
      <w:r w:rsidR="008565F5">
        <w:rPr>
          <w:rFonts w:cs="Arial"/>
          <w:iCs/>
          <w:szCs w:val="24"/>
          <w:lang w:val="en-CA"/>
        </w:rPr>
        <w:t>tragic</w:t>
      </w:r>
      <w:r w:rsidRPr="005620DC">
        <w:rPr>
          <w:rFonts w:cs="Arial"/>
          <w:iCs/>
          <w:szCs w:val="24"/>
          <w:lang w:val="en-CA"/>
        </w:rPr>
        <w:t xml:space="preserve"> personal history may “diminish”</w:t>
      </w:r>
      <w:r>
        <w:rPr>
          <w:rStyle w:val="Appelnotedebasdep"/>
          <w:rFonts w:cs="Arial"/>
          <w:iCs/>
          <w:szCs w:val="24"/>
          <w:lang w:val="en-CA"/>
        </w:rPr>
        <w:footnoteReference w:id="43"/>
      </w:r>
      <w:r w:rsidRPr="005620DC">
        <w:rPr>
          <w:rFonts w:cs="Arial"/>
          <w:iCs/>
          <w:szCs w:val="24"/>
          <w:lang w:val="en-CA"/>
        </w:rPr>
        <w:t xml:space="preserve"> moral culpability.</w:t>
      </w:r>
    </w:p>
    <w:p w:rsidR="00A17E81" w:rsidRPr="005620DC" w:rsidRDefault="00132D88" w:rsidP="00A17E81">
      <w:pPr>
        <w:pStyle w:val="Paragraphe"/>
        <w:tabs>
          <w:tab w:val="clear" w:pos="360"/>
        </w:tabs>
        <w:spacing w:line="240" w:lineRule="auto"/>
        <w:rPr>
          <w:rFonts w:cs="Arial"/>
          <w:iCs/>
          <w:szCs w:val="24"/>
          <w:lang w:val="en-CA"/>
        </w:rPr>
      </w:pPr>
      <w:r w:rsidRPr="005620DC">
        <w:rPr>
          <w:lang w:val="en-CA"/>
        </w:rPr>
        <w:t>That being so, what is the appropriate sentence?</w:t>
      </w:r>
    </w:p>
    <w:p w:rsidR="00A17E81" w:rsidRPr="005620DC" w:rsidRDefault="00132D88" w:rsidP="00A17E81">
      <w:pPr>
        <w:pStyle w:val="Paragraphe"/>
        <w:tabs>
          <w:tab w:val="clear" w:pos="360"/>
        </w:tabs>
        <w:spacing w:line="240" w:lineRule="auto"/>
        <w:rPr>
          <w:rFonts w:cs="Arial"/>
          <w:iCs/>
          <w:szCs w:val="24"/>
          <w:lang w:val="en-CA"/>
        </w:rPr>
      </w:pPr>
      <w:r w:rsidRPr="005620DC">
        <w:rPr>
          <w:lang w:val="en-CA"/>
        </w:rPr>
        <w:t>The prosecution a</w:t>
      </w:r>
      <w:r w:rsidR="008565F5">
        <w:rPr>
          <w:lang w:val="en-CA"/>
        </w:rPr>
        <w:t>dmit</w:t>
      </w:r>
      <w:r w:rsidRPr="005620DC">
        <w:rPr>
          <w:lang w:val="en-CA"/>
        </w:rPr>
        <w:t xml:space="preserve">s that this is a difficult case. Relying on the case law, the prosecution seeks a total sentence of 4 years. The Court considers this position much too harsh. One, as the Court of Appeal stated in </w:t>
      </w:r>
      <w:r w:rsidRPr="005620DC">
        <w:rPr>
          <w:i/>
          <w:lang w:val="en-CA"/>
        </w:rPr>
        <w:t>Boisvert</w:t>
      </w:r>
      <w:r w:rsidRPr="005620DC">
        <w:rPr>
          <w:lang w:val="en-CA"/>
        </w:rPr>
        <w:t>,</w:t>
      </w:r>
      <w:r>
        <w:rPr>
          <w:rStyle w:val="Appelnotedebasdep"/>
          <w:lang w:val="en-CA"/>
        </w:rPr>
        <w:footnoteReference w:id="44"/>
      </w:r>
      <w:r w:rsidRPr="005620DC">
        <w:rPr>
          <w:rFonts w:cs="Arial"/>
          <w:lang w:val="en-CA"/>
        </w:rPr>
        <w:t xml:space="preserve"> repeat offenders must not be [</w:t>
      </w:r>
      <w:r w:rsidRPr="005620DC">
        <w:rPr>
          <w:rFonts w:cs="Arial"/>
          <w:smallCaps/>
          <w:lang w:val="en-CA"/>
        </w:rPr>
        <w:t>translation</w:t>
      </w:r>
      <w:r w:rsidRPr="005620DC">
        <w:rPr>
          <w:rFonts w:cs="Arial"/>
          <w:lang w:val="en-CA"/>
        </w:rPr>
        <w:t xml:space="preserve">] “punished again”. Gradation is </w:t>
      </w:r>
      <w:proofErr w:type="gramStart"/>
      <w:r w:rsidRPr="005620DC">
        <w:rPr>
          <w:rFonts w:cs="Arial"/>
          <w:lang w:val="en-CA"/>
        </w:rPr>
        <w:t>not an immutable</w:t>
      </w:r>
      <w:proofErr w:type="gramEnd"/>
      <w:r w:rsidRPr="005620DC">
        <w:rPr>
          <w:rFonts w:cs="Arial"/>
          <w:lang w:val="en-CA"/>
        </w:rPr>
        <w:t xml:space="preserve"> principle</w:t>
      </w:r>
      <w:r>
        <w:rPr>
          <w:rStyle w:val="Appelnotedebasdep"/>
          <w:rFonts w:cs="Arial"/>
          <w:lang w:val="en-CA"/>
        </w:rPr>
        <w:footnoteReference w:id="45"/>
      </w:r>
      <w:r w:rsidRPr="005620DC">
        <w:rPr>
          <w:rFonts w:cs="Arial"/>
          <w:lang w:val="en-CA"/>
        </w:rPr>
        <w:t xml:space="preserve"> and a sentence is not automatically increased for a repeat offence.</w:t>
      </w:r>
      <w:r>
        <w:rPr>
          <w:rStyle w:val="Appelnotedebasdep"/>
          <w:rFonts w:eastAsia="Calibri"/>
          <w:lang w:val="en-CA" w:eastAsia="en-US"/>
        </w:rPr>
        <w:footnoteReference w:id="46"/>
      </w:r>
      <w:r w:rsidRPr="005620DC">
        <w:rPr>
          <w:rFonts w:eastAsia="Calibri"/>
          <w:lang w:val="en-CA" w:eastAsia="en-US"/>
        </w:rPr>
        <w:t xml:space="preserve"> Two, a prison sentence does not consider moral culpability, which </w:t>
      </w:r>
      <w:proofErr w:type="gramStart"/>
      <w:r w:rsidRPr="005620DC">
        <w:rPr>
          <w:rFonts w:eastAsia="Calibri"/>
          <w:lang w:val="en-CA" w:eastAsia="en-US"/>
        </w:rPr>
        <w:t>is diminished</w:t>
      </w:r>
      <w:proofErr w:type="gramEnd"/>
      <w:r w:rsidRPr="005620DC">
        <w:rPr>
          <w:rFonts w:eastAsia="Calibri"/>
          <w:lang w:val="en-CA" w:eastAsia="en-US"/>
        </w:rPr>
        <w:t xml:space="preserve"> here.</w:t>
      </w:r>
    </w:p>
    <w:p w:rsidR="00A17E81" w:rsidRPr="005620DC" w:rsidRDefault="00132D88" w:rsidP="00A17E81">
      <w:pPr>
        <w:pStyle w:val="Paragraphe"/>
        <w:tabs>
          <w:tab w:val="clear" w:pos="360"/>
        </w:tabs>
        <w:spacing w:line="240" w:lineRule="auto"/>
        <w:rPr>
          <w:rFonts w:cs="Arial"/>
          <w:iCs/>
          <w:szCs w:val="24"/>
          <w:lang w:val="en-CA"/>
        </w:rPr>
      </w:pPr>
      <w:r>
        <w:rPr>
          <w:rFonts w:cs="Arial"/>
          <w:iCs/>
          <w:szCs w:val="24"/>
          <w:lang w:val="en-CA"/>
        </w:rPr>
        <w:lastRenderedPageBreak/>
        <w:t>The</w:t>
      </w:r>
      <w:r w:rsidR="009F7A18" w:rsidRPr="005620DC">
        <w:rPr>
          <w:rFonts w:cs="Arial"/>
          <w:iCs/>
          <w:szCs w:val="24"/>
          <w:lang w:val="en-CA"/>
        </w:rPr>
        <w:t xml:space="preserve"> sentence of 6 to 9 months proposed by the defence is too lenient and does not consider the objective gravity, the subjective gravity, the serious </w:t>
      </w:r>
      <w:r>
        <w:rPr>
          <w:rFonts w:cs="Arial"/>
          <w:iCs/>
          <w:szCs w:val="24"/>
          <w:lang w:val="en-CA"/>
        </w:rPr>
        <w:t xml:space="preserve">violent </w:t>
      </w:r>
      <w:r w:rsidR="009F7A18" w:rsidRPr="005620DC">
        <w:rPr>
          <w:rFonts w:cs="Arial"/>
          <w:iCs/>
          <w:szCs w:val="24"/>
          <w:lang w:val="en-CA"/>
        </w:rPr>
        <w:t xml:space="preserve">prior convictions, or the risk of </w:t>
      </w:r>
      <w:r w:rsidR="00542ABF">
        <w:rPr>
          <w:rFonts w:cs="Arial"/>
          <w:iCs/>
          <w:szCs w:val="24"/>
          <w:lang w:val="en-CA"/>
        </w:rPr>
        <w:t xml:space="preserve">reoffending </w:t>
      </w:r>
      <w:r w:rsidR="009F7A18" w:rsidRPr="005620DC">
        <w:rPr>
          <w:rFonts w:cs="Arial"/>
          <w:iCs/>
          <w:szCs w:val="24"/>
          <w:lang w:val="en-CA"/>
        </w:rPr>
        <w:t xml:space="preserve">that compromises, to a certain extent, the safety of the public.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That being so, the Court sees no alternative to imprisonment, given that Ms. </w:t>
      </w:r>
      <w:proofErr w:type="spellStart"/>
      <w:r w:rsidRPr="005620DC">
        <w:rPr>
          <w:rFonts w:cs="Arial"/>
          <w:iCs/>
          <w:szCs w:val="24"/>
          <w:lang w:val="en-CA"/>
        </w:rPr>
        <w:t>Killiktee</w:t>
      </w:r>
      <w:proofErr w:type="spellEnd"/>
      <w:r w:rsidRPr="005620DC">
        <w:rPr>
          <w:rFonts w:cs="Arial"/>
          <w:iCs/>
          <w:szCs w:val="24"/>
          <w:lang w:val="en-CA"/>
        </w:rPr>
        <w:t xml:space="preserve"> has unsuccessfully participated in various therapies, including some </w:t>
      </w:r>
      <w:r w:rsidR="008565F5">
        <w:rPr>
          <w:rFonts w:cs="Arial"/>
          <w:iCs/>
          <w:szCs w:val="24"/>
          <w:lang w:val="en-CA"/>
        </w:rPr>
        <w:t xml:space="preserve">specific </w:t>
      </w:r>
      <w:r w:rsidRPr="005620DC">
        <w:rPr>
          <w:rFonts w:cs="Arial"/>
          <w:iCs/>
          <w:szCs w:val="24"/>
          <w:lang w:val="en-CA"/>
        </w:rPr>
        <w:t xml:space="preserve">to her Aboriginal culture.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Moreover, it is a genuine obstacle course: Ms. </w:t>
      </w:r>
      <w:proofErr w:type="spellStart"/>
      <w:r w:rsidRPr="005620DC">
        <w:rPr>
          <w:rFonts w:cs="Arial"/>
          <w:iCs/>
          <w:szCs w:val="24"/>
          <w:lang w:val="en-CA"/>
        </w:rPr>
        <w:t>Killiktee</w:t>
      </w:r>
      <w:proofErr w:type="spellEnd"/>
      <w:r w:rsidRPr="005620DC">
        <w:rPr>
          <w:rFonts w:cs="Arial"/>
          <w:iCs/>
          <w:szCs w:val="24"/>
          <w:lang w:val="en-CA"/>
        </w:rPr>
        <w:t xml:space="preserve"> </w:t>
      </w:r>
      <w:r w:rsidR="008565F5">
        <w:rPr>
          <w:rFonts w:cs="Arial"/>
          <w:iCs/>
          <w:szCs w:val="24"/>
          <w:lang w:val="en-CA"/>
        </w:rPr>
        <w:t>is</w:t>
      </w:r>
      <w:r w:rsidRPr="005620DC">
        <w:rPr>
          <w:rFonts w:cs="Arial"/>
          <w:iCs/>
          <w:szCs w:val="24"/>
          <w:lang w:val="en-CA"/>
        </w:rPr>
        <w:t xml:space="preserve"> from a community located approximately 2,000 km from </w:t>
      </w:r>
      <w:r w:rsidR="00921865" w:rsidRPr="005620DC">
        <w:rPr>
          <w:rFonts w:cs="Arial"/>
          <w:iCs/>
          <w:szCs w:val="24"/>
          <w:lang w:val="en-CA"/>
        </w:rPr>
        <w:t>Chicoutimi</w:t>
      </w:r>
      <w:r w:rsidRPr="005620DC">
        <w:rPr>
          <w:rFonts w:cs="Arial"/>
          <w:iCs/>
          <w:szCs w:val="24"/>
          <w:lang w:val="en-CA"/>
        </w:rPr>
        <w:t xml:space="preserve">; the earlier report </w:t>
      </w:r>
      <w:proofErr w:type="gramStart"/>
      <w:r w:rsidRPr="005620DC">
        <w:rPr>
          <w:rFonts w:cs="Arial"/>
          <w:iCs/>
          <w:szCs w:val="24"/>
          <w:lang w:val="en-CA"/>
        </w:rPr>
        <w:t>cannot be found</w:t>
      </w:r>
      <w:proofErr w:type="gramEnd"/>
      <w:r w:rsidRPr="005620DC">
        <w:rPr>
          <w:rFonts w:cs="Arial"/>
          <w:iCs/>
          <w:szCs w:val="24"/>
          <w:lang w:val="en-CA"/>
        </w:rPr>
        <w:t xml:space="preserve">; as the Court of Appeal stated in </w:t>
      </w:r>
      <w:r w:rsidRPr="005620DC">
        <w:rPr>
          <w:rFonts w:cs="Arial"/>
          <w:i/>
          <w:iCs/>
          <w:szCs w:val="24"/>
          <w:lang w:val="en-CA"/>
        </w:rPr>
        <w:t>Denis-</w:t>
      </w:r>
      <w:proofErr w:type="spellStart"/>
      <w:r w:rsidRPr="005620DC">
        <w:rPr>
          <w:rFonts w:cs="Arial"/>
          <w:i/>
          <w:iCs/>
          <w:szCs w:val="24"/>
          <w:lang w:val="en-CA"/>
        </w:rPr>
        <w:t>Damée</w:t>
      </w:r>
      <w:proofErr w:type="spellEnd"/>
      <w:r w:rsidRPr="005620DC">
        <w:rPr>
          <w:rFonts w:cs="Arial"/>
          <w:iCs/>
          <w:szCs w:val="24"/>
          <w:lang w:val="en-CA"/>
        </w:rPr>
        <w:t>, [</w:t>
      </w:r>
      <w:r w:rsidRPr="005620DC">
        <w:rPr>
          <w:rFonts w:cs="Arial"/>
          <w:iCs/>
          <w:smallCaps/>
          <w:szCs w:val="24"/>
          <w:lang w:val="en-CA"/>
        </w:rPr>
        <w:t>translation</w:t>
      </w:r>
      <w:r w:rsidRPr="005620DC">
        <w:rPr>
          <w:rFonts w:cs="Arial"/>
          <w:iCs/>
          <w:szCs w:val="24"/>
          <w:lang w:val="en-CA"/>
        </w:rPr>
        <w:t>] “[r]</w:t>
      </w:r>
      <w:proofErr w:type="spellStart"/>
      <w:r w:rsidRPr="005620DC">
        <w:rPr>
          <w:rFonts w:cs="Arial"/>
          <w:iCs/>
          <w:szCs w:val="24"/>
          <w:lang w:val="en-CA"/>
        </w:rPr>
        <w:t>esources</w:t>
      </w:r>
      <w:proofErr w:type="spellEnd"/>
      <w:r w:rsidRPr="005620DC">
        <w:rPr>
          <w:rFonts w:cs="Arial"/>
          <w:iCs/>
          <w:szCs w:val="24"/>
          <w:lang w:val="en-CA"/>
        </w:rPr>
        <w:t xml:space="preserve"> for Indigenous offenders are cruelly lacking”,</w:t>
      </w:r>
      <w:r>
        <w:rPr>
          <w:rStyle w:val="Appelnotedebasdep"/>
          <w:rFonts w:cs="Arial"/>
          <w:iCs/>
          <w:szCs w:val="24"/>
          <w:lang w:val="en-CA"/>
        </w:rPr>
        <w:footnoteReference w:id="47"/>
      </w:r>
      <w:r w:rsidRPr="005620DC">
        <w:rPr>
          <w:rFonts w:cs="Arial"/>
          <w:iCs/>
          <w:szCs w:val="24"/>
          <w:lang w:val="en-CA"/>
        </w:rPr>
        <w:t xml:space="preserve"> a problem exacerbated here by the language barrier; Ms. </w:t>
      </w:r>
      <w:proofErr w:type="spellStart"/>
      <w:r w:rsidRPr="005620DC">
        <w:rPr>
          <w:rFonts w:cs="Arial"/>
          <w:iCs/>
          <w:szCs w:val="24"/>
          <w:lang w:val="en-CA"/>
        </w:rPr>
        <w:t>Killiktee</w:t>
      </w:r>
      <w:proofErr w:type="spellEnd"/>
      <w:r w:rsidRPr="005620DC">
        <w:rPr>
          <w:rFonts w:cs="Arial"/>
          <w:iCs/>
          <w:szCs w:val="24"/>
          <w:lang w:val="en-CA"/>
        </w:rPr>
        <w:t xml:space="preserve"> insists on being sentenced as soon as possible. </w:t>
      </w:r>
    </w:p>
    <w:p w:rsidR="00A17E81" w:rsidRPr="005620DC" w:rsidRDefault="00132D88" w:rsidP="00A17E81">
      <w:pPr>
        <w:jc w:val="center"/>
        <w:rPr>
          <w:lang w:val="en-CA"/>
        </w:rPr>
      </w:pPr>
      <w:r w:rsidRPr="005620DC">
        <w:rPr>
          <w:rFonts w:cs="Arial"/>
          <w:lang w:val="en-CA"/>
        </w:rPr>
        <w:t>◊</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After balancing all the factors, the Court considers a total sentence of </w:t>
      </w:r>
      <w:r w:rsidRPr="005620DC">
        <w:rPr>
          <w:rFonts w:cs="Arial"/>
          <w:b/>
          <w:iCs/>
          <w:szCs w:val="24"/>
          <w:lang w:val="en-CA"/>
        </w:rPr>
        <w:t xml:space="preserve">15 months </w:t>
      </w:r>
      <w:r w:rsidRPr="005620DC">
        <w:rPr>
          <w:rFonts w:cs="Arial"/>
          <w:iCs/>
          <w:szCs w:val="24"/>
          <w:lang w:val="en-CA"/>
        </w:rPr>
        <w:t xml:space="preserve">appropriate. Some sentences will be consecutive to send Ms. </w:t>
      </w:r>
      <w:proofErr w:type="spellStart"/>
      <w:r w:rsidRPr="005620DC">
        <w:rPr>
          <w:rFonts w:cs="Arial"/>
          <w:iCs/>
          <w:szCs w:val="24"/>
          <w:lang w:val="en-CA"/>
        </w:rPr>
        <w:t>Killiktee</w:t>
      </w:r>
      <w:proofErr w:type="spellEnd"/>
      <w:r w:rsidRPr="005620DC">
        <w:rPr>
          <w:rFonts w:cs="Arial"/>
          <w:iCs/>
          <w:szCs w:val="24"/>
          <w:lang w:val="en-CA"/>
        </w:rPr>
        <w:t xml:space="preserve"> the message that when she reoffends, there are consequences.</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Pre</w:t>
      </w:r>
      <w:r w:rsidR="00CF2333">
        <w:rPr>
          <w:rFonts w:cs="Arial"/>
          <w:iCs/>
          <w:szCs w:val="24"/>
          <w:lang w:val="en-CA"/>
        </w:rPr>
        <w:t>-sentence</w:t>
      </w:r>
      <w:r w:rsidRPr="005620DC">
        <w:rPr>
          <w:rFonts w:cs="Arial"/>
          <w:iCs/>
          <w:szCs w:val="24"/>
          <w:lang w:val="en-CA"/>
        </w:rPr>
        <w:t xml:space="preserve"> custody </w:t>
      </w:r>
      <w:proofErr w:type="gramStart"/>
      <w:r w:rsidRPr="005620DC">
        <w:rPr>
          <w:rFonts w:cs="Arial"/>
          <w:iCs/>
          <w:szCs w:val="24"/>
          <w:lang w:val="en-CA"/>
        </w:rPr>
        <w:t>will be deducted</w:t>
      </w:r>
      <w:proofErr w:type="gramEnd"/>
      <w:r w:rsidRPr="005620DC">
        <w:rPr>
          <w:rFonts w:cs="Arial"/>
          <w:iCs/>
          <w:szCs w:val="24"/>
          <w:lang w:val="en-CA"/>
        </w:rPr>
        <w:t xml:space="preserve">. To the 42 days </w:t>
      </w:r>
      <w:r w:rsidR="008565F5">
        <w:rPr>
          <w:rFonts w:cs="Arial"/>
          <w:iCs/>
          <w:szCs w:val="24"/>
          <w:lang w:val="en-CA"/>
        </w:rPr>
        <w:t>as of</w:t>
      </w:r>
      <w:r w:rsidRPr="005620DC">
        <w:rPr>
          <w:rFonts w:cs="Arial"/>
          <w:iCs/>
          <w:szCs w:val="24"/>
          <w:lang w:val="en-CA"/>
        </w:rPr>
        <w:t xml:space="preserve"> November 11,</w:t>
      </w:r>
      <w:r w:rsidR="00191D65">
        <w:rPr>
          <w:rFonts w:cs="Arial"/>
          <w:iCs/>
          <w:szCs w:val="24"/>
          <w:lang w:val="en-CA"/>
        </w:rPr>
        <w:t> </w:t>
      </w:r>
      <w:r w:rsidRPr="005620DC">
        <w:rPr>
          <w:rFonts w:cs="Arial"/>
          <w:iCs/>
          <w:szCs w:val="24"/>
          <w:lang w:val="en-CA"/>
        </w:rPr>
        <w:t xml:space="preserve">2021, </w:t>
      </w:r>
      <w:proofErr w:type="gramStart"/>
      <w:r w:rsidRPr="005620DC">
        <w:rPr>
          <w:rFonts w:cs="Arial"/>
          <w:iCs/>
          <w:szCs w:val="24"/>
          <w:lang w:val="en-CA"/>
        </w:rPr>
        <w:t>will be added</w:t>
      </w:r>
      <w:proofErr w:type="gramEnd"/>
      <w:r w:rsidRPr="005620DC">
        <w:rPr>
          <w:rFonts w:cs="Arial"/>
          <w:iCs/>
          <w:szCs w:val="24"/>
          <w:lang w:val="en-CA"/>
        </w:rPr>
        <w:t xml:space="preserve"> 44 days (29 x 1.5) for the deliberation period, for a total rounded to 3 months. The sentence will therefore be </w:t>
      </w:r>
      <w:r w:rsidRPr="005620DC">
        <w:rPr>
          <w:rFonts w:cs="Arial"/>
          <w:b/>
          <w:iCs/>
          <w:szCs w:val="24"/>
          <w:lang w:val="en-CA"/>
        </w:rPr>
        <w:t>12 months</w:t>
      </w:r>
      <w:r w:rsidRPr="005620DC">
        <w:rPr>
          <w:rFonts w:cs="Arial"/>
          <w:iCs/>
          <w:szCs w:val="24"/>
          <w:lang w:val="en-CA"/>
        </w:rPr>
        <w:t xml:space="preserve"> as of today.</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A provincial sentence opens the way for a probation order, which allows her to </w:t>
      </w:r>
      <w:proofErr w:type="gramStart"/>
      <w:r w:rsidRPr="005620DC">
        <w:rPr>
          <w:rFonts w:cs="Arial"/>
          <w:iCs/>
          <w:szCs w:val="24"/>
          <w:lang w:val="en-CA"/>
        </w:rPr>
        <w:t>be supervised</w:t>
      </w:r>
      <w:proofErr w:type="gramEnd"/>
      <w:r w:rsidRPr="005620DC">
        <w:rPr>
          <w:rFonts w:cs="Arial"/>
          <w:iCs/>
          <w:szCs w:val="24"/>
          <w:lang w:val="en-CA"/>
        </w:rPr>
        <w:t xml:space="preserve"> </w:t>
      </w:r>
      <w:r w:rsidR="008565F5">
        <w:rPr>
          <w:rFonts w:cs="Arial"/>
          <w:iCs/>
          <w:szCs w:val="24"/>
          <w:lang w:val="en-CA"/>
        </w:rPr>
        <w:t>for</w:t>
      </w:r>
      <w:r w:rsidRPr="005620DC">
        <w:rPr>
          <w:rFonts w:cs="Arial"/>
          <w:iCs/>
          <w:szCs w:val="24"/>
          <w:lang w:val="en-CA"/>
        </w:rPr>
        <w:t xml:space="preserve"> a certain period. In addition, failure to comply with an order is a new offence. </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Supervision also provides an opportunity to attack the root of the problem, particularly with therapy.</w:t>
      </w:r>
    </w:p>
    <w:p w:rsidR="00A17E81" w:rsidRPr="005620DC" w:rsidRDefault="00132D88" w:rsidP="00A17E81">
      <w:pPr>
        <w:pStyle w:val="Paragraphe"/>
        <w:tabs>
          <w:tab w:val="clear" w:pos="360"/>
        </w:tabs>
        <w:spacing w:line="240" w:lineRule="auto"/>
        <w:rPr>
          <w:rFonts w:cs="Arial"/>
          <w:iCs/>
          <w:szCs w:val="24"/>
          <w:lang w:val="en-CA"/>
        </w:rPr>
      </w:pPr>
      <w:r w:rsidRPr="005620DC">
        <w:rPr>
          <w:rFonts w:cs="Arial"/>
          <w:iCs/>
          <w:szCs w:val="24"/>
          <w:lang w:val="en-CA"/>
        </w:rPr>
        <w:t xml:space="preserve">It is now up to Ms. </w:t>
      </w:r>
      <w:proofErr w:type="spellStart"/>
      <w:r w:rsidRPr="005620DC">
        <w:rPr>
          <w:rFonts w:cs="Arial"/>
          <w:iCs/>
          <w:szCs w:val="24"/>
          <w:lang w:val="en-CA"/>
        </w:rPr>
        <w:t>Killiktee</w:t>
      </w:r>
      <w:proofErr w:type="spellEnd"/>
      <w:r w:rsidRPr="005620DC">
        <w:rPr>
          <w:rFonts w:cs="Arial"/>
          <w:iCs/>
          <w:szCs w:val="24"/>
          <w:lang w:val="en-CA"/>
        </w:rPr>
        <w:t xml:space="preserve"> to make the right choices.</w:t>
      </w:r>
    </w:p>
    <w:p w:rsidR="00A17E81" w:rsidRPr="005620DC" w:rsidRDefault="00132D88" w:rsidP="00A17E81">
      <w:pPr>
        <w:pStyle w:val="Titre4"/>
        <w:spacing w:after="120"/>
        <w:rPr>
          <w:rFonts w:cs="Arial"/>
          <w:szCs w:val="24"/>
          <w:lang w:val="en-CA"/>
        </w:rPr>
      </w:pPr>
      <w:r w:rsidRPr="005620DC">
        <w:rPr>
          <w:rFonts w:cs="Arial"/>
          <w:szCs w:val="24"/>
          <w:lang w:val="en-CA"/>
        </w:rPr>
        <w:t>CONCLUSION</w:t>
      </w:r>
    </w:p>
    <w:p w:rsidR="00A17E81" w:rsidRPr="005620DC" w:rsidRDefault="00132D88" w:rsidP="00A17E81">
      <w:pPr>
        <w:pStyle w:val="Paragraphe"/>
        <w:numPr>
          <w:ilvl w:val="0"/>
          <w:numId w:val="0"/>
        </w:numPr>
        <w:spacing w:before="240" w:line="240" w:lineRule="auto"/>
        <w:rPr>
          <w:rFonts w:cs="Arial"/>
          <w:szCs w:val="24"/>
          <w:lang w:val="en-CA"/>
        </w:rPr>
      </w:pPr>
      <w:r w:rsidRPr="005620DC">
        <w:rPr>
          <w:rFonts w:cs="Arial"/>
          <w:b/>
          <w:bCs/>
          <w:szCs w:val="24"/>
          <w:lang w:val="en-CA"/>
        </w:rPr>
        <w:t>FOR THESE REASONS, THE COURT:</w:t>
      </w:r>
    </w:p>
    <w:p w:rsidR="00A17E81" w:rsidRPr="005620DC" w:rsidRDefault="00132D88" w:rsidP="00A17E81">
      <w:pPr>
        <w:pStyle w:val="Paragraphe"/>
        <w:tabs>
          <w:tab w:val="clear" w:pos="360"/>
        </w:tabs>
        <w:spacing w:line="240" w:lineRule="auto"/>
        <w:rPr>
          <w:rFonts w:cs="Arial"/>
          <w:szCs w:val="24"/>
          <w:lang w:val="en-CA"/>
        </w:rPr>
      </w:pPr>
      <w:r w:rsidRPr="005620DC">
        <w:rPr>
          <w:b/>
          <w:bCs/>
          <w:lang w:val="en-CA"/>
        </w:rPr>
        <w:t>IMPOSES</w:t>
      </w:r>
      <w:r w:rsidRPr="005620DC">
        <w:rPr>
          <w:bCs/>
          <w:lang w:val="en-CA"/>
        </w:rPr>
        <w:t xml:space="preserve"> the following sentences:</w:t>
      </w:r>
    </w:p>
    <w:p w:rsidR="00A17E81" w:rsidRPr="005620DC" w:rsidRDefault="00A17E81" w:rsidP="00A17E81">
      <w:pPr>
        <w:rPr>
          <w:lang w:val="en-CA"/>
        </w:rPr>
      </w:pPr>
    </w:p>
    <w:tbl>
      <w:tblPr>
        <w:tblStyle w:val="Grilledutableau"/>
        <w:tblW w:w="7366" w:type="dxa"/>
        <w:jc w:val="center"/>
        <w:tblLook w:val="04A0" w:firstRow="1" w:lastRow="0" w:firstColumn="1" w:lastColumn="0" w:noHBand="0" w:noVBand="1"/>
      </w:tblPr>
      <w:tblGrid>
        <w:gridCol w:w="2157"/>
        <w:gridCol w:w="2800"/>
        <w:gridCol w:w="2409"/>
      </w:tblGrid>
      <w:tr w:rsidR="00905C1D" w:rsidTr="00A17E81">
        <w:trPr>
          <w:jc w:val="center"/>
        </w:trPr>
        <w:tc>
          <w:tcPr>
            <w:tcW w:w="2157" w:type="dxa"/>
            <w:tcBorders>
              <w:top w:val="single" w:sz="4" w:space="0" w:color="auto"/>
              <w:left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File</w:t>
            </w:r>
          </w:p>
        </w:tc>
        <w:tc>
          <w:tcPr>
            <w:tcW w:w="2800" w:type="dxa"/>
            <w:tcBorders>
              <w:top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Count</w:t>
            </w:r>
          </w:p>
        </w:tc>
        <w:tc>
          <w:tcPr>
            <w:tcW w:w="2409" w:type="dxa"/>
            <w:tcBorders>
              <w:top w:val="single" w:sz="4" w:space="0" w:color="auto"/>
              <w:right w:val="single" w:sz="4" w:space="0" w:color="auto"/>
            </w:tcBorders>
          </w:tcPr>
          <w:p w:rsidR="00A17E81" w:rsidRPr="005620DC" w:rsidRDefault="00132D88" w:rsidP="00A17E81">
            <w:pPr>
              <w:jc w:val="both"/>
              <w:rPr>
                <w:rFonts w:cs="Arial"/>
                <w:sz w:val="16"/>
                <w:szCs w:val="16"/>
                <w:lang w:val="en-CA"/>
              </w:rPr>
            </w:pPr>
            <w:r w:rsidRPr="005620DC">
              <w:rPr>
                <w:rFonts w:cs="Arial"/>
                <w:sz w:val="16"/>
                <w:szCs w:val="16"/>
                <w:lang w:val="en-CA"/>
              </w:rPr>
              <w:t>Sentence</w:t>
            </w:r>
          </w:p>
        </w:tc>
      </w:tr>
      <w:tr w:rsidR="00905C1D" w:rsidTr="00A17E81">
        <w:trPr>
          <w:jc w:val="center"/>
        </w:trPr>
        <w:tc>
          <w:tcPr>
            <w:tcW w:w="2157" w:type="dxa"/>
            <w:tcBorders>
              <w:left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150-01-066204-216</w:t>
            </w:r>
          </w:p>
        </w:tc>
        <w:tc>
          <w:tcPr>
            <w:tcW w:w="2800" w:type="dxa"/>
          </w:tcPr>
          <w:p w:rsidR="00A17E81" w:rsidRPr="005620DC" w:rsidRDefault="00132D88" w:rsidP="00A17E81">
            <w:pPr>
              <w:jc w:val="both"/>
              <w:rPr>
                <w:rFonts w:cs="Arial"/>
                <w:sz w:val="22"/>
                <w:szCs w:val="22"/>
                <w:lang w:val="en-CA"/>
              </w:rPr>
            </w:pPr>
            <w:r w:rsidRPr="005620DC">
              <w:rPr>
                <w:rFonts w:cs="Arial"/>
                <w:sz w:val="22"/>
                <w:szCs w:val="22"/>
                <w:lang w:val="en-CA"/>
              </w:rPr>
              <w:t xml:space="preserve">2) </w:t>
            </w:r>
            <w:r w:rsidR="00793386" w:rsidRPr="005620DC">
              <w:rPr>
                <w:rFonts w:cs="Arial"/>
                <w:sz w:val="22"/>
                <w:szCs w:val="22"/>
                <w:lang w:val="en-CA"/>
              </w:rPr>
              <w:t>Threats (Blades)</w:t>
            </w:r>
          </w:p>
          <w:p w:rsidR="00A17E81" w:rsidRPr="005620DC" w:rsidRDefault="00132D88" w:rsidP="00A17E81">
            <w:pPr>
              <w:jc w:val="both"/>
              <w:rPr>
                <w:rFonts w:cs="Arial"/>
                <w:sz w:val="22"/>
                <w:szCs w:val="22"/>
                <w:lang w:val="en-CA"/>
              </w:rPr>
            </w:pPr>
            <w:r w:rsidRPr="005620DC">
              <w:rPr>
                <w:rFonts w:cs="Arial"/>
                <w:sz w:val="22"/>
                <w:szCs w:val="22"/>
                <w:lang w:val="en-CA"/>
              </w:rPr>
              <w:t xml:space="preserve">3) </w:t>
            </w:r>
            <w:r w:rsidR="00793386" w:rsidRPr="005620DC">
              <w:rPr>
                <w:rFonts w:cs="Arial"/>
                <w:sz w:val="22"/>
                <w:szCs w:val="22"/>
                <w:lang w:val="en-CA"/>
              </w:rPr>
              <w:t>Assault (Blades)</w:t>
            </w:r>
            <w:r w:rsidRPr="005620DC">
              <w:rPr>
                <w:rFonts w:cs="Arial"/>
                <w:sz w:val="22"/>
                <w:szCs w:val="22"/>
                <w:lang w:val="en-CA"/>
              </w:rPr>
              <w:t xml:space="preserve"> </w:t>
            </w:r>
          </w:p>
        </w:tc>
        <w:tc>
          <w:tcPr>
            <w:tcW w:w="2409" w:type="dxa"/>
            <w:tcBorders>
              <w:right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4 months</w:t>
            </w:r>
          </w:p>
          <w:p w:rsidR="00A17E81" w:rsidRPr="005620DC" w:rsidRDefault="00132D88" w:rsidP="00A17E81">
            <w:pPr>
              <w:jc w:val="both"/>
              <w:rPr>
                <w:rFonts w:cs="Arial"/>
                <w:sz w:val="22"/>
                <w:szCs w:val="22"/>
                <w:lang w:val="en-CA"/>
              </w:rPr>
            </w:pPr>
            <w:r w:rsidRPr="005620DC">
              <w:rPr>
                <w:rFonts w:cs="Arial"/>
                <w:sz w:val="22"/>
                <w:szCs w:val="22"/>
                <w:lang w:val="en-CA"/>
              </w:rPr>
              <w:t>4 months</w:t>
            </w:r>
          </w:p>
        </w:tc>
      </w:tr>
      <w:tr w:rsidR="00905C1D" w:rsidTr="00A17E81">
        <w:trPr>
          <w:jc w:val="center"/>
        </w:trPr>
        <w:tc>
          <w:tcPr>
            <w:tcW w:w="2157" w:type="dxa"/>
            <w:tcBorders>
              <w:left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150-01-066203-218</w:t>
            </w:r>
          </w:p>
        </w:tc>
        <w:tc>
          <w:tcPr>
            <w:tcW w:w="2800" w:type="dxa"/>
          </w:tcPr>
          <w:p w:rsidR="00A17E81" w:rsidRPr="005620DC" w:rsidRDefault="00132D88" w:rsidP="00A17E81">
            <w:pPr>
              <w:jc w:val="both"/>
              <w:rPr>
                <w:rFonts w:cs="Arial"/>
                <w:sz w:val="22"/>
                <w:szCs w:val="22"/>
                <w:lang w:val="en-CA"/>
              </w:rPr>
            </w:pPr>
            <w:r w:rsidRPr="005620DC">
              <w:rPr>
                <w:rFonts w:cs="Arial"/>
                <w:sz w:val="22"/>
                <w:szCs w:val="22"/>
                <w:lang w:val="en-CA"/>
              </w:rPr>
              <w:t xml:space="preserve">1) </w:t>
            </w:r>
            <w:r w:rsidR="00793386" w:rsidRPr="005620DC">
              <w:rPr>
                <w:rFonts w:cs="Arial"/>
                <w:sz w:val="22"/>
                <w:szCs w:val="22"/>
                <w:lang w:val="en-CA"/>
              </w:rPr>
              <w:t>Assault (police officers)</w:t>
            </w:r>
            <w:r w:rsidRPr="005620DC">
              <w:rPr>
                <w:rFonts w:cs="Arial"/>
                <w:sz w:val="22"/>
                <w:szCs w:val="22"/>
                <w:lang w:val="en-CA"/>
              </w:rPr>
              <w:t xml:space="preserve"> </w:t>
            </w:r>
          </w:p>
        </w:tc>
        <w:tc>
          <w:tcPr>
            <w:tcW w:w="2409" w:type="dxa"/>
            <w:tcBorders>
              <w:right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4 months</w:t>
            </w: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132D88" w:rsidP="00A17E81">
            <w:pPr>
              <w:jc w:val="both"/>
              <w:rPr>
                <w:rFonts w:cs="Arial"/>
                <w:sz w:val="22"/>
                <w:szCs w:val="22"/>
                <w:lang w:val="en-CA"/>
              </w:rPr>
            </w:pPr>
            <w:r w:rsidRPr="005620DC">
              <w:rPr>
                <w:rFonts w:cs="Arial"/>
                <w:sz w:val="18"/>
                <w:szCs w:val="18"/>
                <w:lang w:val="en-CA"/>
              </w:rPr>
              <w:t>To be served concurrently</w:t>
            </w: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(3 months provisional)</w:t>
            </w:r>
          </w:p>
        </w:tc>
      </w:tr>
      <w:tr w:rsidR="00905C1D" w:rsidTr="00A17E81">
        <w:trPr>
          <w:jc w:val="center"/>
        </w:trPr>
        <w:tc>
          <w:tcPr>
            <w:tcW w:w="2157" w:type="dxa"/>
            <w:tcBorders>
              <w:left w:val="single" w:sz="4" w:space="0" w:color="auto"/>
              <w:bottom w:val="single" w:sz="2" w:space="0" w:color="auto"/>
            </w:tcBorders>
          </w:tcPr>
          <w:p w:rsidR="00A17E81" w:rsidRPr="005620DC" w:rsidRDefault="00A17E81" w:rsidP="00A17E81">
            <w:pPr>
              <w:rPr>
                <w:rFonts w:cs="Arial"/>
                <w:sz w:val="22"/>
                <w:szCs w:val="22"/>
                <w:lang w:val="en-CA"/>
              </w:rPr>
            </w:pPr>
          </w:p>
        </w:tc>
        <w:tc>
          <w:tcPr>
            <w:tcW w:w="2800" w:type="dxa"/>
            <w:tcBorders>
              <w:bottom w:val="single" w:sz="2" w:space="0" w:color="auto"/>
            </w:tcBorders>
          </w:tcPr>
          <w:p w:rsidR="00A17E81" w:rsidRPr="005620DC" w:rsidRDefault="00A17E81" w:rsidP="00A17E81">
            <w:pPr>
              <w:jc w:val="both"/>
              <w:rPr>
                <w:rFonts w:cs="Arial"/>
                <w:sz w:val="22"/>
                <w:szCs w:val="22"/>
                <w:lang w:val="en-CA"/>
              </w:rPr>
            </w:pPr>
          </w:p>
        </w:tc>
        <w:tc>
          <w:tcPr>
            <w:tcW w:w="2409" w:type="dxa"/>
            <w:tcBorders>
              <w:bottom w:val="single" w:sz="2" w:space="0" w:color="auto"/>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1 month</w:t>
            </w:r>
          </w:p>
        </w:tc>
      </w:tr>
      <w:tr w:rsidR="00905C1D" w:rsidTr="00A17E81">
        <w:trPr>
          <w:jc w:val="center"/>
        </w:trPr>
        <w:tc>
          <w:tcPr>
            <w:tcW w:w="2157" w:type="dxa"/>
            <w:tcBorders>
              <w:top w:val="single" w:sz="2" w:space="0" w:color="auto"/>
              <w:left w:val="single" w:sz="4" w:space="0" w:color="auto"/>
              <w:bottom w:val="single" w:sz="2" w:space="0" w:color="auto"/>
            </w:tcBorders>
            <w:shd w:val="pct20" w:color="auto" w:fill="auto"/>
          </w:tcPr>
          <w:p w:rsidR="00A17E81" w:rsidRPr="005620DC" w:rsidRDefault="00A17E81" w:rsidP="00A17E81">
            <w:pPr>
              <w:rPr>
                <w:rFonts w:cs="Arial"/>
                <w:sz w:val="22"/>
                <w:szCs w:val="22"/>
                <w:lang w:val="en-CA"/>
              </w:rPr>
            </w:pPr>
          </w:p>
        </w:tc>
        <w:tc>
          <w:tcPr>
            <w:tcW w:w="2800" w:type="dxa"/>
            <w:tcBorders>
              <w:top w:val="single" w:sz="2" w:space="0" w:color="auto"/>
              <w:bottom w:val="single" w:sz="2" w:space="0" w:color="auto"/>
            </w:tcBorders>
            <w:shd w:val="pct20" w:color="auto" w:fill="auto"/>
          </w:tcPr>
          <w:p w:rsidR="00A17E81" w:rsidRPr="005620DC" w:rsidRDefault="00A17E81" w:rsidP="00A17E81">
            <w:pPr>
              <w:jc w:val="both"/>
              <w:rPr>
                <w:rFonts w:cs="Arial"/>
                <w:sz w:val="22"/>
                <w:szCs w:val="22"/>
                <w:lang w:val="en-CA"/>
              </w:rPr>
            </w:pPr>
          </w:p>
        </w:tc>
        <w:tc>
          <w:tcPr>
            <w:tcW w:w="2409" w:type="dxa"/>
            <w:tcBorders>
              <w:top w:val="single" w:sz="2" w:space="0" w:color="auto"/>
              <w:bottom w:val="single" w:sz="2" w:space="0" w:color="auto"/>
              <w:right w:val="single" w:sz="4" w:space="0" w:color="auto"/>
            </w:tcBorders>
            <w:shd w:val="pct20" w:color="auto" w:fill="auto"/>
          </w:tcPr>
          <w:p w:rsidR="00A17E81" w:rsidRPr="005620DC" w:rsidRDefault="00A17E81" w:rsidP="00A17E81">
            <w:pPr>
              <w:jc w:val="both"/>
              <w:rPr>
                <w:rFonts w:cs="Arial"/>
                <w:sz w:val="22"/>
                <w:szCs w:val="22"/>
                <w:lang w:val="en-CA"/>
              </w:rPr>
            </w:pP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A17E81" w:rsidP="00A17E81">
            <w:pPr>
              <w:jc w:val="both"/>
              <w:rPr>
                <w:rFonts w:cs="Arial"/>
                <w:b/>
                <w:sz w:val="22"/>
                <w:szCs w:val="22"/>
                <w:lang w:val="en-CA"/>
              </w:rPr>
            </w:pPr>
          </w:p>
        </w:tc>
      </w:tr>
      <w:tr w:rsidR="00905C1D" w:rsidTr="00A17E81">
        <w:trPr>
          <w:jc w:val="center"/>
        </w:trPr>
        <w:tc>
          <w:tcPr>
            <w:tcW w:w="2157" w:type="dxa"/>
            <w:tcBorders>
              <w:left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150-01-064466-213</w:t>
            </w:r>
          </w:p>
        </w:tc>
        <w:tc>
          <w:tcPr>
            <w:tcW w:w="2800" w:type="dxa"/>
          </w:tcPr>
          <w:p w:rsidR="00A17E81" w:rsidRPr="005620DC" w:rsidRDefault="00132D88" w:rsidP="00A17E81">
            <w:pPr>
              <w:jc w:val="both"/>
              <w:rPr>
                <w:rFonts w:cs="Arial"/>
                <w:sz w:val="22"/>
                <w:szCs w:val="22"/>
                <w:lang w:val="en-CA"/>
              </w:rPr>
            </w:pPr>
            <w:r w:rsidRPr="005620DC">
              <w:rPr>
                <w:rFonts w:cs="Arial"/>
                <w:sz w:val="22"/>
                <w:szCs w:val="22"/>
                <w:lang w:val="en-CA"/>
              </w:rPr>
              <w:t>Assault (</w:t>
            </w:r>
            <w:proofErr w:type="spellStart"/>
            <w:r w:rsidRPr="005620DC">
              <w:rPr>
                <w:rFonts w:cs="Arial"/>
                <w:sz w:val="22"/>
                <w:szCs w:val="22"/>
                <w:lang w:val="en-CA"/>
              </w:rPr>
              <w:t>Hince</w:t>
            </w:r>
            <w:proofErr w:type="spellEnd"/>
            <w:r w:rsidRPr="005620DC">
              <w:rPr>
                <w:rFonts w:cs="Arial"/>
                <w:sz w:val="22"/>
                <w:szCs w:val="22"/>
                <w:lang w:val="en-CA"/>
              </w:rPr>
              <w:t>)</w:t>
            </w:r>
          </w:p>
        </w:tc>
        <w:tc>
          <w:tcPr>
            <w:tcW w:w="2409" w:type="dxa"/>
            <w:tcBorders>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4 months</w:t>
            </w:r>
          </w:p>
        </w:tc>
      </w:tr>
      <w:tr w:rsidR="00905C1D" w:rsidTr="00A17E81">
        <w:trPr>
          <w:jc w:val="center"/>
        </w:trPr>
        <w:tc>
          <w:tcPr>
            <w:tcW w:w="2157" w:type="dxa"/>
            <w:tcBorders>
              <w:left w:val="single" w:sz="4" w:space="0" w:color="auto"/>
              <w:bottom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150-01-064467-211</w:t>
            </w:r>
          </w:p>
        </w:tc>
        <w:tc>
          <w:tcPr>
            <w:tcW w:w="2800" w:type="dxa"/>
            <w:tcBorders>
              <w:bottom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Breach</w:t>
            </w:r>
          </w:p>
        </w:tc>
        <w:tc>
          <w:tcPr>
            <w:tcW w:w="2409" w:type="dxa"/>
            <w:tcBorders>
              <w:bottom w:val="single" w:sz="4" w:space="0" w:color="auto"/>
              <w:right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1 month</w:t>
            </w:r>
          </w:p>
        </w:tc>
      </w:tr>
      <w:tr w:rsidR="00905C1D" w:rsidTr="00A17E81">
        <w:trPr>
          <w:jc w:val="center"/>
        </w:trPr>
        <w:tc>
          <w:tcPr>
            <w:tcW w:w="2157" w:type="dxa"/>
            <w:tcBorders>
              <w:left w:val="single" w:sz="4" w:space="0" w:color="auto"/>
              <w:bottom w:val="single" w:sz="4" w:space="0" w:color="auto"/>
            </w:tcBorders>
          </w:tcPr>
          <w:p w:rsidR="00A17E81" w:rsidRPr="005620DC" w:rsidRDefault="00A17E81" w:rsidP="00A17E81">
            <w:pPr>
              <w:rPr>
                <w:rFonts w:cs="Arial"/>
                <w:sz w:val="22"/>
                <w:szCs w:val="22"/>
                <w:lang w:val="en-CA"/>
              </w:rPr>
            </w:pPr>
          </w:p>
        </w:tc>
        <w:tc>
          <w:tcPr>
            <w:tcW w:w="2800" w:type="dxa"/>
            <w:tcBorders>
              <w:bottom w:val="single" w:sz="4" w:space="0" w:color="auto"/>
            </w:tcBorders>
          </w:tcPr>
          <w:p w:rsidR="00A17E81" w:rsidRPr="005620DC" w:rsidRDefault="00A17E81" w:rsidP="00A17E81">
            <w:pPr>
              <w:jc w:val="both"/>
              <w:rPr>
                <w:rFonts w:cs="Arial"/>
                <w:sz w:val="22"/>
                <w:szCs w:val="22"/>
                <w:lang w:val="en-CA"/>
              </w:rPr>
            </w:pPr>
          </w:p>
        </w:tc>
        <w:tc>
          <w:tcPr>
            <w:tcW w:w="2409" w:type="dxa"/>
            <w:tcBorders>
              <w:bottom w:val="single" w:sz="4" w:space="0" w:color="auto"/>
              <w:right w:val="single" w:sz="4" w:space="0" w:color="auto"/>
            </w:tcBorders>
          </w:tcPr>
          <w:p w:rsidR="00A17E81" w:rsidRPr="005620DC" w:rsidRDefault="00132D88" w:rsidP="00A17E81">
            <w:pPr>
              <w:jc w:val="both"/>
              <w:rPr>
                <w:rFonts w:cs="Arial"/>
                <w:sz w:val="18"/>
                <w:szCs w:val="18"/>
                <w:lang w:val="en-CA"/>
              </w:rPr>
            </w:pPr>
            <w:r w:rsidRPr="005620DC">
              <w:rPr>
                <w:rFonts w:cs="Arial"/>
                <w:sz w:val="18"/>
                <w:szCs w:val="18"/>
                <w:lang w:val="en-CA"/>
              </w:rPr>
              <w:t>To be served concurrently</w:t>
            </w:r>
          </w:p>
          <w:p w:rsidR="00A17E81" w:rsidRPr="005620DC" w:rsidRDefault="00132D88" w:rsidP="00A17E81">
            <w:pPr>
              <w:jc w:val="both"/>
              <w:rPr>
                <w:rFonts w:cs="Arial"/>
                <w:sz w:val="18"/>
                <w:szCs w:val="18"/>
                <w:lang w:val="en-CA"/>
              </w:rPr>
            </w:pPr>
            <w:r w:rsidRPr="005620DC">
              <w:rPr>
                <w:rFonts w:cs="Arial"/>
                <w:sz w:val="18"/>
                <w:szCs w:val="18"/>
                <w:lang w:val="en-CA"/>
              </w:rPr>
              <w:t>Consecutive to the other files</w:t>
            </w:r>
          </w:p>
        </w:tc>
      </w:tr>
      <w:tr w:rsidR="00905C1D" w:rsidTr="00A17E81">
        <w:trPr>
          <w:jc w:val="center"/>
        </w:trPr>
        <w:tc>
          <w:tcPr>
            <w:tcW w:w="2157" w:type="dxa"/>
            <w:tcBorders>
              <w:left w:val="single" w:sz="4" w:space="0" w:color="auto"/>
            </w:tcBorders>
            <w:shd w:val="pct20" w:color="auto" w:fill="auto"/>
          </w:tcPr>
          <w:p w:rsidR="00A17E81" w:rsidRPr="005620DC" w:rsidRDefault="00A17E81" w:rsidP="00A17E81">
            <w:pPr>
              <w:rPr>
                <w:rFonts w:cs="Arial"/>
                <w:sz w:val="22"/>
                <w:szCs w:val="22"/>
                <w:lang w:val="en-CA"/>
              </w:rPr>
            </w:pPr>
          </w:p>
        </w:tc>
        <w:tc>
          <w:tcPr>
            <w:tcW w:w="2800" w:type="dxa"/>
            <w:shd w:val="pct20" w:color="auto" w:fill="auto"/>
          </w:tcPr>
          <w:p w:rsidR="00A17E81" w:rsidRPr="005620DC" w:rsidRDefault="00A17E81" w:rsidP="00A17E81">
            <w:pPr>
              <w:jc w:val="both"/>
              <w:rPr>
                <w:rFonts w:cs="Arial"/>
                <w:sz w:val="22"/>
                <w:szCs w:val="22"/>
                <w:lang w:val="en-CA"/>
              </w:rPr>
            </w:pPr>
          </w:p>
        </w:tc>
        <w:tc>
          <w:tcPr>
            <w:tcW w:w="2409" w:type="dxa"/>
            <w:tcBorders>
              <w:right w:val="single" w:sz="4" w:space="0" w:color="auto"/>
            </w:tcBorders>
            <w:shd w:val="pct20" w:color="auto" w:fill="auto"/>
          </w:tcPr>
          <w:p w:rsidR="00A17E81" w:rsidRPr="005620DC" w:rsidRDefault="00A17E81" w:rsidP="00A17E81">
            <w:pPr>
              <w:jc w:val="both"/>
              <w:rPr>
                <w:rFonts w:cs="Arial"/>
                <w:sz w:val="22"/>
                <w:szCs w:val="22"/>
                <w:lang w:val="en-CA"/>
              </w:rPr>
            </w:pP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A17E81" w:rsidP="00A17E81">
            <w:pPr>
              <w:jc w:val="both"/>
              <w:rPr>
                <w:rFonts w:cs="Arial"/>
                <w:sz w:val="16"/>
                <w:szCs w:val="16"/>
                <w:lang w:val="en-CA"/>
              </w:rPr>
            </w:pPr>
          </w:p>
        </w:tc>
      </w:tr>
      <w:tr w:rsidR="00905C1D" w:rsidTr="00A17E81">
        <w:trPr>
          <w:jc w:val="center"/>
        </w:trPr>
        <w:tc>
          <w:tcPr>
            <w:tcW w:w="2157" w:type="dxa"/>
            <w:tcBorders>
              <w:left w:val="single" w:sz="4" w:space="0" w:color="auto"/>
              <w:bottom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150-01-065313-216</w:t>
            </w:r>
          </w:p>
        </w:tc>
        <w:tc>
          <w:tcPr>
            <w:tcW w:w="2800" w:type="dxa"/>
            <w:tcBorders>
              <w:bottom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Three breaches (counts 1, 2, 3)</w:t>
            </w:r>
          </w:p>
        </w:tc>
        <w:tc>
          <w:tcPr>
            <w:tcW w:w="2409" w:type="dxa"/>
            <w:tcBorders>
              <w:bottom w:val="single" w:sz="4" w:space="0" w:color="auto"/>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1 month</w:t>
            </w:r>
          </w:p>
        </w:tc>
      </w:tr>
      <w:tr w:rsidR="00905C1D" w:rsidTr="00A17E81">
        <w:trPr>
          <w:jc w:val="center"/>
        </w:trPr>
        <w:tc>
          <w:tcPr>
            <w:tcW w:w="2157" w:type="dxa"/>
            <w:tcBorders>
              <w:left w:val="single" w:sz="4" w:space="0" w:color="auto"/>
              <w:bottom w:val="single" w:sz="4" w:space="0" w:color="auto"/>
            </w:tcBorders>
          </w:tcPr>
          <w:p w:rsidR="00A17E81" w:rsidRPr="005620DC" w:rsidRDefault="00A17E81" w:rsidP="00A17E81">
            <w:pPr>
              <w:rPr>
                <w:rFonts w:cs="Arial"/>
                <w:sz w:val="22"/>
                <w:szCs w:val="22"/>
                <w:lang w:val="en-CA"/>
              </w:rPr>
            </w:pPr>
          </w:p>
        </w:tc>
        <w:tc>
          <w:tcPr>
            <w:tcW w:w="2800" w:type="dxa"/>
            <w:tcBorders>
              <w:bottom w:val="single" w:sz="4" w:space="0" w:color="auto"/>
            </w:tcBorders>
          </w:tcPr>
          <w:p w:rsidR="00A17E81" w:rsidRPr="005620DC" w:rsidRDefault="00A17E81" w:rsidP="00A17E81">
            <w:pPr>
              <w:jc w:val="both"/>
              <w:rPr>
                <w:rFonts w:cs="Arial"/>
                <w:sz w:val="22"/>
                <w:szCs w:val="22"/>
                <w:lang w:val="en-CA"/>
              </w:rPr>
            </w:pPr>
          </w:p>
        </w:tc>
        <w:tc>
          <w:tcPr>
            <w:tcW w:w="2409" w:type="dxa"/>
            <w:tcBorders>
              <w:bottom w:val="single" w:sz="4" w:space="0" w:color="auto"/>
              <w:right w:val="single" w:sz="4" w:space="0" w:color="auto"/>
            </w:tcBorders>
          </w:tcPr>
          <w:p w:rsidR="00A17E81" w:rsidRPr="005620DC" w:rsidRDefault="00132D88" w:rsidP="00A17E81">
            <w:pPr>
              <w:jc w:val="both"/>
              <w:rPr>
                <w:rFonts w:cs="Arial"/>
                <w:sz w:val="18"/>
                <w:szCs w:val="18"/>
                <w:lang w:val="en-CA"/>
              </w:rPr>
            </w:pPr>
            <w:r w:rsidRPr="005620DC">
              <w:rPr>
                <w:rFonts w:cs="Arial"/>
                <w:sz w:val="18"/>
                <w:szCs w:val="18"/>
                <w:lang w:val="en-CA"/>
              </w:rPr>
              <w:t>To be served concurrently</w:t>
            </w:r>
          </w:p>
          <w:p w:rsidR="00A17E81" w:rsidRPr="005620DC" w:rsidRDefault="00132D88" w:rsidP="00A17E81">
            <w:pPr>
              <w:jc w:val="both"/>
              <w:rPr>
                <w:rFonts w:cs="Arial"/>
                <w:b/>
                <w:sz w:val="18"/>
                <w:szCs w:val="18"/>
                <w:lang w:val="en-CA"/>
              </w:rPr>
            </w:pPr>
            <w:r w:rsidRPr="005620DC">
              <w:rPr>
                <w:rFonts w:cs="Arial"/>
                <w:sz w:val="18"/>
                <w:szCs w:val="18"/>
                <w:lang w:val="en-CA"/>
              </w:rPr>
              <w:t>Consecutive to the other files</w:t>
            </w:r>
          </w:p>
        </w:tc>
      </w:tr>
      <w:tr w:rsidR="00905C1D" w:rsidTr="00A17E81">
        <w:trPr>
          <w:jc w:val="center"/>
        </w:trPr>
        <w:tc>
          <w:tcPr>
            <w:tcW w:w="2157" w:type="dxa"/>
            <w:tcBorders>
              <w:left w:val="single" w:sz="4" w:space="0" w:color="auto"/>
            </w:tcBorders>
            <w:shd w:val="pct20" w:color="auto" w:fill="auto"/>
          </w:tcPr>
          <w:p w:rsidR="00A17E81" w:rsidRPr="005620DC" w:rsidRDefault="00A17E81" w:rsidP="00A17E81">
            <w:pPr>
              <w:rPr>
                <w:rFonts w:cs="Arial"/>
                <w:sz w:val="22"/>
                <w:szCs w:val="22"/>
                <w:lang w:val="en-CA"/>
              </w:rPr>
            </w:pPr>
          </w:p>
        </w:tc>
        <w:tc>
          <w:tcPr>
            <w:tcW w:w="2800" w:type="dxa"/>
            <w:shd w:val="pct20" w:color="auto" w:fill="auto"/>
          </w:tcPr>
          <w:p w:rsidR="00A17E81" w:rsidRPr="005620DC" w:rsidRDefault="00A17E81" w:rsidP="00A17E81">
            <w:pPr>
              <w:jc w:val="both"/>
              <w:rPr>
                <w:rFonts w:cs="Arial"/>
                <w:sz w:val="22"/>
                <w:szCs w:val="22"/>
                <w:lang w:val="en-CA"/>
              </w:rPr>
            </w:pPr>
          </w:p>
        </w:tc>
        <w:tc>
          <w:tcPr>
            <w:tcW w:w="2409" w:type="dxa"/>
            <w:tcBorders>
              <w:right w:val="single" w:sz="4" w:space="0" w:color="auto"/>
            </w:tcBorders>
            <w:shd w:val="pct20" w:color="auto" w:fill="auto"/>
          </w:tcPr>
          <w:p w:rsidR="00A17E81" w:rsidRPr="005620DC" w:rsidRDefault="00A17E81" w:rsidP="00A17E81">
            <w:pPr>
              <w:jc w:val="both"/>
              <w:rPr>
                <w:rFonts w:cs="Arial"/>
                <w:sz w:val="22"/>
                <w:szCs w:val="22"/>
                <w:lang w:val="en-CA"/>
              </w:rPr>
            </w:pP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A17E81" w:rsidP="00A17E81">
            <w:pPr>
              <w:jc w:val="both"/>
              <w:rPr>
                <w:rFonts w:cs="Arial"/>
                <w:sz w:val="16"/>
                <w:szCs w:val="16"/>
                <w:lang w:val="en-CA"/>
              </w:rPr>
            </w:pPr>
          </w:p>
        </w:tc>
      </w:tr>
      <w:tr w:rsidR="00905C1D" w:rsidTr="00A17E81">
        <w:trPr>
          <w:jc w:val="center"/>
        </w:trPr>
        <w:tc>
          <w:tcPr>
            <w:tcW w:w="2157" w:type="dxa"/>
            <w:tcBorders>
              <w:left w:val="single" w:sz="4" w:space="0" w:color="auto"/>
            </w:tcBorders>
          </w:tcPr>
          <w:p w:rsidR="00A17E81" w:rsidRPr="005620DC" w:rsidRDefault="00132D88" w:rsidP="009A2FAF">
            <w:pPr>
              <w:rPr>
                <w:rFonts w:cs="Arial"/>
                <w:sz w:val="22"/>
                <w:szCs w:val="22"/>
                <w:lang w:val="en-CA"/>
              </w:rPr>
            </w:pPr>
            <w:r w:rsidRPr="005620DC">
              <w:rPr>
                <w:rFonts w:cs="Arial"/>
                <w:sz w:val="22"/>
                <w:szCs w:val="22"/>
                <w:lang w:val="en-CA"/>
              </w:rPr>
              <w:t>150-01-065311-</w:t>
            </w:r>
            <w:r w:rsidR="009A2FAF" w:rsidRPr="005620DC">
              <w:rPr>
                <w:rFonts w:cs="Arial"/>
                <w:sz w:val="22"/>
                <w:szCs w:val="22"/>
                <w:lang w:val="en-CA"/>
              </w:rPr>
              <w:t>2</w:t>
            </w:r>
            <w:r w:rsidR="009A2FAF">
              <w:rPr>
                <w:rFonts w:cs="Arial"/>
                <w:sz w:val="22"/>
                <w:szCs w:val="22"/>
                <w:lang w:val="en-CA"/>
              </w:rPr>
              <w:t>01</w:t>
            </w:r>
          </w:p>
        </w:tc>
        <w:tc>
          <w:tcPr>
            <w:tcW w:w="2800" w:type="dxa"/>
          </w:tcPr>
          <w:p w:rsidR="00A17E81" w:rsidRPr="005620DC" w:rsidRDefault="00132D88" w:rsidP="00A17E81">
            <w:pPr>
              <w:jc w:val="both"/>
              <w:rPr>
                <w:rFonts w:cs="Arial"/>
                <w:sz w:val="22"/>
                <w:szCs w:val="22"/>
                <w:lang w:val="en-CA"/>
              </w:rPr>
            </w:pPr>
            <w:r w:rsidRPr="005620DC">
              <w:rPr>
                <w:rFonts w:cs="Arial"/>
                <w:sz w:val="22"/>
                <w:szCs w:val="22"/>
                <w:lang w:val="en-CA"/>
              </w:rPr>
              <w:t>Threats (police officers)</w:t>
            </w:r>
          </w:p>
        </w:tc>
        <w:tc>
          <w:tcPr>
            <w:tcW w:w="2409" w:type="dxa"/>
            <w:tcBorders>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 xml:space="preserve">4 months </w:t>
            </w:r>
          </w:p>
        </w:tc>
      </w:tr>
      <w:tr w:rsidR="00905C1D" w:rsidTr="00A17E81">
        <w:trPr>
          <w:jc w:val="center"/>
        </w:trPr>
        <w:tc>
          <w:tcPr>
            <w:tcW w:w="2157" w:type="dxa"/>
            <w:tcBorders>
              <w:left w:val="single" w:sz="4" w:space="0" w:color="auto"/>
              <w:bottom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150-01-065312-218</w:t>
            </w:r>
          </w:p>
        </w:tc>
        <w:tc>
          <w:tcPr>
            <w:tcW w:w="2800" w:type="dxa"/>
            <w:tcBorders>
              <w:bottom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Seven breaches (counts 1 to 7)</w:t>
            </w:r>
          </w:p>
        </w:tc>
        <w:tc>
          <w:tcPr>
            <w:tcW w:w="2409" w:type="dxa"/>
            <w:tcBorders>
              <w:bottom w:val="single" w:sz="4" w:space="0" w:color="auto"/>
              <w:right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1 month</w:t>
            </w:r>
          </w:p>
        </w:tc>
      </w:tr>
      <w:tr w:rsidR="00905C1D" w:rsidTr="00A17E81">
        <w:trPr>
          <w:jc w:val="center"/>
        </w:trPr>
        <w:tc>
          <w:tcPr>
            <w:tcW w:w="2157" w:type="dxa"/>
            <w:tcBorders>
              <w:left w:val="single" w:sz="4" w:space="0" w:color="auto"/>
              <w:bottom w:val="single" w:sz="4" w:space="0" w:color="auto"/>
            </w:tcBorders>
          </w:tcPr>
          <w:p w:rsidR="00A17E81" w:rsidRPr="005620DC" w:rsidRDefault="00A17E81" w:rsidP="00A17E81">
            <w:pPr>
              <w:rPr>
                <w:rFonts w:cs="Arial"/>
                <w:sz w:val="22"/>
                <w:szCs w:val="22"/>
                <w:lang w:val="en-CA"/>
              </w:rPr>
            </w:pPr>
          </w:p>
        </w:tc>
        <w:tc>
          <w:tcPr>
            <w:tcW w:w="2800" w:type="dxa"/>
            <w:tcBorders>
              <w:bottom w:val="single" w:sz="4" w:space="0" w:color="auto"/>
            </w:tcBorders>
          </w:tcPr>
          <w:p w:rsidR="00A17E81" w:rsidRPr="005620DC" w:rsidRDefault="00A17E81" w:rsidP="00A17E81">
            <w:pPr>
              <w:jc w:val="both"/>
              <w:rPr>
                <w:rFonts w:cs="Arial"/>
                <w:sz w:val="22"/>
                <w:szCs w:val="22"/>
                <w:lang w:val="en-CA"/>
              </w:rPr>
            </w:pPr>
          </w:p>
        </w:tc>
        <w:tc>
          <w:tcPr>
            <w:tcW w:w="2409" w:type="dxa"/>
            <w:tcBorders>
              <w:bottom w:val="single" w:sz="4" w:space="0" w:color="auto"/>
              <w:right w:val="single" w:sz="4" w:space="0" w:color="auto"/>
            </w:tcBorders>
          </w:tcPr>
          <w:p w:rsidR="00A17E81" w:rsidRPr="005620DC" w:rsidRDefault="00132D88" w:rsidP="00A17E81">
            <w:pPr>
              <w:jc w:val="both"/>
              <w:rPr>
                <w:rFonts w:cs="Arial"/>
                <w:sz w:val="18"/>
                <w:szCs w:val="18"/>
                <w:lang w:val="en-CA"/>
              </w:rPr>
            </w:pPr>
            <w:r w:rsidRPr="005620DC">
              <w:rPr>
                <w:rFonts w:cs="Arial"/>
                <w:sz w:val="18"/>
                <w:szCs w:val="18"/>
                <w:lang w:val="en-CA"/>
              </w:rPr>
              <w:t>To be served concurrently</w:t>
            </w:r>
          </w:p>
          <w:p w:rsidR="00A17E81" w:rsidRPr="005620DC" w:rsidRDefault="00132D88" w:rsidP="00A17E81">
            <w:pPr>
              <w:jc w:val="both"/>
              <w:rPr>
                <w:rFonts w:cs="Arial"/>
                <w:sz w:val="22"/>
                <w:szCs w:val="22"/>
                <w:lang w:val="en-CA"/>
              </w:rPr>
            </w:pPr>
            <w:r w:rsidRPr="005620DC">
              <w:rPr>
                <w:rFonts w:cs="Arial"/>
                <w:sz w:val="18"/>
                <w:szCs w:val="18"/>
                <w:lang w:val="en-CA"/>
              </w:rPr>
              <w:t>Consecutive to the other files</w:t>
            </w:r>
          </w:p>
        </w:tc>
      </w:tr>
      <w:tr w:rsidR="00905C1D" w:rsidTr="00A17E81">
        <w:trPr>
          <w:jc w:val="center"/>
        </w:trPr>
        <w:tc>
          <w:tcPr>
            <w:tcW w:w="2157" w:type="dxa"/>
            <w:tcBorders>
              <w:left w:val="single" w:sz="4" w:space="0" w:color="auto"/>
            </w:tcBorders>
            <w:shd w:val="pct25" w:color="auto" w:fill="auto"/>
          </w:tcPr>
          <w:p w:rsidR="00A17E81" w:rsidRPr="005620DC" w:rsidRDefault="00A17E81" w:rsidP="00A17E81">
            <w:pPr>
              <w:rPr>
                <w:rFonts w:cs="Arial"/>
                <w:sz w:val="22"/>
                <w:szCs w:val="22"/>
                <w:lang w:val="en-CA"/>
              </w:rPr>
            </w:pPr>
          </w:p>
        </w:tc>
        <w:tc>
          <w:tcPr>
            <w:tcW w:w="2800" w:type="dxa"/>
            <w:shd w:val="pct25" w:color="auto" w:fill="auto"/>
          </w:tcPr>
          <w:p w:rsidR="00A17E81" w:rsidRPr="005620DC" w:rsidRDefault="00A17E81" w:rsidP="00A17E81">
            <w:pPr>
              <w:jc w:val="both"/>
              <w:rPr>
                <w:rFonts w:cs="Arial"/>
                <w:sz w:val="22"/>
                <w:szCs w:val="22"/>
                <w:lang w:val="en-CA"/>
              </w:rPr>
            </w:pPr>
          </w:p>
        </w:tc>
        <w:tc>
          <w:tcPr>
            <w:tcW w:w="2409" w:type="dxa"/>
            <w:tcBorders>
              <w:right w:val="single" w:sz="4" w:space="0" w:color="auto"/>
            </w:tcBorders>
            <w:shd w:val="pct25" w:color="auto" w:fill="auto"/>
          </w:tcPr>
          <w:p w:rsidR="00A17E81" w:rsidRPr="005620DC" w:rsidRDefault="00A17E81" w:rsidP="00A17E81">
            <w:pPr>
              <w:jc w:val="both"/>
              <w:rPr>
                <w:rFonts w:cs="Arial"/>
                <w:sz w:val="22"/>
                <w:szCs w:val="22"/>
                <w:lang w:val="en-CA"/>
              </w:rPr>
            </w:pP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A17E81" w:rsidP="00A17E81">
            <w:pPr>
              <w:jc w:val="both"/>
              <w:rPr>
                <w:rFonts w:cs="Arial"/>
                <w:sz w:val="16"/>
                <w:szCs w:val="16"/>
                <w:lang w:val="en-CA"/>
              </w:rPr>
            </w:pPr>
          </w:p>
        </w:tc>
      </w:tr>
      <w:tr w:rsidR="00905C1D" w:rsidTr="00A17E81">
        <w:trPr>
          <w:jc w:val="center"/>
        </w:trPr>
        <w:tc>
          <w:tcPr>
            <w:tcW w:w="2157" w:type="dxa"/>
            <w:tcBorders>
              <w:left w:val="single" w:sz="4" w:space="0" w:color="auto"/>
              <w:bottom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150-01-065604-218</w:t>
            </w:r>
          </w:p>
        </w:tc>
        <w:tc>
          <w:tcPr>
            <w:tcW w:w="2800" w:type="dxa"/>
            <w:tcBorders>
              <w:bottom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Two breaches (counts 1 and 2)</w:t>
            </w:r>
          </w:p>
        </w:tc>
        <w:tc>
          <w:tcPr>
            <w:tcW w:w="2409" w:type="dxa"/>
            <w:tcBorders>
              <w:bottom w:val="single" w:sz="4" w:space="0" w:color="auto"/>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1 month</w:t>
            </w:r>
          </w:p>
        </w:tc>
      </w:tr>
      <w:tr w:rsidR="00905C1D" w:rsidTr="00A17E81">
        <w:trPr>
          <w:jc w:val="center"/>
        </w:trPr>
        <w:tc>
          <w:tcPr>
            <w:tcW w:w="2157" w:type="dxa"/>
            <w:tcBorders>
              <w:left w:val="single" w:sz="4" w:space="0" w:color="auto"/>
              <w:bottom w:val="single" w:sz="4" w:space="0" w:color="auto"/>
            </w:tcBorders>
          </w:tcPr>
          <w:p w:rsidR="00A17E81" w:rsidRPr="005620DC" w:rsidRDefault="00A17E81" w:rsidP="00A17E81">
            <w:pPr>
              <w:rPr>
                <w:rFonts w:cs="Arial"/>
                <w:sz w:val="22"/>
                <w:szCs w:val="22"/>
                <w:lang w:val="en-CA"/>
              </w:rPr>
            </w:pPr>
          </w:p>
        </w:tc>
        <w:tc>
          <w:tcPr>
            <w:tcW w:w="2800" w:type="dxa"/>
            <w:tcBorders>
              <w:bottom w:val="single" w:sz="4" w:space="0" w:color="auto"/>
            </w:tcBorders>
          </w:tcPr>
          <w:p w:rsidR="00A17E81" w:rsidRPr="005620DC" w:rsidRDefault="00A17E81" w:rsidP="00A17E81">
            <w:pPr>
              <w:jc w:val="both"/>
              <w:rPr>
                <w:rFonts w:cs="Arial"/>
                <w:sz w:val="22"/>
                <w:szCs w:val="22"/>
                <w:lang w:val="en-CA"/>
              </w:rPr>
            </w:pPr>
          </w:p>
        </w:tc>
        <w:tc>
          <w:tcPr>
            <w:tcW w:w="2409" w:type="dxa"/>
            <w:tcBorders>
              <w:bottom w:val="single" w:sz="4" w:space="0" w:color="auto"/>
              <w:right w:val="single" w:sz="4" w:space="0" w:color="auto"/>
            </w:tcBorders>
          </w:tcPr>
          <w:p w:rsidR="00A17E81" w:rsidRPr="005620DC" w:rsidRDefault="00132D88" w:rsidP="00A17E81">
            <w:pPr>
              <w:jc w:val="both"/>
              <w:rPr>
                <w:rFonts w:cs="Arial"/>
                <w:b/>
                <w:sz w:val="18"/>
                <w:szCs w:val="18"/>
                <w:lang w:val="en-CA"/>
              </w:rPr>
            </w:pPr>
            <w:r w:rsidRPr="005620DC">
              <w:rPr>
                <w:rFonts w:cs="Arial"/>
                <w:sz w:val="18"/>
                <w:szCs w:val="18"/>
                <w:lang w:val="en-CA"/>
              </w:rPr>
              <w:t>Consecutive</w:t>
            </w:r>
          </w:p>
        </w:tc>
      </w:tr>
      <w:tr w:rsidR="00905C1D" w:rsidTr="00A17E81">
        <w:trPr>
          <w:jc w:val="center"/>
        </w:trPr>
        <w:tc>
          <w:tcPr>
            <w:tcW w:w="2157" w:type="dxa"/>
            <w:tcBorders>
              <w:left w:val="single" w:sz="4" w:space="0" w:color="auto"/>
            </w:tcBorders>
            <w:shd w:val="pct20" w:color="auto" w:fill="auto"/>
          </w:tcPr>
          <w:p w:rsidR="00A17E81" w:rsidRPr="005620DC" w:rsidRDefault="00A17E81" w:rsidP="00A17E81">
            <w:pPr>
              <w:rPr>
                <w:rFonts w:cs="Arial"/>
                <w:sz w:val="22"/>
                <w:szCs w:val="22"/>
                <w:lang w:val="en-CA"/>
              </w:rPr>
            </w:pPr>
          </w:p>
        </w:tc>
        <w:tc>
          <w:tcPr>
            <w:tcW w:w="2800" w:type="dxa"/>
            <w:shd w:val="pct20" w:color="auto" w:fill="auto"/>
          </w:tcPr>
          <w:p w:rsidR="00A17E81" w:rsidRPr="005620DC" w:rsidRDefault="00A17E81" w:rsidP="00A17E81">
            <w:pPr>
              <w:jc w:val="both"/>
              <w:rPr>
                <w:rFonts w:cs="Arial"/>
                <w:sz w:val="22"/>
                <w:szCs w:val="22"/>
                <w:lang w:val="en-CA"/>
              </w:rPr>
            </w:pPr>
          </w:p>
        </w:tc>
        <w:tc>
          <w:tcPr>
            <w:tcW w:w="2409" w:type="dxa"/>
            <w:tcBorders>
              <w:right w:val="single" w:sz="4" w:space="0" w:color="auto"/>
            </w:tcBorders>
            <w:shd w:val="pct20" w:color="auto" w:fill="auto"/>
          </w:tcPr>
          <w:p w:rsidR="00A17E81" w:rsidRPr="005620DC" w:rsidRDefault="00A17E81" w:rsidP="00A17E81">
            <w:pPr>
              <w:jc w:val="both"/>
              <w:rPr>
                <w:rFonts w:cs="Arial"/>
                <w:sz w:val="22"/>
                <w:szCs w:val="22"/>
                <w:lang w:val="en-CA"/>
              </w:rPr>
            </w:pPr>
          </w:p>
        </w:tc>
      </w:tr>
      <w:tr w:rsidR="00905C1D" w:rsidTr="00A17E81">
        <w:trPr>
          <w:jc w:val="center"/>
        </w:trPr>
        <w:tc>
          <w:tcPr>
            <w:tcW w:w="2157" w:type="dxa"/>
            <w:tcBorders>
              <w:left w:val="single" w:sz="4" w:space="0" w:color="auto"/>
            </w:tcBorders>
          </w:tcPr>
          <w:p w:rsidR="00A17E81" w:rsidRPr="005620DC" w:rsidRDefault="00A17E81" w:rsidP="00A17E81">
            <w:pPr>
              <w:rPr>
                <w:rFonts w:cs="Arial"/>
                <w:sz w:val="22"/>
                <w:szCs w:val="22"/>
                <w:lang w:val="en-CA"/>
              </w:rPr>
            </w:pPr>
          </w:p>
        </w:tc>
        <w:tc>
          <w:tcPr>
            <w:tcW w:w="2800" w:type="dxa"/>
          </w:tcPr>
          <w:p w:rsidR="00A17E81" w:rsidRPr="005620DC" w:rsidRDefault="00A17E81" w:rsidP="00A17E81">
            <w:pPr>
              <w:jc w:val="both"/>
              <w:rPr>
                <w:rFonts w:cs="Arial"/>
                <w:sz w:val="22"/>
                <w:szCs w:val="22"/>
                <w:lang w:val="en-CA"/>
              </w:rPr>
            </w:pPr>
          </w:p>
        </w:tc>
        <w:tc>
          <w:tcPr>
            <w:tcW w:w="2409" w:type="dxa"/>
            <w:tcBorders>
              <w:right w:val="single" w:sz="4" w:space="0" w:color="auto"/>
            </w:tcBorders>
          </w:tcPr>
          <w:p w:rsidR="00A17E81" w:rsidRPr="005620DC" w:rsidRDefault="00A17E81" w:rsidP="00A17E81">
            <w:pPr>
              <w:jc w:val="both"/>
              <w:rPr>
                <w:rFonts w:cs="Arial"/>
                <w:sz w:val="22"/>
                <w:szCs w:val="22"/>
                <w:lang w:val="en-CA"/>
              </w:rPr>
            </w:pPr>
          </w:p>
        </w:tc>
      </w:tr>
      <w:tr w:rsidR="00905C1D" w:rsidTr="00A17E81">
        <w:trPr>
          <w:jc w:val="center"/>
        </w:trPr>
        <w:tc>
          <w:tcPr>
            <w:tcW w:w="2157" w:type="dxa"/>
            <w:tcBorders>
              <w:left w:val="single" w:sz="4" w:space="0" w:color="auto"/>
              <w:bottom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150-01-066036-212</w:t>
            </w:r>
          </w:p>
        </w:tc>
        <w:tc>
          <w:tcPr>
            <w:tcW w:w="2800" w:type="dxa"/>
            <w:tcBorders>
              <w:bottom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Three breaches (counts 1, 2, 3)</w:t>
            </w:r>
          </w:p>
        </w:tc>
        <w:tc>
          <w:tcPr>
            <w:tcW w:w="2409" w:type="dxa"/>
            <w:tcBorders>
              <w:bottom w:val="single" w:sz="4" w:space="0" w:color="auto"/>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1 month</w:t>
            </w:r>
          </w:p>
        </w:tc>
      </w:tr>
      <w:tr w:rsidR="00905C1D" w:rsidTr="00A17E81">
        <w:trPr>
          <w:jc w:val="center"/>
        </w:trPr>
        <w:tc>
          <w:tcPr>
            <w:tcW w:w="2157" w:type="dxa"/>
            <w:tcBorders>
              <w:left w:val="single" w:sz="4" w:space="0" w:color="auto"/>
              <w:bottom w:val="single" w:sz="4" w:space="0" w:color="auto"/>
            </w:tcBorders>
          </w:tcPr>
          <w:p w:rsidR="00A17E81" w:rsidRPr="005620DC" w:rsidRDefault="00132D88" w:rsidP="00A17E81">
            <w:pPr>
              <w:rPr>
                <w:rFonts w:cs="Arial"/>
                <w:sz w:val="22"/>
                <w:szCs w:val="22"/>
                <w:lang w:val="en-CA"/>
              </w:rPr>
            </w:pPr>
            <w:r w:rsidRPr="005620DC">
              <w:rPr>
                <w:rFonts w:cs="Arial"/>
                <w:sz w:val="22"/>
                <w:szCs w:val="22"/>
                <w:lang w:val="en-CA"/>
              </w:rPr>
              <w:t>150-01-066047-219</w:t>
            </w:r>
          </w:p>
        </w:tc>
        <w:tc>
          <w:tcPr>
            <w:tcW w:w="2800" w:type="dxa"/>
            <w:tcBorders>
              <w:bottom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Two breaches (counts 1 and 2)</w:t>
            </w:r>
          </w:p>
        </w:tc>
        <w:tc>
          <w:tcPr>
            <w:tcW w:w="2409" w:type="dxa"/>
            <w:tcBorders>
              <w:bottom w:val="single" w:sz="4" w:space="0" w:color="auto"/>
              <w:right w:val="single" w:sz="4" w:space="0" w:color="auto"/>
            </w:tcBorders>
          </w:tcPr>
          <w:p w:rsidR="00A17E81" w:rsidRPr="005620DC" w:rsidRDefault="00132D88" w:rsidP="00A17E81">
            <w:pPr>
              <w:jc w:val="both"/>
              <w:rPr>
                <w:rFonts w:cs="Arial"/>
                <w:sz w:val="22"/>
                <w:szCs w:val="22"/>
                <w:lang w:val="en-CA"/>
              </w:rPr>
            </w:pPr>
            <w:r w:rsidRPr="005620DC">
              <w:rPr>
                <w:rFonts w:cs="Arial"/>
                <w:sz w:val="22"/>
                <w:szCs w:val="22"/>
                <w:lang w:val="en-CA"/>
              </w:rPr>
              <w:t>1 month</w:t>
            </w:r>
          </w:p>
        </w:tc>
      </w:tr>
      <w:tr w:rsidR="00905C1D" w:rsidTr="00A17E81">
        <w:trPr>
          <w:jc w:val="center"/>
        </w:trPr>
        <w:tc>
          <w:tcPr>
            <w:tcW w:w="2157" w:type="dxa"/>
            <w:tcBorders>
              <w:left w:val="single" w:sz="4" w:space="0" w:color="auto"/>
              <w:bottom w:val="thickThinSmallGap" w:sz="24" w:space="0" w:color="auto"/>
            </w:tcBorders>
          </w:tcPr>
          <w:p w:rsidR="00A17E81" w:rsidRPr="005620DC" w:rsidRDefault="00A17E81" w:rsidP="00A17E81">
            <w:pPr>
              <w:rPr>
                <w:rFonts w:cs="Arial"/>
                <w:sz w:val="22"/>
                <w:szCs w:val="22"/>
                <w:lang w:val="en-CA"/>
              </w:rPr>
            </w:pPr>
          </w:p>
        </w:tc>
        <w:tc>
          <w:tcPr>
            <w:tcW w:w="2800" w:type="dxa"/>
            <w:tcBorders>
              <w:bottom w:val="thickThinSmallGap" w:sz="24" w:space="0" w:color="auto"/>
            </w:tcBorders>
          </w:tcPr>
          <w:p w:rsidR="00A17E81" w:rsidRPr="005620DC" w:rsidRDefault="00A17E81" w:rsidP="00A17E81">
            <w:pPr>
              <w:jc w:val="both"/>
              <w:rPr>
                <w:rFonts w:cs="Arial"/>
                <w:sz w:val="22"/>
                <w:szCs w:val="22"/>
                <w:lang w:val="en-CA"/>
              </w:rPr>
            </w:pPr>
          </w:p>
        </w:tc>
        <w:tc>
          <w:tcPr>
            <w:tcW w:w="2409" w:type="dxa"/>
            <w:tcBorders>
              <w:bottom w:val="thickThinSmallGap" w:sz="24" w:space="0" w:color="auto"/>
              <w:right w:val="single" w:sz="4" w:space="0" w:color="auto"/>
            </w:tcBorders>
          </w:tcPr>
          <w:p w:rsidR="00A17E81" w:rsidRPr="005620DC" w:rsidRDefault="00132D88" w:rsidP="00A17E81">
            <w:pPr>
              <w:jc w:val="both"/>
              <w:rPr>
                <w:rFonts w:cs="Arial"/>
                <w:sz w:val="18"/>
                <w:szCs w:val="18"/>
                <w:lang w:val="en-CA"/>
              </w:rPr>
            </w:pPr>
            <w:r w:rsidRPr="005620DC">
              <w:rPr>
                <w:rFonts w:cs="Arial"/>
                <w:sz w:val="18"/>
                <w:szCs w:val="18"/>
                <w:lang w:val="en-CA"/>
              </w:rPr>
              <w:t>To be served concurrently</w:t>
            </w:r>
          </w:p>
          <w:p w:rsidR="00A17E81" w:rsidRPr="005620DC" w:rsidRDefault="00132D88" w:rsidP="00A17E81">
            <w:pPr>
              <w:jc w:val="both"/>
              <w:rPr>
                <w:rFonts w:cs="Arial"/>
                <w:sz w:val="22"/>
                <w:szCs w:val="22"/>
                <w:lang w:val="en-CA"/>
              </w:rPr>
            </w:pPr>
            <w:r w:rsidRPr="005620DC">
              <w:rPr>
                <w:rFonts w:cs="Arial"/>
                <w:sz w:val="18"/>
                <w:szCs w:val="18"/>
                <w:lang w:val="en-CA"/>
              </w:rPr>
              <w:t>Consecutive to the other files</w:t>
            </w:r>
          </w:p>
        </w:tc>
      </w:tr>
      <w:tr w:rsidR="00905C1D" w:rsidTr="00A17E81">
        <w:trPr>
          <w:jc w:val="center"/>
        </w:trPr>
        <w:tc>
          <w:tcPr>
            <w:tcW w:w="4957" w:type="dxa"/>
            <w:gridSpan w:val="2"/>
            <w:tcBorders>
              <w:top w:val="thickThinSmallGap" w:sz="24" w:space="0" w:color="auto"/>
              <w:left w:val="single" w:sz="4" w:space="0" w:color="auto"/>
              <w:bottom w:val="single" w:sz="4" w:space="0" w:color="auto"/>
              <w:right w:val="single" w:sz="4" w:space="0" w:color="auto"/>
            </w:tcBorders>
          </w:tcPr>
          <w:p w:rsidR="00A17E81" w:rsidRPr="005620DC" w:rsidRDefault="00132D88" w:rsidP="00A17E81">
            <w:pPr>
              <w:jc w:val="center"/>
              <w:rPr>
                <w:rFonts w:cs="Arial"/>
                <w:b/>
                <w:sz w:val="22"/>
                <w:szCs w:val="22"/>
                <w:lang w:val="en-CA"/>
              </w:rPr>
            </w:pPr>
            <w:r w:rsidRPr="005620DC">
              <w:rPr>
                <w:rFonts w:cs="Arial"/>
                <w:b/>
                <w:sz w:val="22"/>
                <w:szCs w:val="22"/>
                <w:lang w:val="en-CA"/>
              </w:rPr>
              <w:t>Total</w:t>
            </w:r>
          </w:p>
        </w:tc>
        <w:tc>
          <w:tcPr>
            <w:tcW w:w="2409" w:type="dxa"/>
            <w:tcBorders>
              <w:top w:val="thickThinSmallGap" w:sz="24" w:space="0" w:color="auto"/>
              <w:left w:val="single" w:sz="4" w:space="0" w:color="auto"/>
              <w:bottom w:val="single" w:sz="4" w:space="0" w:color="auto"/>
              <w:right w:val="single" w:sz="4" w:space="0" w:color="auto"/>
            </w:tcBorders>
          </w:tcPr>
          <w:p w:rsidR="00A17E81" w:rsidRPr="005620DC" w:rsidRDefault="00132D88" w:rsidP="00A17E81">
            <w:pPr>
              <w:jc w:val="both"/>
              <w:rPr>
                <w:rFonts w:cs="Arial"/>
                <w:b/>
                <w:sz w:val="22"/>
                <w:szCs w:val="22"/>
                <w:lang w:val="en-CA"/>
              </w:rPr>
            </w:pPr>
            <w:r w:rsidRPr="005620DC">
              <w:rPr>
                <w:rFonts w:cs="Arial"/>
                <w:b/>
                <w:sz w:val="22"/>
                <w:szCs w:val="22"/>
                <w:lang w:val="en-CA"/>
              </w:rPr>
              <w:t>12 months</w:t>
            </w:r>
          </w:p>
        </w:tc>
      </w:tr>
    </w:tbl>
    <w:p w:rsidR="00A17E81" w:rsidRPr="005620DC" w:rsidRDefault="00A17E81" w:rsidP="00A17E81">
      <w:pPr>
        <w:rPr>
          <w:lang w:val="en-CA"/>
        </w:rPr>
      </w:pPr>
    </w:p>
    <w:p w:rsidR="00A17E81" w:rsidRPr="005620DC" w:rsidRDefault="00132D88" w:rsidP="00A17E81">
      <w:pPr>
        <w:pStyle w:val="Paragraphe"/>
        <w:tabs>
          <w:tab w:val="clear" w:pos="360"/>
        </w:tabs>
        <w:spacing w:line="240" w:lineRule="auto"/>
        <w:rPr>
          <w:rFonts w:cs="Arial"/>
          <w:szCs w:val="24"/>
          <w:lang w:val="en-CA"/>
        </w:rPr>
      </w:pPr>
      <w:r w:rsidRPr="005620DC">
        <w:rPr>
          <w:b/>
          <w:bCs/>
          <w:lang w:val="en-CA"/>
        </w:rPr>
        <w:t>ORDERS</w:t>
      </w:r>
      <w:r w:rsidRPr="005620DC">
        <w:rPr>
          <w:bCs/>
          <w:lang w:val="en-CA"/>
        </w:rPr>
        <w:t xml:space="preserve"> 24 months’ probation with supervision, according to the conditions determined </w:t>
      </w:r>
      <w:r w:rsidR="009B306D">
        <w:rPr>
          <w:bCs/>
          <w:lang w:val="en-CA"/>
        </w:rPr>
        <w:t>at the time of</w:t>
      </w:r>
      <w:r w:rsidRPr="005620DC">
        <w:rPr>
          <w:bCs/>
          <w:lang w:val="en-CA"/>
        </w:rPr>
        <w:t xml:space="preserve"> sentenc</w:t>
      </w:r>
      <w:r w:rsidR="009B306D">
        <w:rPr>
          <w:bCs/>
          <w:lang w:val="en-CA"/>
        </w:rPr>
        <w:t>ing</w:t>
      </w:r>
      <w:r w:rsidRPr="005620DC">
        <w:rPr>
          <w:bCs/>
          <w:lang w:val="en-CA"/>
        </w:rPr>
        <w:t>.</w:t>
      </w:r>
    </w:p>
    <w:p w:rsidR="00A17E81" w:rsidRPr="005620DC" w:rsidRDefault="00132D88" w:rsidP="00A17E81">
      <w:pPr>
        <w:pStyle w:val="Paragraphe"/>
        <w:tabs>
          <w:tab w:val="clear" w:pos="360"/>
        </w:tabs>
        <w:spacing w:line="240" w:lineRule="auto"/>
        <w:rPr>
          <w:rFonts w:cs="Arial"/>
          <w:szCs w:val="24"/>
          <w:lang w:val="en-CA"/>
        </w:rPr>
      </w:pPr>
      <w:r w:rsidRPr="005620DC">
        <w:rPr>
          <w:b/>
          <w:bCs/>
          <w:lang w:val="en-CA"/>
        </w:rPr>
        <w:t xml:space="preserve">ORDERS </w:t>
      </w:r>
      <w:r w:rsidRPr="00952359">
        <w:rPr>
          <w:bCs/>
          <w:lang w:val="en-CA"/>
        </w:rPr>
        <w:t>the translation of this judgment into English.</w:t>
      </w:r>
    </w:p>
    <w:p w:rsidR="00A17E81" w:rsidRPr="005620DC" w:rsidRDefault="00132D88" w:rsidP="00A17E81">
      <w:pPr>
        <w:pStyle w:val="Paragraphe"/>
        <w:tabs>
          <w:tab w:val="clear" w:pos="360"/>
        </w:tabs>
        <w:spacing w:line="240" w:lineRule="auto"/>
        <w:rPr>
          <w:rFonts w:cs="Arial"/>
          <w:szCs w:val="24"/>
          <w:lang w:val="en-CA"/>
        </w:rPr>
      </w:pPr>
      <w:r w:rsidRPr="005620DC">
        <w:rPr>
          <w:b/>
          <w:bCs/>
          <w:lang w:val="en-CA"/>
        </w:rPr>
        <w:t xml:space="preserve">EXEMPTS </w:t>
      </w:r>
      <w:r w:rsidRPr="005620DC">
        <w:rPr>
          <w:bCs/>
          <w:lang w:val="en-CA"/>
        </w:rPr>
        <w:t>the accused from costs and the victim surcharge.</w:t>
      </w:r>
    </w:p>
    <w:p w:rsidR="00A17E81" w:rsidRPr="005620DC" w:rsidRDefault="00A17E81" w:rsidP="00A17E81">
      <w:pPr>
        <w:pStyle w:val="Paragraphe"/>
        <w:numPr>
          <w:ilvl w:val="0"/>
          <w:numId w:val="0"/>
        </w:numPr>
        <w:spacing w:before="0" w:after="0" w:line="240" w:lineRule="auto"/>
        <w:rPr>
          <w:rFonts w:cs="Arial"/>
          <w:szCs w:val="24"/>
          <w:lang w:val="en-CA"/>
        </w:rPr>
      </w:pPr>
    </w:p>
    <w:p w:rsidR="00A17E81" w:rsidRPr="005620DC" w:rsidRDefault="00A17E81" w:rsidP="00A17E81">
      <w:pPr>
        <w:pStyle w:val="Paragraphe"/>
        <w:numPr>
          <w:ilvl w:val="0"/>
          <w:numId w:val="0"/>
        </w:numPr>
        <w:spacing w:before="0" w:after="0" w:line="240" w:lineRule="auto"/>
        <w:rPr>
          <w:rFonts w:cs="Arial"/>
          <w:szCs w:val="24"/>
          <w:lang w:val="en-CA"/>
        </w:rPr>
      </w:pPr>
    </w:p>
    <w:p w:rsidR="00A17E81" w:rsidRPr="005620DC" w:rsidRDefault="00A17E81" w:rsidP="00A17E81">
      <w:pPr>
        <w:pStyle w:val="Paragraphe"/>
        <w:numPr>
          <w:ilvl w:val="0"/>
          <w:numId w:val="0"/>
        </w:numPr>
        <w:spacing w:before="0" w:after="0" w:line="240" w:lineRule="auto"/>
        <w:rPr>
          <w:rFonts w:cs="Arial"/>
          <w:szCs w:val="24"/>
          <w:lang w:val="en-CA"/>
        </w:rPr>
      </w:pPr>
    </w:p>
    <w:tbl>
      <w:tblPr>
        <w:tblW w:w="9505" w:type="dxa"/>
        <w:tblInd w:w="-62" w:type="dxa"/>
        <w:tblLayout w:type="fixed"/>
        <w:tblCellMar>
          <w:left w:w="0" w:type="dxa"/>
          <w:right w:w="0" w:type="dxa"/>
        </w:tblCellMar>
        <w:tblLook w:val="0000" w:firstRow="0" w:lastRow="0" w:firstColumn="0" w:lastColumn="0" w:noHBand="0" w:noVBand="0"/>
      </w:tblPr>
      <w:tblGrid>
        <w:gridCol w:w="2189"/>
        <w:gridCol w:w="2678"/>
        <w:gridCol w:w="4638"/>
      </w:tblGrid>
      <w:tr w:rsidR="00905C1D">
        <w:trPr>
          <w:cantSplit/>
        </w:trPr>
        <w:tc>
          <w:tcPr>
            <w:tcW w:w="4867" w:type="dxa"/>
            <w:gridSpan w:val="2"/>
          </w:tcPr>
          <w:p w:rsidR="00A17E81" w:rsidRPr="005620DC" w:rsidRDefault="00A17E81">
            <w:pPr>
              <w:rPr>
                <w:rFonts w:cs="Arial"/>
                <w:szCs w:val="24"/>
                <w:lang w:val="en-CA"/>
              </w:rPr>
            </w:pPr>
          </w:p>
        </w:tc>
        <w:tc>
          <w:tcPr>
            <w:tcW w:w="4638" w:type="dxa"/>
          </w:tcPr>
          <w:p w:rsidR="00A17E81" w:rsidRPr="005620DC" w:rsidRDefault="00132D88">
            <w:pPr>
              <w:pStyle w:val="zSoquijdatSignature3Juge"/>
              <w:rPr>
                <w:rFonts w:cs="Arial"/>
                <w:b/>
                <w:bCs/>
                <w:szCs w:val="24"/>
                <w:lang w:val="en-CA"/>
              </w:rPr>
            </w:pPr>
            <w:r w:rsidRPr="005620DC">
              <w:rPr>
                <w:rFonts w:cs="Arial"/>
                <w:b/>
                <w:bCs/>
                <w:szCs w:val="24"/>
                <w:lang w:val="en-CA"/>
              </w:rPr>
              <w:t>__</w:t>
            </w:r>
            <w:r w:rsidR="009B306D" w:rsidRPr="009B306D">
              <w:rPr>
                <w:rFonts w:cs="Arial"/>
                <w:b/>
                <w:bCs/>
                <w:szCs w:val="24"/>
                <w:u w:val="single"/>
                <w:lang w:val="en-CA"/>
              </w:rPr>
              <w:t>(signed)</w:t>
            </w:r>
            <w:r w:rsidR="009B306D">
              <w:rPr>
                <w:rFonts w:cs="Arial"/>
                <w:b/>
                <w:bCs/>
                <w:szCs w:val="24"/>
                <w:lang w:val="en-CA"/>
              </w:rPr>
              <w:t>_________________________</w:t>
            </w:r>
          </w:p>
          <w:p w:rsidR="00A17E81" w:rsidRPr="005620DC" w:rsidRDefault="00132D88">
            <w:pPr>
              <w:pStyle w:val="zSoquijdatSignature3Juge"/>
              <w:rPr>
                <w:rFonts w:cs="Arial"/>
                <w:b/>
                <w:bCs/>
                <w:szCs w:val="24"/>
                <w:lang w:val="en-CA"/>
              </w:rPr>
            </w:pPr>
            <w:r w:rsidRPr="005620DC">
              <w:rPr>
                <w:rFonts w:cs="Arial"/>
                <w:b/>
                <w:bCs/>
                <w:szCs w:val="24"/>
                <w:lang w:val="en-CA"/>
              </w:rPr>
              <w:t>PIERRE LORTIE</w:t>
            </w:r>
          </w:p>
          <w:p w:rsidR="00A17E81" w:rsidRPr="005620DC" w:rsidRDefault="00132D88">
            <w:pPr>
              <w:pStyle w:val="zSoquijdatSignature3Juge"/>
              <w:rPr>
                <w:rFonts w:cs="Arial"/>
                <w:szCs w:val="24"/>
                <w:lang w:val="en-CA"/>
              </w:rPr>
            </w:pPr>
            <w:r w:rsidRPr="005620DC">
              <w:rPr>
                <w:rFonts w:cs="Arial"/>
                <w:b/>
                <w:bCs/>
                <w:szCs w:val="24"/>
                <w:lang w:val="en-CA"/>
              </w:rPr>
              <w:t>Judge of the Court of Quebec</w:t>
            </w:r>
          </w:p>
        </w:tc>
      </w:tr>
      <w:tr w:rsidR="00905C1D">
        <w:tblPrEx>
          <w:tblCellMar>
            <w:left w:w="70" w:type="dxa"/>
            <w:right w:w="70" w:type="dxa"/>
          </w:tblCellMar>
        </w:tblPrEx>
        <w:tc>
          <w:tcPr>
            <w:tcW w:w="9505" w:type="dxa"/>
            <w:gridSpan w:val="3"/>
          </w:tcPr>
          <w:p w:rsidR="00A17E81" w:rsidRPr="005620DC" w:rsidRDefault="00A17E81">
            <w:pPr>
              <w:rPr>
                <w:rFonts w:cs="Arial"/>
                <w:szCs w:val="24"/>
                <w:lang w:val="en-CA"/>
              </w:rPr>
            </w:pPr>
          </w:p>
        </w:tc>
      </w:tr>
      <w:tr w:rsidR="00905C1D">
        <w:tblPrEx>
          <w:tblCellMar>
            <w:left w:w="70" w:type="dxa"/>
            <w:right w:w="70" w:type="dxa"/>
          </w:tblCellMar>
        </w:tblPrEx>
        <w:trPr>
          <w:cantSplit/>
        </w:trPr>
        <w:tc>
          <w:tcPr>
            <w:tcW w:w="9505" w:type="dxa"/>
            <w:gridSpan w:val="3"/>
          </w:tcPr>
          <w:p w:rsidR="00A17E81" w:rsidRPr="005620DC" w:rsidRDefault="00A17E81" w:rsidP="00A17E81">
            <w:pPr>
              <w:pStyle w:val="zSoquijdatNomProcureurDem"/>
              <w:rPr>
                <w:rFonts w:cs="Arial"/>
                <w:sz w:val="22"/>
                <w:szCs w:val="24"/>
                <w:lang w:val="en-CA"/>
              </w:rPr>
            </w:pPr>
          </w:p>
        </w:tc>
      </w:tr>
      <w:tr w:rsidR="00905C1D">
        <w:tblPrEx>
          <w:tblCellMar>
            <w:left w:w="70" w:type="dxa"/>
            <w:right w:w="70" w:type="dxa"/>
          </w:tblCellMar>
        </w:tblPrEx>
        <w:trPr>
          <w:cantSplit/>
        </w:trPr>
        <w:tc>
          <w:tcPr>
            <w:tcW w:w="9505" w:type="dxa"/>
            <w:gridSpan w:val="3"/>
          </w:tcPr>
          <w:p w:rsidR="00A17E81" w:rsidRPr="005620DC" w:rsidRDefault="00A17E81" w:rsidP="00A17E81">
            <w:pPr>
              <w:pStyle w:val="zSoquijdatNomProcureurDem"/>
              <w:rPr>
                <w:rFonts w:cs="Arial"/>
                <w:sz w:val="22"/>
                <w:szCs w:val="24"/>
                <w:lang w:val="en-CA"/>
              </w:rPr>
            </w:pPr>
          </w:p>
        </w:tc>
      </w:tr>
      <w:tr w:rsidR="00905C1D">
        <w:tblPrEx>
          <w:tblCellMar>
            <w:left w:w="70" w:type="dxa"/>
            <w:right w:w="70" w:type="dxa"/>
          </w:tblCellMar>
        </w:tblPrEx>
        <w:trPr>
          <w:cantSplit/>
        </w:trPr>
        <w:tc>
          <w:tcPr>
            <w:tcW w:w="9505" w:type="dxa"/>
            <w:gridSpan w:val="3"/>
          </w:tcPr>
          <w:p w:rsidR="00A17E81" w:rsidRPr="004B5A10" w:rsidRDefault="00132D88" w:rsidP="00A17E81">
            <w:pPr>
              <w:pStyle w:val="zSoquijdatNomProcureurDem"/>
              <w:rPr>
                <w:rFonts w:cs="Arial"/>
                <w:szCs w:val="24"/>
              </w:rPr>
            </w:pPr>
            <w:proofErr w:type="spellStart"/>
            <w:r w:rsidRPr="004B5A10">
              <w:rPr>
                <w:rFonts w:cs="Arial"/>
                <w:szCs w:val="24"/>
              </w:rPr>
              <w:t>Mtre</w:t>
            </w:r>
            <w:proofErr w:type="spellEnd"/>
            <w:r w:rsidRPr="004B5A10">
              <w:rPr>
                <w:rFonts w:cs="Arial"/>
                <w:szCs w:val="24"/>
              </w:rPr>
              <w:t xml:space="preserve"> Marianne Girard</w:t>
            </w:r>
          </w:p>
          <w:p w:rsidR="00A17E81" w:rsidRPr="004B5A10" w:rsidRDefault="00132D88" w:rsidP="00A17E81">
            <w:pPr>
              <w:pStyle w:val="zSoquijdatNomProcureurDem"/>
              <w:rPr>
                <w:rFonts w:cs="Arial"/>
                <w:szCs w:val="24"/>
              </w:rPr>
            </w:pPr>
            <w:r w:rsidRPr="004B5A10">
              <w:rPr>
                <w:rFonts w:cs="Arial"/>
                <w:szCs w:val="24"/>
              </w:rPr>
              <w:t xml:space="preserve">Camille </w:t>
            </w:r>
            <w:proofErr w:type="spellStart"/>
            <w:r w:rsidRPr="004B5A10">
              <w:rPr>
                <w:rFonts w:cs="Arial"/>
                <w:szCs w:val="24"/>
              </w:rPr>
              <w:t>Genois</w:t>
            </w:r>
            <w:proofErr w:type="spellEnd"/>
          </w:p>
        </w:tc>
      </w:tr>
      <w:tr w:rsidR="00905C1D">
        <w:tblPrEx>
          <w:tblCellMar>
            <w:left w:w="70" w:type="dxa"/>
            <w:right w:w="70" w:type="dxa"/>
          </w:tblCellMar>
        </w:tblPrEx>
        <w:trPr>
          <w:cantSplit/>
        </w:trPr>
        <w:tc>
          <w:tcPr>
            <w:tcW w:w="9505" w:type="dxa"/>
            <w:gridSpan w:val="3"/>
          </w:tcPr>
          <w:p w:rsidR="00A17E81" w:rsidRPr="005620DC" w:rsidRDefault="00132D88">
            <w:pPr>
              <w:pStyle w:val="zSoquijlblProcureurDem"/>
              <w:rPr>
                <w:rFonts w:cs="Arial"/>
                <w:szCs w:val="24"/>
                <w:lang w:val="en-CA"/>
              </w:rPr>
            </w:pPr>
            <w:r w:rsidRPr="005620DC">
              <w:rPr>
                <w:rFonts w:cs="Arial"/>
                <w:szCs w:val="24"/>
                <w:lang w:val="en-CA"/>
              </w:rPr>
              <w:t>Director of Criminal and Penal Prosecutions</w:t>
            </w:r>
          </w:p>
        </w:tc>
      </w:tr>
      <w:tr w:rsidR="00905C1D">
        <w:tblPrEx>
          <w:tblCellMar>
            <w:left w:w="70" w:type="dxa"/>
            <w:right w:w="70" w:type="dxa"/>
          </w:tblCellMar>
        </w:tblPrEx>
        <w:trPr>
          <w:cantSplit/>
        </w:trPr>
        <w:tc>
          <w:tcPr>
            <w:tcW w:w="9505" w:type="dxa"/>
            <w:gridSpan w:val="3"/>
          </w:tcPr>
          <w:p w:rsidR="00A17E81" w:rsidRPr="005620DC" w:rsidRDefault="00A17E81">
            <w:pPr>
              <w:rPr>
                <w:rFonts w:cs="Arial"/>
                <w:szCs w:val="24"/>
                <w:lang w:val="en-CA"/>
              </w:rPr>
            </w:pPr>
          </w:p>
        </w:tc>
      </w:tr>
      <w:tr w:rsidR="00905C1D">
        <w:tblPrEx>
          <w:tblCellMar>
            <w:left w:w="70" w:type="dxa"/>
            <w:right w:w="70" w:type="dxa"/>
          </w:tblCellMar>
        </w:tblPrEx>
        <w:trPr>
          <w:cantSplit/>
        </w:trPr>
        <w:tc>
          <w:tcPr>
            <w:tcW w:w="9505" w:type="dxa"/>
            <w:gridSpan w:val="3"/>
          </w:tcPr>
          <w:p w:rsidR="00A17E81" w:rsidRPr="005620DC" w:rsidRDefault="00132D88" w:rsidP="00A17E81">
            <w:pPr>
              <w:pStyle w:val="zSoquijdatNomProcureurDef"/>
              <w:rPr>
                <w:rFonts w:cs="Arial"/>
                <w:szCs w:val="24"/>
                <w:lang w:val="en-CA"/>
              </w:rPr>
            </w:pPr>
            <w:proofErr w:type="spellStart"/>
            <w:r w:rsidRPr="005620DC">
              <w:rPr>
                <w:rFonts w:cs="Arial"/>
                <w:szCs w:val="24"/>
                <w:lang w:val="en-CA"/>
              </w:rPr>
              <w:t>Mtre</w:t>
            </w:r>
            <w:proofErr w:type="spellEnd"/>
            <w:r w:rsidRPr="005620DC">
              <w:rPr>
                <w:rFonts w:cs="Arial"/>
                <w:szCs w:val="24"/>
                <w:lang w:val="en-CA"/>
              </w:rPr>
              <w:t xml:space="preserve"> Nicolas Gagnon</w:t>
            </w:r>
          </w:p>
        </w:tc>
      </w:tr>
      <w:tr w:rsidR="00905C1D">
        <w:tblPrEx>
          <w:tblCellMar>
            <w:left w:w="70" w:type="dxa"/>
            <w:right w:w="70" w:type="dxa"/>
          </w:tblCellMar>
        </w:tblPrEx>
        <w:trPr>
          <w:cantSplit/>
        </w:trPr>
        <w:tc>
          <w:tcPr>
            <w:tcW w:w="9505" w:type="dxa"/>
            <w:gridSpan w:val="3"/>
          </w:tcPr>
          <w:p w:rsidR="00A17E81" w:rsidRPr="005620DC" w:rsidRDefault="00132D88">
            <w:pPr>
              <w:pStyle w:val="zSoquijlblProcureurDef"/>
              <w:rPr>
                <w:rFonts w:cs="Arial"/>
                <w:szCs w:val="24"/>
                <w:lang w:val="en-CA"/>
              </w:rPr>
            </w:pPr>
            <w:r w:rsidRPr="005620DC">
              <w:rPr>
                <w:rFonts w:cs="Arial"/>
                <w:szCs w:val="24"/>
                <w:lang w:val="en-CA"/>
              </w:rPr>
              <w:t xml:space="preserve">Counsel for Ms. </w:t>
            </w:r>
            <w:proofErr w:type="spellStart"/>
            <w:r w:rsidRPr="005620DC">
              <w:rPr>
                <w:rFonts w:cs="Arial"/>
                <w:szCs w:val="24"/>
                <w:lang w:val="en-CA"/>
              </w:rPr>
              <w:t>Killiktee</w:t>
            </w:r>
            <w:proofErr w:type="spellEnd"/>
          </w:p>
        </w:tc>
      </w:tr>
      <w:tr w:rsidR="00905C1D">
        <w:tblPrEx>
          <w:tblCellMar>
            <w:left w:w="70" w:type="dxa"/>
            <w:right w:w="70" w:type="dxa"/>
          </w:tblCellMar>
        </w:tblPrEx>
        <w:tc>
          <w:tcPr>
            <w:tcW w:w="9505" w:type="dxa"/>
            <w:gridSpan w:val="3"/>
          </w:tcPr>
          <w:p w:rsidR="00A17E81" w:rsidRPr="005620DC" w:rsidRDefault="00A17E81">
            <w:pPr>
              <w:rPr>
                <w:rFonts w:cs="Arial"/>
                <w:szCs w:val="24"/>
                <w:lang w:val="en-CA"/>
              </w:rPr>
            </w:pPr>
          </w:p>
        </w:tc>
      </w:tr>
      <w:tr w:rsidR="00905C1D" w:rsidTr="00A17E81">
        <w:tblPrEx>
          <w:tblCellMar>
            <w:left w:w="70" w:type="dxa"/>
            <w:right w:w="70" w:type="dxa"/>
          </w:tblCellMar>
        </w:tblPrEx>
        <w:tc>
          <w:tcPr>
            <w:tcW w:w="2189" w:type="dxa"/>
          </w:tcPr>
          <w:p w:rsidR="00A17E81" w:rsidRPr="005620DC" w:rsidRDefault="00132D88">
            <w:pPr>
              <w:pStyle w:val="zSoquijlblDateAudience"/>
              <w:rPr>
                <w:rFonts w:cs="Arial"/>
                <w:szCs w:val="24"/>
                <w:lang w:val="en-CA"/>
              </w:rPr>
            </w:pPr>
            <w:r w:rsidRPr="005620DC">
              <w:rPr>
                <w:rFonts w:cs="Arial"/>
                <w:szCs w:val="24"/>
                <w:lang w:val="en-CA"/>
              </w:rPr>
              <w:t>Dates of hearing:</w:t>
            </w:r>
          </w:p>
        </w:tc>
        <w:tc>
          <w:tcPr>
            <w:tcW w:w="7316" w:type="dxa"/>
            <w:gridSpan w:val="2"/>
          </w:tcPr>
          <w:p w:rsidR="00A17E81" w:rsidRPr="005620DC" w:rsidRDefault="00132D88" w:rsidP="00A17E81">
            <w:pPr>
              <w:pStyle w:val="zSoquijdatDateAudience"/>
              <w:rPr>
                <w:rFonts w:cs="Arial"/>
                <w:szCs w:val="24"/>
                <w:lang w:val="en-CA"/>
              </w:rPr>
            </w:pPr>
            <w:r w:rsidRPr="005620DC">
              <w:rPr>
                <w:rFonts w:cs="Arial"/>
                <w:szCs w:val="24"/>
                <w:lang w:val="en-CA"/>
              </w:rPr>
              <w:t>November 10 and 11, 2021</w:t>
            </w:r>
          </w:p>
        </w:tc>
      </w:tr>
    </w:tbl>
    <w:p w:rsidR="00A17E81" w:rsidRPr="005620DC" w:rsidRDefault="00132D88">
      <w:pPr>
        <w:rPr>
          <w:rFonts w:cs="Arial"/>
          <w:szCs w:val="24"/>
          <w:lang w:val="en-CA"/>
        </w:rPr>
      </w:pPr>
      <w:r w:rsidRPr="005620DC">
        <w:rPr>
          <w:lang w:val="en-CA"/>
        </w:rPr>
        <w:t xml:space="preserve"> </w:t>
      </w:r>
      <w:r w:rsidRPr="005620DC">
        <w:rPr>
          <w:rFonts w:cs="Arial"/>
          <w:szCs w:val="24"/>
          <w:lang w:val="en-CA"/>
        </w:rPr>
        <w:br w:type="page"/>
      </w:r>
    </w:p>
    <w:p w:rsidR="00A17E81" w:rsidRPr="005620DC" w:rsidRDefault="00132D88" w:rsidP="00A17E81">
      <w:pPr>
        <w:jc w:val="center"/>
        <w:rPr>
          <w:rFonts w:cs="Arial"/>
          <w:b/>
          <w:lang w:val="en-CA"/>
        </w:rPr>
      </w:pPr>
      <w:r w:rsidRPr="005620DC">
        <w:rPr>
          <w:rFonts w:cs="Arial"/>
          <w:b/>
          <w:lang w:val="en-CA"/>
        </w:rPr>
        <w:lastRenderedPageBreak/>
        <w:t>SCHEDULE 1</w:t>
      </w:r>
    </w:p>
    <w:p w:rsidR="00A17E81" w:rsidRPr="005620DC" w:rsidRDefault="00132D88" w:rsidP="00A17E81">
      <w:pPr>
        <w:jc w:val="center"/>
        <w:rPr>
          <w:rFonts w:cs="Arial"/>
          <w:b/>
          <w:lang w:val="en-CA"/>
        </w:rPr>
      </w:pPr>
      <w:r w:rsidRPr="005620DC">
        <w:rPr>
          <w:rFonts w:cs="Arial"/>
          <w:b/>
          <w:lang w:val="en-CA"/>
        </w:rPr>
        <w:t>CRIMINAL RECORD</w:t>
      </w:r>
    </w:p>
    <w:p w:rsidR="00A17E81" w:rsidRPr="005620DC" w:rsidRDefault="00A17E81" w:rsidP="00A17E81">
      <w:pPr>
        <w:jc w:val="center"/>
        <w:rPr>
          <w:b/>
          <w:lang w:val="en-CA"/>
        </w:rPr>
      </w:pPr>
    </w:p>
    <w:tbl>
      <w:tblPr>
        <w:tblStyle w:val="Grilledutableau"/>
        <w:tblW w:w="0" w:type="auto"/>
        <w:tblLook w:val="04A0" w:firstRow="1" w:lastRow="0" w:firstColumn="1" w:lastColumn="0" w:noHBand="0" w:noVBand="1"/>
      </w:tblPr>
      <w:tblGrid>
        <w:gridCol w:w="1980"/>
        <w:gridCol w:w="3773"/>
        <w:gridCol w:w="2877"/>
      </w:tblGrid>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May 23, 2017</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Assault March 5, 2017</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28 months</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March 31, 2017</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Assault May 27, 2016</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15 months</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October 20, 2011</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Manslaughter</w:t>
            </w:r>
          </w:p>
          <w:p w:rsidR="00A17E81" w:rsidRPr="005620DC" w:rsidRDefault="00132D88" w:rsidP="00A17E81">
            <w:pPr>
              <w:rPr>
                <w:rFonts w:cs="Arial"/>
                <w:sz w:val="22"/>
                <w:szCs w:val="22"/>
                <w:lang w:val="en-CA"/>
              </w:rPr>
            </w:pPr>
            <w:r w:rsidRPr="005620DC">
              <w:rPr>
                <w:rFonts w:cs="Arial"/>
                <w:sz w:val="22"/>
                <w:szCs w:val="22"/>
                <w:lang w:val="en-CA"/>
              </w:rPr>
              <w:t xml:space="preserve">July 11, 2009 </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9 years</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March 26, 2009</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Assault x 5</w:t>
            </w:r>
          </w:p>
          <w:p w:rsidR="00A17E81" w:rsidRPr="005620DC" w:rsidRDefault="00132D88" w:rsidP="00A17E81">
            <w:pPr>
              <w:rPr>
                <w:rFonts w:cs="Arial"/>
                <w:sz w:val="22"/>
                <w:szCs w:val="22"/>
                <w:lang w:val="en-CA"/>
              </w:rPr>
            </w:pPr>
            <w:r w:rsidRPr="005620DC">
              <w:rPr>
                <w:rFonts w:cs="Arial"/>
                <w:sz w:val="22"/>
                <w:szCs w:val="22"/>
                <w:lang w:val="en-CA"/>
              </w:rPr>
              <w:t xml:space="preserve">Breach of conditions </w:t>
            </w:r>
          </w:p>
          <w:p w:rsidR="00A17E81" w:rsidRPr="005620DC" w:rsidRDefault="00132D88" w:rsidP="00A17E81">
            <w:pPr>
              <w:rPr>
                <w:rFonts w:cs="Arial"/>
                <w:sz w:val="22"/>
                <w:szCs w:val="22"/>
                <w:lang w:val="en-CA"/>
              </w:rPr>
            </w:pPr>
            <w:r w:rsidRPr="005620DC">
              <w:rPr>
                <w:rFonts w:cs="Arial"/>
                <w:sz w:val="22"/>
                <w:szCs w:val="22"/>
                <w:lang w:val="en-CA"/>
              </w:rPr>
              <w:t>Causing a disturbance</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 xml:space="preserve">130 days </w:t>
            </w:r>
          </w:p>
          <w:p w:rsidR="00A17E81" w:rsidRPr="005620DC" w:rsidRDefault="00132D88" w:rsidP="00A17E81">
            <w:pPr>
              <w:rPr>
                <w:rFonts w:cs="Arial"/>
                <w:sz w:val="22"/>
                <w:szCs w:val="22"/>
                <w:lang w:val="en-CA"/>
              </w:rPr>
            </w:pPr>
            <w:r w:rsidRPr="005620DC">
              <w:rPr>
                <w:rFonts w:cs="Arial"/>
                <w:sz w:val="22"/>
                <w:szCs w:val="22"/>
                <w:lang w:val="en-CA"/>
              </w:rPr>
              <w:t>(+25 days remand)</w:t>
            </w:r>
          </w:p>
          <w:p w:rsidR="00A17E81" w:rsidRPr="005620DC" w:rsidRDefault="00A17E81" w:rsidP="00A17E81">
            <w:pPr>
              <w:rPr>
                <w:rFonts w:cs="Arial"/>
                <w:sz w:val="22"/>
                <w:szCs w:val="22"/>
                <w:lang w:val="en-CA"/>
              </w:rPr>
            </w:pP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August 7, 2008</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Breach of conditions</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Suspended sentence</w:t>
            </w:r>
          </w:p>
          <w:p w:rsidR="00A17E81" w:rsidRPr="005620DC" w:rsidRDefault="00132D88" w:rsidP="00A17E81">
            <w:pPr>
              <w:rPr>
                <w:rFonts w:cs="Arial"/>
                <w:sz w:val="22"/>
                <w:szCs w:val="22"/>
                <w:lang w:val="en-CA"/>
              </w:rPr>
            </w:pPr>
            <w:r w:rsidRPr="005620DC">
              <w:rPr>
                <w:rFonts w:cs="Arial"/>
                <w:sz w:val="22"/>
                <w:szCs w:val="22"/>
                <w:lang w:val="en-CA"/>
              </w:rPr>
              <w:t>2 days remand</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May 27, 2008</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 xml:space="preserve">Assault </w:t>
            </w:r>
          </w:p>
          <w:p w:rsidR="00A17E81" w:rsidRPr="005620DC" w:rsidRDefault="00132D88" w:rsidP="00A17E81">
            <w:pPr>
              <w:rPr>
                <w:rFonts w:cs="Arial"/>
                <w:sz w:val="22"/>
                <w:szCs w:val="22"/>
                <w:lang w:val="en-CA"/>
              </w:rPr>
            </w:pPr>
            <w:r w:rsidRPr="005620DC">
              <w:rPr>
                <w:rFonts w:cs="Arial"/>
                <w:sz w:val="22"/>
                <w:szCs w:val="22"/>
                <w:lang w:val="en-CA"/>
              </w:rPr>
              <w:t>Assault police officers</w:t>
            </w:r>
          </w:p>
          <w:p w:rsidR="00A17E81" w:rsidRPr="005620DC" w:rsidRDefault="00132D88" w:rsidP="00A17E81">
            <w:pPr>
              <w:rPr>
                <w:rFonts w:cs="Arial"/>
                <w:sz w:val="22"/>
                <w:szCs w:val="22"/>
                <w:lang w:val="en-CA"/>
              </w:rPr>
            </w:pPr>
            <w:r w:rsidRPr="005620DC">
              <w:rPr>
                <w:rFonts w:cs="Arial"/>
                <w:sz w:val="22"/>
                <w:szCs w:val="22"/>
                <w:lang w:val="en-CA"/>
              </w:rPr>
              <w:t>(Quebec)</w:t>
            </w:r>
          </w:p>
        </w:tc>
        <w:tc>
          <w:tcPr>
            <w:tcW w:w="2877" w:type="dxa"/>
          </w:tcPr>
          <w:p w:rsidR="00A17E81" w:rsidRPr="005620DC" w:rsidRDefault="00132D88" w:rsidP="009B306D">
            <w:pPr>
              <w:rPr>
                <w:rFonts w:cs="Arial"/>
                <w:sz w:val="22"/>
                <w:szCs w:val="22"/>
                <w:lang w:val="en-CA"/>
              </w:rPr>
            </w:pPr>
            <w:r w:rsidRPr="005620DC">
              <w:rPr>
                <w:rFonts w:cs="Arial"/>
                <w:sz w:val="22"/>
                <w:szCs w:val="22"/>
                <w:lang w:val="en-CA"/>
              </w:rPr>
              <w:t xml:space="preserve">6 months </w:t>
            </w:r>
            <w:r w:rsidR="009B306D">
              <w:rPr>
                <w:rFonts w:cs="Arial"/>
                <w:sz w:val="22"/>
                <w:szCs w:val="22"/>
                <w:lang w:val="en-CA"/>
              </w:rPr>
              <w:t xml:space="preserve">conditional </w:t>
            </w:r>
            <w:r w:rsidRPr="005620DC">
              <w:rPr>
                <w:rFonts w:cs="Arial"/>
                <w:sz w:val="22"/>
                <w:szCs w:val="22"/>
                <w:lang w:val="en-CA"/>
              </w:rPr>
              <w:t xml:space="preserve">sentence </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June 30, 2006</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Possession of drugs</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7 days</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October 31, 2005</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Assault with a weapon</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9 months served in the community</w:t>
            </w:r>
          </w:p>
          <w:p w:rsidR="00A17E81" w:rsidRPr="005620DC" w:rsidRDefault="00132D88" w:rsidP="00A17E81">
            <w:pPr>
              <w:rPr>
                <w:rFonts w:cs="Arial"/>
                <w:sz w:val="22"/>
                <w:szCs w:val="22"/>
                <w:lang w:val="en-CA"/>
              </w:rPr>
            </w:pPr>
            <w:r w:rsidRPr="005620DC">
              <w:rPr>
                <w:rFonts w:cs="Arial"/>
                <w:sz w:val="22"/>
                <w:szCs w:val="22"/>
                <w:lang w:val="en-CA"/>
              </w:rPr>
              <w:t>30 days remand</w:t>
            </w:r>
          </w:p>
        </w:tc>
      </w:tr>
      <w:tr w:rsidR="00905C1D" w:rsidTr="00A17E81">
        <w:tc>
          <w:tcPr>
            <w:tcW w:w="1980" w:type="dxa"/>
          </w:tcPr>
          <w:p w:rsidR="00A17E81" w:rsidRPr="005620DC" w:rsidRDefault="00132D88" w:rsidP="00A17E81">
            <w:pPr>
              <w:rPr>
                <w:rFonts w:cs="Arial"/>
                <w:sz w:val="22"/>
                <w:szCs w:val="22"/>
                <w:lang w:val="en-CA"/>
              </w:rPr>
            </w:pPr>
            <w:r w:rsidRPr="005620DC">
              <w:rPr>
                <w:rFonts w:cs="Arial"/>
                <w:sz w:val="22"/>
                <w:szCs w:val="22"/>
                <w:lang w:val="en-CA"/>
              </w:rPr>
              <w:t>August 16, 2005</w:t>
            </w:r>
          </w:p>
        </w:tc>
        <w:tc>
          <w:tcPr>
            <w:tcW w:w="3773" w:type="dxa"/>
          </w:tcPr>
          <w:p w:rsidR="00A17E81" w:rsidRPr="005620DC" w:rsidRDefault="00132D88" w:rsidP="00A17E81">
            <w:pPr>
              <w:rPr>
                <w:rFonts w:cs="Arial"/>
                <w:sz w:val="22"/>
                <w:szCs w:val="22"/>
                <w:lang w:val="en-CA"/>
              </w:rPr>
            </w:pPr>
            <w:r w:rsidRPr="005620DC">
              <w:rPr>
                <w:rFonts w:cs="Arial"/>
                <w:sz w:val="22"/>
                <w:szCs w:val="22"/>
                <w:lang w:val="en-CA"/>
              </w:rPr>
              <w:t xml:space="preserve">Assault </w:t>
            </w:r>
          </w:p>
          <w:p w:rsidR="00A17E81" w:rsidRPr="005620DC" w:rsidRDefault="00132D88" w:rsidP="00A17E81">
            <w:pPr>
              <w:rPr>
                <w:rFonts w:cs="Arial"/>
                <w:sz w:val="22"/>
                <w:szCs w:val="22"/>
                <w:lang w:val="en-CA"/>
              </w:rPr>
            </w:pPr>
            <w:r w:rsidRPr="005620DC">
              <w:rPr>
                <w:rFonts w:cs="Arial"/>
                <w:sz w:val="22"/>
                <w:szCs w:val="22"/>
                <w:lang w:val="en-CA"/>
              </w:rPr>
              <w:t>Breach of conditions</w:t>
            </w:r>
          </w:p>
          <w:p w:rsidR="00A17E81" w:rsidRPr="005620DC" w:rsidRDefault="00132D88" w:rsidP="00A17E81">
            <w:pPr>
              <w:rPr>
                <w:rFonts w:cs="Arial"/>
                <w:sz w:val="22"/>
                <w:szCs w:val="22"/>
                <w:lang w:val="en-CA"/>
              </w:rPr>
            </w:pPr>
            <w:r w:rsidRPr="005620DC">
              <w:rPr>
                <w:rFonts w:cs="Arial"/>
                <w:sz w:val="22"/>
                <w:szCs w:val="22"/>
                <w:lang w:val="en-CA"/>
              </w:rPr>
              <w:t xml:space="preserve">(Ontario) </w:t>
            </w:r>
          </w:p>
        </w:tc>
        <w:tc>
          <w:tcPr>
            <w:tcW w:w="2877" w:type="dxa"/>
          </w:tcPr>
          <w:p w:rsidR="00A17E81" w:rsidRPr="005620DC" w:rsidRDefault="00132D88" w:rsidP="00A17E81">
            <w:pPr>
              <w:rPr>
                <w:rFonts w:cs="Arial"/>
                <w:sz w:val="22"/>
                <w:szCs w:val="22"/>
                <w:lang w:val="en-CA"/>
              </w:rPr>
            </w:pPr>
            <w:r w:rsidRPr="005620DC">
              <w:rPr>
                <w:rFonts w:cs="Arial"/>
                <w:sz w:val="22"/>
                <w:szCs w:val="22"/>
                <w:lang w:val="en-CA"/>
              </w:rPr>
              <w:t xml:space="preserve">Suspended sentence </w:t>
            </w:r>
          </w:p>
        </w:tc>
      </w:tr>
    </w:tbl>
    <w:p w:rsidR="00A17E81" w:rsidRPr="005620DC" w:rsidRDefault="00A17E81" w:rsidP="00A17E81">
      <w:pPr>
        <w:rPr>
          <w:b/>
          <w:lang w:val="en-CA"/>
        </w:rPr>
      </w:pPr>
    </w:p>
    <w:p w:rsidR="00A17E81" w:rsidRPr="005620DC" w:rsidRDefault="00A17E81" w:rsidP="00A17E81">
      <w:pPr>
        <w:rPr>
          <w:rFonts w:cs="Arial"/>
          <w:szCs w:val="24"/>
          <w:lang w:val="en-CA"/>
        </w:rPr>
      </w:pPr>
    </w:p>
    <w:sectPr w:rsidR="00A17E81" w:rsidRPr="005620DC" w:rsidSect="00A17E81">
      <w:headerReference w:type="even" r:id="rId8"/>
      <w:headerReference w:type="default" r:id="rId9"/>
      <w:footerReference w:type="even" r:id="rId10"/>
      <w:headerReference w:type="first" r:id="rId11"/>
      <w:footnotePr>
        <w:numRestart w:val="eachSect"/>
      </w:footnotePr>
      <w:pgSz w:w="12242" w:h="15842" w:code="1"/>
      <w:pgMar w:top="1440" w:right="1009" w:bottom="1440" w:left="1871" w:header="144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8E" w:rsidRDefault="00F02B8E">
      <w:r>
        <w:separator/>
      </w:r>
    </w:p>
  </w:endnote>
  <w:endnote w:type="continuationSeparator" w:id="0">
    <w:p w:rsidR="00F02B8E" w:rsidRDefault="00F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ED" w:rsidRDefault="00132D88">
    <w:pPr>
      <w:framePr w:wrap="around" w:vAnchor="text" w:hAnchor="margin" w:xAlign="right" w:y="1"/>
    </w:pPr>
    <w:r>
      <w:fldChar w:fldCharType="begin"/>
    </w:r>
    <w:r>
      <w:instrText xml:space="preserve">PAGE  </w:instrText>
    </w:r>
    <w:r>
      <w:fldChar w:fldCharType="separate"/>
    </w:r>
    <w:r>
      <w:rPr>
        <w:noProof/>
      </w:rPr>
      <w:t>4</w:t>
    </w:r>
    <w:r>
      <w:fldChar w:fldCharType="end"/>
    </w:r>
  </w:p>
  <w:p w:rsidR="00655DED" w:rsidRDefault="00655D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8E" w:rsidRDefault="00F02B8E">
      <w:r>
        <w:separator/>
      </w:r>
    </w:p>
  </w:footnote>
  <w:footnote w:type="continuationSeparator" w:id="0">
    <w:p w:rsidR="00F02B8E" w:rsidRDefault="00F02B8E">
      <w:r>
        <w:continuationSeparator/>
      </w:r>
    </w:p>
  </w:footnote>
  <w:footnote w:id="1">
    <w:p w:rsidR="00655DED" w:rsidRPr="009D6678" w:rsidRDefault="00132D88" w:rsidP="00A17E81">
      <w:pPr>
        <w:pStyle w:val="Notedebasdepage"/>
        <w:rPr>
          <w:sz w:val="18"/>
          <w:szCs w:val="18"/>
          <w:lang w:val="en-CA"/>
        </w:rPr>
      </w:pPr>
      <w:r w:rsidRPr="009D6678">
        <w:rPr>
          <w:rStyle w:val="Appelnotedebasdep"/>
          <w:sz w:val="18"/>
          <w:szCs w:val="18"/>
        </w:rPr>
        <w:footnoteRef/>
      </w:r>
      <w:r w:rsidRPr="009D6678">
        <w:rPr>
          <w:sz w:val="18"/>
          <w:szCs w:val="18"/>
          <w:lang w:val="en-CA"/>
        </w:rPr>
        <w:t xml:space="preserve"> </w:t>
      </w:r>
      <w:r w:rsidRPr="009D6678">
        <w:rPr>
          <w:sz w:val="18"/>
          <w:szCs w:val="18"/>
          <w:lang w:val="en-CA"/>
        </w:rPr>
        <w:tab/>
      </w:r>
      <w:r w:rsidRPr="005620DC">
        <w:rPr>
          <w:rFonts w:cs="Arial"/>
          <w:i/>
          <w:sz w:val="18"/>
          <w:szCs w:val="18"/>
          <w:lang w:val="en-CA"/>
        </w:rPr>
        <w:t xml:space="preserve">R. v. </w:t>
      </w:r>
      <w:proofErr w:type="spellStart"/>
      <w:r w:rsidRPr="005620DC">
        <w:rPr>
          <w:rFonts w:cs="Arial"/>
          <w:i/>
          <w:sz w:val="18"/>
          <w:szCs w:val="18"/>
          <w:lang w:val="en-CA"/>
        </w:rPr>
        <w:t>Gladue</w:t>
      </w:r>
      <w:proofErr w:type="spellEnd"/>
      <w:r w:rsidRPr="005620DC">
        <w:rPr>
          <w:rFonts w:cs="Arial"/>
          <w:sz w:val="18"/>
          <w:szCs w:val="18"/>
          <w:lang w:val="en-CA"/>
        </w:rPr>
        <w:t xml:space="preserve">, [1999] </w:t>
      </w:r>
      <w:proofErr w:type="gramStart"/>
      <w:r w:rsidRPr="005620DC">
        <w:rPr>
          <w:rFonts w:cs="Arial"/>
          <w:sz w:val="18"/>
          <w:szCs w:val="18"/>
          <w:lang w:val="en-CA"/>
        </w:rPr>
        <w:t>1</w:t>
      </w:r>
      <w:proofErr w:type="gramEnd"/>
      <w:r w:rsidRPr="005620DC">
        <w:rPr>
          <w:rFonts w:cs="Arial"/>
          <w:sz w:val="18"/>
          <w:szCs w:val="18"/>
          <w:lang w:val="en-CA"/>
        </w:rPr>
        <w:t xml:space="preserve"> S.C.R.</w:t>
      </w:r>
      <w:r w:rsidRPr="009D6678">
        <w:rPr>
          <w:rFonts w:cs="Arial"/>
          <w:sz w:val="18"/>
          <w:szCs w:val="18"/>
          <w:lang w:val="en-CA"/>
        </w:rPr>
        <w:t xml:space="preserve"> </w:t>
      </w:r>
      <w:r w:rsidRPr="005620DC">
        <w:rPr>
          <w:rFonts w:cs="Arial"/>
          <w:sz w:val="18"/>
          <w:szCs w:val="18"/>
          <w:lang w:val="en-CA"/>
        </w:rPr>
        <w:t>688 [</w:t>
      </w:r>
      <w:proofErr w:type="spellStart"/>
      <w:r w:rsidRPr="005620DC">
        <w:rPr>
          <w:rFonts w:cs="Arial"/>
          <w:i/>
          <w:sz w:val="18"/>
          <w:szCs w:val="18"/>
          <w:lang w:val="en-CA"/>
        </w:rPr>
        <w:t>Gladue</w:t>
      </w:r>
      <w:proofErr w:type="spellEnd"/>
      <w:r w:rsidRPr="005620DC">
        <w:rPr>
          <w:rFonts w:cs="Arial"/>
          <w:sz w:val="18"/>
          <w:szCs w:val="18"/>
          <w:lang w:val="en-CA"/>
        </w:rPr>
        <w:t>].</w:t>
      </w:r>
    </w:p>
  </w:footnote>
  <w:footnote w:id="2">
    <w:p w:rsidR="00655DED" w:rsidRPr="00C02F2E" w:rsidRDefault="00132D88" w:rsidP="00A17E81">
      <w:pPr>
        <w:pStyle w:val="Notedebasdepage"/>
        <w:rPr>
          <w:sz w:val="18"/>
          <w:szCs w:val="18"/>
          <w:lang w:val="en-CA"/>
        </w:rPr>
      </w:pPr>
      <w:r w:rsidRPr="009D6678">
        <w:rPr>
          <w:rStyle w:val="Appelnotedebasdep"/>
          <w:sz w:val="18"/>
          <w:szCs w:val="18"/>
        </w:rPr>
        <w:footnoteRef/>
      </w:r>
      <w:r w:rsidRPr="009D6678">
        <w:rPr>
          <w:sz w:val="18"/>
          <w:szCs w:val="18"/>
          <w:lang w:val="en-CA"/>
        </w:rPr>
        <w:t xml:space="preserve"> </w:t>
      </w:r>
      <w:r w:rsidRPr="009D6678">
        <w:rPr>
          <w:sz w:val="18"/>
          <w:szCs w:val="18"/>
          <w:lang w:val="en-CA"/>
        </w:rPr>
        <w:tab/>
      </w:r>
      <w:r w:rsidRPr="005620DC">
        <w:rPr>
          <w:rFonts w:cs="Arial"/>
          <w:i/>
          <w:sz w:val="18"/>
          <w:szCs w:val="18"/>
          <w:lang w:val="en-CA"/>
        </w:rPr>
        <w:t xml:space="preserve">R. v. </w:t>
      </w:r>
      <w:proofErr w:type="spellStart"/>
      <w:r w:rsidRPr="005620DC">
        <w:rPr>
          <w:rFonts w:cs="Arial"/>
          <w:i/>
          <w:sz w:val="18"/>
          <w:szCs w:val="18"/>
          <w:lang w:val="en-CA"/>
        </w:rPr>
        <w:t>Ipeelee</w:t>
      </w:r>
      <w:proofErr w:type="spellEnd"/>
      <w:r w:rsidRPr="005620DC">
        <w:rPr>
          <w:rFonts w:cs="Arial"/>
          <w:i/>
          <w:sz w:val="18"/>
          <w:szCs w:val="18"/>
          <w:lang w:val="en-CA"/>
        </w:rPr>
        <w:t xml:space="preserve">, </w:t>
      </w:r>
      <w:r w:rsidRPr="005620DC">
        <w:rPr>
          <w:rFonts w:cs="Arial"/>
          <w:sz w:val="18"/>
          <w:szCs w:val="18"/>
          <w:lang w:val="en-CA"/>
        </w:rPr>
        <w:t xml:space="preserve">2012 SCC 13, [2012] </w:t>
      </w:r>
      <w:proofErr w:type="gramStart"/>
      <w:r w:rsidRPr="005620DC">
        <w:rPr>
          <w:rFonts w:cs="Arial"/>
          <w:sz w:val="18"/>
          <w:szCs w:val="18"/>
          <w:lang w:val="en-CA"/>
        </w:rPr>
        <w:t>1</w:t>
      </w:r>
      <w:proofErr w:type="gramEnd"/>
      <w:r w:rsidRPr="005620DC">
        <w:rPr>
          <w:rFonts w:cs="Arial"/>
          <w:sz w:val="18"/>
          <w:szCs w:val="18"/>
          <w:lang w:val="en-CA"/>
        </w:rPr>
        <w:t xml:space="preserve"> S.C.R.</w:t>
      </w:r>
      <w:r w:rsidRPr="005620DC">
        <w:rPr>
          <w:rFonts w:cs="Arial"/>
          <w:i/>
          <w:sz w:val="18"/>
          <w:szCs w:val="18"/>
          <w:lang w:val="en-CA"/>
        </w:rPr>
        <w:t xml:space="preserve"> </w:t>
      </w:r>
      <w:r w:rsidRPr="005620DC">
        <w:rPr>
          <w:rFonts w:cs="Arial"/>
          <w:sz w:val="18"/>
          <w:szCs w:val="18"/>
          <w:lang w:val="en-CA"/>
        </w:rPr>
        <w:t>433 [</w:t>
      </w:r>
      <w:proofErr w:type="spellStart"/>
      <w:r w:rsidRPr="005620DC">
        <w:rPr>
          <w:rFonts w:cs="Arial"/>
          <w:i/>
          <w:sz w:val="18"/>
          <w:szCs w:val="18"/>
          <w:lang w:val="en-CA"/>
        </w:rPr>
        <w:t>Ipeelee</w:t>
      </w:r>
      <w:proofErr w:type="spellEnd"/>
      <w:r w:rsidRPr="005620DC">
        <w:rPr>
          <w:rFonts w:cs="Arial"/>
          <w:sz w:val="18"/>
          <w:szCs w:val="18"/>
          <w:lang w:val="en-CA"/>
        </w:rPr>
        <w:t>].</w:t>
      </w:r>
    </w:p>
  </w:footnote>
  <w:footnote w:id="3">
    <w:p w:rsidR="00655DED" w:rsidRPr="00A218E2" w:rsidRDefault="00132D88">
      <w:pPr>
        <w:pStyle w:val="Notedebasdepage"/>
        <w:rPr>
          <w:sz w:val="18"/>
          <w:szCs w:val="18"/>
          <w:lang w:val="en-CA"/>
        </w:rPr>
      </w:pPr>
      <w:r w:rsidRPr="009D6678">
        <w:rPr>
          <w:rStyle w:val="Appelnotedebasdep"/>
          <w:sz w:val="18"/>
          <w:szCs w:val="18"/>
        </w:rPr>
        <w:footnoteRef/>
      </w:r>
      <w:r w:rsidRPr="00A218E2">
        <w:rPr>
          <w:sz w:val="18"/>
          <w:szCs w:val="18"/>
          <w:lang w:val="en-CA"/>
        </w:rPr>
        <w:t xml:space="preserve"> </w:t>
      </w:r>
      <w:r w:rsidRPr="00A218E2">
        <w:rPr>
          <w:sz w:val="18"/>
          <w:szCs w:val="18"/>
          <w:lang w:val="en-CA"/>
        </w:rPr>
        <w:tab/>
      </w:r>
      <w:proofErr w:type="spellStart"/>
      <w:r w:rsidRPr="00A218E2">
        <w:rPr>
          <w:i/>
          <w:sz w:val="18"/>
          <w:szCs w:val="18"/>
          <w:lang w:val="en-CA"/>
        </w:rPr>
        <w:t>Gladue</w:t>
      </w:r>
      <w:proofErr w:type="spellEnd"/>
      <w:r w:rsidRPr="00A218E2">
        <w:rPr>
          <w:sz w:val="18"/>
          <w:szCs w:val="18"/>
          <w:lang w:val="en-CA"/>
        </w:rPr>
        <w:t xml:space="preserve">, </w:t>
      </w:r>
      <w:r w:rsidRPr="00A218E2">
        <w:rPr>
          <w:i/>
          <w:sz w:val="18"/>
          <w:szCs w:val="18"/>
          <w:lang w:val="en-CA"/>
        </w:rPr>
        <w:t xml:space="preserve">supra </w:t>
      </w:r>
      <w:r w:rsidRPr="00A218E2">
        <w:rPr>
          <w:sz w:val="18"/>
          <w:szCs w:val="18"/>
          <w:lang w:val="en-CA"/>
        </w:rPr>
        <w:t xml:space="preserve">note </w:t>
      </w:r>
      <w:proofErr w:type="gramStart"/>
      <w:r w:rsidRPr="00A218E2">
        <w:rPr>
          <w:sz w:val="18"/>
          <w:szCs w:val="18"/>
          <w:lang w:val="en-CA"/>
        </w:rPr>
        <w:t>1</w:t>
      </w:r>
      <w:proofErr w:type="gramEnd"/>
      <w:r w:rsidRPr="00A218E2">
        <w:rPr>
          <w:sz w:val="18"/>
          <w:szCs w:val="18"/>
          <w:lang w:val="en-CA"/>
        </w:rPr>
        <w:t xml:space="preserve"> at para. 83.</w:t>
      </w:r>
    </w:p>
  </w:footnote>
  <w:footnote w:id="4">
    <w:p w:rsidR="00655DED" w:rsidRPr="00A218E2" w:rsidRDefault="00132D88">
      <w:pPr>
        <w:pStyle w:val="Notedebasdepage"/>
        <w:rPr>
          <w:sz w:val="18"/>
          <w:szCs w:val="18"/>
          <w:lang w:val="en-CA"/>
        </w:rPr>
      </w:pPr>
      <w:r w:rsidRPr="009D6678">
        <w:rPr>
          <w:rStyle w:val="Appelnotedebasdep"/>
          <w:sz w:val="18"/>
          <w:szCs w:val="18"/>
        </w:rPr>
        <w:footnoteRef/>
      </w:r>
      <w:r w:rsidRPr="00A218E2">
        <w:rPr>
          <w:sz w:val="18"/>
          <w:szCs w:val="18"/>
          <w:lang w:val="en-CA"/>
        </w:rPr>
        <w:t xml:space="preserve"> </w:t>
      </w:r>
      <w:r w:rsidRPr="00A218E2">
        <w:rPr>
          <w:sz w:val="18"/>
          <w:szCs w:val="18"/>
          <w:lang w:val="en-CA"/>
        </w:rPr>
        <w:tab/>
      </w:r>
      <w:r w:rsidRPr="00A218E2">
        <w:rPr>
          <w:i/>
          <w:sz w:val="18"/>
          <w:szCs w:val="18"/>
          <w:lang w:val="en-CA"/>
        </w:rPr>
        <w:t>R.</w:t>
      </w:r>
      <w:r w:rsidRPr="00A218E2">
        <w:rPr>
          <w:sz w:val="18"/>
          <w:szCs w:val="18"/>
          <w:lang w:val="en-CA"/>
        </w:rPr>
        <w:t xml:space="preserve"> </w:t>
      </w:r>
      <w:r w:rsidRPr="00A218E2">
        <w:rPr>
          <w:i/>
          <w:sz w:val="18"/>
          <w:szCs w:val="18"/>
          <w:lang w:val="en-CA"/>
        </w:rPr>
        <w:t>v</w:t>
      </w:r>
      <w:r w:rsidRPr="00A218E2">
        <w:rPr>
          <w:sz w:val="18"/>
          <w:szCs w:val="18"/>
          <w:lang w:val="en-CA"/>
        </w:rPr>
        <w:t xml:space="preserve">. </w:t>
      </w:r>
      <w:proofErr w:type="spellStart"/>
      <w:r w:rsidRPr="00A218E2">
        <w:rPr>
          <w:i/>
          <w:sz w:val="18"/>
          <w:szCs w:val="18"/>
          <w:lang w:val="en-CA"/>
        </w:rPr>
        <w:t>Killiktee</w:t>
      </w:r>
      <w:proofErr w:type="spellEnd"/>
      <w:r w:rsidRPr="00A218E2">
        <w:rPr>
          <w:sz w:val="18"/>
          <w:szCs w:val="18"/>
          <w:lang w:val="en-CA"/>
        </w:rPr>
        <w:t xml:space="preserve">, 2011 ONSC 5910. </w:t>
      </w:r>
    </w:p>
  </w:footnote>
  <w:footnote w:id="5">
    <w:p w:rsidR="00655DED" w:rsidRPr="00A218E2" w:rsidRDefault="00132D88" w:rsidP="00A17E81">
      <w:pPr>
        <w:pStyle w:val="Notedebasdepage"/>
        <w:rPr>
          <w:sz w:val="18"/>
          <w:szCs w:val="18"/>
          <w:lang w:val="en-CA"/>
        </w:rPr>
      </w:pPr>
      <w:r w:rsidRPr="009D6678">
        <w:rPr>
          <w:rStyle w:val="Appelnotedebasdep"/>
          <w:sz w:val="18"/>
          <w:szCs w:val="18"/>
        </w:rPr>
        <w:footnoteRef/>
      </w:r>
      <w:r w:rsidRPr="00A218E2">
        <w:rPr>
          <w:sz w:val="18"/>
          <w:szCs w:val="18"/>
          <w:lang w:val="en-CA"/>
        </w:rPr>
        <w:t xml:space="preserve"> </w:t>
      </w:r>
      <w:r w:rsidRPr="00A218E2">
        <w:rPr>
          <w:sz w:val="18"/>
          <w:szCs w:val="18"/>
          <w:lang w:val="en-CA"/>
        </w:rPr>
        <w:tab/>
        <w:t>2011 ONSC 1527; 2011 ONSC 5910; 2013 ONCA 332; 2017 ONCJ 966.</w:t>
      </w:r>
    </w:p>
  </w:footnote>
  <w:footnote w:id="6">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proofErr w:type="spellStart"/>
      <w:r w:rsidRPr="005620DC">
        <w:rPr>
          <w:rFonts w:cs="Arial"/>
          <w:i/>
          <w:sz w:val="18"/>
          <w:szCs w:val="18"/>
          <w:lang w:val="en-CA"/>
        </w:rPr>
        <w:t>Ipeelee</w:t>
      </w:r>
      <w:proofErr w:type="spellEnd"/>
      <w:r w:rsidRPr="005620DC">
        <w:rPr>
          <w:rFonts w:cs="Arial"/>
          <w:i/>
          <w:sz w:val="18"/>
          <w:szCs w:val="18"/>
          <w:lang w:val="en-CA"/>
        </w:rPr>
        <w:t xml:space="preserve">, supra </w:t>
      </w:r>
      <w:r w:rsidRPr="005620DC">
        <w:rPr>
          <w:rFonts w:cs="Arial"/>
          <w:sz w:val="18"/>
          <w:szCs w:val="18"/>
          <w:lang w:val="en-CA"/>
        </w:rPr>
        <w:t xml:space="preserve">note </w:t>
      </w:r>
      <w:proofErr w:type="gramStart"/>
      <w:r w:rsidRPr="005620DC">
        <w:rPr>
          <w:rFonts w:cs="Arial"/>
          <w:sz w:val="18"/>
          <w:szCs w:val="18"/>
          <w:lang w:val="en-CA"/>
        </w:rPr>
        <w:t>2</w:t>
      </w:r>
      <w:proofErr w:type="gramEnd"/>
      <w:r w:rsidRPr="005620DC">
        <w:rPr>
          <w:rFonts w:cs="Arial"/>
          <w:sz w:val="18"/>
          <w:szCs w:val="18"/>
          <w:lang w:val="en-CA"/>
        </w:rPr>
        <w:t xml:space="preserve"> at para. 59</w:t>
      </w:r>
      <w:r w:rsidRPr="005620DC">
        <w:rPr>
          <w:rFonts w:cs="Arial"/>
          <w:i/>
          <w:sz w:val="18"/>
          <w:szCs w:val="18"/>
          <w:lang w:val="en-CA"/>
        </w:rPr>
        <w:t>.</w:t>
      </w:r>
    </w:p>
  </w:footnote>
  <w:footnote w:id="7">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t xml:space="preserve">Peter </w:t>
      </w:r>
      <w:proofErr w:type="spellStart"/>
      <w:r w:rsidRPr="00793386">
        <w:rPr>
          <w:sz w:val="18"/>
          <w:szCs w:val="18"/>
          <w:lang w:val="en-CA"/>
        </w:rPr>
        <w:t>Kikkert</w:t>
      </w:r>
      <w:proofErr w:type="spellEnd"/>
      <w:r w:rsidRPr="00793386">
        <w:rPr>
          <w:sz w:val="18"/>
          <w:szCs w:val="18"/>
          <w:lang w:val="en-CA"/>
        </w:rPr>
        <w:t>, Canadian Encyclopedia, available online.</w:t>
      </w:r>
    </w:p>
  </w:footnote>
  <w:footnote w:id="8">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R.</w:t>
      </w:r>
      <w:r w:rsidRPr="005620DC">
        <w:rPr>
          <w:sz w:val="18"/>
          <w:szCs w:val="18"/>
          <w:lang w:val="en-CA"/>
        </w:rPr>
        <w:t xml:space="preserve"> </w:t>
      </w:r>
      <w:r w:rsidRPr="005620DC">
        <w:rPr>
          <w:i/>
          <w:sz w:val="18"/>
          <w:szCs w:val="18"/>
          <w:lang w:val="en-CA"/>
        </w:rPr>
        <w:t>v.</w:t>
      </w:r>
      <w:r w:rsidRPr="005620DC">
        <w:rPr>
          <w:sz w:val="18"/>
          <w:szCs w:val="18"/>
          <w:lang w:val="en-CA"/>
        </w:rPr>
        <w:t xml:space="preserve"> </w:t>
      </w:r>
      <w:proofErr w:type="spellStart"/>
      <w:r w:rsidRPr="005620DC">
        <w:rPr>
          <w:i/>
          <w:sz w:val="18"/>
          <w:szCs w:val="18"/>
          <w:lang w:val="en-CA"/>
        </w:rPr>
        <w:t>Killiktee</w:t>
      </w:r>
      <w:proofErr w:type="spellEnd"/>
      <w:r w:rsidRPr="005620DC">
        <w:rPr>
          <w:sz w:val="18"/>
          <w:szCs w:val="18"/>
          <w:lang w:val="en-CA"/>
        </w:rPr>
        <w:t xml:space="preserve">, </w:t>
      </w:r>
      <w:r w:rsidRPr="005620DC">
        <w:rPr>
          <w:i/>
          <w:sz w:val="18"/>
          <w:szCs w:val="18"/>
          <w:lang w:val="en-CA"/>
        </w:rPr>
        <w:t>supra</w:t>
      </w:r>
      <w:r w:rsidRPr="005620DC">
        <w:rPr>
          <w:sz w:val="18"/>
          <w:szCs w:val="18"/>
          <w:lang w:val="en-CA"/>
        </w:rPr>
        <w:t xml:space="preserve"> note </w:t>
      </w:r>
      <w:proofErr w:type="gramStart"/>
      <w:r w:rsidRPr="005620DC">
        <w:rPr>
          <w:sz w:val="18"/>
          <w:szCs w:val="18"/>
          <w:lang w:val="en-CA"/>
        </w:rPr>
        <w:t>4</w:t>
      </w:r>
      <w:proofErr w:type="gramEnd"/>
      <w:r w:rsidRPr="005620DC">
        <w:rPr>
          <w:sz w:val="18"/>
          <w:szCs w:val="18"/>
          <w:lang w:val="en-CA"/>
        </w:rPr>
        <w:t xml:space="preserve"> at para. 12.</w:t>
      </w:r>
    </w:p>
  </w:footnote>
  <w:footnote w:id="9">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793386">
        <w:rPr>
          <w:i/>
          <w:sz w:val="18"/>
          <w:szCs w:val="18"/>
          <w:lang w:val="en-CA"/>
        </w:rPr>
        <w:t>R.</w:t>
      </w:r>
      <w:r w:rsidRPr="00793386">
        <w:rPr>
          <w:sz w:val="18"/>
          <w:szCs w:val="18"/>
          <w:lang w:val="en-CA"/>
        </w:rPr>
        <w:t xml:space="preserve"> </w:t>
      </w:r>
      <w:r w:rsidRPr="00793386">
        <w:rPr>
          <w:i/>
          <w:sz w:val="18"/>
          <w:szCs w:val="18"/>
          <w:lang w:val="en-CA"/>
        </w:rPr>
        <w:t>v.</w:t>
      </w:r>
      <w:r w:rsidRPr="00793386">
        <w:rPr>
          <w:sz w:val="18"/>
          <w:szCs w:val="18"/>
          <w:lang w:val="en-CA"/>
        </w:rPr>
        <w:t xml:space="preserve"> </w:t>
      </w:r>
      <w:proofErr w:type="spellStart"/>
      <w:r w:rsidRPr="00793386">
        <w:rPr>
          <w:i/>
          <w:sz w:val="18"/>
          <w:szCs w:val="18"/>
          <w:lang w:val="en-CA"/>
        </w:rPr>
        <w:t>Mikijuk</w:t>
      </w:r>
      <w:proofErr w:type="spellEnd"/>
      <w:r w:rsidRPr="00793386">
        <w:rPr>
          <w:sz w:val="18"/>
          <w:szCs w:val="18"/>
          <w:lang w:val="en-CA"/>
        </w:rPr>
        <w:t xml:space="preserve">, 2017 NUCJ 2. </w:t>
      </w:r>
      <w:r w:rsidRPr="005620DC">
        <w:rPr>
          <w:sz w:val="18"/>
          <w:szCs w:val="18"/>
          <w:lang w:val="en-CA"/>
        </w:rPr>
        <w:t xml:space="preserve">Appeal </w:t>
      </w:r>
      <w:proofErr w:type="gramStart"/>
      <w:r w:rsidRPr="005620DC">
        <w:rPr>
          <w:sz w:val="18"/>
          <w:szCs w:val="18"/>
          <w:lang w:val="en-CA"/>
        </w:rPr>
        <w:t>allowed:</w:t>
      </w:r>
      <w:proofErr w:type="gramEnd"/>
      <w:r w:rsidRPr="005620DC">
        <w:rPr>
          <w:sz w:val="18"/>
          <w:szCs w:val="18"/>
          <w:lang w:val="en-CA"/>
        </w:rPr>
        <w:t xml:space="preserve"> 2017 NUCA 5.</w:t>
      </w:r>
    </w:p>
  </w:footnote>
  <w:footnote w:id="10">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t>Inhabitants of Nunavut.</w:t>
      </w:r>
    </w:p>
  </w:footnote>
  <w:footnote w:id="11">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t>Traditional Inuit knowledge.</w:t>
      </w:r>
    </w:p>
  </w:footnote>
  <w:footnote w:id="12">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proofErr w:type="spellStart"/>
      <w:r w:rsidRPr="005620DC">
        <w:rPr>
          <w:i/>
          <w:sz w:val="18"/>
          <w:szCs w:val="18"/>
          <w:lang w:val="en-CA"/>
        </w:rPr>
        <w:t>Ipeelee</w:t>
      </w:r>
      <w:proofErr w:type="spellEnd"/>
      <w:r w:rsidRPr="005620DC">
        <w:rPr>
          <w:i/>
          <w:sz w:val="18"/>
          <w:szCs w:val="18"/>
          <w:lang w:val="en-CA"/>
        </w:rPr>
        <w:t xml:space="preserve">, supra </w:t>
      </w:r>
      <w:r w:rsidRPr="00952359">
        <w:rPr>
          <w:sz w:val="18"/>
          <w:szCs w:val="18"/>
          <w:lang w:val="en-CA"/>
        </w:rPr>
        <w:t xml:space="preserve">note </w:t>
      </w:r>
      <w:proofErr w:type="gramStart"/>
      <w:r w:rsidRPr="00952359">
        <w:rPr>
          <w:sz w:val="18"/>
          <w:szCs w:val="18"/>
          <w:lang w:val="en-CA"/>
        </w:rPr>
        <w:t>2</w:t>
      </w:r>
      <w:proofErr w:type="gramEnd"/>
      <w:r w:rsidRPr="00952359">
        <w:rPr>
          <w:sz w:val="18"/>
          <w:szCs w:val="18"/>
          <w:lang w:val="en-CA"/>
        </w:rPr>
        <w:t xml:space="preserve"> at para. 144.</w:t>
      </w:r>
    </w:p>
  </w:footnote>
  <w:footnote w:id="13">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R.</w:t>
      </w:r>
      <w:r w:rsidRPr="005620DC">
        <w:rPr>
          <w:sz w:val="18"/>
          <w:szCs w:val="18"/>
          <w:lang w:val="en-CA"/>
        </w:rPr>
        <w:t xml:space="preserve"> </w:t>
      </w:r>
      <w:r w:rsidRPr="005620DC">
        <w:rPr>
          <w:i/>
          <w:sz w:val="18"/>
          <w:szCs w:val="18"/>
          <w:lang w:val="en-CA"/>
        </w:rPr>
        <w:t>v.</w:t>
      </w:r>
      <w:r w:rsidRPr="005620DC">
        <w:rPr>
          <w:sz w:val="18"/>
          <w:szCs w:val="18"/>
          <w:lang w:val="en-CA"/>
        </w:rPr>
        <w:t xml:space="preserve"> </w:t>
      </w:r>
      <w:proofErr w:type="spellStart"/>
      <w:r w:rsidRPr="005620DC">
        <w:rPr>
          <w:i/>
          <w:sz w:val="18"/>
          <w:szCs w:val="18"/>
          <w:lang w:val="en-CA"/>
        </w:rPr>
        <w:t>Killiktee</w:t>
      </w:r>
      <w:proofErr w:type="spellEnd"/>
      <w:r w:rsidRPr="005620DC">
        <w:rPr>
          <w:sz w:val="18"/>
          <w:szCs w:val="18"/>
          <w:lang w:val="en-CA"/>
        </w:rPr>
        <w:t xml:space="preserve">, </w:t>
      </w:r>
      <w:r w:rsidRPr="005620DC">
        <w:rPr>
          <w:i/>
          <w:sz w:val="18"/>
          <w:szCs w:val="18"/>
          <w:lang w:val="en-CA"/>
        </w:rPr>
        <w:t>supra</w:t>
      </w:r>
      <w:r w:rsidRPr="005620DC">
        <w:rPr>
          <w:sz w:val="18"/>
          <w:szCs w:val="18"/>
          <w:lang w:val="en-CA"/>
        </w:rPr>
        <w:t xml:space="preserve"> note </w:t>
      </w:r>
      <w:proofErr w:type="gramStart"/>
      <w:r w:rsidRPr="005620DC">
        <w:rPr>
          <w:sz w:val="18"/>
          <w:szCs w:val="18"/>
          <w:lang w:val="en-CA"/>
        </w:rPr>
        <w:t>4</w:t>
      </w:r>
      <w:proofErr w:type="gramEnd"/>
      <w:r w:rsidRPr="005620DC">
        <w:rPr>
          <w:sz w:val="18"/>
          <w:szCs w:val="18"/>
          <w:lang w:val="en-CA"/>
        </w:rPr>
        <w:t xml:space="preserve"> at para. 24.</w:t>
      </w:r>
    </w:p>
  </w:footnote>
  <w:footnote w:id="14">
    <w:p w:rsidR="00655DED" w:rsidRPr="009D6678" w:rsidRDefault="00132D88">
      <w:pPr>
        <w:pStyle w:val="Notedebasdepage"/>
        <w:rPr>
          <w:sz w:val="18"/>
          <w:szCs w:val="18"/>
          <w:lang w:val="en-CA"/>
        </w:rPr>
      </w:pPr>
      <w:r w:rsidRPr="009D6678">
        <w:rPr>
          <w:rStyle w:val="Appelnotedebasdep"/>
          <w:sz w:val="18"/>
          <w:szCs w:val="18"/>
        </w:rPr>
        <w:footnoteRef/>
      </w:r>
      <w:r w:rsidRPr="009D6678">
        <w:rPr>
          <w:sz w:val="18"/>
          <w:szCs w:val="18"/>
          <w:lang w:val="en-CA"/>
        </w:rPr>
        <w:t xml:space="preserve"> </w:t>
      </w:r>
      <w:r w:rsidRPr="009D6678">
        <w:rPr>
          <w:sz w:val="18"/>
          <w:szCs w:val="18"/>
          <w:lang w:val="en-CA"/>
        </w:rPr>
        <w:tab/>
      </w:r>
      <w:r w:rsidRPr="005620DC">
        <w:rPr>
          <w:i/>
          <w:sz w:val="18"/>
          <w:szCs w:val="18"/>
          <w:lang w:val="en-CA"/>
        </w:rPr>
        <w:t>R.</w:t>
      </w:r>
      <w:r w:rsidRPr="005620DC">
        <w:rPr>
          <w:sz w:val="18"/>
          <w:szCs w:val="18"/>
          <w:lang w:val="en-CA"/>
        </w:rPr>
        <w:t xml:space="preserve"> </w:t>
      </w:r>
      <w:r w:rsidRPr="005620DC">
        <w:rPr>
          <w:i/>
          <w:sz w:val="18"/>
          <w:szCs w:val="18"/>
          <w:lang w:val="en-CA"/>
        </w:rPr>
        <w:t>v</w:t>
      </w:r>
      <w:r w:rsidRPr="005620DC">
        <w:rPr>
          <w:sz w:val="18"/>
          <w:szCs w:val="18"/>
          <w:lang w:val="en-CA"/>
        </w:rPr>
        <w:t xml:space="preserve">. </w:t>
      </w:r>
      <w:proofErr w:type="spellStart"/>
      <w:r w:rsidRPr="005620DC">
        <w:rPr>
          <w:i/>
          <w:sz w:val="18"/>
          <w:szCs w:val="18"/>
          <w:lang w:val="en-CA"/>
        </w:rPr>
        <w:t>Killiktee</w:t>
      </w:r>
      <w:proofErr w:type="spellEnd"/>
      <w:r w:rsidRPr="005620DC">
        <w:rPr>
          <w:sz w:val="18"/>
          <w:szCs w:val="18"/>
          <w:lang w:val="en-CA"/>
        </w:rPr>
        <w:t>, 2013 ONCA 332.</w:t>
      </w:r>
      <w:r w:rsidRPr="009D6678">
        <w:rPr>
          <w:sz w:val="18"/>
          <w:szCs w:val="18"/>
          <w:lang w:val="en-CA"/>
        </w:rPr>
        <w:t xml:space="preserve"> </w:t>
      </w:r>
    </w:p>
  </w:footnote>
  <w:footnote w:id="15">
    <w:p w:rsidR="00655DED" w:rsidRPr="009D6678" w:rsidRDefault="00132D88">
      <w:pPr>
        <w:pStyle w:val="Notedebasdepage"/>
        <w:rPr>
          <w:sz w:val="18"/>
          <w:szCs w:val="18"/>
          <w:lang w:val="en-CA"/>
        </w:rPr>
      </w:pPr>
      <w:r w:rsidRPr="009D6678">
        <w:rPr>
          <w:rStyle w:val="Appelnotedebasdep"/>
          <w:sz w:val="18"/>
          <w:szCs w:val="18"/>
        </w:rPr>
        <w:footnoteRef/>
      </w:r>
      <w:r w:rsidRPr="009D6678">
        <w:rPr>
          <w:sz w:val="18"/>
          <w:szCs w:val="18"/>
          <w:lang w:val="en-CA"/>
        </w:rPr>
        <w:t xml:space="preserve"> </w:t>
      </w:r>
      <w:r w:rsidRPr="009D6678">
        <w:rPr>
          <w:sz w:val="18"/>
          <w:szCs w:val="18"/>
          <w:lang w:val="en-CA"/>
        </w:rPr>
        <w:tab/>
      </w:r>
      <w:r w:rsidRPr="005620DC">
        <w:rPr>
          <w:i/>
          <w:sz w:val="18"/>
          <w:szCs w:val="18"/>
          <w:lang w:val="en-CA"/>
        </w:rPr>
        <w:t>R.</w:t>
      </w:r>
      <w:r w:rsidRPr="005620DC">
        <w:rPr>
          <w:sz w:val="18"/>
          <w:szCs w:val="18"/>
          <w:lang w:val="en-CA"/>
        </w:rPr>
        <w:t xml:space="preserve"> </w:t>
      </w:r>
      <w:r w:rsidRPr="005620DC">
        <w:rPr>
          <w:i/>
          <w:sz w:val="18"/>
          <w:szCs w:val="18"/>
          <w:lang w:val="en-CA"/>
        </w:rPr>
        <w:t>v</w:t>
      </w:r>
      <w:r w:rsidRPr="005620DC">
        <w:rPr>
          <w:sz w:val="18"/>
          <w:szCs w:val="18"/>
          <w:lang w:val="en-CA"/>
        </w:rPr>
        <w:t xml:space="preserve">. </w:t>
      </w:r>
      <w:proofErr w:type="spellStart"/>
      <w:r w:rsidRPr="005620DC">
        <w:rPr>
          <w:i/>
          <w:sz w:val="18"/>
          <w:szCs w:val="18"/>
          <w:lang w:val="en-CA"/>
        </w:rPr>
        <w:t>Killiktee</w:t>
      </w:r>
      <w:proofErr w:type="spellEnd"/>
      <w:r w:rsidRPr="005620DC">
        <w:rPr>
          <w:sz w:val="18"/>
          <w:szCs w:val="18"/>
          <w:lang w:val="en-CA"/>
        </w:rPr>
        <w:t>, 2017 ONCJ 966.</w:t>
      </w:r>
    </w:p>
  </w:footnote>
  <w:footnote w:id="16">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t xml:space="preserve">Except where </w:t>
      </w:r>
      <w:proofErr w:type="gramStart"/>
      <w:r w:rsidRPr="00793386">
        <w:rPr>
          <w:sz w:val="18"/>
          <w:szCs w:val="18"/>
          <w:lang w:val="en-CA"/>
        </w:rPr>
        <w:t>indicated</w:t>
      </w:r>
      <w:proofErr w:type="gramEnd"/>
      <w:r w:rsidRPr="00793386">
        <w:rPr>
          <w:sz w:val="18"/>
          <w:szCs w:val="18"/>
          <w:lang w:val="en-CA"/>
        </w:rPr>
        <w:t xml:space="preserve"> otherwise, the complaints were prosecuted by way of indictment. </w:t>
      </w:r>
    </w:p>
  </w:footnote>
  <w:footnote w:id="17">
    <w:p w:rsidR="00655DED" w:rsidRPr="00CF2333" w:rsidRDefault="00132D88">
      <w:pPr>
        <w:pStyle w:val="Notedebasdepage"/>
        <w:rPr>
          <w:sz w:val="18"/>
          <w:szCs w:val="18"/>
          <w:lang w:val="en-CA"/>
        </w:rPr>
      </w:pPr>
      <w:r w:rsidRPr="009D6678">
        <w:rPr>
          <w:rStyle w:val="Appelnotedebasdep"/>
          <w:sz w:val="18"/>
          <w:szCs w:val="18"/>
        </w:rPr>
        <w:footnoteRef/>
      </w:r>
      <w:r w:rsidRPr="00CF2333">
        <w:rPr>
          <w:sz w:val="18"/>
          <w:szCs w:val="18"/>
          <w:lang w:val="en-CA"/>
        </w:rPr>
        <w:t xml:space="preserve"> </w:t>
      </w:r>
      <w:r w:rsidRPr="00CF2333">
        <w:rPr>
          <w:sz w:val="18"/>
          <w:szCs w:val="18"/>
          <w:lang w:val="en-CA"/>
        </w:rPr>
        <w:tab/>
        <w:t>Section 270(1</w:t>
      </w:r>
      <w:proofErr w:type="gramStart"/>
      <w:r w:rsidRPr="00CF2333">
        <w:rPr>
          <w:sz w:val="18"/>
          <w:szCs w:val="18"/>
          <w:lang w:val="en-CA"/>
        </w:rPr>
        <w:t>)(</w:t>
      </w:r>
      <w:proofErr w:type="gramEnd"/>
      <w:r w:rsidRPr="00CF2333">
        <w:rPr>
          <w:sz w:val="18"/>
          <w:szCs w:val="18"/>
          <w:lang w:val="en-CA"/>
        </w:rPr>
        <w:t xml:space="preserve">a)(2)(a) </w:t>
      </w:r>
      <w:r w:rsidRPr="00CF2333">
        <w:rPr>
          <w:i/>
          <w:sz w:val="18"/>
          <w:szCs w:val="18"/>
          <w:lang w:val="en-CA"/>
        </w:rPr>
        <w:t>Cr. C.</w:t>
      </w:r>
      <w:r w:rsidRPr="00CF2333">
        <w:rPr>
          <w:sz w:val="18"/>
          <w:szCs w:val="18"/>
          <w:lang w:val="en-CA"/>
        </w:rPr>
        <w:t xml:space="preserve"> </w:t>
      </w:r>
    </w:p>
  </w:footnote>
  <w:footnote w:id="18">
    <w:p w:rsidR="00655DED" w:rsidRPr="00CF2333" w:rsidRDefault="00132D88">
      <w:pPr>
        <w:pStyle w:val="Notedebasdepage"/>
        <w:rPr>
          <w:sz w:val="18"/>
          <w:szCs w:val="18"/>
          <w:lang w:val="en-CA"/>
        </w:rPr>
      </w:pPr>
      <w:r w:rsidRPr="009D6678">
        <w:rPr>
          <w:rStyle w:val="Appelnotedebasdep"/>
          <w:sz w:val="18"/>
          <w:szCs w:val="18"/>
        </w:rPr>
        <w:footnoteRef/>
      </w:r>
      <w:r w:rsidRPr="00CF2333">
        <w:rPr>
          <w:sz w:val="18"/>
          <w:szCs w:val="18"/>
          <w:lang w:val="en-CA"/>
        </w:rPr>
        <w:t xml:space="preserve"> </w:t>
      </w:r>
      <w:r w:rsidRPr="00CF2333">
        <w:rPr>
          <w:sz w:val="18"/>
          <w:szCs w:val="18"/>
          <w:lang w:val="en-CA"/>
        </w:rPr>
        <w:tab/>
        <w:t xml:space="preserve">Section 266(a) </w:t>
      </w:r>
      <w:r w:rsidRPr="00CF2333">
        <w:rPr>
          <w:i/>
          <w:sz w:val="18"/>
          <w:szCs w:val="18"/>
          <w:lang w:val="en-CA"/>
        </w:rPr>
        <w:t>Cr. C.</w:t>
      </w:r>
    </w:p>
  </w:footnote>
  <w:footnote w:id="19">
    <w:p w:rsidR="00655DED" w:rsidRPr="00CF2333" w:rsidRDefault="00132D88">
      <w:pPr>
        <w:pStyle w:val="Notedebasdepage"/>
        <w:rPr>
          <w:sz w:val="18"/>
          <w:szCs w:val="18"/>
          <w:lang w:val="en-CA"/>
        </w:rPr>
      </w:pPr>
      <w:r w:rsidRPr="009D6678">
        <w:rPr>
          <w:rStyle w:val="Appelnotedebasdep"/>
          <w:sz w:val="18"/>
          <w:szCs w:val="18"/>
        </w:rPr>
        <w:footnoteRef/>
      </w:r>
      <w:r w:rsidRPr="00CF2333">
        <w:rPr>
          <w:sz w:val="18"/>
          <w:szCs w:val="18"/>
          <w:lang w:val="en-CA"/>
        </w:rPr>
        <w:t xml:space="preserve"> </w:t>
      </w:r>
      <w:r w:rsidRPr="00CF2333">
        <w:rPr>
          <w:sz w:val="18"/>
          <w:szCs w:val="18"/>
          <w:lang w:val="en-CA"/>
        </w:rPr>
        <w:tab/>
        <w:t>Section 264.1(1</w:t>
      </w:r>
      <w:proofErr w:type="gramStart"/>
      <w:r w:rsidRPr="00CF2333">
        <w:rPr>
          <w:sz w:val="18"/>
          <w:szCs w:val="18"/>
          <w:lang w:val="en-CA"/>
        </w:rPr>
        <w:t>)(</w:t>
      </w:r>
      <w:proofErr w:type="gramEnd"/>
      <w:r w:rsidRPr="00CF2333">
        <w:rPr>
          <w:sz w:val="18"/>
          <w:szCs w:val="18"/>
          <w:lang w:val="en-CA"/>
        </w:rPr>
        <w:t xml:space="preserve">a)(2)(a) </w:t>
      </w:r>
      <w:r w:rsidRPr="00CF2333">
        <w:rPr>
          <w:i/>
          <w:sz w:val="18"/>
          <w:szCs w:val="18"/>
          <w:lang w:val="en-CA"/>
        </w:rPr>
        <w:t>C</w:t>
      </w:r>
      <w:r>
        <w:rPr>
          <w:i/>
          <w:sz w:val="18"/>
          <w:szCs w:val="18"/>
          <w:lang w:val="en-CA"/>
        </w:rPr>
        <w:t>r</w:t>
      </w:r>
      <w:r w:rsidRPr="00CF2333">
        <w:rPr>
          <w:i/>
          <w:sz w:val="18"/>
          <w:szCs w:val="18"/>
          <w:lang w:val="en-CA"/>
        </w:rPr>
        <w:t>.</w:t>
      </w:r>
      <w:r>
        <w:rPr>
          <w:i/>
          <w:sz w:val="18"/>
          <w:szCs w:val="18"/>
          <w:lang w:val="en-CA"/>
        </w:rPr>
        <w:t xml:space="preserve"> C</w:t>
      </w:r>
      <w:r w:rsidRPr="00CF2333">
        <w:rPr>
          <w:i/>
          <w:sz w:val="18"/>
          <w:szCs w:val="18"/>
          <w:lang w:val="en-CA"/>
        </w:rPr>
        <w:t xml:space="preserve">. </w:t>
      </w:r>
    </w:p>
  </w:footnote>
  <w:footnote w:id="20">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CF2333">
        <w:rPr>
          <w:sz w:val="18"/>
          <w:szCs w:val="18"/>
          <w:lang w:val="en-CA"/>
        </w:rPr>
        <w:t>Section</w:t>
      </w:r>
      <w:r w:rsidRPr="005620DC">
        <w:rPr>
          <w:sz w:val="18"/>
          <w:szCs w:val="18"/>
          <w:lang w:val="en-CA"/>
        </w:rPr>
        <w:t xml:space="preserve"> 145(5</w:t>
      </w:r>
      <w:proofErr w:type="gramStart"/>
      <w:r w:rsidRPr="005620DC">
        <w:rPr>
          <w:sz w:val="18"/>
          <w:szCs w:val="18"/>
          <w:lang w:val="en-CA"/>
        </w:rPr>
        <w:t>)</w:t>
      </w:r>
      <w:r>
        <w:rPr>
          <w:sz w:val="18"/>
          <w:szCs w:val="18"/>
          <w:lang w:val="en-CA"/>
        </w:rPr>
        <w:t>(</w:t>
      </w:r>
      <w:proofErr w:type="gramEnd"/>
      <w:r w:rsidRPr="005620DC">
        <w:rPr>
          <w:sz w:val="18"/>
          <w:szCs w:val="18"/>
          <w:lang w:val="en-CA"/>
        </w:rPr>
        <w:t xml:space="preserve">a) </w:t>
      </w:r>
      <w:r w:rsidRPr="005620DC">
        <w:rPr>
          <w:i/>
          <w:sz w:val="18"/>
          <w:szCs w:val="18"/>
          <w:lang w:val="en-CA"/>
        </w:rPr>
        <w:t>C</w:t>
      </w:r>
      <w:r>
        <w:rPr>
          <w:i/>
          <w:sz w:val="18"/>
          <w:szCs w:val="18"/>
          <w:lang w:val="en-CA"/>
        </w:rPr>
        <w:t>r</w:t>
      </w:r>
      <w:r w:rsidRPr="005620DC">
        <w:rPr>
          <w:i/>
          <w:sz w:val="18"/>
          <w:szCs w:val="18"/>
          <w:lang w:val="en-CA"/>
        </w:rPr>
        <w:t>.</w:t>
      </w:r>
      <w:r>
        <w:rPr>
          <w:i/>
          <w:sz w:val="18"/>
          <w:szCs w:val="18"/>
          <w:lang w:val="en-CA"/>
        </w:rPr>
        <w:t xml:space="preserve"> C</w:t>
      </w:r>
      <w:r w:rsidRPr="005620DC">
        <w:rPr>
          <w:i/>
          <w:sz w:val="18"/>
          <w:szCs w:val="18"/>
          <w:lang w:val="en-CA"/>
        </w:rPr>
        <w:t>.</w:t>
      </w:r>
      <w:r w:rsidRPr="00793386">
        <w:rPr>
          <w:sz w:val="18"/>
          <w:szCs w:val="18"/>
          <w:lang w:val="en-CA"/>
        </w:rPr>
        <w:t xml:space="preserve"> </w:t>
      </w:r>
      <w:r w:rsidRPr="005620DC">
        <w:rPr>
          <w:sz w:val="18"/>
          <w:szCs w:val="18"/>
          <w:lang w:val="en-CA"/>
        </w:rPr>
        <w:t xml:space="preserve">Section 787(1) </w:t>
      </w:r>
      <w:r w:rsidRPr="005620DC">
        <w:rPr>
          <w:i/>
          <w:sz w:val="18"/>
          <w:szCs w:val="18"/>
          <w:lang w:val="en-CA"/>
        </w:rPr>
        <w:t>Cr. C.</w:t>
      </w:r>
      <w:r w:rsidRPr="005620DC">
        <w:rPr>
          <w:sz w:val="18"/>
          <w:szCs w:val="18"/>
          <w:lang w:val="en-CA"/>
        </w:rPr>
        <w:t xml:space="preserve"> sets out a maximum sentence of two years less a day for a summary offence.</w:t>
      </w:r>
      <w:r w:rsidRPr="00793386">
        <w:rPr>
          <w:sz w:val="18"/>
          <w:szCs w:val="18"/>
          <w:lang w:val="en-CA"/>
        </w:rPr>
        <w:t xml:space="preserve"> </w:t>
      </w:r>
    </w:p>
  </w:footnote>
  <w:footnote w:id="21">
    <w:p w:rsidR="00655DED" w:rsidRPr="009D6678" w:rsidRDefault="00132D88" w:rsidP="00A17E81">
      <w:pPr>
        <w:pStyle w:val="Notedebasdepage"/>
        <w:rPr>
          <w:sz w:val="18"/>
          <w:szCs w:val="18"/>
        </w:rPr>
      </w:pPr>
      <w:r w:rsidRPr="009D6678">
        <w:rPr>
          <w:rStyle w:val="Appelnotedebasdep"/>
          <w:sz w:val="18"/>
          <w:szCs w:val="18"/>
        </w:rPr>
        <w:footnoteRef/>
      </w:r>
      <w:r w:rsidRPr="00A218E2">
        <w:rPr>
          <w:sz w:val="18"/>
          <w:szCs w:val="18"/>
        </w:rPr>
        <w:t xml:space="preserve"> </w:t>
      </w:r>
      <w:r w:rsidRPr="00A218E2">
        <w:rPr>
          <w:sz w:val="18"/>
          <w:szCs w:val="18"/>
        </w:rPr>
        <w:tab/>
        <w:t>Hugues Parent &amp; Julie Desr</w:t>
      </w:r>
      <w:r w:rsidRPr="005620DC">
        <w:rPr>
          <w:sz w:val="18"/>
          <w:szCs w:val="18"/>
        </w:rPr>
        <w:t xml:space="preserve">osiers, </w:t>
      </w:r>
      <w:r w:rsidRPr="00CF2333">
        <w:rPr>
          <w:i/>
          <w:sz w:val="18"/>
          <w:szCs w:val="18"/>
        </w:rPr>
        <w:t>Traité de droit criminel: la peine</w:t>
      </w:r>
      <w:r w:rsidRPr="005620DC">
        <w:rPr>
          <w:sz w:val="18"/>
          <w:szCs w:val="18"/>
        </w:rPr>
        <w:t xml:space="preserve">, 2d </w:t>
      </w:r>
      <w:proofErr w:type="spellStart"/>
      <w:r w:rsidRPr="005620DC">
        <w:rPr>
          <w:sz w:val="18"/>
          <w:szCs w:val="18"/>
        </w:rPr>
        <w:t>ed</w:t>
      </w:r>
      <w:proofErr w:type="spellEnd"/>
      <w:r w:rsidRPr="005620DC">
        <w:rPr>
          <w:sz w:val="18"/>
          <w:szCs w:val="18"/>
        </w:rPr>
        <w:t>., Tome 3 (</w:t>
      </w:r>
      <w:proofErr w:type="spellStart"/>
      <w:r w:rsidRPr="005620DC">
        <w:rPr>
          <w:sz w:val="18"/>
          <w:szCs w:val="18"/>
        </w:rPr>
        <w:t>Montreal</w:t>
      </w:r>
      <w:proofErr w:type="spellEnd"/>
      <w:r w:rsidRPr="005620DC">
        <w:rPr>
          <w:sz w:val="18"/>
          <w:szCs w:val="18"/>
        </w:rPr>
        <w:t>: Thémis, 2016) No. 91 at 139.</w:t>
      </w:r>
      <w:r w:rsidRPr="009D6678">
        <w:rPr>
          <w:sz w:val="18"/>
          <w:szCs w:val="18"/>
        </w:rPr>
        <w:t xml:space="preserve"> </w:t>
      </w:r>
      <w:r w:rsidRPr="009D6678">
        <w:rPr>
          <w:sz w:val="18"/>
          <w:szCs w:val="18"/>
        </w:rPr>
        <w:tab/>
      </w:r>
    </w:p>
  </w:footnote>
  <w:footnote w:id="22">
    <w:p w:rsidR="00655DED" w:rsidRPr="009D6678" w:rsidRDefault="00132D88">
      <w:pPr>
        <w:pStyle w:val="Notedebasdepage"/>
        <w:rPr>
          <w:sz w:val="18"/>
          <w:szCs w:val="18"/>
        </w:rPr>
      </w:pPr>
      <w:r w:rsidRPr="009D6678">
        <w:rPr>
          <w:rStyle w:val="Appelnotedebasdep"/>
          <w:sz w:val="18"/>
          <w:szCs w:val="18"/>
        </w:rPr>
        <w:footnoteRef/>
      </w:r>
      <w:r w:rsidRPr="009D6678">
        <w:rPr>
          <w:sz w:val="18"/>
          <w:szCs w:val="18"/>
        </w:rPr>
        <w:t xml:space="preserve"> </w:t>
      </w:r>
      <w:r w:rsidRPr="009D6678">
        <w:rPr>
          <w:sz w:val="18"/>
          <w:szCs w:val="18"/>
        </w:rPr>
        <w:tab/>
      </w:r>
      <w:r w:rsidRPr="005620DC">
        <w:rPr>
          <w:i/>
          <w:sz w:val="18"/>
          <w:szCs w:val="18"/>
        </w:rPr>
        <w:t>Goulet</w:t>
      </w:r>
      <w:r w:rsidRPr="005620DC">
        <w:rPr>
          <w:sz w:val="18"/>
          <w:szCs w:val="18"/>
        </w:rPr>
        <w:t xml:space="preserve"> </w:t>
      </w:r>
      <w:r w:rsidRPr="005620DC">
        <w:rPr>
          <w:i/>
          <w:sz w:val="18"/>
          <w:szCs w:val="18"/>
        </w:rPr>
        <w:t>c</w:t>
      </w:r>
      <w:r w:rsidRPr="005620DC">
        <w:rPr>
          <w:sz w:val="18"/>
          <w:szCs w:val="18"/>
        </w:rPr>
        <w:t xml:space="preserve">. </w:t>
      </w:r>
      <w:r w:rsidRPr="005620DC">
        <w:rPr>
          <w:i/>
          <w:sz w:val="18"/>
          <w:szCs w:val="18"/>
        </w:rPr>
        <w:t xml:space="preserve">R., </w:t>
      </w:r>
      <w:r w:rsidRPr="005620DC">
        <w:rPr>
          <w:sz w:val="18"/>
          <w:szCs w:val="18"/>
        </w:rPr>
        <w:t>2017 QCCS 725 at para. 37.</w:t>
      </w:r>
    </w:p>
  </w:footnote>
  <w:footnote w:id="23">
    <w:p w:rsidR="00655DED" w:rsidRPr="009D6678" w:rsidRDefault="00132D88" w:rsidP="00A17E81">
      <w:pPr>
        <w:pStyle w:val="Notedebasdepage"/>
        <w:rPr>
          <w:sz w:val="18"/>
          <w:szCs w:val="18"/>
        </w:rPr>
      </w:pPr>
      <w:r w:rsidRPr="009D6678">
        <w:rPr>
          <w:rStyle w:val="Appelnotedebasdep"/>
          <w:sz w:val="18"/>
          <w:szCs w:val="18"/>
        </w:rPr>
        <w:footnoteRef/>
      </w:r>
      <w:r w:rsidRPr="009D6678">
        <w:rPr>
          <w:sz w:val="18"/>
          <w:szCs w:val="18"/>
        </w:rPr>
        <w:t xml:space="preserve"> </w:t>
      </w:r>
      <w:r w:rsidRPr="009D6678">
        <w:rPr>
          <w:sz w:val="18"/>
          <w:szCs w:val="18"/>
        </w:rPr>
        <w:tab/>
      </w:r>
      <w:r w:rsidRPr="005620DC">
        <w:rPr>
          <w:i/>
          <w:iCs/>
          <w:sz w:val="18"/>
          <w:szCs w:val="18"/>
          <w:lang w:val="pt-BR"/>
        </w:rPr>
        <w:t>R. v. Pham</w:t>
      </w:r>
      <w:r w:rsidRPr="005620DC">
        <w:rPr>
          <w:iCs/>
          <w:sz w:val="18"/>
          <w:szCs w:val="18"/>
          <w:lang w:val="pt-BR"/>
        </w:rPr>
        <w:t xml:space="preserve">, 2013 SCC 15; </w:t>
      </w:r>
      <w:r w:rsidRPr="005620DC">
        <w:rPr>
          <w:i/>
          <w:iCs/>
          <w:sz w:val="18"/>
          <w:szCs w:val="18"/>
          <w:lang w:val="pt-BR"/>
        </w:rPr>
        <w:t>R. v. Suter,</w:t>
      </w:r>
      <w:r w:rsidRPr="005620DC">
        <w:rPr>
          <w:iCs/>
          <w:sz w:val="18"/>
          <w:szCs w:val="18"/>
          <w:lang w:val="pt-BR"/>
        </w:rPr>
        <w:t xml:space="preserve"> 2018 SCC 34.</w:t>
      </w:r>
    </w:p>
  </w:footnote>
  <w:footnote w:id="24">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t xml:space="preserve">See the analysis of the Honourable Jacques </w:t>
      </w:r>
      <w:proofErr w:type="spellStart"/>
      <w:r w:rsidRPr="00793386">
        <w:rPr>
          <w:sz w:val="18"/>
          <w:szCs w:val="18"/>
          <w:lang w:val="en-CA"/>
        </w:rPr>
        <w:t>Ladouceur</w:t>
      </w:r>
      <w:proofErr w:type="spellEnd"/>
      <w:r w:rsidRPr="00793386">
        <w:rPr>
          <w:sz w:val="18"/>
          <w:szCs w:val="18"/>
          <w:lang w:val="en-CA"/>
        </w:rPr>
        <w:t xml:space="preserve"> in </w:t>
      </w:r>
      <w:r w:rsidRPr="00793386">
        <w:rPr>
          <w:i/>
          <w:sz w:val="18"/>
          <w:szCs w:val="18"/>
          <w:lang w:val="en-CA"/>
        </w:rPr>
        <w:t xml:space="preserve">R. c. </w:t>
      </w:r>
      <w:proofErr w:type="spellStart"/>
      <w:r w:rsidRPr="00793386">
        <w:rPr>
          <w:i/>
          <w:sz w:val="18"/>
          <w:szCs w:val="18"/>
          <w:lang w:val="en-CA"/>
        </w:rPr>
        <w:t>Iserhoff</w:t>
      </w:r>
      <w:proofErr w:type="spellEnd"/>
      <w:r w:rsidRPr="00793386">
        <w:rPr>
          <w:sz w:val="18"/>
          <w:szCs w:val="18"/>
          <w:lang w:val="en-CA"/>
        </w:rPr>
        <w:t>, 2019 QCCQ 2339, on the collateral consequences of custody for Aboriginal offenders (</w:t>
      </w:r>
      <w:r>
        <w:rPr>
          <w:sz w:val="18"/>
          <w:szCs w:val="18"/>
          <w:lang w:val="en-CA"/>
        </w:rPr>
        <w:t xml:space="preserve">at </w:t>
      </w:r>
      <w:r w:rsidRPr="00793386">
        <w:rPr>
          <w:sz w:val="18"/>
          <w:szCs w:val="18"/>
          <w:lang w:val="en-CA"/>
        </w:rPr>
        <w:t>para. 172).</w:t>
      </w:r>
    </w:p>
  </w:footnote>
  <w:footnote w:id="25">
    <w:p w:rsidR="00655DED" w:rsidRPr="00793386" w:rsidRDefault="00132D88" w:rsidP="00A17E81">
      <w:pPr>
        <w:pStyle w:val="Notedebasdepage"/>
        <w:rPr>
          <w:sz w:val="18"/>
          <w:szCs w:val="18"/>
          <w:lang w:val="en-CA"/>
        </w:rPr>
      </w:pPr>
      <w:r w:rsidRPr="009D6678">
        <w:rPr>
          <w:rStyle w:val="Appelnotedebasdep"/>
          <w:sz w:val="18"/>
          <w:szCs w:val="18"/>
        </w:rPr>
        <w:footnoteRef/>
      </w:r>
      <w:r w:rsidRPr="00302A99">
        <w:rPr>
          <w:sz w:val="18"/>
          <w:szCs w:val="18"/>
        </w:rPr>
        <w:t xml:space="preserve"> </w:t>
      </w:r>
      <w:r w:rsidRPr="00302A99">
        <w:rPr>
          <w:sz w:val="18"/>
          <w:szCs w:val="18"/>
        </w:rPr>
        <w:tab/>
      </w:r>
      <w:proofErr w:type="spellStart"/>
      <w:r w:rsidRPr="00302A99">
        <w:rPr>
          <w:i/>
          <w:sz w:val="18"/>
          <w:szCs w:val="18"/>
        </w:rPr>
        <w:t>Régimballe</w:t>
      </w:r>
      <w:proofErr w:type="spellEnd"/>
      <w:r w:rsidRPr="00302A99">
        <w:rPr>
          <w:sz w:val="18"/>
          <w:szCs w:val="18"/>
        </w:rPr>
        <w:t xml:space="preserve"> </w:t>
      </w:r>
      <w:r w:rsidRPr="00302A99">
        <w:rPr>
          <w:i/>
          <w:sz w:val="18"/>
          <w:szCs w:val="18"/>
        </w:rPr>
        <w:t>c</w:t>
      </w:r>
      <w:r w:rsidRPr="00302A99">
        <w:rPr>
          <w:sz w:val="18"/>
          <w:szCs w:val="18"/>
        </w:rPr>
        <w:t xml:space="preserve">. </w:t>
      </w:r>
      <w:r w:rsidRPr="00302A99">
        <w:rPr>
          <w:i/>
          <w:sz w:val="18"/>
          <w:szCs w:val="18"/>
        </w:rPr>
        <w:t>R.</w:t>
      </w:r>
      <w:r w:rsidRPr="00302A99">
        <w:rPr>
          <w:sz w:val="18"/>
          <w:szCs w:val="18"/>
        </w:rPr>
        <w:t xml:space="preserve">, 2012 QCCA 1290 at para. </w:t>
      </w:r>
      <w:r w:rsidRPr="005620DC">
        <w:rPr>
          <w:sz w:val="18"/>
          <w:szCs w:val="18"/>
          <w:lang w:val="en-CA"/>
        </w:rPr>
        <w:t>62.</w:t>
      </w:r>
    </w:p>
  </w:footnote>
  <w:footnote w:id="26">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t xml:space="preserve">H. Parent &amp; J. </w:t>
      </w:r>
      <w:proofErr w:type="spellStart"/>
      <w:r w:rsidRPr="00793386">
        <w:rPr>
          <w:sz w:val="18"/>
          <w:szCs w:val="18"/>
          <w:lang w:val="en-CA"/>
        </w:rPr>
        <w:t>Desrosiers</w:t>
      </w:r>
      <w:proofErr w:type="spellEnd"/>
      <w:r w:rsidRPr="00793386">
        <w:rPr>
          <w:sz w:val="18"/>
          <w:szCs w:val="18"/>
          <w:lang w:val="en-CA"/>
        </w:rPr>
        <w:t xml:space="preserve">, </w:t>
      </w:r>
      <w:r w:rsidRPr="00793386">
        <w:rPr>
          <w:i/>
          <w:sz w:val="18"/>
          <w:szCs w:val="18"/>
          <w:lang w:val="en-CA"/>
        </w:rPr>
        <w:t>supra</w:t>
      </w:r>
      <w:r w:rsidRPr="00793386">
        <w:rPr>
          <w:sz w:val="18"/>
          <w:szCs w:val="18"/>
          <w:lang w:val="en-CA"/>
        </w:rPr>
        <w:t xml:space="preserve"> note 21, No.</w:t>
      </w:r>
      <w:r w:rsidRPr="00793386">
        <w:rPr>
          <w:sz w:val="18"/>
          <w:szCs w:val="18"/>
          <w:vertAlign w:val="superscript"/>
          <w:lang w:val="en-CA"/>
        </w:rPr>
        <w:t> </w:t>
      </w:r>
      <w:r w:rsidRPr="00793386">
        <w:rPr>
          <w:sz w:val="18"/>
          <w:szCs w:val="18"/>
          <w:lang w:val="en-CA"/>
        </w:rPr>
        <w:t xml:space="preserve">30 at 53. </w:t>
      </w:r>
      <w:r w:rsidRPr="005620DC">
        <w:rPr>
          <w:sz w:val="18"/>
          <w:szCs w:val="18"/>
          <w:lang w:val="en-CA"/>
        </w:rPr>
        <w:t xml:space="preserve">Cited with approval by the Court of Appeal in </w:t>
      </w:r>
      <w:r w:rsidRPr="005620DC">
        <w:rPr>
          <w:i/>
          <w:sz w:val="18"/>
          <w:szCs w:val="18"/>
          <w:lang w:val="en-CA"/>
        </w:rPr>
        <w:t>Denis-</w:t>
      </w:r>
      <w:proofErr w:type="spellStart"/>
      <w:r w:rsidRPr="005620DC">
        <w:rPr>
          <w:i/>
          <w:sz w:val="18"/>
          <w:szCs w:val="18"/>
          <w:lang w:val="en-CA"/>
        </w:rPr>
        <w:t>Damée</w:t>
      </w:r>
      <w:proofErr w:type="spellEnd"/>
      <w:r w:rsidRPr="005620DC">
        <w:rPr>
          <w:i/>
          <w:sz w:val="18"/>
          <w:szCs w:val="18"/>
          <w:lang w:val="en-CA"/>
        </w:rPr>
        <w:t xml:space="preserve"> c. R.</w:t>
      </w:r>
      <w:r w:rsidRPr="005620DC">
        <w:rPr>
          <w:sz w:val="18"/>
          <w:szCs w:val="18"/>
          <w:lang w:val="en-CA"/>
        </w:rPr>
        <w:t>, 2018 QCCA 1251 at para. 58.</w:t>
      </w:r>
    </w:p>
  </w:footnote>
  <w:footnote w:id="27">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proofErr w:type="spellStart"/>
      <w:r w:rsidRPr="005620DC">
        <w:rPr>
          <w:i/>
          <w:sz w:val="18"/>
          <w:szCs w:val="18"/>
          <w:lang w:val="en-CA"/>
        </w:rPr>
        <w:t>Ipeelee</w:t>
      </w:r>
      <w:proofErr w:type="spellEnd"/>
      <w:r w:rsidRPr="005620DC">
        <w:rPr>
          <w:i/>
          <w:sz w:val="18"/>
          <w:szCs w:val="18"/>
          <w:lang w:val="en-CA"/>
        </w:rPr>
        <w:t xml:space="preserve">, supra </w:t>
      </w:r>
      <w:r w:rsidRPr="005620DC">
        <w:rPr>
          <w:sz w:val="18"/>
          <w:szCs w:val="18"/>
          <w:lang w:val="en-CA"/>
        </w:rPr>
        <w:t xml:space="preserve">note </w:t>
      </w:r>
      <w:proofErr w:type="gramStart"/>
      <w:r w:rsidRPr="005620DC">
        <w:rPr>
          <w:sz w:val="18"/>
          <w:szCs w:val="18"/>
          <w:lang w:val="en-CA"/>
        </w:rPr>
        <w:t>2</w:t>
      </w:r>
      <w:proofErr w:type="gramEnd"/>
      <w:r w:rsidRPr="005620DC">
        <w:rPr>
          <w:sz w:val="18"/>
          <w:szCs w:val="18"/>
          <w:lang w:val="en-CA"/>
        </w:rPr>
        <w:t xml:space="preserve"> at para. 37.</w:t>
      </w:r>
      <w:r w:rsidRPr="00793386">
        <w:rPr>
          <w:sz w:val="18"/>
          <w:szCs w:val="18"/>
          <w:lang w:val="en-CA"/>
        </w:rPr>
        <w:t xml:space="preserve"> </w:t>
      </w:r>
    </w:p>
  </w:footnote>
  <w:footnote w:id="28">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 73.</w:t>
      </w:r>
    </w:p>
  </w:footnote>
  <w:footnote w:id="29">
    <w:p w:rsidR="00655DED" w:rsidRPr="00793386" w:rsidRDefault="00132D88" w:rsidP="00A17E81">
      <w:pPr>
        <w:pStyle w:val="Notedebasdepage"/>
        <w:tabs>
          <w:tab w:val="left" w:pos="734"/>
          <w:tab w:val="left" w:pos="1468"/>
          <w:tab w:val="left" w:pos="2544"/>
        </w:tabs>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proofErr w:type="spellStart"/>
      <w:r w:rsidRPr="005620DC">
        <w:rPr>
          <w:rFonts w:cs="Arial"/>
          <w:i/>
          <w:sz w:val="18"/>
          <w:szCs w:val="18"/>
          <w:lang w:val="en-CA"/>
        </w:rPr>
        <w:t>Gladue</w:t>
      </w:r>
      <w:proofErr w:type="spellEnd"/>
      <w:r w:rsidRPr="005620DC">
        <w:rPr>
          <w:rFonts w:cs="Arial"/>
          <w:sz w:val="18"/>
          <w:szCs w:val="18"/>
          <w:lang w:val="en-CA"/>
        </w:rPr>
        <w:t xml:space="preserve">, </w:t>
      </w:r>
      <w:r w:rsidRPr="005620DC">
        <w:rPr>
          <w:rFonts w:cs="Arial"/>
          <w:i/>
          <w:sz w:val="18"/>
          <w:szCs w:val="18"/>
          <w:lang w:val="en-CA"/>
        </w:rPr>
        <w:t xml:space="preserve">supra </w:t>
      </w:r>
      <w:r w:rsidRPr="005620DC">
        <w:rPr>
          <w:rFonts w:cs="Arial"/>
          <w:sz w:val="18"/>
          <w:szCs w:val="18"/>
          <w:lang w:val="en-CA"/>
        </w:rPr>
        <w:t xml:space="preserve">note </w:t>
      </w:r>
      <w:proofErr w:type="gramStart"/>
      <w:r w:rsidRPr="005620DC">
        <w:rPr>
          <w:rFonts w:cs="Arial"/>
          <w:sz w:val="18"/>
          <w:szCs w:val="18"/>
          <w:lang w:val="en-CA"/>
        </w:rPr>
        <w:t>1</w:t>
      </w:r>
      <w:proofErr w:type="gramEnd"/>
      <w:r w:rsidRPr="005620DC">
        <w:rPr>
          <w:rFonts w:cs="Arial"/>
          <w:sz w:val="18"/>
          <w:szCs w:val="18"/>
          <w:lang w:val="en-CA"/>
        </w:rPr>
        <w:t>.</w:t>
      </w:r>
      <w:r w:rsidRPr="00793386">
        <w:rPr>
          <w:rFonts w:cs="Arial"/>
          <w:sz w:val="18"/>
          <w:szCs w:val="18"/>
          <w:lang w:val="en-CA"/>
        </w:rPr>
        <w:tab/>
      </w:r>
    </w:p>
  </w:footnote>
  <w:footnote w:id="30">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 73.</w:t>
      </w:r>
    </w:p>
  </w:footnote>
  <w:footnote w:id="31">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 84.</w:t>
      </w:r>
    </w:p>
  </w:footnote>
  <w:footnote w:id="32">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 93, point </w:t>
      </w:r>
      <w:proofErr w:type="gramStart"/>
      <w:r w:rsidRPr="005620DC">
        <w:rPr>
          <w:sz w:val="18"/>
          <w:szCs w:val="18"/>
          <w:lang w:val="en-CA"/>
        </w:rPr>
        <w:t>8</w:t>
      </w:r>
      <w:proofErr w:type="gramEnd"/>
      <w:r w:rsidRPr="005620DC">
        <w:rPr>
          <w:sz w:val="18"/>
          <w:szCs w:val="18"/>
          <w:lang w:val="en-CA"/>
        </w:rPr>
        <w:t>.</w:t>
      </w:r>
    </w:p>
  </w:footnote>
  <w:footnote w:id="33">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 91.</w:t>
      </w:r>
    </w:p>
  </w:footnote>
  <w:footnote w:id="34">
    <w:p w:rsidR="00655DED" w:rsidRPr="00793386" w:rsidRDefault="00132D88" w:rsidP="008565F5">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proofErr w:type="spellStart"/>
      <w:r w:rsidRPr="005620DC">
        <w:rPr>
          <w:rFonts w:cs="Arial"/>
          <w:i/>
          <w:sz w:val="18"/>
          <w:szCs w:val="18"/>
          <w:lang w:val="en-CA"/>
        </w:rPr>
        <w:t>Ipeelee</w:t>
      </w:r>
      <w:proofErr w:type="spellEnd"/>
      <w:r w:rsidRPr="005620DC">
        <w:rPr>
          <w:rFonts w:cs="Arial"/>
          <w:i/>
          <w:sz w:val="18"/>
          <w:szCs w:val="18"/>
          <w:lang w:val="en-CA"/>
        </w:rPr>
        <w:t xml:space="preserve">, supra </w:t>
      </w:r>
      <w:r w:rsidRPr="005620DC">
        <w:rPr>
          <w:rFonts w:cs="Arial"/>
          <w:sz w:val="18"/>
          <w:szCs w:val="18"/>
          <w:lang w:val="en-CA"/>
        </w:rPr>
        <w:t xml:space="preserve">note </w:t>
      </w:r>
      <w:proofErr w:type="gramStart"/>
      <w:r w:rsidRPr="005620DC">
        <w:rPr>
          <w:rFonts w:cs="Arial"/>
          <w:sz w:val="18"/>
          <w:szCs w:val="18"/>
          <w:lang w:val="en-CA"/>
        </w:rPr>
        <w:t>2</w:t>
      </w:r>
      <w:proofErr w:type="gramEnd"/>
      <w:r w:rsidRPr="005620DC">
        <w:rPr>
          <w:rFonts w:cs="Arial"/>
          <w:sz w:val="18"/>
          <w:szCs w:val="18"/>
          <w:lang w:val="en-CA"/>
        </w:rPr>
        <w:t>.</w:t>
      </w:r>
    </w:p>
  </w:footnote>
  <w:footnote w:id="35">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paras. 64, 73, 76, and 79.</w:t>
      </w:r>
    </w:p>
  </w:footnote>
  <w:footnote w:id="36">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sz w:val="18"/>
          <w:szCs w:val="18"/>
          <w:lang w:val="en-CA"/>
        </w:rPr>
        <w:t>Emphasis added.</w:t>
      </w:r>
    </w:p>
  </w:footnote>
  <w:footnote w:id="37">
    <w:p w:rsidR="00655DED" w:rsidRPr="00793386" w:rsidRDefault="00132D88" w:rsidP="00A17E81">
      <w:pPr>
        <w:pStyle w:val="Notedebasdepage"/>
        <w:tabs>
          <w:tab w:val="left" w:pos="360"/>
        </w:tabs>
        <w:rPr>
          <w:rFonts w:cs="Arial"/>
          <w:sz w:val="18"/>
          <w:szCs w:val="18"/>
          <w:lang w:val="en-CA"/>
        </w:rPr>
      </w:pPr>
      <w:r w:rsidRPr="009D6678">
        <w:rPr>
          <w:rStyle w:val="Appelnotedebasdep"/>
          <w:rFonts w:cs="Arial"/>
          <w:sz w:val="18"/>
          <w:szCs w:val="18"/>
        </w:rPr>
        <w:footnoteRef/>
      </w:r>
      <w:r w:rsidRPr="00793386">
        <w:rPr>
          <w:rFonts w:cs="Arial"/>
          <w:sz w:val="18"/>
          <w:szCs w:val="18"/>
          <w:lang w:val="en-CA"/>
        </w:rPr>
        <w:t xml:space="preserve"> </w:t>
      </w:r>
      <w:r w:rsidRPr="00793386">
        <w:rPr>
          <w:rFonts w:cs="Arial"/>
          <w:sz w:val="18"/>
          <w:szCs w:val="18"/>
          <w:lang w:val="en-CA"/>
        </w:rPr>
        <w:tab/>
      </w:r>
      <w:r w:rsidRPr="005620DC">
        <w:rPr>
          <w:rFonts w:cs="Arial"/>
          <w:i/>
          <w:sz w:val="18"/>
          <w:szCs w:val="18"/>
          <w:lang w:val="en-CA"/>
        </w:rPr>
        <w:t>Denis-</w:t>
      </w:r>
      <w:proofErr w:type="spellStart"/>
      <w:r w:rsidRPr="005620DC">
        <w:rPr>
          <w:rFonts w:cs="Arial"/>
          <w:i/>
          <w:sz w:val="18"/>
          <w:szCs w:val="18"/>
          <w:lang w:val="en-CA"/>
        </w:rPr>
        <w:t>Damée</w:t>
      </w:r>
      <w:proofErr w:type="spellEnd"/>
      <w:r w:rsidRPr="005620DC">
        <w:rPr>
          <w:rFonts w:cs="Arial"/>
          <w:i/>
          <w:sz w:val="18"/>
          <w:szCs w:val="18"/>
          <w:lang w:val="en-CA"/>
        </w:rPr>
        <w:t xml:space="preserve"> c</w:t>
      </w:r>
      <w:r w:rsidRPr="005620DC">
        <w:rPr>
          <w:rFonts w:cs="Arial"/>
          <w:sz w:val="18"/>
          <w:szCs w:val="18"/>
          <w:lang w:val="en-CA"/>
        </w:rPr>
        <w:t xml:space="preserve">. </w:t>
      </w:r>
      <w:r w:rsidRPr="005620DC">
        <w:rPr>
          <w:rFonts w:cs="Arial"/>
          <w:i/>
          <w:sz w:val="18"/>
          <w:szCs w:val="18"/>
          <w:lang w:val="en-CA"/>
        </w:rPr>
        <w:t>R.</w:t>
      </w:r>
      <w:r w:rsidRPr="005620DC">
        <w:rPr>
          <w:rFonts w:cs="Arial"/>
          <w:sz w:val="18"/>
          <w:szCs w:val="18"/>
          <w:lang w:val="en-CA"/>
        </w:rPr>
        <w:t xml:space="preserve">, </w:t>
      </w:r>
      <w:r w:rsidRPr="005620DC">
        <w:rPr>
          <w:rFonts w:cs="Arial"/>
          <w:i/>
          <w:sz w:val="18"/>
          <w:szCs w:val="18"/>
          <w:lang w:val="en-CA"/>
        </w:rPr>
        <w:t xml:space="preserve">supra </w:t>
      </w:r>
      <w:r w:rsidRPr="005620DC">
        <w:rPr>
          <w:rFonts w:cs="Arial"/>
          <w:sz w:val="18"/>
          <w:szCs w:val="18"/>
          <w:lang w:val="en-CA"/>
        </w:rPr>
        <w:t>note 26.</w:t>
      </w:r>
    </w:p>
  </w:footnote>
  <w:footnote w:id="38">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sz w:val="18"/>
          <w:szCs w:val="18"/>
          <w:lang w:val="en-CA"/>
        </w:rPr>
        <w:t>File 155-01-000734-152 in the district of Roberval.</w:t>
      </w:r>
    </w:p>
  </w:footnote>
  <w:footnote w:id="39">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sz w:val="18"/>
          <w:szCs w:val="18"/>
          <w:lang w:val="en-CA"/>
        </w:rPr>
        <w:t>File 155-01-000608-166.</w:t>
      </w:r>
      <w:r w:rsidRPr="00793386">
        <w:rPr>
          <w:sz w:val="18"/>
          <w:szCs w:val="18"/>
          <w:lang w:val="en-CA"/>
        </w:rPr>
        <w:t xml:space="preserve"> The murder case </w:t>
      </w:r>
      <w:proofErr w:type="gramStart"/>
      <w:r w:rsidRPr="00793386">
        <w:rPr>
          <w:sz w:val="18"/>
          <w:szCs w:val="18"/>
          <w:lang w:val="en-CA"/>
        </w:rPr>
        <w:t>was conditionally s</w:t>
      </w:r>
      <w:r w:rsidR="004B5A10">
        <w:rPr>
          <w:sz w:val="18"/>
          <w:szCs w:val="18"/>
          <w:lang w:val="en-CA"/>
        </w:rPr>
        <w:t>tayed</w:t>
      </w:r>
      <w:proofErr w:type="gramEnd"/>
      <w:r w:rsidRPr="00793386">
        <w:rPr>
          <w:sz w:val="18"/>
          <w:szCs w:val="18"/>
          <w:lang w:val="en-CA"/>
        </w:rPr>
        <w:t xml:space="preserve"> on April 7, 2017.</w:t>
      </w:r>
    </w:p>
  </w:footnote>
  <w:footnote w:id="40">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R. c. Denis-</w:t>
      </w:r>
      <w:proofErr w:type="spellStart"/>
      <w:r w:rsidRPr="005620DC">
        <w:rPr>
          <w:i/>
          <w:sz w:val="18"/>
          <w:szCs w:val="18"/>
          <w:lang w:val="en-CA"/>
        </w:rPr>
        <w:t>Damée</w:t>
      </w:r>
      <w:proofErr w:type="spellEnd"/>
      <w:r w:rsidRPr="005620DC">
        <w:rPr>
          <w:sz w:val="18"/>
          <w:szCs w:val="18"/>
          <w:lang w:val="en-CA"/>
        </w:rPr>
        <w:t>, 2017 QCCQ 6825</w:t>
      </w:r>
      <w:r w:rsidRPr="00793386">
        <w:rPr>
          <w:sz w:val="18"/>
          <w:szCs w:val="18"/>
          <w:lang w:val="en-CA"/>
        </w:rPr>
        <w:t xml:space="preserve"> </w:t>
      </w:r>
      <w:r w:rsidRPr="005620DC">
        <w:rPr>
          <w:sz w:val="18"/>
          <w:szCs w:val="18"/>
          <w:lang w:val="en-CA"/>
        </w:rPr>
        <w:t>Sentenced on May 29, 2017.</w:t>
      </w:r>
    </w:p>
  </w:footnote>
  <w:footnote w:id="41">
    <w:p w:rsidR="00655DED" w:rsidRPr="00793386" w:rsidRDefault="00132D88" w:rsidP="00A17E81">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R. v. Wells</w:t>
      </w:r>
      <w:r w:rsidRPr="005620DC">
        <w:rPr>
          <w:sz w:val="18"/>
          <w:szCs w:val="18"/>
          <w:lang w:val="en-CA"/>
        </w:rPr>
        <w:t>, 2000 SCC 10 at para. 38.</w:t>
      </w:r>
    </w:p>
  </w:footnote>
  <w:footnote w:id="42">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proofErr w:type="spellStart"/>
      <w:r w:rsidRPr="005620DC">
        <w:rPr>
          <w:i/>
          <w:sz w:val="18"/>
          <w:szCs w:val="18"/>
          <w:lang w:val="en-CA"/>
        </w:rPr>
        <w:t>Ipeelee</w:t>
      </w:r>
      <w:proofErr w:type="spellEnd"/>
      <w:r w:rsidRPr="005620DC">
        <w:rPr>
          <w:i/>
          <w:sz w:val="18"/>
          <w:szCs w:val="18"/>
          <w:lang w:val="en-CA"/>
        </w:rPr>
        <w:t xml:space="preserve">, supra </w:t>
      </w:r>
      <w:r w:rsidRPr="005620DC">
        <w:rPr>
          <w:sz w:val="18"/>
          <w:szCs w:val="18"/>
          <w:lang w:val="en-CA"/>
        </w:rPr>
        <w:t xml:space="preserve">note </w:t>
      </w:r>
      <w:proofErr w:type="gramStart"/>
      <w:r w:rsidRPr="005620DC">
        <w:rPr>
          <w:sz w:val="18"/>
          <w:szCs w:val="18"/>
          <w:lang w:val="en-CA"/>
        </w:rPr>
        <w:t>2</w:t>
      </w:r>
      <w:proofErr w:type="gramEnd"/>
      <w:r w:rsidRPr="005620DC">
        <w:rPr>
          <w:sz w:val="18"/>
          <w:szCs w:val="18"/>
          <w:lang w:val="en-CA"/>
        </w:rPr>
        <w:t xml:space="preserve"> at para. 2.</w:t>
      </w:r>
    </w:p>
  </w:footnote>
  <w:footnote w:id="43">
    <w:p w:rsidR="00655DED" w:rsidRPr="00793386" w:rsidRDefault="00132D88">
      <w:pPr>
        <w:pStyle w:val="Notedebasdepage"/>
        <w:rPr>
          <w:sz w:val="18"/>
          <w:szCs w:val="18"/>
          <w:lang w:val="en-CA"/>
        </w:rPr>
      </w:pPr>
      <w:r w:rsidRPr="009D6678">
        <w:rPr>
          <w:rStyle w:val="Appelnotedebasdep"/>
          <w:sz w:val="18"/>
          <w:szCs w:val="18"/>
        </w:rPr>
        <w:footnoteRef/>
      </w:r>
      <w:r w:rsidRPr="00793386">
        <w:rPr>
          <w:sz w:val="18"/>
          <w:szCs w:val="18"/>
          <w:lang w:val="en-CA"/>
        </w:rPr>
        <w:t xml:space="preserve"> </w:t>
      </w:r>
      <w:r w:rsidRPr="00793386">
        <w:rPr>
          <w:sz w:val="18"/>
          <w:szCs w:val="18"/>
          <w:lang w:val="en-CA"/>
        </w:rPr>
        <w:tab/>
      </w:r>
      <w:r w:rsidRPr="005620DC">
        <w:rPr>
          <w:i/>
          <w:sz w:val="18"/>
          <w:szCs w:val="18"/>
          <w:lang w:val="en-CA"/>
        </w:rPr>
        <w:t>Ibid.</w:t>
      </w:r>
      <w:r w:rsidRPr="005620DC">
        <w:rPr>
          <w:sz w:val="18"/>
          <w:szCs w:val="18"/>
          <w:lang w:val="en-CA"/>
        </w:rPr>
        <w:t xml:space="preserve"> at para. 73.</w:t>
      </w:r>
    </w:p>
  </w:footnote>
  <w:footnote w:id="44">
    <w:p w:rsidR="00655DED" w:rsidRPr="009D6678" w:rsidRDefault="00132D88" w:rsidP="00A17E81">
      <w:pPr>
        <w:pStyle w:val="Notedebasdepage"/>
        <w:rPr>
          <w:rFonts w:cs="Arial"/>
          <w:sz w:val="18"/>
          <w:szCs w:val="18"/>
        </w:rPr>
      </w:pPr>
      <w:r w:rsidRPr="009D6678">
        <w:rPr>
          <w:rStyle w:val="Appelnotedebasdep"/>
          <w:rFonts w:cs="Arial"/>
          <w:sz w:val="18"/>
          <w:szCs w:val="18"/>
        </w:rPr>
        <w:footnoteRef/>
      </w:r>
      <w:r w:rsidRPr="00793386">
        <w:rPr>
          <w:rFonts w:cs="Arial"/>
          <w:sz w:val="18"/>
          <w:szCs w:val="18"/>
          <w:lang w:val="en-CA"/>
        </w:rPr>
        <w:t xml:space="preserve"> </w:t>
      </w:r>
      <w:r w:rsidRPr="00793386">
        <w:rPr>
          <w:rFonts w:cs="Arial"/>
          <w:sz w:val="18"/>
          <w:szCs w:val="18"/>
          <w:lang w:val="en-CA"/>
        </w:rPr>
        <w:tab/>
      </w:r>
      <w:r w:rsidRPr="005620DC">
        <w:rPr>
          <w:rFonts w:cs="Arial"/>
          <w:i/>
          <w:sz w:val="18"/>
          <w:szCs w:val="18"/>
          <w:lang w:val="en-CA"/>
        </w:rPr>
        <w:t>R. v. Boisvert</w:t>
      </w:r>
      <w:r w:rsidRPr="005620DC">
        <w:rPr>
          <w:rFonts w:cs="Arial"/>
          <w:sz w:val="18"/>
          <w:szCs w:val="18"/>
          <w:lang w:val="en-CA"/>
        </w:rPr>
        <w:t xml:space="preserve">, 2011 QCCA 1277 at para. </w:t>
      </w:r>
      <w:r w:rsidRPr="005620DC">
        <w:rPr>
          <w:rFonts w:cs="Arial"/>
          <w:sz w:val="18"/>
          <w:szCs w:val="18"/>
        </w:rPr>
        <w:t>16.</w:t>
      </w:r>
    </w:p>
  </w:footnote>
  <w:footnote w:id="45">
    <w:p w:rsidR="00655DED" w:rsidRPr="00793386" w:rsidRDefault="00132D88" w:rsidP="00A17E81">
      <w:pPr>
        <w:pStyle w:val="Notedebasdepage"/>
        <w:rPr>
          <w:rFonts w:cs="Arial"/>
          <w:sz w:val="18"/>
          <w:szCs w:val="18"/>
          <w:lang w:val="en-CA"/>
        </w:rPr>
      </w:pPr>
      <w:r w:rsidRPr="009D6678">
        <w:rPr>
          <w:rStyle w:val="Appelnotedebasdep"/>
          <w:rFonts w:cs="Arial"/>
          <w:sz w:val="18"/>
          <w:szCs w:val="18"/>
        </w:rPr>
        <w:footnoteRef/>
      </w:r>
      <w:r w:rsidRPr="009D6678">
        <w:rPr>
          <w:rFonts w:cs="Arial"/>
          <w:sz w:val="18"/>
          <w:szCs w:val="18"/>
        </w:rPr>
        <w:t xml:space="preserve"> </w:t>
      </w:r>
      <w:r w:rsidRPr="009D6678">
        <w:rPr>
          <w:rFonts w:cs="Arial"/>
          <w:sz w:val="18"/>
          <w:szCs w:val="18"/>
        </w:rPr>
        <w:tab/>
      </w:r>
      <w:r w:rsidRPr="005620DC">
        <w:rPr>
          <w:rFonts w:cs="Arial"/>
          <w:i/>
          <w:sz w:val="18"/>
          <w:szCs w:val="18"/>
        </w:rPr>
        <w:t>R.</w:t>
      </w:r>
      <w:r w:rsidRPr="005620DC">
        <w:rPr>
          <w:rFonts w:cs="Arial"/>
          <w:sz w:val="18"/>
          <w:szCs w:val="18"/>
        </w:rPr>
        <w:t xml:space="preserve"> </w:t>
      </w:r>
      <w:r w:rsidRPr="005620DC">
        <w:rPr>
          <w:rFonts w:cs="Arial"/>
          <w:i/>
          <w:sz w:val="18"/>
          <w:szCs w:val="18"/>
        </w:rPr>
        <w:t>c</w:t>
      </w:r>
      <w:r w:rsidRPr="005620DC">
        <w:rPr>
          <w:rFonts w:cs="Arial"/>
          <w:sz w:val="18"/>
          <w:szCs w:val="18"/>
        </w:rPr>
        <w:t xml:space="preserve">. </w:t>
      </w:r>
      <w:proofErr w:type="spellStart"/>
      <w:r w:rsidRPr="005620DC">
        <w:rPr>
          <w:rFonts w:cs="Arial"/>
          <w:i/>
          <w:sz w:val="18"/>
          <w:szCs w:val="18"/>
        </w:rPr>
        <w:t>Chachai</w:t>
      </w:r>
      <w:proofErr w:type="spellEnd"/>
      <w:r w:rsidRPr="005620DC">
        <w:rPr>
          <w:rFonts w:cs="Arial"/>
          <w:sz w:val="18"/>
          <w:szCs w:val="18"/>
        </w:rPr>
        <w:t xml:space="preserve">, 2012 QCCA 568 at para. </w:t>
      </w:r>
      <w:r w:rsidRPr="005620DC">
        <w:rPr>
          <w:rFonts w:cs="Arial"/>
          <w:sz w:val="18"/>
          <w:szCs w:val="18"/>
          <w:lang w:val="en-CA"/>
        </w:rPr>
        <w:t>4.</w:t>
      </w:r>
    </w:p>
  </w:footnote>
  <w:footnote w:id="46">
    <w:p w:rsidR="00655DED" w:rsidRPr="00793386" w:rsidRDefault="00132D88" w:rsidP="00A17E81">
      <w:pPr>
        <w:pStyle w:val="Notedebasdepage"/>
        <w:rPr>
          <w:rFonts w:cs="Arial"/>
          <w:sz w:val="18"/>
          <w:szCs w:val="18"/>
          <w:lang w:val="en-CA"/>
        </w:rPr>
      </w:pPr>
      <w:r w:rsidRPr="009D6678">
        <w:rPr>
          <w:rStyle w:val="Appelnotedebasdep"/>
          <w:rFonts w:cs="Arial"/>
          <w:sz w:val="18"/>
          <w:szCs w:val="18"/>
        </w:rPr>
        <w:footnoteRef/>
      </w:r>
      <w:r w:rsidRPr="009D6678">
        <w:rPr>
          <w:rFonts w:cs="Arial"/>
          <w:sz w:val="18"/>
          <w:szCs w:val="18"/>
          <w:lang w:val="en-CA"/>
        </w:rPr>
        <w:t xml:space="preserve"> </w:t>
      </w:r>
      <w:r w:rsidRPr="009D6678">
        <w:rPr>
          <w:rFonts w:cs="Arial"/>
          <w:sz w:val="18"/>
          <w:szCs w:val="18"/>
          <w:lang w:val="en-CA"/>
        </w:rPr>
        <w:tab/>
      </w:r>
      <w:r>
        <w:rPr>
          <w:rFonts w:cs="Arial"/>
          <w:sz w:val="18"/>
          <w:szCs w:val="18"/>
          <w:lang w:val="en-CA"/>
        </w:rPr>
        <w:t>“Jump, step and gap principles”.</w:t>
      </w:r>
      <w:r w:rsidRPr="009D6678">
        <w:rPr>
          <w:rFonts w:cs="Arial"/>
          <w:sz w:val="18"/>
          <w:szCs w:val="18"/>
          <w:lang w:val="en-CA"/>
        </w:rPr>
        <w:t xml:space="preserve"> </w:t>
      </w:r>
      <w:r w:rsidRPr="00793386">
        <w:rPr>
          <w:rFonts w:cs="Arial"/>
          <w:sz w:val="18"/>
          <w:szCs w:val="18"/>
          <w:lang w:val="en-CA"/>
        </w:rPr>
        <w:t xml:space="preserve">In this regard, see </w:t>
      </w:r>
      <w:r w:rsidRPr="00793386">
        <w:rPr>
          <w:rFonts w:cs="Arial"/>
          <w:i/>
          <w:sz w:val="18"/>
          <w:szCs w:val="18"/>
          <w:lang w:val="en-CA"/>
        </w:rPr>
        <w:t>R. v. Bernard,</w:t>
      </w:r>
      <w:r w:rsidRPr="00793386">
        <w:rPr>
          <w:rFonts w:cs="Arial"/>
          <w:sz w:val="18"/>
          <w:szCs w:val="18"/>
          <w:lang w:val="en-CA"/>
        </w:rPr>
        <w:t xml:space="preserve"> 2011 NSCA 53</w:t>
      </w:r>
      <w:proofErr w:type="gramStart"/>
      <w:r w:rsidRPr="00793386">
        <w:rPr>
          <w:rFonts w:cs="Arial"/>
          <w:sz w:val="18"/>
          <w:szCs w:val="18"/>
          <w:lang w:val="en-CA"/>
        </w:rPr>
        <w:t>;</w:t>
      </w:r>
      <w:proofErr w:type="gramEnd"/>
      <w:r w:rsidRPr="00793386">
        <w:rPr>
          <w:rFonts w:cs="Arial"/>
          <w:sz w:val="18"/>
          <w:szCs w:val="18"/>
          <w:lang w:val="en-CA"/>
        </w:rPr>
        <w:t xml:space="preserve"> </w:t>
      </w:r>
      <w:r w:rsidRPr="00793386">
        <w:rPr>
          <w:rFonts w:cs="Arial"/>
          <w:i/>
          <w:sz w:val="18"/>
          <w:szCs w:val="18"/>
          <w:lang w:val="en-CA"/>
        </w:rPr>
        <w:t>Andrade v. R</w:t>
      </w:r>
      <w:r w:rsidRPr="00793386">
        <w:rPr>
          <w:rFonts w:cs="Arial"/>
          <w:sz w:val="18"/>
          <w:szCs w:val="18"/>
          <w:lang w:val="en-CA"/>
        </w:rPr>
        <w:t>., 2010 NBCA 62.</w:t>
      </w:r>
    </w:p>
  </w:footnote>
  <w:footnote w:id="47">
    <w:p w:rsidR="00655DED" w:rsidRPr="009D6678" w:rsidRDefault="00132D88">
      <w:pPr>
        <w:pStyle w:val="Notedebasdepage"/>
        <w:rPr>
          <w:sz w:val="18"/>
          <w:szCs w:val="18"/>
        </w:rPr>
      </w:pPr>
      <w:r w:rsidRPr="009D6678">
        <w:rPr>
          <w:rStyle w:val="Appelnotedebasdep"/>
          <w:sz w:val="18"/>
          <w:szCs w:val="18"/>
        </w:rPr>
        <w:footnoteRef/>
      </w:r>
      <w:r w:rsidRPr="009D6678">
        <w:rPr>
          <w:sz w:val="18"/>
          <w:szCs w:val="18"/>
        </w:rPr>
        <w:t xml:space="preserve"> </w:t>
      </w:r>
      <w:r w:rsidRPr="009D6678">
        <w:rPr>
          <w:sz w:val="18"/>
          <w:szCs w:val="18"/>
        </w:rPr>
        <w:tab/>
      </w:r>
      <w:r w:rsidRPr="005620DC">
        <w:rPr>
          <w:i/>
          <w:sz w:val="18"/>
          <w:szCs w:val="18"/>
        </w:rPr>
        <w:t>Denis-Damée c</w:t>
      </w:r>
      <w:r w:rsidRPr="005620DC">
        <w:rPr>
          <w:sz w:val="18"/>
          <w:szCs w:val="18"/>
        </w:rPr>
        <w:t xml:space="preserve">. </w:t>
      </w:r>
      <w:r w:rsidRPr="005620DC">
        <w:rPr>
          <w:i/>
          <w:sz w:val="18"/>
          <w:szCs w:val="18"/>
        </w:rPr>
        <w:t>R.</w:t>
      </w:r>
      <w:r w:rsidRPr="005620DC">
        <w:rPr>
          <w:sz w:val="18"/>
          <w:szCs w:val="18"/>
        </w:rPr>
        <w:t xml:space="preserve">, </w:t>
      </w:r>
      <w:r w:rsidRPr="005620DC">
        <w:rPr>
          <w:i/>
          <w:sz w:val="18"/>
          <w:szCs w:val="18"/>
        </w:rPr>
        <w:t xml:space="preserve">supra </w:t>
      </w:r>
      <w:r w:rsidRPr="005620DC">
        <w:rPr>
          <w:sz w:val="18"/>
          <w:szCs w:val="18"/>
        </w:rPr>
        <w:t>note 26 at para.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ED" w:rsidRDefault="00F02B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8235" o:spid="_x0000_s3073"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ED" w:rsidRPr="007475A3" w:rsidRDefault="00F02B8E">
    <w:pPr>
      <w:tabs>
        <w:tab w:val="center" w:pos="4709"/>
        <w:tab w:val="right" w:pos="9360"/>
      </w:tabs>
      <w:ind w:right="524"/>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8236" o:spid="_x0000_s3074" type="#_x0000_t136" style="position:absolute;margin-left:0;margin-top:0;width:594pt;height:66pt;rotation:315;z-index:-251656192;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132D88" w:rsidRPr="005620DC">
      <w:rPr>
        <w:sz w:val="16"/>
        <w:szCs w:val="16"/>
      </w:rPr>
      <w:t xml:space="preserve">150-01-066204-216 </w:t>
    </w:r>
    <w:r w:rsidR="00132D88" w:rsidRPr="005620DC">
      <w:rPr>
        <w:i/>
        <w:sz w:val="16"/>
        <w:szCs w:val="16"/>
      </w:rPr>
      <w:t xml:space="preserve">et </w:t>
    </w:r>
    <w:proofErr w:type="spellStart"/>
    <w:r w:rsidR="00132D88" w:rsidRPr="005620DC">
      <w:rPr>
        <w:i/>
        <w:sz w:val="16"/>
        <w:szCs w:val="16"/>
      </w:rPr>
      <w:t>al</w:t>
    </w:r>
    <w:proofErr w:type="spellEnd"/>
    <w:r w:rsidR="00132D88" w:rsidRPr="007475A3">
      <w:rPr>
        <w:sz w:val="16"/>
        <w:szCs w:val="16"/>
      </w:rPr>
      <w:tab/>
    </w:r>
    <w:r w:rsidR="00132D88" w:rsidRPr="007475A3">
      <w:rPr>
        <w:sz w:val="16"/>
        <w:szCs w:val="16"/>
      </w:rPr>
      <w:tab/>
    </w:r>
    <w:r w:rsidR="00132D88" w:rsidRPr="005620DC">
      <w:rPr>
        <w:sz w:val="16"/>
        <w:szCs w:val="16"/>
      </w:rPr>
      <w:t>PAGE:</w:t>
    </w:r>
    <w:r w:rsidR="00132D88" w:rsidRPr="007475A3">
      <w:rPr>
        <w:sz w:val="16"/>
        <w:szCs w:val="16"/>
      </w:rPr>
      <w:t xml:space="preserve"> </w:t>
    </w:r>
    <w:r w:rsidR="00132D88" w:rsidRPr="007475A3">
      <w:rPr>
        <w:sz w:val="16"/>
        <w:szCs w:val="16"/>
      </w:rPr>
      <w:fldChar w:fldCharType="begin"/>
    </w:r>
    <w:r w:rsidR="00132D88" w:rsidRPr="007475A3">
      <w:rPr>
        <w:sz w:val="16"/>
        <w:szCs w:val="16"/>
      </w:rPr>
      <w:instrText xml:space="preserve"> PAGE </w:instrText>
    </w:r>
    <w:r w:rsidR="00132D88" w:rsidRPr="007475A3">
      <w:rPr>
        <w:sz w:val="16"/>
        <w:szCs w:val="16"/>
      </w:rPr>
      <w:fldChar w:fldCharType="separate"/>
    </w:r>
    <w:r w:rsidR="001F7267">
      <w:rPr>
        <w:noProof/>
        <w:sz w:val="16"/>
        <w:szCs w:val="16"/>
      </w:rPr>
      <w:t>16</w:t>
    </w:r>
    <w:r w:rsidR="00132D88" w:rsidRPr="007475A3">
      <w:rPr>
        <w:sz w:val="16"/>
        <w:szCs w:val="16"/>
      </w:rPr>
      <w:fldChar w:fldCharType="end"/>
    </w:r>
  </w:p>
  <w:p w:rsidR="00655DED" w:rsidRPr="007475A3" w:rsidRDefault="00655DED">
    <w:pPr>
      <w:tabs>
        <w:tab w:val="center" w:pos="4709"/>
        <w:tab w:val="right" w:pos="9090"/>
      </w:tabs>
      <w:ind w:right="524"/>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ED" w:rsidRDefault="00F02B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8234" o:spid="_x0000_s3075" type="#_x0000_t136" style="position:absolute;margin-left:0;margin-top:0;width:594pt;height:66pt;rotation:315;z-index:-25165824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F76F7FE"/>
    <w:lvl w:ilvl="0">
      <w:start w:val="1"/>
      <w:numFmt w:val="decimal"/>
      <w:pStyle w:val="Listenumros"/>
      <w:lvlText w:val="%1)"/>
      <w:lvlJc w:val="left"/>
      <w:pPr>
        <w:tabs>
          <w:tab w:val="num" w:pos="1267"/>
        </w:tabs>
        <w:ind w:left="1267" w:hanging="547"/>
      </w:pPr>
      <w:rPr>
        <w:rFonts w:ascii="Arial" w:hAnsi="Arial" w:hint="default"/>
        <w:b w:val="0"/>
        <w:i w:val="0"/>
        <w:sz w:val="24"/>
      </w:rPr>
    </w:lvl>
  </w:abstractNum>
  <w:abstractNum w:abstractNumId="1" w15:restartNumberingAfterBreak="0">
    <w:nsid w:val="07BC7849"/>
    <w:multiLevelType w:val="hybridMultilevel"/>
    <w:tmpl w:val="D72C4976"/>
    <w:lvl w:ilvl="0" w:tplc="1D222764">
      <w:start w:val="1"/>
      <w:numFmt w:val="bullet"/>
      <w:lvlText w:val="•"/>
      <w:lvlJc w:val="left"/>
      <w:pPr>
        <w:tabs>
          <w:tab w:val="num" w:pos="720"/>
        </w:tabs>
        <w:ind w:left="720" w:hanging="360"/>
      </w:pPr>
      <w:rPr>
        <w:rFonts w:ascii="Arial" w:hAnsi="Arial" w:hint="default"/>
      </w:rPr>
    </w:lvl>
    <w:lvl w:ilvl="1" w:tplc="9DC2AA4E">
      <w:start w:val="1"/>
      <w:numFmt w:val="bullet"/>
      <w:lvlText w:val="•"/>
      <w:lvlJc w:val="left"/>
      <w:pPr>
        <w:tabs>
          <w:tab w:val="num" w:pos="1440"/>
        </w:tabs>
        <w:ind w:left="1440" w:hanging="360"/>
      </w:pPr>
      <w:rPr>
        <w:rFonts w:ascii="Arial" w:hAnsi="Arial" w:hint="default"/>
      </w:rPr>
    </w:lvl>
    <w:lvl w:ilvl="2" w:tplc="09FA11C0" w:tentative="1">
      <w:start w:val="1"/>
      <w:numFmt w:val="bullet"/>
      <w:lvlText w:val="•"/>
      <w:lvlJc w:val="left"/>
      <w:pPr>
        <w:tabs>
          <w:tab w:val="num" w:pos="2160"/>
        </w:tabs>
        <w:ind w:left="2160" w:hanging="360"/>
      </w:pPr>
      <w:rPr>
        <w:rFonts w:ascii="Arial" w:hAnsi="Arial" w:hint="default"/>
      </w:rPr>
    </w:lvl>
    <w:lvl w:ilvl="3" w:tplc="302A20CC" w:tentative="1">
      <w:start w:val="1"/>
      <w:numFmt w:val="bullet"/>
      <w:lvlText w:val="•"/>
      <w:lvlJc w:val="left"/>
      <w:pPr>
        <w:tabs>
          <w:tab w:val="num" w:pos="2880"/>
        </w:tabs>
        <w:ind w:left="2880" w:hanging="360"/>
      </w:pPr>
      <w:rPr>
        <w:rFonts w:ascii="Arial" w:hAnsi="Arial" w:hint="default"/>
      </w:rPr>
    </w:lvl>
    <w:lvl w:ilvl="4" w:tplc="B600B38E" w:tentative="1">
      <w:start w:val="1"/>
      <w:numFmt w:val="bullet"/>
      <w:lvlText w:val="•"/>
      <w:lvlJc w:val="left"/>
      <w:pPr>
        <w:tabs>
          <w:tab w:val="num" w:pos="3600"/>
        </w:tabs>
        <w:ind w:left="3600" w:hanging="360"/>
      </w:pPr>
      <w:rPr>
        <w:rFonts w:ascii="Arial" w:hAnsi="Arial" w:hint="default"/>
      </w:rPr>
    </w:lvl>
    <w:lvl w:ilvl="5" w:tplc="F63CEFB2" w:tentative="1">
      <w:start w:val="1"/>
      <w:numFmt w:val="bullet"/>
      <w:lvlText w:val="•"/>
      <w:lvlJc w:val="left"/>
      <w:pPr>
        <w:tabs>
          <w:tab w:val="num" w:pos="4320"/>
        </w:tabs>
        <w:ind w:left="4320" w:hanging="360"/>
      </w:pPr>
      <w:rPr>
        <w:rFonts w:ascii="Arial" w:hAnsi="Arial" w:hint="default"/>
      </w:rPr>
    </w:lvl>
    <w:lvl w:ilvl="6" w:tplc="202824D4" w:tentative="1">
      <w:start w:val="1"/>
      <w:numFmt w:val="bullet"/>
      <w:lvlText w:val="•"/>
      <w:lvlJc w:val="left"/>
      <w:pPr>
        <w:tabs>
          <w:tab w:val="num" w:pos="5040"/>
        </w:tabs>
        <w:ind w:left="5040" w:hanging="360"/>
      </w:pPr>
      <w:rPr>
        <w:rFonts w:ascii="Arial" w:hAnsi="Arial" w:hint="default"/>
      </w:rPr>
    </w:lvl>
    <w:lvl w:ilvl="7" w:tplc="1ED64DDC" w:tentative="1">
      <w:start w:val="1"/>
      <w:numFmt w:val="bullet"/>
      <w:lvlText w:val="•"/>
      <w:lvlJc w:val="left"/>
      <w:pPr>
        <w:tabs>
          <w:tab w:val="num" w:pos="5760"/>
        </w:tabs>
        <w:ind w:left="5760" w:hanging="360"/>
      </w:pPr>
      <w:rPr>
        <w:rFonts w:ascii="Arial" w:hAnsi="Arial" w:hint="default"/>
      </w:rPr>
    </w:lvl>
    <w:lvl w:ilvl="8" w:tplc="3F30A5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00135"/>
    <w:multiLevelType w:val="multilevel"/>
    <w:tmpl w:val="F73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F7EDF"/>
    <w:multiLevelType w:val="hybridMultilevel"/>
    <w:tmpl w:val="0DFA76DC"/>
    <w:lvl w:ilvl="0" w:tplc="325AFC58">
      <w:start w:val="1"/>
      <w:numFmt w:val="decimal"/>
      <w:lvlText w:val="%1)"/>
      <w:lvlJc w:val="left"/>
      <w:pPr>
        <w:ind w:left="720" w:hanging="360"/>
      </w:pPr>
    </w:lvl>
    <w:lvl w:ilvl="1" w:tplc="84AC3CFC" w:tentative="1">
      <w:start w:val="1"/>
      <w:numFmt w:val="lowerLetter"/>
      <w:lvlText w:val="%2."/>
      <w:lvlJc w:val="left"/>
      <w:pPr>
        <w:ind w:left="1440" w:hanging="360"/>
      </w:pPr>
    </w:lvl>
    <w:lvl w:ilvl="2" w:tplc="E97A870C" w:tentative="1">
      <w:start w:val="1"/>
      <w:numFmt w:val="lowerRoman"/>
      <w:lvlText w:val="%3."/>
      <w:lvlJc w:val="right"/>
      <w:pPr>
        <w:ind w:left="2160" w:hanging="180"/>
      </w:pPr>
    </w:lvl>
    <w:lvl w:ilvl="3" w:tplc="3A20377C" w:tentative="1">
      <w:start w:val="1"/>
      <w:numFmt w:val="decimal"/>
      <w:lvlText w:val="%4."/>
      <w:lvlJc w:val="left"/>
      <w:pPr>
        <w:ind w:left="2880" w:hanging="360"/>
      </w:pPr>
    </w:lvl>
    <w:lvl w:ilvl="4" w:tplc="EFD0B4C6" w:tentative="1">
      <w:start w:val="1"/>
      <w:numFmt w:val="lowerLetter"/>
      <w:lvlText w:val="%5."/>
      <w:lvlJc w:val="left"/>
      <w:pPr>
        <w:ind w:left="3600" w:hanging="360"/>
      </w:pPr>
    </w:lvl>
    <w:lvl w:ilvl="5" w:tplc="9296EC14" w:tentative="1">
      <w:start w:val="1"/>
      <w:numFmt w:val="lowerRoman"/>
      <w:lvlText w:val="%6."/>
      <w:lvlJc w:val="right"/>
      <w:pPr>
        <w:ind w:left="4320" w:hanging="180"/>
      </w:pPr>
    </w:lvl>
    <w:lvl w:ilvl="6" w:tplc="3BE64B36" w:tentative="1">
      <w:start w:val="1"/>
      <w:numFmt w:val="decimal"/>
      <w:lvlText w:val="%7."/>
      <w:lvlJc w:val="left"/>
      <w:pPr>
        <w:ind w:left="5040" w:hanging="360"/>
      </w:pPr>
    </w:lvl>
    <w:lvl w:ilvl="7" w:tplc="CBA8A7AE" w:tentative="1">
      <w:start w:val="1"/>
      <w:numFmt w:val="lowerLetter"/>
      <w:lvlText w:val="%8."/>
      <w:lvlJc w:val="left"/>
      <w:pPr>
        <w:ind w:left="5760" w:hanging="360"/>
      </w:pPr>
    </w:lvl>
    <w:lvl w:ilvl="8" w:tplc="5D0E45A8" w:tentative="1">
      <w:start w:val="1"/>
      <w:numFmt w:val="lowerRoman"/>
      <w:lvlText w:val="%9."/>
      <w:lvlJc w:val="right"/>
      <w:pPr>
        <w:ind w:left="6480" w:hanging="180"/>
      </w:pPr>
    </w:lvl>
  </w:abstractNum>
  <w:abstractNum w:abstractNumId="4" w15:restartNumberingAfterBreak="0">
    <w:nsid w:val="3C8A367B"/>
    <w:multiLevelType w:val="singleLevel"/>
    <w:tmpl w:val="B8A65CB2"/>
    <w:lvl w:ilvl="0">
      <w:start w:val="1"/>
      <w:numFmt w:val="lowerLetter"/>
      <w:pStyle w:val="a"/>
      <w:lvlText w:val="%1)"/>
      <w:lvlJc w:val="left"/>
      <w:pPr>
        <w:tabs>
          <w:tab w:val="num" w:pos="504"/>
        </w:tabs>
        <w:ind w:left="504" w:hanging="360"/>
      </w:pPr>
      <w:rPr>
        <w:rFonts w:hint="default"/>
      </w:rPr>
    </w:lvl>
  </w:abstractNum>
  <w:abstractNum w:abstractNumId="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627442E5"/>
    <w:multiLevelType w:val="hybridMultilevel"/>
    <w:tmpl w:val="3DA4198E"/>
    <w:lvl w:ilvl="0" w:tplc="D68C64F2">
      <w:start w:val="1"/>
      <w:numFmt w:val="bullet"/>
      <w:lvlText w:val=""/>
      <w:lvlJc w:val="left"/>
      <w:pPr>
        <w:ind w:left="720" w:hanging="360"/>
      </w:pPr>
      <w:rPr>
        <w:rFonts w:ascii="Wingdings" w:hAnsi="Wingdings" w:hint="default"/>
      </w:rPr>
    </w:lvl>
    <w:lvl w:ilvl="1" w:tplc="0F7A2D9C" w:tentative="1">
      <w:start w:val="1"/>
      <w:numFmt w:val="bullet"/>
      <w:lvlText w:val="o"/>
      <w:lvlJc w:val="left"/>
      <w:pPr>
        <w:ind w:left="1440" w:hanging="360"/>
      </w:pPr>
      <w:rPr>
        <w:rFonts w:ascii="Courier New" w:hAnsi="Courier New" w:cs="Courier New" w:hint="default"/>
      </w:rPr>
    </w:lvl>
    <w:lvl w:ilvl="2" w:tplc="21308F5E" w:tentative="1">
      <w:start w:val="1"/>
      <w:numFmt w:val="bullet"/>
      <w:lvlText w:val=""/>
      <w:lvlJc w:val="left"/>
      <w:pPr>
        <w:ind w:left="2160" w:hanging="360"/>
      </w:pPr>
      <w:rPr>
        <w:rFonts w:ascii="Wingdings" w:hAnsi="Wingdings" w:hint="default"/>
      </w:rPr>
    </w:lvl>
    <w:lvl w:ilvl="3" w:tplc="8A5A193A" w:tentative="1">
      <w:start w:val="1"/>
      <w:numFmt w:val="bullet"/>
      <w:lvlText w:val=""/>
      <w:lvlJc w:val="left"/>
      <w:pPr>
        <w:ind w:left="2880" w:hanging="360"/>
      </w:pPr>
      <w:rPr>
        <w:rFonts w:ascii="Symbol" w:hAnsi="Symbol" w:hint="default"/>
      </w:rPr>
    </w:lvl>
    <w:lvl w:ilvl="4" w:tplc="4F106C14" w:tentative="1">
      <w:start w:val="1"/>
      <w:numFmt w:val="bullet"/>
      <w:lvlText w:val="o"/>
      <w:lvlJc w:val="left"/>
      <w:pPr>
        <w:ind w:left="3600" w:hanging="360"/>
      </w:pPr>
      <w:rPr>
        <w:rFonts w:ascii="Courier New" w:hAnsi="Courier New" w:cs="Courier New" w:hint="default"/>
      </w:rPr>
    </w:lvl>
    <w:lvl w:ilvl="5" w:tplc="B622D034" w:tentative="1">
      <w:start w:val="1"/>
      <w:numFmt w:val="bullet"/>
      <w:lvlText w:val=""/>
      <w:lvlJc w:val="left"/>
      <w:pPr>
        <w:ind w:left="4320" w:hanging="360"/>
      </w:pPr>
      <w:rPr>
        <w:rFonts w:ascii="Wingdings" w:hAnsi="Wingdings" w:hint="default"/>
      </w:rPr>
    </w:lvl>
    <w:lvl w:ilvl="6" w:tplc="1032A080" w:tentative="1">
      <w:start w:val="1"/>
      <w:numFmt w:val="bullet"/>
      <w:lvlText w:val=""/>
      <w:lvlJc w:val="left"/>
      <w:pPr>
        <w:ind w:left="5040" w:hanging="360"/>
      </w:pPr>
      <w:rPr>
        <w:rFonts w:ascii="Symbol" w:hAnsi="Symbol" w:hint="default"/>
      </w:rPr>
    </w:lvl>
    <w:lvl w:ilvl="7" w:tplc="FD309F68" w:tentative="1">
      <w:start w:val="1"/>
      <w:numFmt w:val="bullet"/>
      <w:lvlText w:val="o"/>
      <w:lvlJc w:val="left"/>
      <w:pPr>
        <w:ind w:left="5760" w:hanging="360"/>
      </w:pPr>
      <w:rPr>
        <w:rFonts w:ascii="Courier New" w:hAnsi="Courier New" w:cs="Courier New" w:hint="default"/>
      </w:rPr>
    </w:lvl>
    <w:lvl w:ilvl="8" w:tplc="E356FCF4" w:tentative="1">
      <w:start w:val="1"/>
      <w:numFmt w:val="bullet"/>
      <w:lvlText w:val=""/>
      <w:lvlJc w:val="left"/>
      <w:pPr>
        <w:ind w:left="6480" w:hanging="360"/>
      </w:pPr>
      <w:rPr>
        <w:rFonts w:ascii="Wingdings" w:hAnsi="Wingdings" w:hint="default"/>
      </w:rPr>
    </w:lvl>
  </w:abstractNum>
  <w:abstractNum w:abstractNumId="7" w15:restartNumberingAfterBreak="0">
    <w:nsid w:val="665A4D07"/>
    <w:multiLevelType w:val="hybridMultilevel"/>
    <w:tmpl w:val="8AA0B73C"/>
    <w:lvl w:ilvl="0" w:tplc="B0CC2B28">
      <w:start w:val="1"/>
      <w:numFmt w:val="decimal"/>
      <w:lvlText w:val="%1)"/>
      <w:lvlJc w:val="left"/>
      <w:pPr>
        <w:ind w:left="720" w:hanging="360"/>
      </w:pPr>
    </w:lvl>
    <w:lvl w:ilvl="1" w:tplc="E36E710C" w:tentative="1">
      <w:start w:val="1"/>
      <w:numFmt w:val="lowerLetter"/>
      <w:lvlText w:val="%2."/>
      <w:lvlJc w:val="left"/>
      <w:pPr>
        <w:ind w:left="1440" w:hanging="360"/>
      </w:pPr>
    </w:lvl>
    <w:lvl w:ilvl="2" w:tplc="54F6CF60" w:tentative="1">
      <w:start w:val="1"/>
      <w:numFmt w:val="lowerRoman"/>
      <w:lvlText w:val="%3."/>
      <w:lvlJc w:val="right"/>
      <w:pPr>
        <w:ind w:left="2160" w:hanging="180"/>
      </w:pPr>
    </w:lvl>
    <w:lvl w:ilvl="3" w:tplc="37704E04" w:tentative="1">
      <w:start w:val="1"/>
      <w:numFmt w:val="decimal"/>
      <w:lvlText w:val="%4."/>
      <w:lvlJc w:val="left"/>
      <w:pPr>
        <w:ind w:left="2880" w:hanging="360"/>
      </w:pPr>
    </w:lvl>
    <w:lvl w:ilvl="4" w:tplc="6ACA4844" w:tentative="1">
      <w:start w:val="1"/>
      <w:numFmt w:val="lowerLetter"/>
      <w:lvlText w:val="%5."/>
      <w:lvlJc w:val="left"/>
      <w:pPr>
        <w:ind w:left="3600" w:hanging="360"/>
      </w:pPr>
    </w:lvl>
    <w:lvl w:ilvl="5" w:tplc="E7CC0098" w:tentative="1">
      <w:start w:val="1"/>
      <w:numFmt w:val="lowerRoman"/>
      <w:lvlText w:val="%6."/>
      <w:lvlJc w:val="right"/>
      <w:pPr>
        <w:ind w:left="4320" w:hanging="180"/>
      </w:pPr>
    </w:lvl>
    <w:lvl w:ilvl="6" w:tplc="3B6AB634" w:tentative="1">
      <w:start w:val="1"/>
      <w:numFmt w:val="decimal"/>
      <w:lvlText w:val="%7."/>
      <w:lvlJc w:val="left"/>
      <w:pPr>
        <w:ind w:left="5040" w:hanging="360"/>
      </w:pPr>
    </w:lvl>
    <w:lvl w:ilvl="7" w:tplc="608069C2" w:tentative="1">
      <w:start w:val="1"/>
      <w:numFmt w:val="lowerLetter"/>
      <w:lvlText w:val="%8."/>
      <w:lvlJc w:val="left"/>
      <w:pPr>
        <w:ind w:left="5760" w:hanging="360"/>
      </w:pPr>
    </w:lvl>
    <w:lvl w:ilvl="8" w:tplc="98403A9A" w:tentative="1">
      <w:start w:val="1"/>
      <w:numFmt w:val="lowerRoman"/>
      <w:lvlText w:val="%9."/>
      <w:lvlJc w:val="right"/>
      <w:pPr>
        <w:ind w:left="6480" w:hanging="180"/>
      </w:pPr>
    </w:lvl>
  </w:abstractNum>
  <w:abstractNum w:abstractNumId="8" w15:restartNumberingAfterBreak="0">
    <w:nsid w:val="69984739"/>
    <w:multiLevelType w:val="hybridMultilevel"/>
    <w:tmpl w:val="24DA404E"/>
    <w:lvl w:ilvl="0" w:tplc="F87A1378">
      <w:start w:val="1"/>
      <w:numFmt w:val="decimal"/>
      <w:lvlText w:val="%1)"/>
      <w:lvlJc w:val="left"/>
      <w:pPr>
        <w:ind w:left="720" w:hanging="360"/>
      </w:pPr>
    </w:lvl>
    <w:lvl w:ilvl="1" w:tplc="28DE56A4" w:tentative="1">
      <w:start w:val="1"/>
      <w:numFmt w:val="lowerLetter"/>
      <w:lvlText w:val="%2."/>
      <w:lvlJc w:val="left"/>
      <w:pPr>
        <w:ind w:left="1440" w:hanging="360"/>
      </w:pPr>
    </w:lvl>
    <w:lvl w:ilvl="2" w:tplc="4DE6ED44" w:tentative="1">
      <w:start w:val="1"/>
      <w:numFmt w:val="lowerRoman"/>
      <w:lvlText w:val="%3."/>
      <w:lvlJc w:val="right"/>
      <w:pPr>
        <w:ind w:left="2160" w:hanging="180"/>
      </w:pPr>
    </w:lvl>
    <w:lvl w:ilvl="3" w:tplc="F50EDA9E" w:tentative="1">
      <w:start w:val="1"/>
      <w:numFmt w:val="decimal"/>
      <w:lvlText w:val="%4."/>
      <w:lvlJc w:val="left"/>
      <w:pPr>
        <w:ind w:left="2880" w:hanging="360"/>
      </w:pPr>
    </w:lvl>
    <w:lvl w:ilvl="4" w:tplc="76446D1A" w:tentative="1">
      <w:start w:val="1"/>
      <w:numFmt w:val="lowerLetter"/>
      <w:lvlText w:val="%5."/>
      <w:lvlJc w:val="left"/>
      <w:pPr>
        <w:ind w:left="3600" w:hanging="360"/>
      </w:pPr>
    </w:lvl>
    <w:lvl w:ilvl="5" w:tplc="037607C4" w:tentative="1">
      <w:start w:val="1"/>
      <w:numFmt w:val="lowerRoman"/>
      <w:lvlText w:val="%6."/>
      <w:lvlJc w:val="right"/>
      <w:pPr>
        <w:ind w:left="4320" w:hanging="180"/>
      </w:pPr>
    </w:lvl>
    <w:lvl w:ilvl="6" w:tplc="558671CC" w:tentative="1">
      <w:start w:val="1"/>
      <w:numFmt w:val="decimal"/>
      <w:lvlText w:val="%7."/>
      <w:lvlJc w:val="left"/>
      <w:pPr>
        <w:ind w:left="5040" w:hanging="360"/>
      </w:pPr>
    </w:lvl>
    <w:lvl w:ilvl="7" w:tplc="23A82CD6" w:tentative="1">
      <w:start w:val="1"/>
      <w:numFmt w:val="lowerLetter"/>
      <w:lvlText w:val="%8."/>
      <w:lvlJc w:val="left"/>
      <w:pPr>
        <w:ind w:left="5760" w:hanging="360"/>
      </w:pPr>
    </w:lvl>
    <w:lvl w:ilvl="8" w:tplc="7682E10C" w:tentative="1">
      <w:start w:val="1"/>
      <w:numFmt w:val="lowerRoman"/>
      <w:lvlText w:val="%9."/>
      <w:lvlJc w:val="right"/>
      <w:pPr>
        <w:ind w:left="6480" w:hanging="180"/>
      </w:pPr>
    </w:lvl>
  </w:abstractNum>
  <w:abstractNum w:abstractNumId="9" w15:restartNumberingAfterBreak="0">
    <w:nsid w:val="7F2C7DD0"/>
    <w:multiLevelType w:val="hybridMultilevel"/>
    <w:tmpl w:val="DABC12F4"/>
    <w:lvl w:ilvl="0" w:tplc="A114F9B0">
      <w:start w:val="1"/>
      <w:numFmt w:val="bullet"/>
      <w:lvlText w:val=""/>
      <w:lvlJc w:val="left"/>
      <w:pPr>
        <w:ind w:left="720" w:hanging="360"/>
      </w:pPr>
      <w:rPr>
        <w:rFonts w:ascii="Wingdings" w:hAnsi="Wingdings" w:hint="default"/>
      </w:rPr>
    </w:lvl>
    <w:lvl w:ilvl="1" w:tplc="6FEABF1C" w:tentative="1">
      <w:start w:val="1"/>
      <w:numFmt w:val="bullet"/>
      <w:lvlText w:val="o"/>
      <w:lvlJc w:val="left"/>
      <w:pPr>
        <w:ind w:left="1440" w:hanging="360"/>
      </w:pPr>
      <w:rPr>
        <w:rFonts w:ascii="Courier New" w:hAnsi="Courier New" w:cs="Courier New" w:hint="default"/>
      </w:rPr>
    </w:lvl>
    <w:lvl w:ilvl="2" w:tplc="1FF69B0A" w:tentative="1">
      <w:start w:val="1"/>
      <w:numFmt w:val="bullet"/>
      <w:lvlText w:val=""/>
      <w:lvlJc w:val="left"/>
      <w:pPr>
        <w:ind w:left="2160" w:hanging="360"/>
      </w:pPr>
      <w:rPr>
        <w:rFonts w:ascii="Wingdings" w:hAnsi="Wingdings" w:hint="default"/>
      </w:rPr>
    </w:lvl>
    <w:lvl w:ilvl="3" w:tplc="709816D8" w:tentative="1">
      <w:start w:val="1"/>
      <w:numFmt w:val="bullet"/>
      <w:lvlText w:val=""/>
      <w:lvlJc w:val="left"/>
      <w:pPr>
        <w:ind w:left="2880" w:hanging="360"/>
      </w:pPr>
      <w:rPr>
        <w:rFonts w:ascii="Symbol" w:hAnsi="Symbol" w:hint="default"/>
      </w:rPr>
    </w:lvl>
    <w:lvl w:ilvl="4" w:tplc="E10418E6" w:tentative="1">
      <w:start w:val="1"/>
      <w:numFmt w:val="bullet"/>
      <w:lvlText w:val="o"/>
      <w:lvlJc w:val="left"/>
      <w:pPr>
        <w:ind w:left="3600" w:hanging="360"/>
      </w:pPr>
      <w:rPr>
        <w:rFonts w:ascii="Courier New" w:hAnsi="Courier New" w:cs="Courier New" w:hint="default"/>
      </w:rPr>
    </w:lvl>
    <w:lvl w:ilvl="5" w:tplc="8168F272" w:tentative="1">
      <w:start w:val="1"/>
      <w:numFmt w:val="bullet"/>
      <w:lvlText w:val=""/>
      <w:lvlJc w:val="left"/>
      <w:pPr>
        <w:ind w:left="4320" w:hanging="360"/>
      </w:pPr>
      <w:rPr>
        <w:rFonts w:ascii="Wingdings" w:hAnsi="Wingdings" w:hint="default"/>
      </w:rPr>
    </w:lvl>
    <w:lvl w:ilvl="6" w:tplc="A67C63EA" w:tentative="1">
      <w:start w:val="1"/>
      <w:numFmt w:val="bullet"/>
      <w:lvlText w:val=""/>
      <w:lvlJc w:val="left"/>
      <w:pPr>
        <w:ind w:left="5040" w:hanging="360"/>
      </w:pPr>
      <w:rPr>
        <w:rFonts w:ascii="Symbol" w:hAnsi="Symbol" w:hint="default"/>
      </w:rPr>
    </w:lvl>
    <w:lvl w:ilvl="7" w:tplc="8DCEC472" w:tentative="1">
      <w:start w:val="1"/>
      <w:numFmt w:val="bullet"/>
      <w:lvlText w:val="o"/>
      <w:lvlJc w:val="left"/>
      <w:pPr>
        <w:ind w:left="5760" w:hanging="360"/>
      </w:pPr>
      <w:rPr>
        <w:rFonts w:ascii="Courier New" w:hAnsi="Courier New" w:cs="Courier New" w:hint="default"/>
      </w:rPr>
    </w:lvl>
    <w:lvl w:ilvl="8" w:tplc="DB166B9C"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7"/>
  </w:num>
  <w:num w:numId="6">
    <w:abstractNumId w:val="4"/>
  </w:num>
  <w:num w:numId="7">
    <w:abstractNumId w:val="9"/>
  </w:num>
  <w:num w:numId="8">
    <w:abstractNumId w:val="6"/>
  </w:num>
  <w:num w:numId="9">
    <w:abstractNumId w:val="8"/>
  </w:num>
  <w:num w:numId="10">
    <w:abstractNumId w:val="3"/>
  </w:num>
  <w:num w:numId="11">
    <w:abstractNumId w:val="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3076"/>
    <o:shapelayout v:ext="edit">
      <o:idmap v:ext="edit" data="2,3"/>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7"/>
    <w:rsid w:val="00054169"/>
    <w:rsid w:val="00093CF6"/>
    <w:rsid w:val="000F339D"/>
    <w:rsid w:val="00132D88"/>
    <w:rsid w:val="00191D65"/>
    <w:rsid w:val="00195D43"/>
    <w:rsid w:val="001A70F6"/>
    <w:rsid w:val="001E4046"/>
    <w:rsid w:val="001F7267"/>
    <w:rsid w:val="002978CE"/>
    <w:rsid w:val="002D1EAC"/>
    <w:rsid w:val="00302A99"/>
    <w:rsid w:val="0030391E"/>
    <w:rsid w:val="003812FA"/>
    <w:rsid w:val="003A5946"/>
    <w:rsid w:val="004B5A10"/>
    <w:rsid w:val="004C2162"/>
    <w:rsid w:val="004C48B7"/>
    <w:rsid w:val="005363D4"/>
    <w:rsid w:val="00542ABF"/>
    <w:rsid w:val="00552FF0"/>
    <w:rsid w:val="005620DC"/>
    <w:rsid w:val="00581CD8"/>
    <w:rsid w:val="005C3134"/>
    <w:rsid w:val="006000C2"/>
    <w:rsid w:val="00655DED"/>
    <w:rsid w:val="006F61C1"/>
    <w:rsid w:val="007475A3"/>
    <w:rsid w:val="00793386"/>
    <w:rsid w:val="007D2776"/>
    <w:rsid w:val="008565F5"/>
    <w:rsid w:val="00864E4F"/>
    <w:rsid w:val="00905C1D"/>
    <w:rsid w:val="00906227"/>
    <w:rsid w:val="00921865"/>
    <w:rsid w:val="00952359"/>
    <w:rsid w:val="009A2FAF"/>
    <w:rsid w:val="009B306D"/>
    <w:rsid w:val="009D6678"/>
    <w:rsid w:val="009F4E2C"/>
    <w:rsid w:val="009F7A18"/>
    <w:rsid w:val="00A17E81"/>
    <w:rsid w:val="00A218E2"/>
    <w:rsid w:val="00A36FEC"/>
    <w:rsid w:val="00A54AB9"/>
    <w:rsid w:val="00AA0AA5"/>
    <w:rsid w:val="00AB3C2E"/>
    <w:rsid w:val="00B21FC5"/>
    <w:rsid w:val="00B46DBC"/>
    <w:rsid w:val="00B95531"/>
    <w:rsid w:val="00B965A9"/>
    <w:rsid w:val="00BB34E5"/>
    <w:rsid w:val="00C02F2E"/>
    <w:rsid w:val="00C31433"/>
    <w:rsid w:val="00CC5CEE"/>
    <w:rsid w:val="00CF2333"/>
    <w:rsid w:val="00D31730"/>
    <w:rsid w:val="00E65F7D"/>
    <w:rsid w:val="00EA6FFC"/>
    <w:rsid w:val="00EC6200"/>
    <w:rsid w:val="00F02B8E"/>
    <w:rsid w:val="00F22B1C"/>
    <w:rsid w:val="00F47E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2"/>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qFormat/>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qFormat/>
    <w:pPr>
      <w:widowControl w:val="0"/>
      <w:numPr>
        <w:ilvl w:val="1"/>
        <w:numId w:val="3"/>
      </w:numPr>
      <w:tabs>
        <w:tab w:val="clear" w:pos="792"/>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Appelnotedebasdep">
    <w:name w:val="footnote reference"/>
    <w:qFormat/>
    <w:rPr>
      <w:vertAlign w:val="superscript"/>
      <w:lang w:val="fr-CA"/>
    </w:rPr>
  </w:style>
  <w:style w:type="character" w:customStyle="1" w:styleId="NotedebasdepageCar">
    <w:name w:val="Note de bas de page Car"/>
    <w:link w:val="Notedebasdepage"/>
    <w:uiPriority w:val="99"/>
    <w:rsid w:val="0018161D"/>
    <w:rPr>
      <w:rFonts w:ascii="Arial" w:hAnsi="Arial"/>
      <w:lang w:eastAsia="fr-FR"/>
    </w:rPr>
  </w:style>
  <w:style w:type="paragraph" w:styleId="Listenumros">
    <w:name w:val="List Number"/>
    <w:basedOn w:val="Normal"/>
    <w:pPr>
      <w:numPr>
        <w:numId w:val="4"/>
      </w:numPr>
      <w:spacing w:before="120" w:after="120"/>
    </w:pPr>
  </w:style>
  <w:style w:type="paragraph" w:styleId="Paragraphedeliste">
    <w:name w:val="List Paragraph"/>
    <w:basedOn w:val="Normal"/>
    <w:uiPriority w:val="34"/>
    <w:qFormat/>
    <w:rsid w:val="009C3422"/>
    <w:pPr>
      <w:ind w:left="720"/>
      <w:contextualSpacing/>
    </w:pPr>
    <w:rPr>
      <w:rFonts w:eastAsia="Calibri"/>
      <w:szCs w:val="22"/>
      <w:lang w:eastAsia="en-US"/>
    </w:rPr>
  </w:style>
  <w:style w:type="paragraph" w:styleId="Textedebulles">
    <w:name w:val="Balloon Text"/>
    <w:basedOn w:val="Normal"/>
    <w:link w:val="TextedebullesCar"/>
    <w:rsid w:val="009C5C03"/>
    <w:rPr>
      <w:rFonts w:ascii="Segoe UI" w:hAnsi="Segoe UI" w:cs="Segoe UI"/>
      <w:sz w:val="18"/>
      <w:szCs w:val="18"/>
    </w:rPr>
  </w:style>
  <w:style w:type="character" w:customStyle="1" w:styleId="TextedebullesCar">
    <w:name w:val="Texte de bulles Car"/>
    <w:link w:val="Textedebulles"/>
    <w:rsid w:val="009C5C03"/>
    <w:rPr>
      <w:rFonts w:ascii="Segoe UI" w:hAnsi="Segoe UI" w:cs="Segoe UI"/>
      <w:sz w:val="18"/>
      <w:szCs w:val="18"/>
      <w:lang w:val="fr-CA" w:eastAsia="fr-FR"/>
    </w:rPr>
  </w:style>
  <w:style w:type="character" w:customStyle="1" w:styleId="apple-converted-space">
    <w:name w:val="apple-converted-space"/>
    <w:rsid w:val="002A542D"/>
  </w:style>
  <w:style w:type="table" w:styleId="Grilledutableau">
    <w:name w:val="Table Grid"/>
    <w:basedOn w:val="TableauNormal"/>
    <w:uiPriority w:val="39"/>
    <w:rsid w:val="0014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Car">
    <w:name w:val="Paragraphe Car"/>
    <w:link w:val="Paragraphe"/>
    <w:qFormat/>
    <w:rsid w:val="00493BCD"/>
    <w:rPr>
      <w:rFonts w:ascii="Arial" w:hAnsi="Arial"/>
      <w:kern w:val="28"/>
      <w:sz w:val="24"/>
      <w:lang w:eastAsia="fr-FR"/>
    </w:rPr>
  </w:style>
  <w:style w:type="paragraph" w:styleId="Citation">
    <w:name w:val="Quote"/>
    <w:basedOn w:val="Normal"/>
    <w:next w:val="Normal"/>
    <w:link w:val="CitationCar"/>
    <w:uiPriority w:val="29"/>
    <w:qFormat/>
    <w:rsid w:val="00324F4C"/>
    <w:pPr>
      <w:spacing w:before="200" w:after="160"/>
      <w:ind w:left="864" w:right="864"/>
      <w:jc w:val="center"/>
    </w:pPr>
    <w:rPr>
      <w:i/>
      <w:iCs/>
      <w:color w:val="404040"/>
    </w:rPr>
  </w:style>
  <w:style w:type="character" w:customStyle="1" w:styleId="CitationCar">
    <w:name w:val="Citation Car"/>
    <w:link w:val="Citation"/>
    <w:uiPriority w:val="29"/>
    <w:rsid w:val="00324F4C"/>
    <w:rPr>
      <w:rFonts w:ascii="Arial" w:hAnsi="Arial"/>
      <w:i/>
      <w:iCs/>
      <w:color w:val="404040"/>
      <w:sz w:val="24"/>
      <w:lang w:val="fr-CA" w:eastAsia="fr-FR"/>
    </w:rPr>
  </w:style>
  <w:style w:type="paragraph" w:customStyle="1" w:styleId="Paragrdouble">
    <w:name w:val="Paragr. double"/>
    <w:basedOn w:val="Normal"/>
    <w:link w:val="ParagrdoubleCar"/>
    <w:rsid w:val="00740653"/>
    <w:pPr>
      <w:tabs>
        <w:tab w:val="num" w:pos="360"/>
      </w:tabs>
      <w:spacing w:before="120" w:after="120" w:line="500" w:lineRule="exact"/>
      <w:jc w:val="both"/>
    </w:pPr>
    <w:rPr>
      <w:kern w:val="28"/>
      <w:szCs w:val="24"/>
    </w:rPr>
  </w:style>
  <w:style w:type="character" w:customStyle="1" w:styleId="ParagrdoubleCar">
    <w:name w:val="Paragr. double Car"/>
    <w:link w:val="Paragrdouble"/>
    <w:rsid w:val="00740653"/>
    <w:rPr>
      <w:rFonts w:ascii="Arial" w:hAnsi="Arial"/>
      <w:kern w:val="28"/>
      <w:sz w:val="24"/>
      <w:szCs w:val="24"/>
      <w:lang w:eastAsia="fr-FR"/>
    </w:rPr>
  </w:style>
  <w:style w:type="character" w:customStyle="1" w:styleId="decisia-reflex2-icon">
    <w:name w:val="decisia-reflex2-icon"/>
    <w:rsid w:val="00740653"/>
  </w:style>
  <w:style w:type="character" w:styleId="Marquedecommentaire">
    <w:name w:val="annotation reference"/>
    <w:rsid w:val="00277938"/>
    <w:rPr>
      <w:sz w:val="16"/>
      <w:szCs w:val="16"/>
    </w:rPr>
  </w:style>
  <w:style w:type="paragraph" w:styleId="Commentaire">
    <w:name w:val="annotation text"/>
    <w:basedOn w:val="Normal"/>
    <w:link w:val="CommentaireCar"/>
    <w:rsid w:val="00277938"/>
    <w:rPr>
      <w:sz w:val="20"/>
    </w:rPr>
  </w:style>
  <w:style w:type="character" w:customStyle="1" w:styleId="CommentaireCar">
    <w:name w:val="Commentaire Car"/>
    <w:link w:val="Commentaire"/>
    <w:rsid w:val="00277938"/>
    <w:rPr>
      <w:rFonts w:ascii="Arial" w:hAnsi="Arial"/>
      <w:lang w:eastAsia="fr-FR"/>
    </w:rPr>
  </w:style>
  <w:style w:type="paragraph" w:styleId="Objetducommentaire">
    <w:name w:val="annotation subject"/>
    <w:basedOn w:val="Commentaire"/>
    <w:next w:val="Commentaire"/>
    <w:link w:val="ObjetducommentaireCar"/>
    <w:rsid w:val="00277938"/>
    <w:rPr>
      <w:b/>
      <w:bCs/>
    </w:rPr>
  </w:style>
  <w:style w:type="character" w:customStyle="1" w:styleId="ObjetducommentaireCar">
    <w:name w:val="Objet du commentaire Car"/>
    <w:link w:val="Objetducommentaire"/>
    <w:rsid w:val="00277938"/>
    <w:rPr>
      <w:rFonts w:ascii="Arial" w:hAnsi="Arial"/>
      <w:b/>
      <w:bCs/>
      <w:lang w:eastAsia="fr-FR"/>
    </w:rPr>
  </w:style>
  <w:style w:type="paragraph" w:customStyle="1" w:styleId="a">
    <w:name w:val="a)"/>
    <w:basedOn w:val="Normal"/>
    <w:rsid w:val="000700C6"/>
    <w:pPr>
      <w:numPr>
        <w:numId w:val="6"/>
      </w:numPr>
      <w:spacing w:after="120"/>
      <w:jc w:val="both"/>
    </w:pPr>
  </w:style>
  <w:style w:type="character" w:styleId="Lienhypertexte">
    <w:name w:val="Hyperlink"/>
    <w:basedOn w:val="Policepardfaut"/>
    <w:rsid w:val="009F7A18"/>
    <w:rPr>
      <w:color w:val="0563C1" w:themeColor="hyperlink"/>
      <w:u w:val="single"/>
    </w:rPr>
  </w:style>
  <w:style w:type="paragraph" w:customStyle="1" w:styleId="paragraph">
    <w:name w:val="paragraph"/>
    <w:basedOn w:val="Normal"/>
    <w:rsid w:val="007D2776"/>
    <w:pPr>
      <w:spacing w:before="100" w:beforeAutospacing="1" w:after="100" w:afterAutospacing="1"/>
    </w:pPr>
    <w:rPr>
      <w:rFonts w:ascii="Times New Roman" w:hAnsi="Times New Roman"/>
      <w:szCs w:val="24"/>
      <w:lang w:eastAsia="fr-CA"/>
    </w:rPr>
  </w:style>
  <w:style w:type="character" w:customStyle="1" w:styleId="lawlabel">
    <w:name w:val="lawlabel"/>
    <w:basedOn w:val="Policepardfaut"/>
    <w:rsid w:val="007D2776"/>
  </w:style>
  <w:style w:type="character" w:styleId="Lienhypertextesuivivisit">
    <w:name w:val="FollowedHyperlink"/>
    <w:basedOn w:val="Policepardfaut"/>
    <w:rsid w:val="006F6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AA88-3F61-42AF-A44E-F109F051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4452</Words>
  <Characters>24489</Characters>
  <Application>Microsoft Office Word</Application>
  <DocSecurity>0</DocSecurity>
  <Lines>204</Lines>
  <Paragraphs>57</Paragraphs>
  <ScaleCrop>false</ScaleCrop>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2022-05-26T15:03:00Z</dcterms:created>
  <dcterms:modified xsi:type="dcterms:W3CDTF">2022-05-26T15:13:00Z</dcterms:modified>
</cp:coreProperties>
</file>