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F57D" w14:textId="77777777" w:rsidR="00507A20" w:rsidRPr="00124DB1" w:rsidRDefault="00507A20">
      <w:pPr>
        <w:rPr>
          <w:lang w:val="en-CA"/>
        </w:rPr>
      </w:pPr>
      <w:r w:rsidRPr="00124DB1">
        <w:rPr>
          <w:lang w:val="en-CA"/>
        </w:rPr>
        <w:t>Translated from the original French</w:t>
      </w:r>
    </w:p>
    <w:tbl>
      <w:tblPr>
        <w:tblW w:w="9511" w:type="dxa"/>
        <w:tblLayout w:type="fixed"/>
        <w:tblCellMar>
          <w:left w:w="70" w:type="dxa"/>
          <w:right w:w="70" w:type="dxa"/>
        </w:tblCellMar>
        <w:tblLook w:val="0000" w:firstRow="0" w:lastRow="0" w:firstColumn="0" w:lastColumn="0" w:noHBand="0" w:noVBand="0"/>
      </w:tblPr>
      <w:tblGrid>
        <w:gridCol w:w="1063"/>
        <w:gridCol w:w="562"/>
        <w:gridCol w:w="76"/>
        <w:gridCol w:w="2410"/>
        <w:gridCol w:w="2974"/>
        <w:gridCol w:w="2420"/>
        <w:gridCol w:w="6"/>
      </w:tblGrid>
      <w:tr w:rsidR="00BB30D0" w:rsidRPr="00124DB1" w14:paraId="6D980C37" w14:textId="77777777" w:rsidTr="00507A20">
        <w:trPr>
          <w:gridAfter w:val="1"/>
          <w:wAfter w:w="6" w:type="dxa"/>
          <w:trHeight w:val="360"/>
        </w:trPr>
        <w:tc>
          <w:tcPr>
            <w:tcW w:w="7085" w:type="dxa"/>
            <w:gridSpan w:val="5"/>
          </w:tcPr>
          <w:p w14:paraId="0720749C" w14:textId="535EF8E0" w:rsidR="00507A20" w:rsidRPr="00124DB1" w:rsidRDefault="006F54DF">
            <w:pPr>
              <w:pStyle w:val="zSoquijdatRepertorie"/>
              <w:rPr>
                <w:lang w:val="en-CA"/>
              </w:rPr>
            </w:pPr>
            <w:r>
              <w:rPr>
                <w:rFonts w:cs="Arial"/>
              </w:rPr>
              <w:t>Commission des droits de la personne et des droits de la jeunesse (Bazelais) c. Ville de Montréal (Service de police de la Ville de Montréal) (SPVM)</w:t>
            </w:r>
          </w:p>
        </w:tc>
        <w:tc>
          <w:tcPr>
            <w:tcW w:w="2420" w:type="dxa"/>
          </w:tcPr>
          <w:p w14:paraId="032640FE" w14:textId="0438F4DF" w:rsidR="00507A20" w:rsidRPr="00124DB1" w:rsidRDefault="006F54DF">
            <w:pPr>
              <w:pStyle w:val="zSoquijdatRefNeutre"/>
              <w:rPr>
                <w:lang w:val="en-CA"/>
              </w:rPr>
            </w:pPr>
            <w:r w:rsidRPr="00FE422A">
              <w:rPr>
                <w:rFonts w:cs="Arial"/>
              </w:rPr>
              <w:t>2022 QCTDP 6</w:t>
            </w:r>
          </w:p>
        </w:tc>
      </w:tr>
      <w:tr w:rsidR="00BB30D0" w:rsidRPr="00124DB1" w14:paraId="56491345" w14:textId="77777777" w:rsidTr="00507A20">
        <w:trPr>
          <w:gridAfter w:val="1"/>
          <w:wAfter w:w="6" w:type="dxa"/>
          <w:trHeight w:val="900"/>
        </w:trPr>
        <w:tc>
          <w:tcPr>
            <w:tcW w:w="9505" w:type="dxa"/>
            <w:gridSpan w:val="6"/>
            <w:vAlign w:val="bottom"/>
          </w:tcPr>
          <w:p w14:paraId="7D197FCF" w14:textId="77777777" w:rsidR="00507A20" w:rsidRPr="00124DB1" w:rsidRDefault="00F17449">
            <w:pPr>
              <w:pStyle w:val="zSoquijlblCour"/>
              <w:rPr>
                <w:lang w:val="en-CA"/>
              </w:rPr>
            </w:pPr>
            <w:r w:rsidRPr="00124DB1">
              <w:rPr>
                <w:lang w:val="en-CA"/>
              </w:rPr>
              <w:t>HUMAN RIGHTS TRIBUNAL</w:t>
            </w:r>
          </w:p>
        </w:tc>
      </w:tr>
      <w:tr w:rsidR="00BB30D0" w:rsidRPr="00124DB1" w14:paraId="46648B73" w14:textId="77777777" w:rsidTr="00507A20">
        <w:trPr>
          <w:gridAfter w:val="1"/>
          <w:wAfter w:w="6" w:type="dxa"/>
          <w:trHeight w:val="540"/>
        </w:trPr>
        <w:tc>
          <w:tcPr>
            <w:tcW w:w="9505" w:type="dxa"/>
            <w:gridSpan w:val="6"/>
          </w:tcPr>
          <w:p w14:paraId="4C752DA2" w14:textId="77777777" w:rsidR="00507A20" w:rsidRPr="00124DB1" w:rsidRDefault="00507A20">
            <w:pPr>
              <w:pStyle w:val="zSoquijdatDivision"/>
              <w:rPr>
                <w:lang w:val="en-CA"/>
              </w:rPr>
            </w:pPr>
          </w:p>
        </w:tc>
      </w:tr>
      <w:tr w:rsidR="00BB30D0" w:rsidRPr="00124DB1" w14:paraId="1FCECDF0" w14:textId="77777777" w:rsidTr="00507A20">
        <w:trPr>
          <w:gridAfter w:val="1"/>
          <w:wAfter w:w="6" w:type="dxa"/>
        </w:trPr>
        <w:tc>
          <w:tcPr>
            <w:tcW w:w="9505" w:type="dxa"/>
            <w:gridSpan w:val="6"/>
          </w:tcPr>
          <w:p w14:paraId="1A468E53" w14:textId="77777777" w:rsidR="00507A20" w:rsidRPr="00124DB1" w:rsidRDefault="00F17449">
            <w:pPr>
              <w:pStyle w:val="zSoquijlblPays"/>
              <w:rPr>
                <w:lang w:val="en-CA"/>
              </w:rPr>
            </w:pPr>
            <w:r w:rsidRPr="00124DB1">
              <w:rPr>
                <w:lang w:val="en-CA"/>
              </w:rPr>
              <w:t>CANADA</w:t>
            </w:r>
          </w:p>
        </w:tc>
      </w:tr>
      <w:tr w:rsidR="00BB30D0" w:rsidRPr="00124DB1" w14:paraId="4ED941A7" w14:textId="77777777" w:rsidTr="00507A20">
        <w:trPr>
          <w:gridAfter w:val="1"/>
          <w:wAfter w:w="6" w:type="dxa"/>
        </w:trPr>
        <w:tc>
          <w:tcPr>
            <w:tcW w:w="9505" w:type="dxa"/>
            <w:gridSpan w:val="6"/>
          </w:tcPr>
          <w:p w14:paraId="5BBF241D" w14:textId="77777777" w:rsidR="00507A20" w:rsidRPr="00124DB1" w:rsidRDefault="00F17449">
            <w:pPr>
              <w:pStyle w:val="zSoquijlblProvince"/>
              <w:rPr>
                <w:lang w:val="en-CA"/>
              </w:rPr>
            </w:pPr>
            <w:r w:rsidRPr="00124DB1">
              <w:rPr>
                <w:lang w:val="en-CA"/>
              </w:rPr>
              <w:t>PROVINCE OF QUEBEC</w:t>
            </w:r>
          </w:p>
        </w:tc>
      </w:tr>
      <w:tr w:rsidR="00BB30D0" w:rsidRPr="00124DB1" w14:paraId="50BEDEDA" w14:textId="77777777" w:rsidTr="00507A20">
        <w:tblPrEx>
          <w:tblCellMar>
            <w:left w:w="0" w:type="dxa"/>
            <w:right w:w="0" w:type="dxa"/>
          </w:tblCellMar>
        </w:tblPrEx>
        <w:trPr>
          <w:gridAfter w:val="1"/>
          <w:wAfter w:w="6" w:type="dxa"/>
          <w:cantSplit/>
        </w:trPr>
        <w:tc>
          <w:tcPr>
            <w:tcW w:w="1625" w:type="dxa"/>
            <w:gridSpan w:val="2"/>
          </w:tcPr>
          <w:p w14:paraId="7FB88AB1" w14:textId="77777777" w:rsidR="00507A20" w:rsidRPr="00124DB1" w:rsidRDefault="00F17449">
            <w:pPr>
              <w:pStyle w:val="zSoquijlblGreffe"/>
              <w:rPr>
                <w:lang w:val="en-CA"/>
              </w:rPr>
            </w:pPr>
            <w:r w:rsidRPr="00124DB1">
              <w:rPr>
                <w:lang w:val="en-CA"/>
              </w:rPr>
              <w:t>DISTRICT OF</w:t>
            </w:r>
          </w:p>
        </w:tc>
        <w:tc>
          <w:tcPr>
            <w:tcW w:w="7880" w:type="dxa"/>
            <w:gridSpan w:val="4"/>
          </w:tcPr>
          <w:p w14:paraId="65AD9F23" w14:textId="77777777" w:rsidR="00507A20" w:rsidRPr="00124DB1" w:rsidRDefault="00F17449">
            <w:pPr>
              <w:pStyle w:val="zSoquijdatGreffe"/>
              <w:rPr>
                <w:caps/>
                <w:lang w:val="en-CA"/>
              </w:rPr>
            </w:pPr>
            <w:r w:rsidRPr="00124DB1">
              <w:rPr>
                <w:caps/>
                <w:lang w:val="en-CA"/>
              </w:rPr>
              <w:t>MONTREAL</w:t>
            </w:r>
          </w:p>
        </w:tc>
      </w:tr>
      <w:tr w:rsidR="00BB30D0" w:rsidRPr="00124DB1" w14:paraId="2CD2F88F" w14:textId="77777777" w:rsidTr="00507A20">
        <w:trPr>
          <w:gridAfter w:val="1"/>
          <w:wAfter w:w="6" w:type="dxa"/>
          <w:cantSplit/>
          <w:trHeight w:val="235"/>
        </w:trPr>
        <w:tc>
          <w:tcPr>
            <w:tcW w:w="9505" w:type="dxa"/>
            <w:gridSpan w:val="6"/>
          </w:tcPr>
          <w:p w14:paraId="45782291" w14:textId="77777777" w:rsidR="00507A20" w:rsidRPr="00124DB1" w:rsidRDefault="00507A20" w:rsidP="00507A20">
            <w:pPr>
              <w:rPr>
                <w:lang w:val="en-CA"/>
              </w:rPr>
            </w:pPr>
          </w:p>
        </w:tc>
      </w:tr>
      <w:tr w:rsidR="00BB30D0" w:rsidRPr="00124DB1" w14:paraId="0160FF5A" w14:textId="77777777" w:rsidTr="00507A20">
        <w:trPr>
          <w:gridAfter w:val="1"/>
          <w:wAfter w:w="6" w:type="dxa"/>
        </w:trPr>
        <w:tc>
          <w:tcPr>
            <w:tcW w:w="1063" w:type="dxa"/>
          </w:tcPr>
          <w:p w14:paraId="34963E4C" w14:textId="77777777" w:rsidR="00507A20" w:rsidRPr="00124DB1" w:rsidRDefault="00F17449" w:rsidP="00507A20">
            <w:pPr>
              <w:pStyle w:val="zSoquijlblNoDossier"/>
              <w:rPr>
                <w:lang w:val="en-CA"/>
              </w:rPr>
            </w:pPr>
            <w:r w:rsidRPr="00124DB1">
              <w:rPr>
                <w:lang w:val="en-CA"/>
              </w:rPr>
              <w:t>No.:</w:t>
            </w:r>
          </w:p>
        </w:tc>
        <w:tc>
          <w:tcPr>
            <w:tcW w:w="8442" w:type="dxa"/>
            <w:gridSpan w:val="5"/>
          </w:tcPr>
          <w:p w14:paraId="02E0B3DE" w14:textId="77777777" w:rsidR="00507A20" w:rsidRPr="00124DB1" w:rsidRDefault="00AD32E1" w:rsidP="00507A20">
            <w:pPr>
              <w:pStyle w:val="zSoquijdatNoDossier"/>
              <w:rPr>
                <w:lang w:val="en-CA"/>
              </w:rPr>
            </w:pPr>
            <w:r w:rsidRPr="00124DB1">
              <w:rPr>
                <w:lang w:val="en-CA"/>
              </w:rPr>
              <w:t>500-53-000538-197</w:t>
            </w:r>
          </w:p>
        </w:tc>
      </w:tr>
      <w:tr w:rsidR="00BB30D0" w:rsidRPr="00124DB1" w14:paraId="4B0AD1AB" w14:textId="77777777" w:rsidTr="00507A20">
        <w:trPr>
          <w:gridAfter w:val="1"/>
          <w:wAfter w:w="6" w:type="dxa"/>
          <w:cantSplit/>
          <w:trHeight w:val="235"/>
        </w:trPr>
        <w:tc>
          <w:tcPr>
            <w:tcW w:w="9505" w:type="dxa"/>
            <w:gridSpan w:val="6"/>
          </w:tcPr>
          <w:p w14:paraId="0130DFEA" w14:textId="77777777" w:rsidR="00507A20" w:rsidRPr="00124DB1" w:rsidRDefault="00507A20" w:rsidP="00507A20">
            <w:pPr>
              <w:rPr>
                <w:lang w:val="en-CA"/>
              </w:rPr>
            </w:pPr>
          </w:p>
        </w:tc>
      </w:tr>
      <w:tr w:rsidR="00BB30D0" w:rsidRPr="00124DB1" w14:paraId="34727808" w14:textId="77777777" w:rsidTr="00507A20">
        <w:trPr>
          <w:gridAfter w:val="1"/>
          <w:wAfter w:w="6" w:type="dxa"/>
        </w:trPr>
        <w:tc>
          <w:tcPr>
            <w:tcW w:w="1063" w:type="dxa"/>
          </w:tcPr>
          <w:p w14:paraId="791A66A3" w14:textId="77777777" w:rsidR="00507A20" w:rsidRPr="00124DB1" w:rsidRDefault="00F17449" w:rsidP="00507A20">
            <w:pPr>
              <w:pStyle w:val="zSoquijlblDateJugement"/>
              <w:rPr>
                <w:lang w:val="en-CA"/>
              </w:rPr>
            </w:pPr>
            <w:r w:rsidRPr="00124DB1">
              <w:rPr>
                <w:lang w:val="en-CA"/>
              </w:rPr>
              <w:t>DATE:</w:t>
            </w:r>
          </w:p>
        </w:tc>
        <w:tc>
          <w:tcPr>
            <w:tcW w:w="8442" w:type="dxa"/>
            <w:gridSpan w:val="5"/>
          </w:tcPr>
          <w:p w14:paraId="04E0859D" w14:textId="77777777" w:rsidR="00507A20" w:rsidRPr="00124DB1" w:rsidRDefault="00F17449" w:rsidP="00507A20">
            <w:pPr>
              <w:pStyle w:val="zSoquijdatDateJugement"/>
              <w:rPr>
                <w:lang w:val="en-CA"/>
              </w:rPr>
            </w:pPr>
            <w:r w:rsidRPr="00124DB1">
              <w:rPr>
                <w:lang w:val="en-CA"/>
              </w:rPr>
              <w:t>March 3, 2022</w:t>
            </w:r>
          </w:p>
        </w:tc>
      </w:tr>
      <w:tr w:rsidR="00BB30D0" w:rsidRPr="00124DB1" w14:paraId="3AFD4228" w14:textId="77777777" w:rsidTr="00507A20">
        <w:trPr>
          <w:gridAfter w:val="1"/>
          <w:wAfter w:w="6" w:type="dxa"/>
        </w:trPr>
        <w:tc>
          <w:tcPr>
            <w:tcW w:w="9505" w:type="dxa"/>
            <w:gridSpan w:val="6"/>
          </w:tcPr>
          <w:p w14:paraId="267393E3" w14:textId="77777777" w:rsidR="00507A20" w:rsidRPr="00124DB1" w:rsidRDefault="00AD32E1">
            <w:pPr>
              <w:ind w:left="14" w:right="-67"/>
              <w:rPr>
                <w:lang w:val="en-CA"/>
              </w:rPr>
            </w:pPr>
            <w:r w:rsidRPr="00124DB1">
              <w:rPr>
                <w:lang w:val="en-CA"/>
              </w:rPr>
              <w:t>______________________________________________________________________</w:t>
            </w:r>
          </w:p>
        </w:tc>
      </w:tr>
      <w:tr w:rsidR="00BB30D0" w:rsidRPr="00124DB1" w14:paraId="467F2DB5" w14:textId="77777777" w:rsidTr="00507A20">
        <w:trPr>
          <w:gridAfter w:val="1"/>
          <w:wAfter w:w="6" w:type="dxa"/>
        </w:trPr>
        <w:tc>
          <w:tcPr>
            <w:tcW w:w="9505" w:type="dxa"/>
            <w:gridSpan w:val="6"/>
          </w:tcPr>
          <w:p w14:paraId="20DFD871" w14:textId="77777777" w:rsidR="00507A20" w:rsidRPr="00124DB1" w:rsidRDefault="00507A20">
            <w:pPr>
              <w:rPr>
                <w:lang w:val="en-CA"/>
              </w:rPr>
            </w:pPr>
          </w:p>
        </w:tc>
      </w:tr>
      <w:tr w:rsidR="00BB30D0" w:rsidRPr="00124DB1" w14:paraId="2EFCA660" w14:textId="77777777" w:rsidTr="00B12CBC">
        <w:tblPrEx>
          <w:tblCellMar>
            <w:left w:w="0" w:type="dxa"/>
            <w:right w:w="0" w:type="dxa"/>
          </w:tblCellMar>
        </w:tblPrEx>
        <w:tc>
          <w:tcPr>
            <w:tcW w:w="1701" w:type="dxa"/>
            <w:gridSpan w:val="3"/>
          </w:tcPr>
          <w:p w14:paraId="18095D9C" w14:textId="77777777" w:rsidR="00507A20" w:rsidRPr="00124DB1" w:rsidRDefault="00F17449" w:rsidP="00507A20">
            <w:pPr>
              <w:pStyle w:val="zSoquijlblJuge"/>
              <w:rPr>
                <w:lang w:val="en-CA"/>
              </w:rPr>
            </w:pPr>
            <w:r w:rsidRPr="00124DB1">
              <w:rPr>
                <w:lang w:val="en-CA"/>
              </w:rPr>
              <w:t>PRESIDING:</w:t>
            </w:r>
          </w:p>
        </w:tc>
        <w:tc>
          <w:tcPr>
            <w:tcW w:w="2410" w:type="dxa"/>
          </w:tcPr>
          <w:p w14:paraId="3A58EFE1" w14:textId="77777777" w:rsidR="00507A20" w:rsidRPr="00124DB1" w:rsidRDefault="00F17449" w:rsidP="00507A20">
            <w:pPr>
              <w:pStyle w:val="zSoquijdatQteJuge"/>
              <w:rPr>
                <w:lang w:val="en-CA"/>
              </w:rPr>
            </w:pPr>
            <w:r w:rsidRPr="00124DB1">
              <w:rPr>
                <w:lang w:val="en-CA"/>
              </w:rPr>
              <w:t>THE HONOURABLE</w:t>
            </w:r>
          </w:p>
        </w:tc>
        <w:tc>
          <w:tcPr>
            <w:tcW w:w="5400" w:type="dxa"/>
            <w:gridSpan w:val="3"/>
          </w:tcPr>
          <w:p w14:paraId="00F76C26" w14:textId="77777777" w:rsidR="00507A20" w:rsidRPr="00124DB1" w:rsidRDefault="00F17449" w:rsidP="00507A20">
            <w:pPr>
              <w:pStyle w:val="zSoquijdatJuge"/>
              <w:rPr>
                <w:lang w:val="en-CA"/>
              </w:rPr>
            </w:pPr>
            <w:r w:rsidRPr="00124DB1">
              <w:rPr>
                <w:lang w:val="en-CA"/>
              </w:rPr>
              <w:t>CHRISTIAN BRUNELLE</w:t>
            </w:r>
          </w:p>
        </w:tc>
      </w:tr>
      <w:tr w:rsidR="00BB30D0" w:rsidRPr="00124DB1" w14:paraId="4008917D" w14:textId="77777777" w:rsidTr="00B12CBC">
        <w:trPr>
          <w:gridAfter w:val="1"/>
          <w:wAfter w:w="6" w:type="dxa"/>
        </w:trPr>
        <w:tc>
          <w:tcPr>
            <w:tcW w:w="4111" w:type="dxa"/>
            <w:gridSpan w:val="4"/>
            <w:vAlign w:val="center"/>
          </w:tcPr>
          <w:p w14:paraId="2D879009" w14:textId="77777777" w:rsidR="00507A20" w:rsidRPr="00124DB1" w:rsidRDefault="00F17449" w:rsidP="00507A20">
            <w:pPr>
              <w:pStyle w:val="zSoquijlblAssesseurs"/>
              <w:rPr>
                <w:sz w:val="23"/>
                <w:szCs w:val="23"/>
                <w:lang w:val="en-CA"/>
              </w:rPr>
            </w:pPr>
            <w:r w:rsidRPr="00124DB1">
              <w:rPr>
                <w:sz w:val="23"/>
                <w:szCs w:val="23"/>
                <w:lang w:val="en-CA"/>
              </w:rPr>
              <w:t>WITH THE ASSISTANCE OF ASSESSORS:</w:t>
            </w:r>
          </w:p>
        </w:tc>
        <w:tc>
          <w:tcPr>
            <w:tcW w:w="5394" w:type="dxa"/>
            <w:gridSpan w:val="2"/>
            <w:vAlign w:val="center"/>
          </w:tcPr>
          <w:p w14:paraId="44AD8279" w14:textId="77777777" w:rsidR="00507A20" w:rsidRPr="00124DB1" w:rsidRDefault="00507A20" w:rsidP="00507A20">
            <w:pPr>
              <w:pStyle w:val="zSoquijdatAssesseurs"/>
              <w:rPr>
                <w:lang w:val="en-CA"/>
              </w:rPr>
            </w:pPr>
          </w:p>
          <w:p w14:paraId="4F732BF1" w14:textId="77777777" w:rsidR="00507A20" w:rsidRPr="00DD0C6B" w:rsidRDefault="00F17449" w:rsidP="00507A20">
            <w:pPr>
              <w:pStyle w:val="zSoquijdatAssesseurs"/>
            </w:pPr>
            <w:proofErr w:type="spellStart"/>
            <w:r w:rsidRPr="00DD0C6B">
              <w:t>Mtre</w:t>
            </w:r>
            <w:proofErr w:type="spellEnd"/>
            <w:r w:rsidRPr="00DD0C6B">
              <w:t xml:space="preserve"> Pierre Deschamps</w:t>
            </w:r>
          </w:p>
          <w:p w14:paraId="1069A5C1" w14:textId="77777777" w:rsidR="00507A20" w:rsidRPr="00DD0C6B" w:rsidRDefault="00F17449" w:rsidP="00507A20">
            <w:pPr>
              <w:pStyle w:val="zSoquijdatAssesseurs"/>
            </w:pPr>
            <w:proofErr w:type="spellStart"/>
            <w:r w:rsidRPr="00DD0C6B">
              <w:t>Mtre</w:t>
            </w:r>
            <w:proofErr w:type="spellEnd"/>
            <w:r w:rsidRPr="00DD0C6B">
              <w:t xml:space="preserve"> Marie-Josée Paiement</w:t>
            </w:r>
          </w:p>
        </w:tc>
      </w:tr>
      <w:tr w:rsidR="00BB30D0" w:rsidRPr="00124DB1" w14:paraId="6E43851E" w14:textId="77777777" w:rsidTr="00507A20">
        <w:trPr>
          <w:gridAfter w:val="1"/>
          <w:wAfter w:w="6" w:type="dxa"/>
        </w:trPr>
        <w:tc>
          <w:tcPr>
            <w:tcW w:w="9505" w:type="dxa"/>
            <w:gridSpan w:val="6"/>
          </w:tcPr>
          <w:p w14:paraId="23C240FA" w14:textId="77777777" w:rsidR="00507A20" w:rsidRPr="00124DB1" w:rsidRDefault="00AD32E1">
            <w:pPr>
              <w:ind w:left="14" w:right="-67"/>
              <w:rPr>
                <w:lang w:val="en-CA"/>
              </w:rPr>
            </w:pPr>
            <w:r w:rsidRPr="00124DB1">
              <w:rPr>
                <w:lang w:val="en-CA"/>
              </w:rPr>
              <w:t>______________________________________________________________________</w:t>
            </w:r>
          </w:p>
        </w:tc>
      </w:tr>
      <w:tr w:rsidR="00BB30D0" w:rsidRPr="00124DB1" w14:paraId="2F693368" w14:textId="77777777" w:rsidTr="00507A20">
        <w:trPr>
          <w:gridAfter w:val="1"/>
          <w:wAfter w:w="6" w:type="dxa"/>
        </w:trPr>
        <w:tc>
          <w:tcPr>
            <w:tcW w:w="9505" w:type="dxa"/>
            <w:gridSpan w:val="6"/>
          </w:tcPr>
          <w:p w14:paraId="2F56C8FC" w14:textId="77777777" w:rsidR="00507A20" w:rsidRPr="00124DB1" w:rsidRDefault="00507A20">
            <w:pPr>
              <w:pStyle w:val="zSoquijlblTitrePartie"/>
              <w:rPr>
                <w:lang w:val="en-CA"/>
              </w:rPr>
            </w:pPr>
          </w:p>
        </w:tc>
      </w:tr>
      <w:tr w:rsidR="00BB30D0" w:rsidRPr="00124DB1" w14:paraId="198FD8D9" w14:textId="77777777" w:rsidTr="00507A20">
        <w:trPr>
          <w:gridAfter w:val="1"/>
          <w:wAfter w:w="6" w:type="dxa"/>
        </w:trPr>
        <w:tc>
          <w:tcPr>
            <w:tcW w:w="9505" w:type="dxa"/>
            <w:gridSpan w:val="6"/>
          </w:tcPr>
          <w:p w14:paraId="71E5D7AC" w14:textId="77777777" w:rsidR="00507A20" w:rsidRPr="00124DB1" w:rsidRDefault="00507A20">
            <w:pPr>
              <w:rPr>
                <w:lang w:val="en-CA"/>
              </w:rPr>
            </w:pPr>
          </w:p>
        </w:tc>
      </w:tr>
      <w:tr w:rsidR="00BB30D0" w:rsidRPr="00124DB1" w14:paraId="1F49C0D6" w14:textId="77777777" w:rsidTr="00507A20">
        <w:trPr>
          <w:gridAfter w:val="1"/>
          <w:wAfter w:w="6" w:type="dxa"/>
        </w:trPr>
        <w:tc>
          <w:tcPr>
            <w:tcW w:w="9505" w:type="dxa"/>
            <w:gridSpan w:val="6"/>
          </w:tcPr>
          <w:p w14:paraId="3E7EBDF2" w14:textId="77777777" w:rsidR="00507A20" w:rsidRPr="00DD0C6B" w:rsidRDefault="00F17449" w:rsidP="00507A20">
            <w:pPr>
              <w:pStyle w:val="zSoquijdatNomPartieDem"/>
              <w:jc w:val="both"/>
              <w:rPr>
                <w:b w:val="0"/>
              </w:rPr>
            </w:pPr>
            <w:r w:rsidRPr="00DD0C6B">
              <w:t xml:space="preserve">COMMISSION DES DROITS DE LA PERSONNE ET DES DROITS DE LA JEUNESSE, </w:t>
            </w:r>
            <w:r w:rsidRPr="00DD0C6B">
              <w:rPr>
                <w:b w:val="0"/>
              </w:rPr>
              <w:t xml:space="preserve">acting in the public </w:t>
            </w:r>
            <w:proofErr w:type="spellStart"/>
            <w:r w:rsidRPr="00DD0C6B">
              <w:rPr>
                <w:b w:val="0"/>
              </w:rPr>
              <w:t>interest</w:t>
            </w:r>
            <w:proofErr w:type="spellEnd"/>
            <w:r w:rsidRPr="00DD0C6B">
              <w:rPr>
                <w:b w:val="0"/>
              </w:rPr>
              <w:t xml:space="preserve"> and on </w:t>
            </w:r>
            <w:proofErr w:type="spellStart"/>
            <w:r w:rsidRPr="00DD0C6B">
              <w:rPr>
                <w:b w:val="0"/>
              </w:rPr>
              <w:t>behalf</w:t>
            </w:r>
            <w:proofErr w:type="spellEnd"/>
            <w:r w:rsidRPr="00DD0C6B">
              <w:rPr>
                <w:b w:val="0"/>
              </w:rPr>
              <w:t xml:space="preserve"> of</w:t>
            </w:r>
            <w:r w:rsidRPr="00DD0C6B">
              <w:t xml:space="preserve"> PAUL BAZELAIS</w:t>
            </w:r>
          </w:p>
        </w:tc>
      </w:tr>
      <w:tr w:rsidR="00BB30D0" w:rsidRPr="00124DB1" w14:paraId="65C26A0B" w14:textId="77777777" w:rsidTr="00507A20">
        <w:trPr>
          <w:gridAfter w:val="1"/>
          <w:wAfter w:w="6" w:type="dxa"/>
        </w:trPr>
        <w:tc>
          <w:tcPr>
            <w:tcW w:w="9505" w:type="dxa"/>
            <w:gridSpan w:val="6"/>
          </w:tcPr>
          <w:p w14:paraId="6B779600" w14:textId="77777777" w:rsidR="00507A20" w:rsidRPr="00124DB1" w:rsidRDefault="00F17449">
            <w:pPr>
              <w:pStyle w:val="zSoquijdatQtePartieDem"/>
              <w:rPr>
                <w:lang w:val="en-CA"/>
              </w:rPr>
            </w:pPr>
            <w:r w:rsidRPr="00124DB1">
              <w:rPr>
                <w:lang w:val="en-CA"/>
              </w:rPr>
              <w:t>Plaintiff</w:t>
            </w:r>
          </w:p>
        </w:tc>
      </w:tr>
      <w:tr w:rsidR="00BB30D0" w:rsidRPr="00124DB1" w14:paraId="1F8A82DB" w14:textId="77777777" w:rsidTr="00507A20">
        <w:trPr>
          <w:gridAfter w:val="1"/>
          <w:wAfter w:w="6" w:type="dxa"/>
        </w:trPr>
        <w:tc>
          <w:tcPr>
            <w:tcW w:w="9505" w:type="dxa"/>
            <w:gridSpan w:val="6"/>
          </w:tcPr>
          <w:p w14:paraId="6E6B2580" w14:textId="77777777" w:rsidR="00507A20" w:rsidRPr="00124DB1" w:rsidRDefault="00F17449">
            <w:pPr>
              <w:pStyle w:val="zSoquijlblLienParties"/>
              <w:rPr>
                <w:lang w:val="en-CA"/>
              </w:rPr>
            </w:pPr>
            <w:r w:rsidRPr="00124DB1">
              <w:rPr>
                <w:lang w:val="en-CA"/>
              </w:rPr>
              <w:t>v.</w:t>
            </w:r>
          </w:p>
        </w:tc>
      </w:tr>
      <w:tr w:rsidR="00BB30D0" w:rsidRPr="00124DB1" w14:paraId="4500550A" w14:textId="77777777" w:rsidTr="00507A20">
        <w:trPr>
          <w:gridAfter w:val="1"/>
          <w:wAfter w:w="6" w:type="dxa"/>
        </w:trPr>
        <w:tc>
          <w:tcPr>
            <w:tcW w:w="9505" w:type="dxa"/>
            <w:gridSpan w:val="6"/>
          </w:tcPr>
          <w:p w14:paraId="1FCAE001" w14:textId="5E10A53E" w:rsidR="00507A20" w:rsidRPr="00DD0C6B" w:rsidRDefault="00F17449" w:rsidP="00830A26">
            <w:pPr>
              <w:pStyle w:val="zSoquijdatNomPartieDef"/>
              <w:jc w:val="both"/>
              <w:rPr>
                <w:caps/>
              </w:rPr>
            </w:pPr>
            <w:r w:rsidRPr="00DD0C6B">
              <w:rPr>
                <w:caps/>
              </w:rPr>
              <w:t>VILLE DE MONTRÉAL (SERVICE DE POLICE DE LA VILLE DE MONTRÉAL) (SPVM)</w:t>
            </w:r>
          </w:p>
        </w:tc>
      </w:tr>
      <w:tr w:rsidR="00BB30D0" w:rsidRPr="00124DB1" w14:paraId="65F6D7FE" w14:textId="77777777" w:rsidTr="00507A20">
        <w:trPr>
          <w:gridAfter w:val="1"/>
          <w:wAfter w:w="6" w:type="dxa"/>
        </w:trPr>
        <w:tc>
          <w:tcPr>
            <w:tcW w:w="9505" w:type="dxa"/>
            <w:gridSpan w:val="6"/>
          </w:tcPr>
          <w:p w14:paraId="38CB2FD5" w14:textId="77777777" w:rsidR="00507A20" w:rsidRPr="00124DB1" w:rsidRDefault="00F17449">
            <w:pPr>
              <w:pStyle w:val="zSoquijdatNomPartieDef"/>
              <w:rPr>
                <w:b w:val="0"/>
                <w:lang w:val="en-CA"/>
              </w:rPr>
            </w:pPr>
            <w:r w:rsidRPr="00124DB1">
              <w:rPr>
                <w:b w:val="0"/>
                <w:lang w:val="en-CA"/>
              </w:rPr>
              <w:t>and</w:t>
            </w:r>
          </w:p>
        </w:tc>
      </w:tr>
      <w:tr w:rsidR="00BB30D0" w:rsidRPr="00124DB1" w14:paraId="413A6B2C" w14:textId="77777777" w:rsidTr="00507A20">
        <w:trPr>
          <w:gridAfter w:val="1"/>
          <w:wAfter w:w="6" w:type="dxa"/>
        </w:trPr>
        <w:tc>
          <w:tcPr>
            <w:tcW w:w="9505" w:type="dxa"/>
            <w:gridSpan w:val="6"/>
          </w:tcPr>
          <w:p w14:paraId="49C90E67" w14:textId="77777777" w:rsidR="00507A20" w:rsidRPr="00124DB1" w:rsidRDefault="00F17449" w:rsidP="00507A20">
            <w:pPr>
              <w:pStyle w:val="zSoquijdatNomPartieDef"/>
              <w:rPr>
                <w:lang w:val="en-CA"/>
              </w:rPr>
            </w:pPr>
            <w:r w:rsidRPr="00124DB1">
              <w:rPr>
                <w:caps/>
                <w:lang w:val="en-CA"/>
              </w:rPr>
              <w:t>STÉPHANE MATHURIN</w:t>
            </w:r>
            <w:r w:rsidR="00AD32E1" w:rsidRPr="00124DB1">
              <w:rPr>
                <w:lang w:val="en-CA"/>
              </w:rPr>
              <w:t xml:space="preserve"> </w:t>
            </w:r>
          </w:p>
        </w:tc>
      </w:tr>
      <w:tr w:rsidR="00BB30D0" w:rsidRPr="00124DB1" w14:paraId="7EF6D64E" w14:textId="77777777" w:rsidTr="00507A20">
        <w:trPr>
          <w:gridAfter w:val="1"/>
          <w:wAfter w:w="6" w:type="dxa"/>
        </w:trPr>
        <w:tc>
          <w:tcPr>
            <w:tcW w:w="9505" w:type="dxa"/>
            <w:gridSpan w:val="6"/>
          </w:tcPr>
          <w:p w14:paraId="792E4415" w14:textId="77777777" w:rsidR="00507A20" w:rsidRPr="00124DB1" w:rsidRDefault="00F17449">
            <w:pPr>
              <w:pStyle w:val="zSoquijdatQtePartieDef"/>
              <w:rPr>
                <w:lang w:val="en-CA"/>
              </w:rPr>
            </w:pPr>
            <w:r w:rsidRPr="00124DB1">
              <w:rPr>
                <w:lang w:val="en-CA"/>
              </w:rPr>
              <w:t>Defendants</w:t>
            </w:r>
          </w:p>
        </w:tc>
      </w:tr>
      <w:tr w:rsidR="00BB30D0" w:rsidRPr="00124DB1" w14:paraId="34756554" w14:textId="77777777" w:rsidTr="00507A20">
        <w:trPr>
          <w:gridAfter w:val="1"/>
          <w:wAfter w:w="6" w:type="dxa"/>
        </w:trPr>
        <w:tc>
          <w:tcPr>
            <w:tcW w:w="9505" w:type="dxa"/>
            <w:gridSpan w:val="6"/>
          </w:tcPr>
          <w:p w14:paraId="5E887821" w14:textId="77777777" w:rsidR="00507A20" w:rsidRPr="00124DB1" w:rsidRDefault="00F17449" w:rsidP="00507A20">
            <w:pPr>
              <w:pStyle w:val="zSoquijdatQtePartieDef"/>
              <w:ind w:left="0"/>
              <w:rPr>
                <w:lang w:val="en-CA"/>
              </w:rPr>
            </w:pPr>
            <w:r w:rsidRPr="00124DB1">
              <w:rPr>
                <w:lang w:val="en-CA"/>
              </w:rPr>
              <w:t>and</w:t>
            </w:r>
          </w:p>
        </w:tc>
      </w:tr>
      <w:tr w:rsidR="00BB30D0" w:rsidRPr="00124DB1" w14:paraId="6D5FB823" w14:textId="77777777" w:rsidTr="00507A20">
        <w:trPr>
          <w:gridAfter w:val="1"/>
          <w:wAfter w:w="6" w:type="dxa"/>
        </w:trPr>
        <w:tc>
          <w:tcPr>
            <w:tcW w:w="9505" w:type="dxa"/>
            <w:gridSpan w:val="6"/>
          </w:tcPr>
          <w:p w14:paraId="16BD0B1B" w14:textId="77777777" w:rsidR="00507A20" w:rsidRPr="00124DB1" w:rsidRDefault="00F17449" w:rsidP="00507A20">
            <w:pPr>
              <w:pStyle w:val="zSoquijdatQtePartieDef"/>
              <w:ind w:left="0"/>
              <w:rPr>
                <w:b/>
                <w:lang w:val="en-CA"/>
              </w:rPr>
            </w:pPr>
            <w:r w:rsidRPr="00124DB1">
              <w:rPr>
                <w:b/>
                <w:lang w:val="en-CA"/>
              </w:rPr>
              <w:t>PAUL BAZELAIS</w:t>
            </w:r>
          </w:p>
        </w:tc>
      </w:tr>
      <w:tr w:rsidR="00BB30D0" w:rsidRPr="00124DB1" w14:paraId="7865EE27" w14:textId="77777777" w:rsidTr="00507A20">
        <w:trPr>
          <w:gridAfter w:val="1"/>
          <w:wAfter w:w="6" w:type="dxa"/>
        </w:trPr>
        <w:tc>
          <w:tcPr>
            <w:tcW w:w="9505" w:type="dxa"/>
            <w:gridSpan w:val="6"/>
          </w:tcPr>
          <w:p w14:paraId="0C2812CD" w14:textId="77777777" w:rsidR="00507A20" w:rsidRPr="00124DB1" w:rsidRDefault="00F17449" w:rsidP="00507A20">
            <w:pPr>
              <w:pStyle w:val="zSoquijdatQtePartieDef"/>
              <w:ind w:left="734"/>
              <w:rPr>
                <w:lang w:val="en-CA"/>
              </w:rPr>
            </w:pPr>
            <w:r w:rsidRPr="00124DB1">
              <w:rPr>
                <w:lang w:val="en-CA"/>
              </w:rPr>
              <w:t>Victim</w:t>
            </w:r>
          </w:p>
        </w:tc>
      </w:tr>
      <w:tr w:rsidR="00BB30D0" w:rsidRPr="00124DB1" w14:paraId="17290B31" w14:textId="77777777" w:rsidTr="00507A20">
        <w:trPr>
          <w:gridAfter w:val="1"/>
          <w:wAfter w:w="6" w:type="dxa"/>
        </w:trPr>
        <w:tc>
          <w:tcPr>
            <w:tcW w:w="9505" w:type="dxa"/>
            <w:gridSpan w:val="6"/>
          </w:tcPr>
          <w:p w14:paraId="796E4A65" w14:textId="77777777" w:rsidR="00507A20" w:rsidRPr="00124DB1" w:rsidRDefault="00F17449" w:rsidP="00507A20">
            <w:pPr>
              <w:pStyle w:val="zSoquijdatQtePartieDef"/>
              <w:ind w:left="0"/>
              <w:rPr>
                <w:lang w:val="en-CA"/>
              </w:rPr>
            </w:pPr>
            <w:r w:rsidRPr="00124DB1">
              <w:rPr>
                <w:lang w:val="en-CA"/>
              </w:rPr>
              <w:t>and</w:t>
            </w:r>
          </w:p>
        </w:tc>
      </w:tr>
      <w:tr w:rsidR="00BB30D0" w:rsidRPr="007C7010" w14:paraId="1C9F145D" w14:textId="77777777" w:rsidTr="00507A20">
        <w:trPr>
          <w:gridAfter w:val="1"/>
          <w:wAfter w:w="6" w:type="dxa"/>
        </w:trPr>
        <w:tc>
          <w:tcPr>
            <w:tcW w:w="9505" w:type="dxa"/>
            <w:gridSpan w:val="6"/>
          </w:tcPr>
          <w:p w14:paraId="1C9F0C14" w14:textId="77777777" w:rsidR="00507A20" w:rsidRPr="00124DB1" w:rsidRDefault="00F17449" w:rsidP="00507A20">
            <w:pPr>
              <w:pStyle w:val="zSoquijdatQtePartieDef"/>
              <w:ind w:left="0"/>
              <w:rPr>
                <w:b/>
                <w:lang w:val="en-CA"/>
              </w:rPr>
            </w:pPr>
            <w:r w:rsidRPr="00124DB1">
              <w:rPr>
                <w:b/>
                <w:caps/>
                <w:lang w:val="en-CA"/>
              </w:rPr>
              <w:t>CENTER FOR RESEARCH-ACTION ON RACE RELATIONS (CRARR)</w:t>
            </w:r>
          </w:p>
        </w:tc>
      </w:tr>
      <w:tr w:rsidR="00BB30D0" w:rsidRPr="00124DB1" w14:paraId="40FC6BDB" w14:textId="77777777" w:rsidTr="00507A20">
        <w:trPr>
          <w:gridAfter w:val="1"/>
          <w:wAfter w:w="6" w:type="dxa"/>
        </w:trPr>
        <w:tc>
          <w:tcPr>
            <w:tcW w:w="9505" w:type="dxa"/>
            <w:gridSpan w:val="6"/>
          </w:tcPr>
          <w:p w14:paraId="1DDCF700" w14:textId="77777777" w:rsidR="00507A20" w:rsidRPr="00124DB1" w:rsidRDefault="00F17449" w:rsidP="00507A20">
            <w:pPr>
              <w:pStyle w:val="zSoquijdatQtePartieDef"/>
              <w:ind w:left="734"/>
              <w:rPr>
                <w:lang w:val="en-CA"/>
              </w:rPr>
            </w:pPr>
            <w:r w:rsidRPr="00124DB1">
              <w:rPr>
                <w:lang w:val="en-CA"/>
              </w:rPr>
              <w:t>Complainant</w:t>
            </w:r>
          </w:p>
        </w:tc>
      </w:tr>
      <w:tr w:rsidR="00BB30D0" w:rsidRPr="00124DB1" w14:paraId="74FCE27D" w14:textId="77777777" w:rsidTr="00507A20">
        <w:trPr>
          <w:gridAfter w:val="1"/>
          <w:wAfter w:w="6" w:type="dxa"/>
        </w:trPr>
        <w:tc>
          <w:tcPr>
            <w:tcW w:w="9505" w:type="dxa"/>
            <w:gridSpan w:val="6"/>
          </w:tcPr>
          <w:p w14:paraId="2EC27485" w14:textId="77777777" w:rsidR="00507A20" w:rsidRPr="00124DB1" w:rsidRDefault="00507A20" w:rsidP="00507A20">
            <w:pPr>
              <w:pStyle w:val="zSoquijdatQtePartieDef"/>
              <w:ind w:left="734"/>
              <w:rPr>
                <w:lang w:val="en-CA"/>
              </w:rPr>
            </w:pPr>
          </w:p>
        </w:tc>
      </w:tr>
      <w:tr w:rsidR="00BB30D0" w:rsidRPr="00124DB1" w14:paraId="53202475" w14:textId="77777777" w:rsidTr="00507A20">
        <w:trPr>
          <w:gridAfter w:val="1"/>
          <w:wAfter w:w="6" w:type="dxa"/>
        </w:trPr>
        <w:tc>
          <w:tcPr>
            <w:tcW w:w="9505" w:type="dxa"/>
            <w:gridSpan w:val="6"/>
          </w:tcPr>
          <w:p w14:paraId="2489BCE3" w14:textId="77777777" w:rsidR="00507A20" w:rsidRPr="00124DB1" w:rsidRDefault="00AD32E1" w:rsidP="00507A20">
            <w:pPr>
              <w:ind w:left="14" w:right="-95"/>
              <w:rPr>
                <w:lang w:val="en-CA"/>
              </w:rPr>
            </w:pPr>
            <w:r w:rsidRPr="00124DB1">
              <w:rPr>
                <w:lang w:val="en-CA"/>
              </w:rPr>
              <w:t>______________________________________________________________________</w:t>
            </w:r>
          </w:p>
        </w:tc>
      </w:tr>
      <w:tr w:rsidR="00BB30D0" w:rsidRPr="00124DB1" w14:paraId="560F16A5" w14:textId="77777777" w:rsidTr="00507A20">
        <w:trPr>
          <w:gridAfter w:val="1"/>
          <w:wAfter w:w="6" w:type="dxa"/>
        </w:trPr>
        <w:tc>
          <w:tcPr>
            <w:tcW w:w="9505" w:type="dxa"/>
            <w:gridSpan w:val="6"/>
          </w:tcPr>
          <w:p w14:paraId="13238E19" w14:textId="77777777" w:rsidR="00507A20" w:rsidRPr="00124DB1" w:rsidRDefault="00507A20" w:rsidP="00507A20">
            <w:pPr>
              <w:jc w:val="center"/>
              <w:rPr>
                <w:lang w:val="en-CA"/>
              </w:rPr>
            </w:pPr>
          </w:p>
        </w:tc>
      </w:tr>
      <w:tr w:rsidR="00BB30D0" w:rsidRPr="00124DB1" w14:paraId="2A5A9B99" w14:textId="77777777" w:rsidTr="00507A20">
        <w:trPr>
          <w:gridAfter w:val="1"/>
          <w:wAfter w:w="6" w:type="dxa"/>
        </w:trPr>
        <w:tc>
          <w:tcPr>
            <w:tcW w:w="9505" w:type="dxa"/>
            <w:gridSpan w:val="6"/>
          </w:tcPr>
          <w:p w14:paraId="1BE48F4F" w14:textId="77777777" w:rsidR="00507A20" w:rsidRPr="00124DB1" w:rsidRDefault="00F17449" w:rsidP="00507A20">
            <w:pPr>
              <w:pStyle w:val="zSoquijlblTypeDocument"/>
              <w:rPr>
                <w:b/>
                <w:lang w:val="en-CA"/>
              </w:rPr>
            </w:pPr>
            <w:r w:rsidRPr="00124DB1">
              <w:rPr>
                <w:b/>
                <w:lang w:val="en-CA"/>
              </w:rPr>
              <w:t>JUDGMENT</w:t>
            </w:r>
          </w:p>
        </w:tc>
      </w:tr>
      <w:tr w:rsidR="00BB30D0" w:rsidRPr="00124DB1" w14:paraId="0E89FDD2" w14:textId="77777777" w:rsidTr="00507A20">
        <w:trPr>
          <w:gridAfter w:val="1"/>
          <w:wAfter w:w="6" w:type="dxa"/>
        </w:trPr>
        <w:tc>
          <w:tcPr>
            <w:tcW w:w="9505" w:type="dxa"/>
            <w:gridSpan w:val="6"/>
          </w:tcPr>
          <w:p w14:paraId="71100483" w14:textId="77777777" w:rsidR="00507A20" w:rsidRPr="00124DB1" w:rsidRDefault="00AD32E1" w:rsidP="00507A20">
            <w:pPr>
              <w:ind w:left="14" w:right="-70"/>
              <w:rPr>
                <w:lang w:val="en-CA"/>
              </w:rPr>
            </w:pPr>
            <w:r w:rsidRPr="00124DB1">
              <w:rPr>
                <w:lang w:val="en-CA"/>
              </w:rPr>
              <w:t>______________________________________________________________________</w:t>
            </w:r>
          </w:p>
        </w:tc>
      </w:tr>
      <w:tr w:rsidR="00BB30D0" w:rsidRPr="00124DB1" w14:paraId="13CA0B1F" w14:textId="77777777" w:rsidTr="00507A20">
        <w:trPr>
          <w:gridAfter w:val="1"/>
          <w:wAfter w:w="6" w:type="dxa"/>
        </w:trPr>
        <w:tc>
          <w:tcPr>
            <w:tcW w:w="9505" w:type="dxa"/>
            <w:gridSpan w:val="6"/>
          </w:tcPr>
          <w:p w14:paraId="5EDB07E0" w14:textId="77777777" w:rsidR="00507A20" w:rsidRPr="00124DB1" w:rsidRDefault="00507A20" w:rsidP="00507A20">
            <w:pPr>
              <w:rPr>
                <w:lang w:val="en-CA"/>
              </w:rPr>
            </w:pPr>
          </w:p>
        </w:tc>
      </w:tr>
    </w:tbl>
    <w:p w14:paraId="49196992" w14:textId="152E3BC0" w:rsidR="00507A20" w:rsidRPr="00124DB1" w:rsidRDefault="00F17449" w:rsidP="00507A20">
      <w:pPr>
        <w:pStyle w:val="Paragraphe"/>
        <w:tabs>
          <w:tab w:val="clear" w:pos="360"/>
          <w:tab w:val="clear" w:pos="567"/>
          <w:tab w:val="num" w:pos="709"/>
        </w:tabs>
      </w:pPr>
      <w:proofErr w:type="gramStart"/>
      <w:r w:rsidRPr="00124DB1">
        <w:lastRenderedPageBreak/>
        <w:t xml:space="preserve">The Commission des droits de la </w:t>
      </w:r>
      <w:proofErr w:type="spellStart"/>
      <w:r w:rsidRPr="00124DB1">
        <w:t>personne</w:t>
      </w:r>
      <w:proofErr w:type="spellEnd"/>
      <w:r w:rsidRPr="00124DB1">
        <w:t xml:space="preserve"> et des droits de la </w:t>
      </w:r>
      <w:proofErr w:type="spellStart"/>
      <w:r w:rsidRPr="00124DB1">
        <w:t>jeunesse</w:t>
      </w:r>
      <w:proofErr w:type="spellEnd"/>
      <w:r w:rsidRPr="00124DB1">
        <w:t xml:space="preserve"> (Commission), acting in the public in</w:t>
      </w:r>
      <w:r w:rsidR="00B12CBC" w:rsidRPr="00124DB1">
        <w:t xml:space="preserve">terest and on behalf of Paul </w:t>
      </w:r>
      <w:proofErr w:type="spellStart"/>
      <w:r w:rsidR="00B12CBC" w:rsidRPr="00124DB1">
        <w:t>Baz</w:t>
      </w:r>
      <w:r w:rsidRPr="00124DB1">
        <w:t>elais</w:t>
      </w:r>
      <w:proofErr w:type="spellEnd"/>
      <w:r w:rsidRPr="00124DB1">
        <w:t>, argues that the Ville de Montréal (</w:t>
      </w:r>
      <w:r w:rsidR="00DD0C6B">
        <w:t>City</w:t>
      </w:r>
      <w:r w:rsidRPr="00124DB1">
        <w:t>)</w:t>
      </w:r>
      <w:r w:rsidR="00B12CBC" w:rsidRPr="00124DB1">
        <w:t xml:space="preserve"> and one of its special units (</w:t>
      </w:r>
      <w:proofErr w:type="spellStart"/>
      <w:r w:rsidR="00B73650" w:rsidRPr="00124DB1">
        <w:t>É</w:t>
      </w:r>
      <w:r w:rsidRPr="00124DB1">
        <w:t>clipse</w:t>
      </w:r>
      <w:proofErr w:type="spellEnd"/>
      <w:r w:rsidRPr="00124DB1">
        <w:t xml:space="preserve">), under the responsibility of police officer Stéphane Mathurin, unlawfully racially profiled Mr. </w:t>
      </w:r>
      <w:proofErr w:type="spellStart"/>
      <w:r w:rsidRPr="00124DB1">
        <w:t>Bazelais</w:t>
      </w:r>
      <w:proofErr w:type="spellEnd"/>
      <w:r w:rsidRPr="00124DB1">
        <w:t xml:space="preserve"> during an intervention in a bar, thereby interfering with his rights under the </w:t>
      </w:r>
      <w:r w:rsidRPr="00124DB1">
        <w:rPr>
          <w:i/>
        </w:rPr>
        <w:t>Charter of human rights and freedoms</w:t>
      </w:r>
      <w:r w:rsidR="00AD32E1" w:rsidRPr="00124DB1">
        <w:rPr>
          <w:rStyle w:val="Appelnotedebasdep"/>
        </w:rPr>
        <w:footnoteReference w:id="1"/>
      </w:r>
      <w:r w:rsidRPr="00124DB1">
        <w:t xml:space="preserve"> (</w:t>
      </w:r>
      <w:r w:rsidRPr="00124DB1">
        <w:rPr>
          <w:i/>
        </w:rPr>
        <w:t>Charter</w:t>
      </w:r>
      <w:r w:rsidRPr="00124DB1">
        <w:t xml:space="preserve">) in a </w:t>
      </w:r>
      <w:r w:rsidR="00B12CBC" w:rsidRPr="00124DB1">
        <w:t>discriminatory</w:t>
      </w:r>
      <w:r w:rsidRPr="00124DB1">
        <w:t xml:space="preserve"> manner.</w:t>
      </w:r>
      <w:proofErr w:type="gramEnd"/>
    </w:p>
    <w:p w14:paraId="6EF3E08D" w14:textId="26BB3D4A" w:rsidR="00507A20" w:rsidRPr="00124DB1" w:rsidRDefault="008C534F" w:rsidP="00507A20">
      <w:pPr>
        <w:pStyle w:val="Paragraphe"/>
        <w:tabs>
          <w:tab w:val="clear" w:pos="360"/>
          <w:tab w:val="clear" w:pos="567"/>
          <w:tab w:val="num" w:pos="709"/>
        </w:tabs>
      </w:pPr>
      <w:r w:rsidRPr="00124DB1">
        <w:t>On behalf of</w:t>
      </w:r>
      <w:r w:rsidR="00B12CBC" w:rsidRPr="00124DB1">
        <w:t xml:space="preserve"> Mr. </w:t>
      </w:r>
      <w:proofErr w:type="spellStart"/>
      <w:r w:rsidR="00B12CBC" w:rsidRPr="00124DB1">
        <w:t>Bazelais</w:t>
      </w:r>
      <w:proofErr w:type="spellEnd"/>
      <w:r w:rsidR="00F17449" w:rsidRPr="00124DB1">
        <w:t xml:space="preserve">, the </w:t>
      </w:r>
      <w:r w:rsidR="00B12CBC" w:rsidRPr="00124DB1">
        <w:t>Commission</w:t>
      </w:r>
      <w:r w:rsidR="00F17449" w:rsidRPr="00124DB1">
        <w:t xml:space="preserve"> asks that the </w:t>
      </w:r>
      <w:r w:rsidR="00DD0C6B">
        <w:t>City</w:t>
      </w:r>
      <w:r w:rsidR="00F17449" w:rsidRPr="00124DB1">
        <w:t xml:space="preserve"> and Mr. Mathurin be </w:t>
      </w:r>
      <w:proofErr w:type="spellStart"/>
      <w:r w:rsidR="00F17449" w:rsidRPr="00124DB1">
        <w:t>solidarily</w:t>
      </w:r>
      <w:proofErr w:type="spellEnd"/>
      <w:r w:rsidR="00F17449" w:rsidRPr="00124DB1">
        <w:t xml:space="preserve"> condemned to pay:</w:t>
      </w:r>
    </w:p>
    <w:p w14:paraId="1CFA6B40" w14:textId="77777777" w:rsidR="00507A20" w:rsidRPr="00124DB1" w:rsidRDefault="00F17449" w:rsidP="00507A20">
      <w:pPr>
        <w:pStyle w:val="Paragraphe"/>
        <w:numPr>
          <w:ilvl w:val="0"/>
          <w:numId w:val="5"/>
        </w:numPr>
        <w:tabs>
          <w:tab w:val="clear" w:pos="567"/>
          <w:tab w:val="num" w:pos="709"/>
        </w:tabs>
        <w:spacing w:before="0" w:after="0" w:line="240" w:lineRule="auto"/>
        <w:ind w:left="709" w:firstLine="0"/>
      </w:pPr>
      <w:r w:rsidRPr="00124DB1">
        <w:t>$35,000 for material injury resulting from loss of wages</w:t>
      </w:r>
    </w:p>
    <w:p w14:paraId="4DF12AA0" w14:textId="747DDC99" w:rsidR="00507A20" w:rsidRPr="00124DB1" w:rsidRDefault="00F17449" w:rsidP="00507A20">
      <w:pPr>
        <w:pStyle w:val="Paragraphe"/>
        <w:numPr>
          <w:ilvl w:val="0"/>
          <w:numId w:val="5"/>
        </w:numPr>
        <w:tabs>
          <w:tab w:val="clear" w:pos="567"/>
          <w:tab w:val="num" w:pos="709"/>
        </w:tabs>
        <w:spacing w:before="0" w:after="0" w:line="240" w:lineRule="auto"/>
        <w:ind w:left="709" w:firstLine="0"/>
      </w:pPr>
      <w:r w:rsidRPr="00124DB1">
        <w:t xml:space="preserve">$15,000 for moral </w:t>
      </w:r>
      <w:r w:rsidR="008C534F" w:rsidRPr="00124DB1">
        <w:t>injury</w:t>
      </w:r>
    </w:p>
    <w:p w14:paraId="37FD14B1" w14:textId="77777777" w:rsidR="00507A20" w:rsidRPr="00124DB1" w:rsidRDefault="00F17449" w:rsidP="00507A20">
      <w:pPr>
        <w:pStyle w:val="Paragraphe"/>
        <w:tabs>
          <w:tab w:val="clear" w:pos="360"/>
          <w:tab w:val="clear" w:pos="567"/>
          <w:tab w:val="num" w:pos="709"/>
        </w:tabs>
      </w:pPr>
      <w:r w:rsidRPr="00124DB1">
        <w:t xml:space="preserve">The Commission also asks that Mr. Mathurin be personally condemned to pay $2,000 in punitive damages for unlawful and intentional interference with Mr. </w:t>
      </w:r>
      <w:proofErr w:type="spellStart"/>
      <w:r w:rsidRPr="00124DB1">
        <w:t>Bazelais’s</w:t>
      </w:r>
      <w:proofErr w:type="spellEnd"/>
      <w:r w:rsidRPr="00124DB1">
        <w:t xml:space="preserve"> rights.</w:t>
      </w:r>
    </w:p>
    <w:p w14:paraId="030F989B" w14:textId="5127314C" w:rsidR="00507A20" w:rsidRPr="00124DB1" w:rsidRDefault="00F17449" w:rsidP="00507A20">
      <w:pPr>
        <w:pStyle w:val="Paragraphe"/>
        <w:tabs>
          <w:tab w:val="clear" w:pos="360"/>
          <w:tab w:val="clear" w:pos="567"/>
          <w:tab w:val="num" w:pos="709"/>
        </w:tabs>
      </w:pPr>
      <w:r w:rsidRPr="00124DB1">
        <w:t xml:space="preserve">Moreover, the Commission calls on the Tribunal to make several orders against the </w:t>
      </w:r>
      <w:r w:rsidR="00DD0C6B">
        <w:t>City</w:t>
      </w:r>
      <w:r w:rsidRPr="00124DB1">
        <w:t>, in the public interest, destined to stop any racial profiling practices within the SPVM.</w:t>
      </w:r>
      <w:r w:rsidR="00AD32E1" w:rsidRPr="00124DB1">
        <w:t xml:space="preserve"> </w:t>
      </w:r>
    </w:p>
    <w:p w14:paraId="085E1EAB" w14:textId="347AE433" w:rsidR="00507A20" w:rsidRPr="00124DB1" w:rsidRDefault="00C6785B" w:rsidP="00507A20">
      <w:pPr>
        <w:pStyle w:val="Paragraphe"/>
        <w:tabs>
          <w:tab w:val="clear" w:pos="360"/>
          <w:tab w:val="clear" w:pos="567"/>
          <w:tab w:val="num" w:pos="0"/>
        </w:tabs>
      </w:pPr>
      <w:r w:rsidRPr="00124DB1">
        <w:t xml:space="preserve">Not only does the </w:t>
      </w:r>
      <w:r w:rsidR="00DD0C6B">
        <w:t>City</w:t>
      </w:r>
      <w:r w:rsidRPr="00124DB1">
        <w:t xml:space="preserve"> deny that its officers acted in a discriminatory manner in the circumstances, but it also submits that the proceeding brought against it and Mr.</w:t>
      </w:r>
      <w:r w:rsidR="008C534F" w:rsidRPr="00124DB1">
        <w:t> </w:t>
      </w:r>
      <w:r w:rsidRPr="00124DB1">
        <w:t xml:space="preserve">Mathurin </w:t>
      </w:r>
      <w:proofErr w:type="gramStart"/>
      <w:r w:rsidR="00B12CBC" w:rsidRPr="00124DB1">
        <w:t>should</w:t>
      </w:r>
      <w:r w:rsidRPr="00124DB1">
        <w:t xml:space="preserve"> be dismissed</w:t>
      </w:r>
      <w:proofErr w:type="gramEnd"/>
      <w:r w:rsidRPr="00124DB1">
        <w:t xml:space="preserve"> outright for abuse of </w:t>
      </w:r>
      <w:r w:rsidR="008C534F" w:rsidRPr="00124DB1">
        <w:t>procedure</w:t>
      </w:r>
      <w:r w:rsidRPr="00124DB1">
        <w:t xml:space="preserve"> due to the unreasonable investigation delays largely attributable to the Commission.</w:t>
      </w:r>
      <w:r w:rsidR="00AD32E1" w:rsidRPr="00124DB1">
        <w:t xml:space="preserve"> </w:t>
      </w:r>
    </w:p>
    <w:p w14:paraId="1DCB4DFB" w14:textId="20B376C8" w:rsidR="00507A20" w:rsidRPr="00124DB1" w:rsidRDefault="00B12CBC" w:rsidP="00507A20">
      <w:pPr>
        <w:pStyle w:val="Paragraphe"/>
        <w:tabs>
          <w:tab w:val="clear" w:pos="360"/>
          <w:tab w:val="clear" w:pos="567"/>
          <w:tab w:val="num" w:pos="0"/>
        </w:tabs>
      </w:pPr>
      <w:r w:rsidRPr="00124DB1">
        <w:t>On</w:t>
      </w:r>
      <w:r w:rsidR="00C6785B" w:rsidRPr="00124DB1">
        <w:t xml:space="preserve"> the merits, the </w:t>
      </w:r>
      <w:r w:rsidR="00DD0C6B">
        <w:t>City</w:t>
      </w:r>
      <w:r w:rsidR="00C6785B" w:rsidRPr="00124DB1">
        <w:t xml:space="preserve"> and Mr. Mathurin submit that the Tribunal does not have </w:t>
      </w:r>
      <w:r w:rsidRPr="00124DB1">
        <w:t>jurisdiction</w:t>
      </w:r>
      <w:r w:rsidR="00C6785B" w:rsidRPr="00124DB1">
        <w:t xml:space="preserve"> to rule on the </w:t>
      </w:r>
      <w:r w:rsidR="00DA72BF" w:rsidRPr="00124DB1">
        <w:t>overall</w:t>
      </w:r>
      <w:r w:rsidR="00C6785B" w:rsidRPr="00124DB1">
        <w:t xml:space="preserve"> police operation and that the intervention concerning Mr.</w:t>
      </w:r>
      <w:r w:rsidR="00DC4D29" w:rsidRPr="00124DB1">
        <w:t> </w:t>
      </w:r>
      <w:proofErr w:type="spellStart"/>
      <w:r w:rsidR="00C6785B" w:rsidRPr="00124DB1">
        <w:t>Bazelais</w:t>
      </w:r>
      <w:proofErr w:type="spellEnd"/>
      <w:r w:rsidR="00C6785B" w:rsidRPr="00124DB1">
        <w:t xml:space="preserve"> was both reasonable and proportionate in light of the information the SPVM had at the time.</w:t>
      </w:r>
      <w:r w:rsidR="00AD32E1" w:rsidRPr="00124DB1">
        <w:t xml:space="preserve">  </w:t>
      </w:r>
    </w:p>
    <w:p w14:paraId="1B7B6813" w14:textId="77777777" w:rsidR="00507A20" w:rsidRPr="00124DB1" w:rsidRDefault="00C6785B" w:rsidP="00507A20">
      <w:pPr>
        <w:pStyle w:val="Titre1"/>
        <w:rPr>
          <w:lang w:val="en-CA"/>
        </w:rPr>
      </w:pPr>
      <w:r w:rsidRPr="00124DB1">
        <w:rPr>
          <w:lang w:val="en-CA"/>
        </w:rPr>
        <w:t>THE ISSUES</w:t>
      </w:r>
    </w:p>
    <w:p w14:paraId="68545995" w14:textId="77777777" w:rsidR="00507A20" w:rsidRPr="00124DB1" w:rsidRDefault="00C6785B" w:rsidP="00507A20">
      <w:pPr>
        <w:pStyle w:val="Paragraphe"/>
        <w:tabs>
          <w:tab w:val="clear" w:pos="360"/>
          <w:tab w:val="clear" w:pos="567"/>
          <w:tab w:val="num" w:pos="0"/>
        </w:tabs>
      </w:pPr>
      <w:r w:rsidRPr="00124DB1">
        <w:t xml:space="preserve">The Tribunal </w:t>
      </w:r>
      <w:r w:rsidR="00DA72BF" w:rsidRPr="00124DB1">
        <w:t>must decide</w:t>
      </w:r>
      <w:r w:rsidRPr="00124DB1">
        <w:t xml:space="preserve"> the following issues:</w:t>
      </w:r>
    </w:p>
    <w:p w14:paraId="06FDA5ED" w14:textId="5F479654" w:rsidR="00507A20" w:rsidRPr="00124DB1" w:rsidRDefault="00C6785B" w:rsidP="00507A20">
      <w:pPr>
        <w:pStyle w:val="Paragraphe"/>
        <w:numPr>
          <w:ilvl w:val="0"/>
          <w:numId w:val="4"/>
        </w:numPr>
        <w:tabs>
          <w:tab w:val="clear" w:pos="567"/>
        </w:tabs>
        <w:ind w:left="1134" w:hanging="425"/>
      </w:pPr>
      <w:proofErr w:type="gramStart"/>
      <w:r w:rsidRPr="00124DB1">
        <w:t>Should the application to dismiss the proceeding due to abusive and prejudicial delays be granted</w:t>
      </w:r>
      <w:proofErr w:type="gramEnd"/>
      <w:r w:rsidRPr="00124DB1">
        <w:t xml:space="preserve"> because the </w:t>
      </w:r>
      <w:r w:rsidR="00DA72BF" w:rsidRPr="00124DB1">
        <w:t>time</w:t>
      </w:r>
      <w:r w:rsidRPr="00124DB1">
        <w:t xml:space="preserve"> between the filing of </w:t>
      </w:r>
      <w:r w:rsidR="00DA72BF" w:rsidRPr="00124DB1">
        <w:t>the</w:t>
      </w:r>
      <w:r w:rsidRPr="00124DB1">
        <w:t xml:space="preserve"> complaint with the </w:t>
      </w:r>
      <w:r w:rsidR="00DA72BF" w:rsidRPr="00124DB1">
        <w:t>Commission</w:t>
      </w:r>
      <w:r w:rsidRPr="00124DB1">
        <w:t xml:space="preserve"> </w:t>
      </w:r>
      <w:r w:rsidR="00DA72BF" w:rsidRPr="00124DB1">
        <w:t>and</w:t>
      </w:r>
      <w:r w:rsidRPr="00124DB1">
        <w:t xml:space="preserve"> the notification of this proceeding was so unreasonable as to constitute abuse of </w:t>
      </w:r>
      <w:r w:rsidR="00506138" w:rsidRPr="00124DB1">
        <w:t>procedure</w:t>
      </w:r>
      <w:r w:rsidRPr="00124DB1">
        <w:t>?</w:t>
      </w:r>
    </w:p>
    <w:p w14:paraId="4BD32966" w14:textId="77777777" w:rsidR="00507A20" w:rsidRPr="00124DB1" w:rsidRDefault="00C6785B" w:rsidP="00507A20">
      <w:pPr>
        <w:pStyle w:val="Paragraphe"/>
        <w:numPr>
          <w:ilvl w:val="0"/>
          <w:numId w:val="4"/>
        </w:numPr>
        <w:tabs>
          <w:tab w:val="clear" w:pos="567"/>
        </w:tabs>
        <w:ind w:left="1134" w:hanging="425"/>
      </w:pPr>
      <w:r w:rsidRPr="00124DB1">
        <w:lastRenderedPageBreak/>
        <w:t>Does the wording of the resolution adopted by the Commission</w:t>
      </w:r>
      <w:r w:rsidR="00AD32E1" w:rsidRPr="00124DB1">
        <w:rPr>
          <w:rStyle w:val="Appelnotedebasdep"/>
        </w:rPr>
        <w:footnoteReference w:id="2"/>
      </w:r>
      <w:r w:rsidRPr="00124DB1">
        <w:t xml:space="preserve"> limit the Tribunal’s jurisdiction to rule on the overall police operation led by the SPVM?</w:t>
      </w:r>
      <w:r w:rsidR="00AD32E1" w:rsidRPr="00124DB1">
        <w:t xml:space="preserve">  </w:t>
      </w:r>
    </w:p>
    <w:p w14:paraId="7EE7FFA6" w14:textId="250E0C13" w:rsidR="00507A20" w:rsidRPr="00124DB1" w:rsidRDefault="00C6785B" w:rsidP="00507A20">
      <w:pPr>
        <w:pStyle w:val="Paragraphe"/>
        <w:numPr>
          <w:ilvl w:val="0"/>
          <w:numId w:val="4"/>
        </w:numPr>
        <w:tabs>
          <w:tab w:val="clear" w:pos="567"/>
        </w:tabs>
        <w:ind w:left="1134" w:hanging="425"/>
      </w:pPr>
      <w:r w:rsidRPr="00124DB1">
        <w:t xml:space="preserve">Has the Commission </w:t>
      </w:r>
      <w:r w:rsidR="00DA72BF" w:rsidRPr="00124DB1">
        <w:t>demonstrated</w:t>
      </w:r>
      <w:r w:rsidRPr="00124DB1">
        <w:t xml:space="preserve"> on a balance of probabilities that Mr.</w:t>
      </w:r>
      <w:r w:rsidR="00DC4D29" w:rsidRPr="00124DB1">
        <w:t> </w:t>
      </w:r>
      <w:proofErr w:type="spellStart"/>
      <w:r w:rsidRPr="00124DB1">
        <w:t>Bazelais</w:t>
      </w:r>
      <w:proofErr w:type="spellEnd"/>
      <w:r w:rsidRPr="00124DB1">
        <w:t xml:space="preserve"> was the subject of racial profiling</w:t>
      </w:r>
      <w:r w:rsidR="00DC4D29" w:rsidRPr="00124DB1">
        <w:t>,</w:t>
      </w:r>
      <w:r w:rsidRPr="00124DB1">
        <w:t xml:space="preserve"> thereby </w:t>
      </w:r>
      <w:r w:rsidR="00DA72BF" w:rsidRPr="00124DB1">
        <w:t>interfering with</w:t>
      </w:r>
      <w:r w:rsidRPr="00124DB1">
        <w:t xml:space="preserve"> his right to full and equal recognition and exercise of </w:t>
      </w:r>
      <w:r w:rsidR="006D1852" w:rsidRPr="00124DB1">
        <w:t>his</w:t>
      </w:r>
      <w:r w:rsidRPr="00124DB1">
        <w:t xml:space="preserve"> rights under ss. 1, 4, 24, 24.1, 25, and 28 of the </w:t>
      </w:r>
      <w:r w:rsidRPr="00124DB1">
        <w:rPr>
          <w:i/>
        </w:rPr>
        <w:t>Charter</w:t>
      </w:r>
      <w:r w:rsidRPr="00124DB1">
        <w:t>?</w:t>
      </w:r>
    </w:p>
    <w:p w14:paraId="25477C17" w14:textId="7FFA8A99" w:rsidR="00507A20" w:rsidRPr="00124DB1" w:rsidRDefault="00C6785B" w:rsidP="00507A20">
      <w:pPr>
        <w:pStyle w:val="Paragraphe"/>
        <w:numPr>
          <w:ilvl w:val="0"/>
          <w:numId w:val="4"/>
        </w:numPr>
        <w:tabs>
          <w:tab w:val="clear" w:pos="567"/>
        </w:tabs>
        <w:ind w:left="1134" w:hanging="425"/>
      </w:pPr>
      <w:r w:rsidRPr="00124DB1">
        <w:t xml:space="preserve">If </w:t>
      </w:r>
      <w:r w:rsidR="00DA72BF" w:rsidRPr="00124DB1">
        <w:t>so, what remedies are justified</w:t>
      </w:r>
      <w:r w:rsidRPr="00124DB1">
        <w:t xml:space="preserve"> </w:t>
      </w:r>
      <w:r w:rsidR="00DA72BF" w:rsidRPr="00124DB1">
        <w:t>in the interest of</w:t>
      </w:r>
      <w:r w:rsidRPr="00124DB1">
        <w:t xml:space="preserve"> Mr. </w:t>
      </w:r>
      <w:proofErr w:type="spellStart"/>
      <w:r w:rsidRPr="00124DB1">
        <w:t>Bazelais</w:t>
      </w:r>
      <w:proofErr w:type="spellEnd"/>
      <w:r w:rsidR="00DA72BF" w:rsidRPr="00124DB1">
        <w:t xml:space="preserve"> and </w:t>
      </w:r>
      <w:r w:rsidR="006D1852" w:rsidRPr="00124DB1">
        <w:t>of</w:t>
      </w:r>
      <w:r w:rsidR="00DA72BF" w:rsidRPr="00124DB1">
        <w:t xml:space="preserve"> </w:t>
      </w:r>
      <w:r w:rsidRPr="00124DB1">
        <w:t>the publi</w:t>
      </w:r>
      <w:r w:rsidR="00DA72BF" w:rsidRPr="00124DB1">
        <w:t>c</w:t>
      </w:r>
      <w:r w:rsidRPr="00124DB1">
        <w:t>?</w:t>
      </w:r>
      <w:r w:rsidR="00AD32E1" w:rsidRPr="00124DB1">
        <w:t xml:space="preserve"> </w:t>
      </w:r>
    </w:p>
    <w:p w14:paraId="427050B4" w14:textId="77777777" w:rsidR="00507A20" w:rsidRPr="00124DB1" w:rsidRDefault="00C6785B" w:rsidP="00507A20">
      <w:pPr>
        <w:pStyle w:val="Titre1"/>
        <w:rPr>
          <w:lang w:val="en-CA"/>
        </w:rPr>
      </w:pPr>
      <w:r w:rsidRPr="00124DB1">
        <w:rPr>
          <w:lang w:val="en-CA"/>
        </w:rPr>
        <w:t>BACKGROUND</w:t>
      </w:r>
    </w:p>
    <w:p w14:paraId="69D4D4C4" w14:textId="19BB04CC" w:rsidR="00507A20" w:rsidRPr="00124DB1" w:rsidRDefault="00C6785B" w:rsidP="00507A20">
      <w:pPr>
        <w:pStyle w:val="Paragraphe"/>
        <w:tabs>
          <w:tab w:val="clear" w:pos="360"/>
          <w:tab w:val="clear" w:pos="567"/>
          <w:tab w:val="num" w:pos="0"/>
        </w:tabs>
      </w:pPr>
      <w:r w:rsidRPr="00124DB1">
        <w:t xml:space="preserve">Mr. </w:t>
      </w:r>
      <w:proofErr w:type="spellStart"/>
      <w:r w:rsidRPr="00124DB1">
        <w:t>Bazelais</w:t>
      </w:r>
      <w:proofErr w:type="spellEnd"/>
      <w:r w:rsidRPr="00124DB1">
        <w:t xml:space="preserve"> is </w:t>
      </w:r>
      <w:r w:rsidR="006D1852" w:rsidRPr="00124DB1">
        <w:t>a black,</w:t>
      </w:r>
      <w:r w:rsidRPr="00124DB1">
        <w:t xml:space="preserve"> </w:t>
      </w:r>
      <w:r w:rsidR="00DA72BF" w:rsidRPr="00124DB1">
        <w:t>English</w:t>
      </w:r>
      <w:r w:rsidRPr="00124DB1">
        <w:t>-speaking man</w:t>
      </w:r>
      <w:r w:rsidR="006D1852" w:rsidRPr="00124DB1">
        <w:t>.</w:t>
      </w:r>
      <w:r w:rsidRPr="00124DB1">
        <w:t xml:space="preserve"> </w:t>
      </w:r>
      <w:r w:rsidR="006D1852" w:rsidRPr="00124DB1">
        <w:t>He is an American citizen</w:t>
      </w:r>
      <w:r w:rsidR="0008195D" w:rsidRPr="00124DB1">
        <w:t xml:space="preserve"> </w:t>
      </w:r>
      <w:r w:rsidRPr="00124DB1">
        <w:t xml:space="preserve">who has lived in Montreal since 2007, where he </w:t>
      </w:r>
      <w:r w:rsidR="00607833">
        <w:t>works as</w:t>
      </w:r>
      <w:r w:rsidRPr="00124DB1">
        <w:t xml:space="preserve"> a college teacher.</w:t>
      </w:r>
    </w:p>
    <w:p w14:paraId="24F35911" w14:textId="7829D787" w:rsidR="00507A20" w:rsidRPr="00124DB1" w:rsidRDefault="00C6785B" w:rsidP="00507A20">
      <w:pPr>
        <w:pStyle w:val="Paragraphe"/>
        <w:tabs>
          <w:tab w:val="clear" w:pos="360"/>
          <w:tab w:val="clear" w:pos="567"/>
          <w:tab w:val="num" w:pos="0"/>
        </w:tabs>
      </w:pPr>
      <w:r w:rsidRPr="00124DB1">
        <w:t xml:space="preserve">On August 31, 2014, Reginald Bernard </w:t>
      </w:r>
      <w:r w:rsidR="00DA72BF" w:rsidRPr="00124DB1">
        <w:t>and</w:t>
      </w:r>
      <w:r w:rsidRPr="00124DB1">
        <w:t xml:space="preserve"> </w:t>
      </w:r>
      <w:proofErr w:type="spellStart"/>
      <w:r w:rsidRPr="00124DB1">
        <w:t>Fenol</w:t>
      </w:r>
      <w:proofErr w:type="spellEnd"/>
      <w:r w:rsidRPr="00124DB1">
        <w:t xml:space="preserve"> </w:t>
      </w:r>
      <w:proofErr w:type="spellStart"/>
      <w:r w:rsidRPr="00124DB1">
        <w:t>Milien</w:t>
      </w:r>
      <w:proofErr w:type="spellEnd"/>
      <w:r w:rsidRPr="00124DB1">
        <w:t xml:space="preserve">, two black men from the Boston area (USA) were visiting Montreal. Mr. Bernard is Mr. </w:t>
      </w:r>
      <w:proofErr w:type="spellStart"/>
      <w:r w:rsidRPr="00124DB1">
        <w:t>Bazelais’s</w:t>
      </w:r>
      <w:proofErr w:type="spellEnd"/>
      <w:r w:rsidRPr="00124DB1">
        <w:t xml:space="preserve"> brother-in-law</w:t>
      </w:r>
      <w:r w:rsidR="00020B2D" w:rsidRPr="00124DB1">
        <w:t>,</w:t>
      </w:r>
      <w:r w:rsidRPr="00124DB1">
        <w:t xml:space="preserve"> while Mr. </w:t>
      </w:r>
      <w:proofErr w:type="spellStart"/>
      <w:r w:rsidRPr="00124DB1">
        <w:t>Milien</w:t>
      </w:r>
      <w:proofErr w:type="spellEnd"/>
      <w:r w:rsidRPr="00124DB1">
        <w:t xml:space="preserve"> is an old friend.</w:t>
      </w:r>
    </w:p>
    <w:p w14:paraId="26ACB04D" w14:textId="5B8C3B64" w:rsidR="00507A20" w:rsidRPr="00124DB1" w:rsidRDefault="00C6785B" w:rsidP="00507A20">
      <w:pPr>
        <w:pStyle w:val="Paragraphe"/>
        <w:tabs>
          <w:tab w:val="clear" w:pos="360"/>
          <w:tab w:val="clear" w:pos="567"/>
          <w:tab w:val="num" w:pos="0"/>
        </w:tabs>
      </w:pPr>
      <w:r w:rsidRPr="00124DB1">
        <w:t>After walking around a lively downtown core on a warm summer evening, the three men in their forties decided to stop by Thursday’s, a bar on Crescent Street</w:t>
      </w:r>
      <w:r w:rsidR="00020B2D" w:rsidRPr="00124DB1">
        <w:t>,</w:t>
      </w:r>
      <w:r w:rsidRPr="00124DB1">
        <w:t xml:space="preserve"> around 11</w:t>
      </w:r>
      <w:r w:rsidR="00020B2D" w:rsidRPr="00124DB1">
        <w:t> </w:t>
      </w:r>
      <w:r w:rsidRPr="00124DB1">
        <w:t>p.m.</w:t>
      </w:r>
    </w:p>
    <w:p w14:paraId="49F44C9E" w14:textId="44DBDAC5" w:rsidR="00507A20" w:rsidRPr="00124DB1" w:rsidRDefault="00C6785B" w:rsidP="00507A20">
      <w:pPr>
        <w:pStyle w:val="Paragraphe"/>
        <w:tabs>
          <w:tab w:val="clear" w:pos="360"/>
          <w:tab w:val="clear" w:pos="567"/>
          <w:tab w:val="num" w:pos="0"/>
        </w:tabs>
      </w:pPr>
      <w:proofErr w:type="gramStart"/>
      <w:r w:rsidRPr="00124DB1">
        <w:t>Doormen</w:t>
      </w:r>
      <w:proofErr w:type="gramEnd"/>
      <w:r w:rsidRPr="00124DB1">
        <w:t xml:space="preserve"> controlled access to the licensed establishment, which was busy.</w:t>
      </w:r>
      <w:r w:rsidR="00AD32E1" w:rsidRPr="00124DB1">
        <w:rPr>
          <w:rStyle w:val="Appelnotedebasdep"/>
        </w:rPr>
        <w:footnoteReference w:id="3"/>
      </w:r>
      <w:r w:rsidRPr="00124DB1">
        <w:t xml:space="preserve"> Mr.</w:t>
      </w:r>
      <w:r w:rsidR="000B3E86" w:rsidRPr="00124DB1">
        <w:t> </w:t>
      </w:r>
      <w:proofErr w:type="spellStart"/>
      <w:r w:rsidRPr="00124DB1">
        <w:t>Bazelais</w:t>
      </w:r>
      <w:proofErr w:type="spellEnd"/>
      <w:r w:rsidRPr="00124DB1">
        <w:t xml:space="preserve"> saw two</w:t>
      </w:r>
      <w:r w:rsidR="007C7010">
        <w:t>. O</w:t>
      </w:r>
      <w:r w:rsidRPr="00124DB1">
        <w:t>ne was a black man</w:t>
      </w:r>
      <w:r w:rsidR="000B3E86" w:rsidRPr="00124DB1">
        <w:t>,</w:t>
      </w:r>
      <w:r w:rsidRPr="00124DB1">
        <w:t xml:space="preserve"> and </w:t>
      </w:r>
      <w:r w:rsidR="00DA72BF" w:rsidRPr="00124DB1">
        <w:t>he thought</w:t>
      </w:r>
      <w:r w:rsidRPr="00124DB1">
        <w:t xml:space="preserve"> </w:t>
      </w:r>
      <w:r w:rsidR="000B3E86" w:rsidRPr="00124DB1">
        <w:t xml:space="preserve">the other </w:t>
      </w:r>
      <w:r w:rsidRPr="00124DB1">
        <w:t>was of Ara</w:t>
      </w:r>
      <w:r w:rsidR="00DA72BF" w:rsidRPr="00124DB1">
        <w:t>b or Italian origin</w:t>
      </w:r>
      <w:r w:rsidRPr="00124DB1">
        <w:t>.</w:t>
      </w:r>
    </w:p>
    <w:p w14:paraId="3C2C30A6" w14:textId="77777777" w:rsidR="00507A20" w:rsidRPr="00124DB1" w:rsidRDefault="00DA72BF" w:rsidP="00507A20">
      <w:pPr>
        <w:pStyle w:val="Paragraphe"/>
        <w:tabs>
          <w:tab w:val="clear" w:pos="360"/>
          <w:tab w:val="clear" w:pos="567"/>
          <w:tab w:val="num" w:pos="0"/>
        </w:tabs>
      </w:pPr>
      <w:r w:rsidRPr="00124DB1">
        <w:t xml:space="preserve">Once inside, Mr. </w:t>
      </w:r>
      <w:proofErr w:type="spellStart"/>
      <w:r w:rsidRPr="00124DB1">
        <w:t>Bazelais</w:t>
      </w:r>
      <w:proofErr w:type="spellEnd"/>
      <w:r w:rsidRPr="00124DB1">
        <w:t>, Mr</w:t>
      </w:r>
      <w:r w:rsidR="00C6785B" w:rsidRPr="00124DB1">
        <w:t xml:space="preserve">. Bernard, and Mr. </w:t>
      </w:r>
      <w:proofErr w:type="spellStart"/>
      <w:r w:rsidR="00C6785B" w:rsidRPr="00124DB1">
        <w:t>Milien</w:t>
      </w:r>
      <w:proofErr w:type="spellEnd"/>
      <w:r w:rsidR="00C6785B" w:rsidRPr="00124DB1">
        <w:t xml:space="preserve"> sat in a section where there were fewer customers and ordered a drink.</w:t>
      </w:r>
    </w:p>
    <w:p w14:paraId="065335B0" w14:textId="77777777" w:rsidR="00507A20" w:rsidRPr="00124DB1" w:rsidRDefault="00C6785B" w:rsidP="00507A20">
      <w:pPr>
        <w:pStyle w:val="Paragraphe"/>
        <w:tabs>
          <w:tab w:val="clear" w:pos="567"/>
        </w:tabs>
      </w:pPr>
      <w:r w:rsidRPr="00124DB1">
        <w:t xml:space="preserve">At one point, Mr. </w:t>
      </w:r>
      <w:proofErr w:type="spellStart"/>
      <w:r w:rsidRPr="00124DB1">
        <w:t>Milien</w:t>
      </w:r>
      <w:proofErr w:type="spellEnd"/>
      <w:r w:rsidRPr="00124DB1">
        <w:t xml:space="preserve"> wanted to make a local call.</w:t>
      </w:r>
      <w:r w:rsidR="00AD32E1" w:rsidRPr="00124DB1">
        <w:t xml:space="preserve"> </w:t>
      </w:r>
      <w:r w:rsidRPr="00124DB1">
        <w:t xml:space="preserve">He borrowed Mr. </w:t>
      </w:r>
      <w:proofErr w:type="spellStart"/>
      <w:r w:rsidRPr="00124DB1">
        <w:t>Bazelais’s</w:t>
      </w:r>
      <w:proofErr w:type="spellEnd"/>
      <w:r w:rsidRPr="00124DB1">
        <w:t xml:space="preserve"> cell phone and went outside due to the background noise.</w:t>
      </w:r>
      <w:r w:rsidR="00AD32E1" w:rsidRPr="00124DB1">
        <w:t xml:space="preserve"> </w:t>
      </w:r>
    </w:p>
    <w:p w14:paraId="413F4B33" w14:textId="038A5FDC" w:rsidR="00507A20" w:rsidRPr="00124DB1" w:rsidRDefault="00C6785B" w:rsidP="00507A20">
      <w:pPr>
        <w:pStyle w:val="Paragraphe"/>
        <w:tabs>
          <w:tab w:val="clear" w:pos="567"/>
        </w:tabs>
      </w:pPr>
      <w:r w:rsidRPr="00124DB1">
        <w:t xml:space="preserve">While he was there, Mr. </w:t>
      </w:r>
      <w:proofErr w:type="spellStart"/>
      <w:r w:rsidRPr="00124DB1">
        <w:t>Bazelais</w:t>
      </w:r>
      <w:proofErr w:type="spellEnd"/>
      <w:r w:rsidRPr="00124DB1">
        <w:t xml:space="preserve"> and Mr. Bernard began a </w:t>
      </w:r>
      <w:r w:rsidR="00396866">
        <w:t>quiet</w:t>
      </w:r>
      <w:r w:rsidRPr="00124DB1">
        <w:t xml:space="preserve"> conversation with a young woman who was near them.</w:t>
      </w:r>
    </w:p>
    <w:p w14:paraId="3434A816" w14:textId="5329C0EB" w:rsidR="00507A20" w:rsidRPr="00396866" w:rsidRDefault="00C6785B" w:rsidP="00507A20">
      <w:pPr>
        <w:pStyle w:val="Paragraphe"/>
        <w:tabs>
          <w:tab w:val="clear" w:pos="567"/>
        </w:tabs>
      </w:pPr>
      <w:r w:rsidRPr="00124DB1">
        <w:lastRenderedPageBreak/>
        <w:t xml:space="preserve">Mr. </w:t>
      </w:r>
      <w:proofErr w:type="spellStart"/>
      <w:r w:rsidRPr="00124DB1">
        <w:t>Bazelais</w:t>
      </w:r>
      <w:proofErr w:type="spellEnd"/>
      <w:r w:rsidRPr="00124DB1">
        <w:t>, who could see the outside patio, spotted four police officers in the distance whose uniforms were militaristic</w:t>
      </w:r>
      <w:r w:rsidR="008C4415" w:rsidRPr="00124DB1">
        <w:t>,</w:t>
      </w:r>
      <w:r w:rsidR="00124DB1">
        <w:t xml:space="preserve"> </w:t>
      </w:r>
      <w:r w:rsidRPr="00124DB1">
        <w:t xml:space="preserve">which he </w:t>
      </w:r>
      <w:r w:rsidR="008C4415" w:rsidRPr="00124DB1">
        <w:t>found</w:t>
      </w:r>
      <w:r w:rsidRPr="00124DB1">
        <w:t xml:space="preserve"> intimidating.</w:t>
      </w:r>
      <w:r w:rsidR="00AD32E1" w:rsidRPr="00124DB1">
        <w:t xml:space="preserve"> </w:t>
      </w:r>
      <w:r w:rsidRPr="00396866">
        <w:t xml:space="preserve">He </w:t>
      </w:r>
      <w:r w:rsidR="005F51FA" w:rsidRPr="00396866">
        <w:t xml:space="preserve">lost sight of them </w:t>
      </w:r>
      <w:proofErr w:type="gramStart"/>
      <w:r w:rsidRPr="00396866">
        <w:t>momentarily</w:t>
      </w:r>
      <w:proofErr w:type="gramEnd"/>
      <w:r w:rsidRPr="00396866">
        <w:t>.</w:t>
      </w:r>
    </w:p>
    <w:p w14:paraId="6321358C" w14:textId="346482BD" w:rsidR="00507A20" w:rsidRPr="00124DB1" w:rsidRDefault="00C6785B" w:rsidP="00507A20">
      <w:pPr>
        <w:pStyle w:val="Paragraphe"/>
        <w:tabs>
          <w:tab w:val="clear" w:pos="567"/>
        </w:tabs>
      </w:pPr>
      <w:r w:rsidRPr="00124DB1">
        <w:t xml:space="preserve">Suddenly, they </w:t>
      </w:r>
      <w:r w:rsidR="00080553" w:rsidRPr="00124DB1">
        <w:t>burst in</w:t>
      </w:r>
      <w:r w:rsidRPr="00124DB1">
        <w:t xml:space="preserve"> and rushed toward him and Mr. Bernard.</w:t>
      </w:r>
      <w:r w:rsidR="00AD32E1" w:rsidRPr="00124DB1">
        <w:t xml:space="preserve"> </w:t>
      </w:r>
      <w:r w:rsidR="005F51FA" w:rsidRPr="00124DB1">
        <w:t>The</w:t>
      </w:r>
      <w:r w:rsidRPr="00124DB1">
        <w:t xml:space="preserve"> presence of these officers surprised the customers around them.</w:t>
      </w:r>
    </w:p>
    <w:p w14:paraId="0C1028BC" w14:textId="77777777" w:rsidR="00507A20" w:rsidRPr="00124DB1" w:rsidRDefault="00C6785B" w:rsidP="00507A20">
      <w:pPr>
        <w:pStyle w:val="Paragraphe"/>
        <w:tabs>
          <w:tab w:val="clear" w:pos="567"/>
        </w:tabs>
      </w:pPr>
      <w:r w:rsidRPr="00124DB1">
        <w:t xml:space="preserve">Both men </w:t>
      </w:r>
      <w:proofErr w:type="gramStart"/>
      <w:r w:rsidRPr="00124DB1">
        <w:t>were asked</w:t>
      </w:r>
      <w:proofErr w:type="gramEnd"/>
      <w:r w:rsidRPr="00124DB1">
        <w:t xml:space="preserve"> to identify themselves.</w:t>
      </w:r>
      <w:r w:rsidR="00AD32E1" w:rsidRPr="00124DB1">
        <w:t xml:space="preserve"> </w:t>
      </w:r>
    </w:p>
    <w:p w14:paraId="62F764D9" w14:textId="4280978F" w:rsidR="00507A20" w:rsidRPr="00124DB1" w:rsidRDefault="00F82F78" w:rsidP="00507A20">
      <w:pPr>
        <w:pStyle w:val="Paragraphe"/>
        <w:tabs>
          <w:tab w:val="clear" w:pos="567"/>
        </w:tabs>
      </w:pPr>
      <w:r w:rsidRPr="00124DB1">
        <w:t>Mr</w:t>
      </w:r>
      <w:r w:rsidR="00C6785B" w:rsidRPr="00124DB1">
        <w:t xml:space="preserve">. </w:t>
      </w:r>
      <w:proofErr w:type="spellStart"/>
      <w:r w:rsidR="00C6785B" w:rsidRPr="00124DB1">
        <w:t>Bazelais</w:t>
      </w:r>
      <w:proofErr w:type="spellEnd"/>
      <w:r w:rsidR="00C6785B" w:rsidRPr="00124DB1">
        <w:t xml:space="preserve"> got up to take his wallet from his pants.</w:t>
      </w:r>
      <w:r w:rsidR="00AD32E1" w:rsidRPr="00124DB1">
        <w:t xml:space="preserve"> </w:t>
      </w:r>
      <w:r w:rsidR="00C6785B" w:rsidRPr="00124DB1">
        <w:t xml:space="preserve">An officer </w:t>
      </w:r>
      <w:r w:rsidRPr="00124DB1">
        <w:t>immediately</w:t>
      </w:r>
      <w:r w:rsidR="00C6785B" w:rsidRPr="00124DB1">
        <w:t xml:space="preserve"> grabbed it, went through its contents</w:t>
      </w:r>
      <w:r w:rsidR="00080553" w:rsidRPr="00124DB1">
        <w:t>,</w:t>
      </w:r>
      <w:r w:rsidR="00C6785B" w:rsidRPr="00124DB1">
        <w:t xml:space="preserve"> and </w:t>
      </w:r>
      <w:r w:rsidRPr="00124DB1">
        <w:t>expressed his</w:t>
      </w:r>
      <w:r w:rsidR="00C6785B" w:rsidRPr="00124DB1">
        <w:t xml:space="preserve"> surprise</w:t>
      </w:r>
      <w:r w:rsidRPr="00124DB1">
        <w:t xml:space="preserve"> at </w:t>
      </w:r>
      <w:r w:rsidR="00C6785B" w:rsidRPr="00124DB1">
        <w:t>the number of credit cards he had, as if their holder might have stolen them.</w:t>
      </w:r>
      <w:r w:rsidR="00AD32E1" w:rsidRPr="00124DB1">
        <w:rPr>
          <w:rStyle w:val="Appelnotedebasdep"/>
        </w:rPr>
        <w:footnoteReference w:id="4"/>
      </w:r>
      <w:r w:rsidR="00AD32E1" w:rsidRPr="00124DB1">
        <w:t xml:space="preserve"> </w:t>
      </w:r>
    </w:p>
    <w:p w14:paraId="47E4CDA5" w14:textId="77777777" w:rsidR="00507A20" w:rsidRPr="00124DB1" w:rsidRDefault="00C6785B" w:rsidP="00507A20">
      <w:pPr>
        <w:pStyle w:val="Paragraphe"/>
        <w:tabs>
          <w:tab w:val="clear" w:pos="567"/>
        </w:tabs>
      </w:pPr>
      <w:r w:rsidRPr="00124DB1">
        <w:t xml:space="preserve">Mr. </w:t>
      </w:r>
      <w:proofErr w:type="spellStart"/>
      <w:r w:rsidRPr="00124DB1">
        <w:t>Bazelais</w:t>
      </w:r>
      <w:proofErr w:type="spellEnd"/>
      <w:r w:rsidRPr="00124DB1">
        <w:t xml:space="preserve"> tried on several occasions to find out why he </w:t>
      </w:r>
      <w:proofErr w:type="gramStart"/>
      <w:r w:rsidRPr="00124DB1">
        <w:t>was being questioned</w:t>
      </w:r>
      <w:proofErr w:type="gramEnd"/>
      <w:r w:rsidRPr="00124DB1">
        <w:t xml:space="preserve"> but receive</w:t>
      </w:r>
      <w:r w:rsidR="00F82F78" w:rsidRPr="00124DB1">
        <w:t>d</w:t>
      </w:r>
      <w:r w:rsidRPr="00124DB1">
        <w:t xml:space="preserve"> </w:t>
      </w:r>
      <w:r w:rsidR="00F82F78" w:rsidRPr="00124DB1">
        <w:t>no</w:t>
      </w:r>
      <w:r w:rsidRPr="00124DB1">
        <w:t xml:space="preserve"> answer from the officers.</w:t>
      </w:r>
      <w:r w:rsidR="00AD32E1" w:rsidRPr="00124DB1">
        <w:t xml:space="preserve"> </w:t>
      </w:r>
    </w:p>
    <w:p w14:paraId="2FB2139A" w14:textId="50EC0D56" w:rsidR="00507A20" w:rsidRPr="00124DB1" w:rsidRDefault="00C6785B" w:rsidP="00507A20">
      <w:pPr>
        <w:pStyle w:val="Paragraphe"/>
        <w:tabs>
          <w:tab w:val="clear" w:pos="567"/>
        </w:tabs>
      </w:pPr>
      <w:r w:rsidRPr="00124DB1">
        <w:t>He claims that an officer searched his person and, in doing so, put his hands into each of his pant</w:t>
      </w:r>
      <w:r w:rsidR="00F82F78" w:rsidRPr="00124DB1">
        <w:t>s</w:t>
      </w:r>
      <w:r w:rsidRPr="00124DB1">
        <w:t xml:space="preserve"> pockets, which he vehemently opposed but in a calm tone</w:t>
      </w:r>
      <w:r w:rsidR="0011257B" w:rsidRPr="00124DB1">
        <w:t>.</w:t>
      </w:r>
      <w:r w:rsidRPr="00124DB1">
        <w:t xml:space="preserve"> “You cannot do this”</w:t>
      </w:r>
      <w:r w:rsidR="0011257B" w:rsidRPr="00124DB1">
        <w:t>, he said</w:t>
      </w:r>
      <w:r w:rsidRPr="00124DB1">
        <w:t>.</w:t>
      </w:r>
    </w:p>
    <w:p w14:paraId="5DA6BA8F" w14:textId="77777777" w:rsidR="00507A20" w:rsidRPr="00124DB1" w:rsidRDefault="00C6785B" w:rsidP="00507A20">
      <w:pPr>
        <w:pStyle w:val="Paragraphe"/>
        <w:tabs>
          <w:tab w:val="clear" w:pos="567"/>
        </w:tabs>
      </w:pPr>
      <w:r w:rsidRPr="00124DB1">
        <w:t xml:space="preserve">The officer firmly ordered him to put both his hands behind his back and took him </w:t>
      </w:r>
      <w:r w:rsidR="00F82F78" w:rsidRPr="00124DB1">
        <w:t>outside</w:t>
      </w:r>
      <w:r w:rsidRPr="00124DB1">
        <w:t>, in the alley bordering the establishment.</w:t>
      </w:r>
      <w:r w:rsidR="00AD32E1" w:rsidRPr="00124DB1">
        <w:rPr>
          <w:rStyle w:val="Appelnotedebasdep"/>
        </w:rPr>
        <w:footnoteReference w:id="5"/>
      </w:r>
      <w:r w:rsidRPr="00124DB1">
        <w:t xml:space="preserve"> Mr. Bernard received the same treatment and </w:t>
      </w:r>
      <w:proofErr w:type="gramStart"/>
      <w:r w:rsidRPr="00124DB1">
        <w:t>was also</w:t>
      </w:r>
      <w:proofErr w:type="gramEnd"/>
      <w:r w:rsidRPr="00124DB1">
        <w:t xml:space="preserve"> escorted by two officers.</w:t>
      </w:r>
    </w:p>
    <w:p w14:paraId="604FE1F4" w14:textId="3861E6A2" w:rsidR="00507A20" w:rsidRPr="00124DB1" w:rsidRDefault="00C6785B" w:rsidP="00507A20">
      <w:pPr>
        <w:pStyle w:val="Paragraphe"/>
        <w:tabs>
          <w:tab w:val="clear" w:pos="567"/>
        </w:tabs>
      </w:pPr>
      <w:r w:rsidRPr="00124DB1">
        <w:t xml:space="preserve">Mr. </w:t>
      </w:r>
      <w:proofErr w:type="spellStart"/>
      <w:r w:rsidRPr="00124DB1">
        <w:t>Bazelais</w:t>
      </w:r>
      <w:proofErr w:type="spellEnd"/>
      <w:r w:rsidRPr="00124DB1">
        <w:t xml:space="preserve"> </w:t>
      </w:r>
      <w:proofErr w:type="gramStart"/>
      <w:r w:rsidRPr="00124DB1">
        <w:t>was pushed against a wall and handcuffed</w:t>
      </w:r>
      <w:proofErr w:type="gramEnd"/>
      <w:r w:rsidRPr="00124DB1">
        <w:t>.</w:t>
      </w:r>
      <w:r w:rsidR="00AD32E1" w:rsidRPr="00124DB1">
        <w:t xml:space="preserve"> </w:t>
      </w:r>
      <w:r w:rsidRPr="00124DB1">
        <w:t>The belt on his pants was then unbuckled</w:t>
      </w:r>
      <w:r w:rsidR="004F30D6" w:rsidRPr="00124DB1">
        <w:t>,</w:t>
      </w:r>
      <w:r w:rsidRPr="00124DB1">
        <w:t xml:space="preserve"> and the officer</w:t>
      </w:r>
      <w:r w:rsidR="00F82F78" w:rsidRPr="00124DB1">
        <w:t xml:space="preserve"> swept the inside of his pants with</w:t>
      </w:r>
      <w:r w:rsidRPr="00124DB1">
        <w:t xml:space="preserve"> a flashlight.</w:t>
      </w:r>
      <w:r w:rsidR="00AD32E1" w:rsidRPr="00124DB1">
        <w:t xml:space="preserve"> </w:t>
      </w:r>
    </w:p>
    <w:p w14:paraId="739C3DF5" w14:textId="77777777" w:rsidR="00507A20" w:rsidRPr="00124DB1" w:rsidRDefault="00C6785B" w:rsidP="00507A20">
      <w:pPr>
        <w:pStyle w:val="Paragraphe"/>
        <w:tabs>
          <w:tab w:val="clear" w:pos="567"/>
        </w:tabs>
      </w:pPr>
      <w:r w:rsidRPr="00124DB1">
        <w:t xml:space="preserve">A female officer, who kept her hand on her weapon, observed the scene, which dissuaded Mr. </w:t>
      </w:r>
      <w:proofErr w:type="spellStart"/>
      <w:r w:rsidRPr="00124DB1">
        <w:t>Bazelais</w:t>
      </w:r>
      <w:proofErr w:type="spellEnd"/>
      <w:r w:rsidRPr="00124DB1">
        <w:t xml:space="preserve"> from reiterating his questions </w:t>
      </w:r>
      <w:r w:rsidR="00F82F78" w:rsidRPr="00124DB1">
        <w:t>about</w:t>
      </w:r>
      <w:r w:rsidRPr="00124DB1">
        <w:t xml:space="preserve"> why he </w:t>
      </w:r>
      <w:proofErr w:type="gramStart"/>
      <w:r w:rsidRPr="00124DB1">
        <w:t>was being treated</w:t>
      </w:r>
      <w:proofErr w:type="gramEnd"/>
      <w:r w:rsidRPr="00124DB1">
        <w:t xml:space="preserve"> this way.</w:t>
      </w:r>
    </w:p>
    <w:p w14:paraId="4C01C48F" w14:textId="77777777" w:rsidR="00507A20" w:rsidRPr="00124DB1" w:rsidRDefault="00C6785B" w:rsidP="00507A20">
      <w:pPr>
        <w:pStyle w:val="Paragraphe"/>
        <w:tabs>
          <w:tab w:val="clear" w:pos="567"/>
        </w:tabs>
      </w:pPr>
      <w:r w:rsidRPr="00124DB1">
        <w:t xml:space="preserve">He testified that he </w:t>
      </w:r>
      <w:proofErr w:type="gramStart"/>
      <w:r w:rsidRPr="00124DB1">
        <w:t>was not read</w:t>
      </w:r>
      <w:proofErr w:type="gramEnd"/>
      <w:r w:rsidRPr="00124DB1">
        <w:t xml:space="preserve"> his constitutional rights.</w:t>
      </w:r>
      <w:r w:rsidR="00AD32E1" w:rsidRPr="00124DB1">
        <w:t xml:space="preserve"> </w:t>
      </w:r>
    </w:p>
    <w:p w14:paraId="7ADE72CB" w14:textId="24275B49" w:rsidR="00507A20" w:rsidRPr="00124DB1" w:rsidRDefault="00C6785B" w:rsidP="00507A20">
      <w:pPr>
        <w:pStyle w:val="Paragraphe"/>
        <w:tabs>
          <w:tab w:val="clear" w:pos="567"/>
        </w:tabs>
      </w:pPr>
      <w:r w:rsidRPr="00124DB1">
        <w:t xml:space="preserve">After the search, he tried </w:t>
      </w:r>
      <w:r w:rsidR="005E02BE" w:rsidRPr="00124DB1">
        <w:t xml:space="preserve">in vain </w:t>
      </w:r>
      <w:r w:rsidRPr="00124DB1">
        <w:t>to find out the name of the police officer and his badge number.</w:t>
      </w:r>
    </w:p>
    <w:p w14:paraId="42E6D593" w14:textId="77777777" w:rsidR="00507A20" w:rsidRPr="00124DB1" w:rsidRDefault="00F82F78" w:rsidP="00507A20">
      <w:pPr>
        <w:pStyle w:val="Paragraphe"/>
        <w:tabs>
          <w:tab w:val="clear" w:pos="567"/>
        </w:tabs>
      </w:pPr>
      <w:r w:rsidRPr="00124DB1">
        <w:t>Sergeant</w:t>
      </w:r>
      <w:r w:rsidR="00C6785B" w:rsidRPr="00124DB1">
        <w:t xml:space="preserve"> Mathurin approached him, claiming to be in charge of the operation.</w:t>
      </w:r>
    </w:p>
    <w:p w14:paraId="2C9C3DBF" w14:textId="77777777" w:rsidR="00507A20" w:rsidRPr="00124DB1" w:rsidRDefault="00C6785B" w:rsidP="00507A20">
      <w:pPr>
        <w:pStyle w:val="Paragraphe"/>
        <w:tabs>
          <w:tab w:val="clear" w:pos="567"/>
        </w:tabs>
      </w:pPr>
      <w:r w:rsidRPr="00124DB1">
        <w:t xml:space="preserve">According to Mr. </w:t>
      </w:r>
      <w:proofErr w:type="spellStart"/>
      <w:r w:rsidRPr="00124DB1">
        <w:t>Bazelais</w:t>
      </w:r>
      <w:proofErr w:type="spellEnd"/>
      <w:r w:rsidRPr="00124DB1">
        <w:t xml:space="preserve">, the </w:t>
      </w:r>
      <w:r w:rsidR="00F82F78" w:rsidRPr="00124DB1">
        <w:t>sergeant</w:t>
      </w:r>
      <w:r w:rsidRPr="00124DB1">
        <w:t xml:space="preserve"> did not identify himself.</w:t>
      </w:r>
    </w:p>
    <w:p w14:paraId="00F99DF6" w14:textId="4B28774E" w:rsidR="00507A20" w:rsidRPr="00124DB1" w:rsidRDefault="00F82F78" w:rsidP="00507A20">
      <w:pPr>
        <w:pStyle w:val="Paragraphe"/>
        <w:tabs>
          <w:tab w:val="clear" w:pos="567"/>
        </w:tabs>
      </w:pPr>
      <w:r w:rsidRPr="00124DB1">
        <w:lastRenderedPageBreak/>
        <w:t>Mr</w:t>
      </w:r>
      <w:r w:rsidR="00C6785B" w:rsidRPr="00124DB1">
        <w:t xml:space="preserve">. </w:t>
      </w:r>
      <w:proofErr w:type="spellStart"/>
      <w:r w:rsidR="00C6785B" w:rsidRPr="00124DB1">
        <w:t>Bazelais</w:t>
      </w:r>
      <w:proofErr w:type="spellEnd"/>
      <w:r w:rsidR="00C6785B" w:rsidRPr="00124DB1">
        <w:t xml:space="preserve"> once again asked to know the reasons for the intervention and the badge number of the person with whom he was dealing.</w:t>
      </w:r>
      <w:r w:rsidR="00AD32E1" w:rsidRPr="00124DB1">
        <w:t xml:space="preserve"> </w:t>
      </w:r>
      <w:r w:rsidR="00C6785B" w:rsidRPr="00124DB1">
        <w:t xml:space="preserve">In response, the </w:t>
      </w:r>
      <w:r w:rsidRPr="00124DB1">
        <w:t>sergeant</w:t>
      </w:r>
      <w:r w:rsidR="00C6785B" w:rsidRPr="00124DB1">
        <w:t xml:space="preserve"> allegedly answered</w:t>
      </w:r>
      <w:r w:rsidR="004F30D6" w:rsidRPr="00124DB1">
        <w:t>,</w:t>
      </w:r>
      <w:r w:rsidR="00FA3704" w:rsidRPr="00124DB1">
        <w:t xml:space="preserve"> </w:t>
      </w:r>
      <w:r w:rsidR="00C6785B" w:rsidRPr="00124DB1">
        <w:t xml:space="preserve">“If you have a pen, I can write it on your skin”, a remark </w:t>
      </w:r>
      <w:r w:rsidR="004F30D6" w:rsidRPr="00124DB1">
        <w:t xml:space="preserve">Mr. </w:t>
      </w:r>
      <w:proofErr w:type="spellStart"/>
      <w:r w:rsidR="004F30D6" w:rsidRPr="00124DB1">
        <w:t>Bazelais</w:t>
      </w:r>
      <w:proofErr w:type="spellEnd"/>
      <w:r w:rsidR="004F30D6" w:rsidRPr="00124DB1">
        <w:t xml:space="preserve"> found</w:t>
      </w:r>
      <w:r w:rsidR="00C6785B" w:rsidRPr="00124DB1">
        <w:t xml:space="preserve"> dehumanizing. </w:t>
      </w:r>
    </w:p>
    <w:p w14:paraId="032D841E" w14:textId="77777777" w:rsidR="00507A20" w:rsidRPr="00124DB1" w:rsidRDefault="00C6785B" w:rsidP="00507A20">
      <w:pPr>
        <w:pStyle w:val="Paragraphe"/>
        <w:tabs>
          <w:tab w:val="clear" w:pos="567"/>
        </w:tabs>
      </w:pPr>
      <w:r w:rsidRPr="00124DB1">
        <w:t xml:space="preserve">At this point, Mr. </w:t>
      </w:r>
      <w:proofErr w:type="spellStart"/>
      <w:r w:rsidRPr="00124DB1">
        <w:t>Bazelais</w:t>
      </w:r>
      <w:proofErr w:type="spellEnd"/>
      <w:r w:rsidRPr="00124DB1">
        <w:t xml:space="preserve"> testified that he was in shock, ashamed, and troubled.</w:t>
      </w:r>
    </w:p>
    <w:p w14:paraId="04322AA6" w14:textId="1D0A5122" w:rsidR="00507A20" w:rsidRPr="00124DB1" w:rsidRDefault="00FA3704" w:rsidP="00507A20">
      <w:pPr>
        <w:pStyle w:val="Paragraphe"/>
        <w:tabs>
          <w:tab w:val="clear" w:pos="567"/>
        </w:tabs>
      </w:pPr>
      <w:r w:rsidRPr="00124DB1">
        <w:t>A</w:t>
      </w:r>
      <w:r w:rsidR="00C6785B" w:rsidRPr="00124DB1">
        <w:t xml:space="preserve"> more comprehensive verification of the identi</w:t>
      </w:r>
      <w:r w:rsidR="004F30D6" w:rsidRPr="00124DB1">
        <w:t>ty</w:t>
      </w:r>
      <w:r w:rsidR="00C6785B" w:rsidRPr="00124DB1">
        <w:t xml:space="preserve"> of Mr. </w:t>
      </w:r>
      <w:proofErr w:type="spellStart"/>
      <w:r w:rsidR="00C6785B" w:rsidRPr="00124DB1">
        <w:t>Bazelais</w:t>
      </w:r>
      <w:proofErr w:type="spellEnd"/>
      <w:r w:rsidR="00C6785B" w:rsidRPr="00124DB1">
        <w:t>, Mr.</w:t>
      </w:r>
      <w:r w:rsidR="004F30D6" w:rsidRPr="00124DB1">
        <w:t> </w:t>
      </w:r>
      <w:r w:rsidR="00C6785B" w:rsidRPr="00124DB1">
        <w:t xml:space="preserve">Bernard, </w:t>
      </w:r>
      <w:r w:rsidRPr="00124DB1">
        <w:t>and</w:t>
      </w:r>
      <w:r w:rsidR="00C6785B" w:rsidRPr="00124DB1">
        <w:t xml:space="preserve"> Mr. </w:t>
      </w:r>
      <w:proofErr w:type="spellStart"/>
      <w:r w:rsidR="00C6785B" w:rsidRPr="00124DB1">
        <w:t>Milien</w:t>
      </w:r>
      <w:proofErr w:type="spellEnd"/>
      <w:r w:rsidR="00C6785B" w:rsidRPr="00124DB1">
        <w:t xml:space="preserve"> led to the conclusion that they were not connected to criminal activity, contrary to the information obtained by the police in the minutes following the three men’s arrival at </w:t>
      </w:r>
      <w:proofErr w:type="gramStart"/>
      <w:r w:rsidR="00C6785B" w:rsidRPr="00124DB1">
        <w:t>Thursday’s</w:t>
      </w:r>
      <w:proofErr w:type="gramEnd"/>
      <w:r w:rsidR="00C6785B" w:rsidRPr="00124DB1">
        <w:t>.</w:t>
      </w:r>
    </w:p>
    <w:p w14:paraId="139AE6AD" w14:textId="4AC8CC0C" w:rsidR="00507A20" w:rsidRPr="00124DB1" w:rsidRDefault="00C6785B" w:rsidP="00507A20">
      <w:pPr>
        <w:pStyle w:val="Paragraphe"/>
        <w:tabs>
          <w:tab w:val="clear" w:pos="567"/>
        </w:tabs>
      </w:pPr>
      <w:r w:rsidRPr="00124DB1">
        <w:t xml:space="preserve">In that context, the trio wanted to go back inside the bar </w:t>
      </w:r>
      <w:r w:rsidR="00FA3704" w:rsidRPr="00124DB1">
        <w:t>to</w:t>
      </w:r>
      <w:r w:rsidRPr="00124DB1">
        <w:t xml:space="preserve"> continue the conversation they had begun and finish their drinks, but the police informed Mr. </w:t>
      </w:r>
      <w:proofErr w:type="spellStart"/>
      <w:r w:rsidRPr="00124DB1">
        <w:t>Bazelais</w:t>
      </w:r>
      <w:proofErr w:type="spellEnd"/>
      <w:r w:rsidRPr="00124DB1">
        <w:t xml:space="preserve"> and his friends that they were no longer welcome in the establishment</w:t>
      </w:r>
      <w:r w:rsidR="00AD2941" w:rsidRPr="00124DB1">
        <w:t>.</w:t>
      </w:r>
      <w:r w:rsidRPr="00124DB1">
        <w:t xml:space="preserve"> </w:t>
      </w:r>
      <w:r w:rsidR="00AD2941" w:rsidRPr="00124DB1">
        <w:t xml:space="preserve">According to Mr. </w:t>
      </w:r>
      <w:proofErr w:type="spellStart"/>
      <w:r w:rsidR="00AD2941" w:rsidRPr="00124DB1">
        <w:t>Bazelais</w:t>
      </w:r>
      <w:proofErr w:type="spellEnd"/>
      <w:r w:rsidR="00AD2941" w:rsidRPr="00124DB1">
        <w:t xml:space="preserve">, </w:t>
      </w:r>
      <w:r w:rsidRPr="00124DB1">
        <w:t>“We were told to leave”. </w:t>
      </w:r>
    </w:p>
    <w:p w14:paraId="3890472C" w14:textId="77777777" w:rsidR="00507A20" w:rsidRPr="00124DB1" w:rsidRDefault="00AD32E1" w:rsidP="00507A20">
      <w:pPr>
        <w:pStyle w:val="Paragraphe"/>
        <w:numPr>
          <w:ilvl w:val="0"/>
          <w:numId w:val="0"/>
        </w:numPr>
        <w:tabs>
          <w:tab w:val="clear" w:pos="567"/>
        </w:tabs>
        <w:jc w:val="center"/>
      </w:pPr>
      <w:r w:rsidRPr="00124DB1">
        <w:t>* * *</w:t>
      </w:r>
    </w:p>
    <w:p w14:paraId="120738EE" w14:textId="77777777" w:rsidR="00507A20" w:rsidRPr="00124DB1" w:rsidRDefault="00C6785B" w:rsidP="00507A20">
      <w:pPr>
        <w:pStyle w:val="Paragraphe"/>
        <w:tabs>
          <w:tab w:val="clear" w:pos="567"/>
        </w:tabs>
      </w:pPr>
      <w:r w:rsidRPr="00124DB1">
        <w:t>Mr. Mathurin has been a police officer since July 1, 1993.</w:t>
      </w:r>
      <w:r w:rsidR="00AD32E1" w:rsidRPr="00124DB1">
        <w:t xml:space="preserve"> </w:t>
      </w:r>
    </w:p>
    <w:p w14:paraId="3A1FC30D" w14:textId="77777777" w:rsidR="00507A20" w:rsidRPr="00124DB1" w:rsidRDefault="00C6785B" w:rsidP="00507A20">
      <w:pPr>
        <w:pStyle w:val="Paragraphe"/>
        <w:tabs>
          <w:tab w:val="clear" w:pos="567"/>
        </w:tabs>
      </w:pPr>
      <w:r w:rsidRPr="00124DB1">
        <w:t>After bei</w:t>
      </w:r>
      <w:r w:rsidR="00FA3704" w:rsidRPr="00124DB1">
        <w:t>ng a patrol officer for cities n</w:t>
      </w:r>
      <w:r w:rsidRPr="00124DB1">
        <w:t>orth of the metropolitan area, he joined the SPVM in 1995.</w:t>
      </w:r>
    </w:p>
    <w:p w14:paraId="6F8A933A" w14:textId="1E79846E" w:rsidR="00507A20" w:rsidRPr="00124DB1" w:rsidRDefault="00C6785B" w:rsidP="00507A20">
      <w:pPr>
        <w:pStyle w:val="Paragraphe"/>
        <w:tabs>
          <w:tab w:val="clear" w:pos="567"/>
        </w:tabs>
      </w:pPr>
      <w:r w:rsidRPr="00124DB1">
        <w:t xml:space="preserve">He developed an interest in teaching police techniques and became an instructor </w:t>
      </w:r>
      <w:r w:rsidR="00D90D2A">
        <w:t>in the use of force</w:t>
      </w:r>
      <w:r w:rsidRPr="00124DB1">
        <w:t xml:space="preserve"> as of 1998.</w:t>
      </w:r>
    </w:p>
    <w:p w14:paraId="323EF92E" w14:textId="0AB16C10" w:rsidR="00507A20" w:rsidRPr="00124DB1" w:rsidRDefault="00C6785B" w:rsidP="00507A20">
      <w:pPr>
        <w:pStyle w:val="Paragraphe"/>
        <w:tabs>
          <w:tab w:val="clear" w:pos="567"/>
        </w:tabs>
      </w:pPr>
      <w:r w:rsidRPr="00124DB1">
        <w:t>The experience he acquired progressively led him in turn to train instructors.</w:t>
      </w:r>
      <w:r w:rsidR="00AD32E1" w:rsidRPr="00124DB1">
        <w:t xml:space="preserve"> </w:t>
      </w:r>
      <w:r w:rsidRPr="00124DB1">
        <w:t xml:space="preserve">He </w:t>
      </w:r>
      <w:r w:rsidR="006122A1">
        <w:t>began teaching</w:t>
      </w:r>
      <w:r w:rsidRPr="00124DB1">
        <w:t xml:space="preserve"> at the </w:t>
      </w:r>
      <w:proofErr w:type="spellStart"/>
      <w:r w:rsidRPr="00124DB1">
        <w:t>École</w:t>
      </w:r>
      <w:proofErr w:type="spellEnd"/>
      <w:r w:rsidRPr="00124DB1">
        <w:t xml:space="preserve"> </w:t>
      </w:r>
      <w:proofErr w:type="spellStart"/>
      <w:proofErr w:type="gramStart"/>
      <w:r w:rsidRPr="00124DB1">
        <w:t>nationale</w:t>
      </w:r>
      <w:proofErr w:type="spellEnd"/>
      <w:r w:rsidRPr="00124DB1">
        <w:t xml:space="preserve"> de police du Québec (ENPQ) and </w:t>
      </w:r>
      <w:r w:rsidR="006122A1">
        <w:t>has</w:t>
      </w:r>
      <w:r w:rsidRPr="00124DB1">
        <w:t xml:space="preserve"> acted as an expert before the courts</w:t>
      </w:r>
      <w:r w:rsidR="006122A1">
        <w:t xml:space="preserve"> a few times</w:t>
      </w:r>
      <w:proofErr w:type="gramEnd"/>
      <w:r w:rsidRPr="00124DB1">
        <w:t>.</w:t>
      </w:r>
    </w:p>
    <w:p w14:paraId="34EA1CC6" w14:textId="2B8278C4" w:rsidR="00507A20" w:rsidRPr="00124DB1" w:rsidRDefault="00C6785B" w:rsidP="00507A20">
      <w:pPr>
        <w:pStyle w:val="Paragraphe"/>
        <w:tabs>
          <w:tab w:val="clear" w:pos="567"/>
        </w:tabs>
      </w:pPr>
      <w:r w:rsidRPr="00124DB1">
        <w:t xml:space="preserve">In 2005, on loan to another department, he </w:t>
      </w:r>
      <w:r w:rsidR="00FA3704" w:rsidRPr="00124DB1">
        <w:t>was the</w:t>
      </w:r>
      <w:r w:rsidRPr="00124DB1">
        <w:t xml:space="preserve"> </w:t>
      </w:r>
      <w:r w:rsidR="009A00D0" w:rsidRPr="00124DB1">
        <w:t>d</w:t>
      </w:r>
      <w:r w:rsidRPr="00124DB1">
        <w:t xml:space="preserve">eputy </w:t>
      </w:r>
      <w:r w:rsidR="00B73650" w:rsidRPr="00124DB1">
        <w:t>d</w:t>
      </w:r>
      <w:r w:rsidRPr="00124DB1">
        <w:t xml:space="preserve">irector of operations for the </w:t>
      </w:r>
      <w:proofErr w:type="spellStart"/>
      <w:r w:rsidRPr="00124DB1">
        <w:t>Régie</w:t>
      </w:r>
      <w:proofErr w:type="spellEnd"/>
      <w:r w:rsidRPr="00124DB1">
        <w:t xml:space="preserve"> </w:t>
      </w:r>
      <w:proofErr w:type="spellStart"/>
      <w:r w:rsidRPr="00124DB1">
        <w:t>intermunicipale</w:t>
      </w:r>
      <w:proofErr w:type="spellEnd"/>
      <w:r w:rsidRPr="00124DB1">
        <w:t xml:space="preserve"> de police de la </w:t>
      </w:r>
      <w:proofErr w:type="spellStart"/>
      <w:r w:rsidRPr="00124DB1">
        <w:t>Rivière</w:t>
      </w:r>
      <w:proofErr w:type="spellEnd"/>
      <w:r w:rsidRPr="00124DB1">
        <w:t>-du-Nord, in the Lower Laurentians.</w:t>
      </w:r>
    </w:p>
    <w:p w14:paraId="145EA136" w14:textId="77777777" w:rsidR="00507A20" w:rsidRPr="00124DB1" w:rsidRDefault="00C6785B" w:rsidP="00507A20">
      <w:pPr>
        <w:pStyle w:val="Paragraphe"/>
        <w:tabs>
          <w:tab w:val="clear" w:pos="567"/>
        </w:tabs>
      </w:pPr>
      <w:r w:rsidRPr="00124DB1">
        <w:t>In 2006, he was back with the SPVM, promoted to lieutenant.</w:t>
      </w:r>
      <w:r w:rsidR="00AD32E1" w:rsidRPr="00124DB1">
        <w:t xml:space="preserve"> </w:t>
      </w:r>
    </w:p>
    <w:p w14:paraId="0D5B60D3" w14:textId="26C9BFAE" w:rsidR="00507A20" w:rsidRPr="00124DB1" w:rsidRDefault="00C6785B" w:rsidP="00507A20">
      <w:pPr>
        <w:pStyle w:val="Paragraphe"/>
        <w:tabs>
          <w:tab w:val="clear" w:pos="567"/>
        </w:tabs>
      </w:pPr>
      <w:r w:rsidRPr="00124DB1">
        <w:t>In 2013, he became a supervising-</w:t>
      </w:r>
      <w:r w:rsidR="00FA3704" w:rsidRPr="00124DB1">
        <w:t>sergeant</w:t>
      </w:r>
      <w:r w:rsidRPr="00124DB1">
        <w:t xml:space="preserve"> of operatio</w:t>
      </w:r>
      <w:r w:rsidR="00FA3704" w:rsidRPr="00124DB1">
        <w:t xml:space="preserve">ns and joined the ranks of the </w:t>
      </w:r>
      <w:proofErr w:type="spellStart"/>
      <w:r w:rsidR="009A00D0" w:rsidRPr="00124DB1">
        <w:t>É</w:t>
      </w:r>
      <w:r w:rsidRPr="00124DB1">
        <w:t>clipse</w:t>
      </w:r>
      <w:proofErr w:type="spellEnd"/>
      <w:r w:rsidRPr="00124DB1">
        <w:t xml:space="preserve"> unit,</w:t>
      </w:r>
      <w:r w:rsidR="00AD32E1" w:rsidRPr="00124DB1">
        <w:rPr>
          <w:rStyle w:val="Appelnotedebasdep"/>
        </w:rPr>
        <w:footnoteReference w:id="6"/>
      </w:r>
      <w:r w:rsidR="009A00D0" w:rsidRPr="00124DB1">
        <w:t xml:space="preserve"> a group of</w:t>
      </w:r>
      <w:r w:rsidRPr="00124DB1">
        <w:t xml:space="preserve"> SPVM officers specialized in the fight against gang violence.</w:t>
      </w:r>
    </w:p>
    <w:p w14:paraId="059E27B8" w14:textId="0A8FBC2C" w:rsidR="00507A20" w:rsidRPr="00124DB1" w:rsidRDefault="00C6785B" w:rsidP="00507A20">
      <w:pPr>
        <w:pStyle w:val="Paragraphe"/>
        <w:tabs>
          <w:tab w:val="clear" w:pos="567"/>
        </w:tabs>
      </w:pPr>
      <w:r w:rsidRPr="00124DB1">
        <w:lastRenderedPageBreak/>
        <w:t xml:space="preserve">He explained that a large portion of the work was to create </w:t>
      </w:r>
      <w:r w:rsidR="00FA3704" w:rsidRPr="00124DB1">
        <w:t>[</w:t>
      </w:r>
      <w:r w:rsidR="00FA3704" w:rsidRPr="00124DB1">
        <w:rPr>
          <w:smallCaps/>
        </w:rPr>
        <w:t>translation</w:t>
      </w:r>
      <w:r w:rsidR="00FA3704" w:rsidRPr="00124DB1">
        <w:t xml:space="preserve">] </w:t>
      </w:r>
      <w:r w:rsidRPr="00124DB1">
        <w:t xml:space="preserve">“through prevention and communication”, a </w:t>
      </w:r>
      <w:r w:rsidR="00FA3704" w:rsidRPr="00124DB1">
        <w:t>[</w:t>
      </w:r>
      <w:r w:rsidR="00FA3704" w:rsidRPr="00124DB1">
        <w:rPr>
          <w:smallCaps/>
        </w:rPr>
        <w:t>translation</w:t>
      </w:r>
      <w:r w:rsidR="00FA3704" w:rsidRPr="00124DB1">
        <w:t xml:space="preserve">] </w:t>
      </w:r>
      <w:r w:rsidRPr="00124DB1">
        <w:t xml:space="preserve">“relationship of trust” with individuals likely to have information on the activities of the underworld (bar </w:t>
      </w:r>
      <w:r w:rsidR="009A00D0" w:rsidRPr="00124DB1">
        <w:t>owners</w:t>
      </w:r>
      <w:r w:rsidRPr="00124DB1">
        <w:t xml:space="preserve">, </w:t>
      </w:r>
      <w:proofErr w:type="gramStart"/>
      <w:r w:rsidRPr="00124DB1">
        <w:t>doormen</w:t>
      </w:r>
      <w:proofErr w:type="gramEnd"/>
      <w:r w:rsidRPr="00124DB1">
        <w:t>, exotic dancers, street gang members).</w:t>
      </w:r>
      <w:r w:rsidR="00AD32E1" w:rsidRPr="00124DB1">
        <w:t xml:space="preserve"> </w:t>
      </w:r>
    </w:p>
    <w:p w14:paraId="1F665FA4" w14:textId="21DE3735" w:rsidR="00507A20" w:rsidRPr="00124DB1" w:rsidRDefault="00C6785B" w:rsidP="00507A20">
      <w:pPr>
        <w:pStyle w:val="Paragraphe"/>
        <w:tabs>
          <w:tab w:val="clear" w:pos="567"/>
        </w:tabs>
      </w:pPr>
      <w:r w:rsidRPr="00124DB1">
        <w:t xml:space="preserve">The SPVM collects the information provided by its officers and compiles </w:t>
      </w:r>
      <w:proofErr w:type="gramStart"/>
      <w:r w:rsidRPr="00124DB1">
        <w:t>this</w:t>
      </w:r>
      <w:proofErr w:type="gramEnd"/>
      <w:r w:rsidRPr="00124DB1">
        <w:t xml:space="preserve"> precious knowledge that allows it to know who is active, evaluate the risk of attacks, </w:t>
      </w:r>
      <w:r w:rsidR="003F5FC7" w:rsidRPr="00124DB1">
        <w:t>and</w:t>
      </w:r>
      <w:r w:rsidRPr="00124DB1">
        <w:t xml:space="preserve"> adapt its patrols to </w:t>
      </w:r>
      <w:r w:rsidR="00FA3704" w:rsidRPr="00124DB1">
        <w:t>[</w:t>
      </w:r>
      <w:r w:rsidR="00FA3704" w:rsidRPr="00124DB1">
        <w:rPr>
          <w:smallCaps/>
        </w:rPr>
        <w:t>translation</w:t>
      </w:r>
      <w:r w:rsidR="00FA3704" w:rsidRPr="00124DB1">
        <w:t xml:space="preserve">] </w:t>
      </w:r>
      <w:r w:rsidRPr="00124DB1">
        <w:t>“ease tensions”.</w:t>
      </w:r>
    </w:p>
    <w:p w14:paraId="356FC6FC" w14:textId="2AA95F09" w:rsidR="00507A20" w:rsidRPr="00124DB1" w:rsidRDefault="00C6785B" w:rsidP="00507A20">
      <w:pPr>
        <w:pStyle w:val="Paragraphe"/>
        <w:tabs>
          <w:tab w:val="clear" w:pos="567"/>
        </w:tabs>
      </w:pPr>
      <w:r w:rsidRPr="00124DB1">
        <w:t xml:space="preserve">Mr. Mathurin explained that bar </w:t>
      </w:r>
      <w:proofErr w:type="gramStart"/>
      <w:r w:rsidRPr="00124DB1">
        <w:t>doormen</w:t>
      </w:r>
      <w:proofErr w:type="gramEnd"/>
      <w:r w:rsidRPr="00124DB1">
        <w:t xml:space="preserve"> provide invaluable assistance in this respect as their work consists </w:t>
      </w:r>
      <w:r w:rsidR="00FA3704" w:rsidRPr="00124DB1">
        <w:t>of</w:t>
      </w:r>
      <w:r w:rsidRPr="00124DB1">
        <w:t xml:space="preserve"> maintaining order in the private </w:t>
      </w:r>
      <w:r w:rsidR="003F5FC7" w:rsidRPr="00124DB1">
        <w:t>establishment</w:t>
      </w:r>
      <w:r w:rsidRPr="00124DB1">
        <w:t xml:space="preserve"> owned by their </w:t>
      </w:r>
      <w:r w:rsidR="00FA3704" w:rsidRPr="00124DB1">
        <w:t>employers</w:t>
      </w:r>
      <w:r w:rsidRPr="00124DB1">
        <w:t>.</w:t>
      </w:r>
    </w:p>
    <w:p w14:paraId="1C317210" w14:textId="77D48675" w:rsidR="00507A20" w:rsidRPr="00124DB1" w:rsidRDefault="00C6785B" w:rsidP="00507A20">
      <w:pPr>
        <w:pStyle w:val="Paragraphe"/>
        <w:tabs>
          <w:tab w:val="clear" w:pos="567"/>
        </w:tabs>
      </w:pPr>
      <w:r w:rsidRPr="00124DB1">
        <w:t xml:space="preserve">They sometimes find themselves </w:t>
      </w:r>
      <w:r w:rsidR="00FA3704" w:rsidRPr="00124DB1">
        <w:t>[</w:t>
      </w:r>
      <w:r w:rsidR="00FA3704" w:rsidRPr="00124DB1">
        <w:rPr>
          <w:smallCaps/>
        </w:rPr>
        <w:t>translation</w:t>
      </w:r>
      <w:r w:rsidR="00FA3704" w:rsidRPr="00124DB1">
        <w:t xml:space="preserve">] </w:t>
      </w:r>
      <w:r w:rsidRPr="00124DB1">
        <w:t>“between a rock and a hard place” when members of opposing groups go into the bar</w:t>
      </w:r>
      <w:r w:rsidR="00FA3704" w:rsidRPr="00124DB1">
        <w:t>.</w:t>
      </w:r>
      <w:r w:rsidRPr="00124DB1">
        <w:t xml:space="preserve"> </w:t>
      </w:r>
      <w:r w:rsidR="00FA3704" w:rsidRPr="00124DB1">
        <w:t>T</w:t>
      </w:r>
      <w:r w:rsidRPr="00124DB1">
        <w:t xml:space="preserve">he </w:t>
      </w:r>
      <w:proofErr w:type="gramStart"/>
      <w:r w:rsidRPr="00124DB1">
        <w:t>doormen</w:t>
      </w:r>
      <w:proofErr w:type="gramEnd"/>
      <w:r w:rsidRPr="00124DB1">
        <w:t xml:space="preserve"> may fear being personally </w:t>
      </w:r>
      <w:r w:rsidR="00C336B6" w:rsidRPr="00124DB1">
        <w:t>attacked</w:t>
      </w:r>
      <w:r w:rsidRPr="00124DB1">
        <w:t xml:space="preserve"> or find it difficult to remove those who are unwelcome.</w:t>
      </w:r>
    </w:p>
    <w:p w14:paraId="2FF1925A" w14:textId="3B5C5474" w:rsidR="00507A20" w:rsidRPr="00124DB1" w:rsidRDefault="00C6785B" w:rsidP="00507A20">
      <w:pPr>
        <w:pStyle w:val="Paragraphe"/>
        <w:tabs>
          <w:tab w:val="clear" w:pos="567"/>
        </w:tabs>
      </w:pPr>
      <w:r w:rsidRPr="00124DB1">
        <w:t xml:space="preserve">In 2014, at the time of the facts, </w:t>
      </w:r>
      <w:r w:rsidR="00FA3704" w:rsidRPr="00124DB1">
        <w:t>Sergeant</w:t>
      </w:r>
      <w:r w:rsidRPr="00124DB1">
        <w:t xml:space="preserve"> Mathurin </w:t>
      </w:r>
      <w:r w:rsidR="00FA3704" w:rsidRPr="00124DB1">
        <w:t>recounted</w:t>
      </w:r>
      <w:r w:rsidRPr="00124DB1">
        <w:t xml:space="preserve"> that several criminal </w:t>
      </w:r>
      <w:r w:rsidR="00050A13" w:rsidRPr="00124DB1">
        <w:t>organizations</w:t>
      </w:r>
      <w:r w:rsidRPr="00124DB1">
        <w:t xml:space="preserve"> with complex </w:t>
      </w:r>
      <w:r w:rsidR="00050A13" w:rsidRPr="00124DB1">
        <w:t>structures</w:t>
      </w:r>
      <w:r w:rsidRPr="00124DB1">
        <w:t xml:space="preserve"> </w:t>
      </w:r>
      <w:r w:rsidR="00050A13" w:rsidRPr="00124DB1">
        <w:t>were</w:t>
      </w:r>
      <w:r w:rsidRPr="00124DB1">
        <w:t xml:space="preserve"> </w:t>
      </w:r>
      <w:r w:rsidR="00050A13" w:rsidRPr="00124DB1">
        <w:t>operating in</w:t>
      </w:r>
      <w:r w:rsidRPr="00124DB1">
        <w:t xml:space="preserve"> the Montreal area, looking to grow their influence, </w:t>
      </w:r>
      <w:r w:rsidR="00050A13" w:rsidRPr="00124DB1">
        <w:t xml:space="preserve">forcefully </w:t>
      </w:r>
      <w:r w:rsidRPr="00124DB1">
        <w:t>impose their presence, take control of the drug trade</w:t>
      </w:r>
      <w:r w:rsidR="00D102E6" w:rsidRPr="00124DB1">
        <w:t>,</w:t>
      </w:r>
      <w:r w:rsidRPr="00124DB1">
        <w:t xml:space="preserve"> and profit from prostitution through procuring, etc. He referred to the Italian mafia, motorcycle gangs, but also </w:t>
      </w:r>
      <w:r w:rsidR="00D2518D" w:rsidRPr="00124DB1">
        <w:t xml:space="preserve">to </w:t>
      </w:r>
      <w:r w:rsidRPr="00124DB1">
        <w:t xml:space="preserve">over 50 street </w:t>
      </w:r>
      <w:r w:rsidR="00D2518D" w:rsidRPr="00124DB1">
        <w:t>gangs associated with the Crips –</w:t>
      </w:r>
      <w:r w:rsidRPr="00124DB1">
        <w:t xml:space="preserve"> who dominated at the time</w:t>
      </w:r>
      <w:r w:rsidR="00D2518D" w:rsidRPr="00124DB1">
        <w:t xml:space="preserve"> –</w:t>
      </w:r>
      <w:r w:rsidRPr="00124DB1">
        <w:t xml:space="preserve"> </w:t>
      </w:r>
      <w:r w:rsidR="00D102E6" w:rsidRPr="00124DB1">
        <w:t>and</w:t>
      </w:r>
      <w:r w:rsidRPr="00124DB1">
        <w:t xml:space="preserve"> the Bloods.</w:t>
      </w:r>
    </w:p>
    <w:p w14:paraId="6188458F" w14:textId="122AB6FC" w:rsidR="00507A20" w:rsidRPr="00124DB1" w:rsidRDefault="00907F34" w:rsidP="00507A20">
      <w:pPr>
        <w:pStyle w:val="Paragraphe"/>
        <w:tabs>
          <w:tab w:val="clear" w:pos="567"/>
        </w:tabs>
      </w:pPr>
      <w:r w:rsidRPr="00124DB1">
        <w:t xml:space="preserve">On August 31, 2014, starting at 7 p.m., </w:t>
      </w:r>
      <w:r w:rsidR="00D2518D" w:rsidRPr="00124DB1">
        <w:t>Sergeant</w:t>
      </w:r>
      <w:r w:rsidRPr="00124DB1">
        <w:t xml:space="preserve"> Mathurin was on the job and directing a group of eight police officers from the </w:t>
      </w:r>
      <w:proofErr w:type="spellStart"/>
      <w:r w:rsidR="00D102E6" w:rsidRPr="00124DB1">
        <w:t>É</w:t>
      </w:r>
      <w:r w:rsidRPr="00124DB1">
        <w:t>clipse</w:t>
      </w:r>
      <w:proofErr w:type="spellEnd"/>
      <w:r w:rsidRPr="00124DB1">
        <w:t xml:space="preserve"> unit </w:t>
      </w:r>
      <w:r w:rsidR="00D2518D" w:rsidRPr="00124DB1">
        <w:t xml:space="preserve">in the </w:t>
      </w:r>
      <w:r w:rsidR="003040A4" w:rsidRPr="00124DB1">
        <w:t>s</w:t>
      </w:r>
      <w:r w:rsidR="00D2518D" w:rsidRPr="00124DB1">
        <w:t xml:space="preserve">outh </w:t>
      </w:r>
      <w:r w:rsidR="003040A4" w:rsidRPr="00124DB1">
        <w:t>w</w:t>
      </w:r>
      <w:r w:rsidR="00D2518D" w:rsidRPr="00124DB1">
        <w:t xml:space="preserve">est area of the </w:t>
      </w:r>
      <w:r w:rsidR="00DD0C6B">
        <w:t>City</w:t>
      </w:r>
      <w:r w:rsidRPr="00124DB1">
        <w:t>.</w:t>
      </w:r>
      <w:r w:rsidR="00AD32E1" w:rsidRPr="00124DB1">
        <w:t xml:space="preserve"> </w:t>
      </w:r>
    </w:p>
    <w:p w14:paraId="43E16800" w14:textId="77777777" w:rsidR="00507A20" w:rsidRPr="00124DB1" w:rsidRDefault="00907F34" w:rsidP="00507A20">
      <w:pPr>
        <w:pStyle w:val="Paragraphe"/>
        <w:tabs>
          <w:tab w:val="clear" w:pos="567"/>
        </w:tabs>
      </w:pPr>
      <w:r w:rsidRPr="00124DB1">
        <w:t xml:space="preserve">At around 11 p.m., he was alone in his patrol car </w:t>
      </w:r>
      <w:r w:rsidR="00D2518D" w:rsidRPr="00124DB1">
        <w:t>when he</w:t>
      </w:r>
      <w:r w:rsidRPr="00124DB1">
        <w:t xml:space="preserve"> received a call on his cell phone.</w:t>
      </w:r>
    </w:p>
    <w:p w14:paraId="395F94CD" w14:textId="2D9EB681" w:rsidR="00507A20" w:rsidRPr="00124DB1" w:rsidRDefault="00907F34" w:rsidP="00507A20">
      <w:pPr>
        <w:pStyle w:val="Paragraphe"/>
        <w:tabs>
          <w:tab w:val="clear" w:pos="567"/>
        </w:tabs>
      </w:pPr>
      <w:r w:rsidRPr="00124DB1">
        <w:t xml:space="preserve">A </w:t>
      </w:r>
      <w:proofErr w:type="gramStart"/>
      <w:r w:rsidRPr="00124DB1">
        <w:t>doorman</w:t>
      </w:r>
      <w:proofErr w:type="gramEnd"/>
      <w:r w:rsidRPr="00124DB1">
        <w:t xml:space="preserve"> from Thursday’s (</w:t>
      </w:r>
      <w:r w:rsidR="003040A4" w:rsidRPr="00124DB1">
        <w:t>whom</w:t>
      </w:r>
      <w:r w:rsidRPr="00124DB1">
        <w:t xml:space="preserve"> we will refer to by the initials D.B.</w:t>
      </w:r>
      <w:r w:rsidR="00AD32E1" w:rsidRPr="00124DB1">
        <w:rPr>
          <w:rStyle w:val="Appelnotedebasdep"/>
        </w:rPr>
        <w:footnoteReference w:id="7"/>
      </w:r>
      <w:r w:rsidRPr="00124DB1">
        <w:t>) told him that black men had just entered the bar and that he was afraid for his life.</w:t>
      </w:r>
    </w:p>
    <w:p w14:paraId="22DC5D48" w14:textId="77777777" w:rsidR="00507A20" w:rsidRPr="00124DB1" w:rsidRDefault="00907F34" w:rsidP="00507A20">
      <w:pPr>
        <w:pStyle w:val="Paragraphe"/>
        <w:tabs>
          <w:tab w:val="clear" w:pos="567"/>
        </w:tabs>
      </w:pPr>
      <w:r w:rsidRPr="00124DB1">
        <w:lastRenderedPageBreak/>
        <w:t xml:space="preserve">Mr. Mathurin assigned a great deal of credibility to what the </w:t>
      </w:r>
      <w:proofErr w:type="gramStart"/>
      <w:r w:rsidRPr="00124DB1">
        <w:t>doorman</w:t>
      </w:r>
      <w:proofErr w:type="gramEnd"/>
      <w:r w:rsidRPr="00124DB1">
        <w:t xml:space="preserve"> told him</w:t>
      </w:r>
      <w:r w:rsidR="00AD32E1" w:rsidRPr="00124DB1">
        <w:rPr>
          <w:rStyle w:val="Appelnotedebasdep"/>
        </w:rPr>
        <w:footnoteReference w:id="8"/>
      </w:r>
      <w:r w:rsidRPr="00124DB1">
        <w:t xml:space="preserve"> and explained why.</w:t>
      </w:r>
      <w:r w:rsidR="00AD32E1" w:rsidRPr="00124DB1">
        <w:t xml:space="preserve"> </w:t>
      </w:r>
    </w:p>
    <w:p w14:paraId="7AF360B4" w14:textId="00ADCB71" w:rsidR="00507A20" w:rsidRPr="00124DB1" w:rsidRDefault="00907F34" w:rsidP="00507A20">
      <w:pPr>
        <w:pStyle w:val="Paragraphe"/>
        <w:tabs>
          <w:tab w:val="clear" w:pos="567"/>
        </w:tabs>
      </w:pPr>
      <w:r w:rsidRPr="00124DB1">
        <w:t xml:space="preserve">Mr. D. B. </w:t>
      </w:r>
      <w:r w:rsidR="00D2518D" w:rsidRPr="00124DB1">
        <w:t>is</w:t>
      </w:r>
      <w:r w:rsidRPr="00124DB1">
        <w:t xml:space="preserve"> a black man</w:t>
      </w:r>
      <w:r w:rsidR="00AD32E1" w:rsidRPr="00124DB1">
        <w:rPr>
          <w:rStyle w:val="Appelnotedebasdep"/>
        </w:rPr>
        <w:footnoteReference w:id="9"/>
      </w:r>
      <w:r w:rsidRPr="00124DB1">
        <w:t xml:space="preserve"> who </w:t>
      </w:r>
      <w:r w:rsidR="00D2518D" w:rsidRPr="00124DB1">
        <w:t>personally grew</w:t>
      </w:r>
      <w:r w:rsidRPr="00124DB1">
        <w:t xml:space="preserve"> up and attended school with street gang members.</w:t>
      </w:r>
      <w:r w:rsidR="00AD32E1" w:rsidRPr="00124DB1">
        <w:t xml:space="preserve"> </w:t>
      </w:r>
      <w:r w:rsidRPr="00124DB1">
        <w:t xml:space="preserve">He </w:t>
      </w:r>
      <w:r w:rsidR="00D2518D" w:rsidRPr="00124DB1">
        <w:t>is</w:t>
      </w:r>
      <w:r w:rsidRPr="00124DB1">
        <w:t xml:space="preserve"> an experienced</w:t>
      </w:r>
      <w:r w:rsidR="00371E63" w:rsidRPr="00124DB1">
        <w:t>, reliable</w:t>
      </w:r>
      <w:r w:rsidRPr="00124DB1">
        <w:t xml:space="preserve"> </w:t>
      </w:r>
      <w:proofErr w:type="gramStart"/>
      <w:r w:rsidRPr="00124DB1">
        <w:t>doorman</w:t>
      </w:r>
      <w:proofErr w:type="gramEnd"/>
      <w:r w:rsidR="00371E63" w:rsidRPr="00124DB1">
        <w:t>,</w:t>
      </w:r>
      <w:r w:rsidR="00AD32E1" w:rsidRPr="00124DB1">
        <w:rPr>
          <w:rStyle w:val="Appelnotedebasdep"/>
        </w:rPr>
        <w:footnoteReference w:id="10"/>
      </w:r>
      <w:r w:rsidRPr="00124DB1">
        <w:t xml:space="preserve"> </w:t>
      </w:r>
      <w:r w:rsidR="00371E63" w:rsidRPr="00124DB1">
        <w:t>who is not in the habit of alerting the police for nothing.</w:t>
      </w:r>
      <w:r w:rsidR="00AD32E1" w:rsidRPr="00124DB1">
        <w:t xml:space="preserve"> </w:t>
      </w:r>
    </w:p>
    <w:p w14:paraId="65D1D984" w14:textId="258F1994" w:rsidR="00507A20" w:rsidRPr="00124DB1" w:rsidRDefault="00AD32E1" w:rsidP="00507A20">
      <w:pPr>
        <w:pStyle w:val="Paragraphe"/>
        <w:tabs>
          <w:tab w:val="clear" w:pos="567"/>
        </w:tabs>
      </w:pPr>
      <w:r w:rsidRPr="00124DB1">
        <w:t xml:space="preserve"> </w:t>
      </w:r>
      <w:r w:rsidR="00907F34" w:rsidRPr="00124DB1">
        <w:t xml:space="preserve">The previous year, he </w:t>
      </w:r>
      <w:r w:rsidR="00D2518D" w:rsidRPr="00124DB1">
        <w:t>had been</w:t>
      </w:r>
      <w:r w:rsidR="00907F34" w:rsidRPr="00124DB1">
        <w:t xml:space="preserve"> working as a </w:t>
      </w:r>
      <w:proofErr w:type="gramStart"/>
      <w:r w:rsidR="00907F34" w:rsidRPr="00124DB1">
        <w:t>doorman</w:t>
      </w:r>
      <w:proofErr w:type="gramEnd"/>
      <w:r w:rsidR="00907F34" w:rsidRPr="00124DB1">
        <w:t xml:space="preserve"> in another establishment, where the head of the Crips, Jean-Philippe </w:t>
      </w:r>
      <w:proofErr w:type="spellStart"/>
      <w:r w:rsidR="00907F34" w:rsidRPr="00124DB1">
        <w:t>Célestin</w:t>
      </w:r>
      <w:proofErr w:type="spellEnd"/>
      <w:r w:rsidR="00907F34" w:rsidRPr="00124DB1">
        <w:t xml:space="preserve">, was a regular. Mr. D.B. had received </w:t>
      </w:r>
      <w:r w:rsidR="00371E63" w:rsidRPr="00124DB1">
        <w:t>an</w:t>
      </w:r>
      <w:r w:rsidR="00907F34" w:rsidRPr="00124DB1">
        <w:t xml:space="preserve"> order from his boss to henceforth refuse to grant this individual and his </w:t>
      </w:r>
      <w:proofErr w:type="gramStart"/>
      <w:r w:rsidR="00907F34" w:rsidRPr="00124DB1">
        <w:t>associates</w:t>
      </w:r>
      <w:proofErr w:type="gramEnd"/>
      <w:r w:rsidR="00907F34" w:rsidRPr="00124DB1">
        <w:t xml:space="preserve"> access to the bar.</w:t>
      </w:r>
    </w:p>
    <w:p w14:paraId="3E928E2C" w14:textId="77777777" w:rsidR="00507A20" w:rsidRPr="00124DB1" w:rsidRDefault="00907F34" w:rsidP="00507A20">
      <w:pPr>
        <w:pStyle w:val="Paragraphe"/>
        <w:tabs>
          <w:tab w:val="clear" w:pos="567"/>
        </w:tabs>
      </w:pPr>
      <w:r w:rsidRPr="00124DB1">
        <w:t xml:space="preserve">The </w:t>
      </w:r>
      <w:proofErr w:type="gramStart"/>
      <w:r w:rsidRPr="00124DB1">
        <w:t>doorman</w:t>
      </w:r>
      <w:proofErr w:type="gramEnd"/>
      <w:r w:rsidRPr="00124DB1">
        <w:t xml:space="preserve"> </w:t>
      </w:r>
      <w:r w:rsidR="00D2518D" w:rsidRPr="00124DB1">
        <w:t>was then</w:t>
      </w:r>
      <w:r w:rsidRPr="00124DB1">
        <w:t xml:space="preserve"> </w:t>
      </w:r>
      <w:r w:rsidR="00D2518D" w:rsidRPr="00124DB1">
        <w:t>attacked</w:t>
      </w:r>
      <w:r w:rsidRPr="00124DB1">
        <w:t xml:space="preserve"> with a knife </w:t>
      </w:r>
      <w:r w:rsidR="00D2518D" w:rsidRPr="00124DB1">
        <w:t>and</w:t>
      </w:r>
      <w:r w:rsidRPr="00124DB1">
        <w:t xml:space="preserve"> seriously injured</w:t>
      </w:r>
      <w:r w:rsidR="00D2518D" w:rsidRPr="00124DB1">
        <w:t>, making</w:t>
      </w:r>
      <w:r w:rsidRPr="00124DB1">
        <w:t xml:space="preserve"> it impossible for him to work for several months.</w:t>
      </w:r>
      <w:r w:rsidR="00AD32E1" w:rsidRPr="00124DB1">
        <w:t xml:space="preserve"> </w:t>
      </w:r>
      <w:r w:rsidR="00D2518D" w:rsidRPr="00124DB1">
        <w:t>Sergeant</w:t>
      </w:r>
      <w:r w:rsidRPr="00124DB1">
        <w:t xml:space="preserve"> Mathurin was aware of that attack.</w:t>
      </w:r>
      <w:r w:rsidR="00AD32E1" w:rsidRPr="00124DB1">
        <w:t xml:space="preserve"> </w:t>
      </w:r>
    </w:p>
    <w:p w14:paraId="1764F312" w14:textId="77777777" w:rsidR="00507A20" w:rsidRPr="00124DB1" w:rsidRDefault="00907F34" w:rsidP="00507A20">
      <w:pPr>
        <w:pStyle w:val="Paragraphe"/>
        <w:tabs>
          <w:tab w:val="clear" w:pos="567"/>
        </w:tabs>
      </w:pPr>
      <w:r w:rsidRPr="00124DB1">
        <w:t xml:space="preserve">Mr. D.B. had confided in him that he felt threatened </w:t>
      </w:r>
      <w:r w:rsidR="00D2518D" w:rsidRPr="00124DB1">
        <w:t>and</w:t>
      </w:r>
      <w:r w:rsidRPr="00124DB1">
        <w:t xml:space="preserve"> that he was convinced that the Crips had sent henchmen to </w:t>
      </w:r>
      <w:r w:rsidR="00D2518D" w:rsidRPr="00124DB1">
        <w:t>Thursday’s</w:t>
      </w:r>
      <w:r w:rsidRPr="00124DB1">
        <w:t xml:space="preserve"> to </w:t>
      </w:r>
      <w:r w:rsidR="00D2518D" w:rsidRPr="00124DB1">
        <w:t>[</w:t>
      </w:r>
      <w:r w:rsidR="00D2518D" w:rsidRPr="00124DB1">
        <w:rPr>
          <w:smallCaps/>
        </w:rPr>
        <w:t>translation</w:t>
      </w:r>
      <w:r w:rsidR="00D2518D" w:rsidRPr="00124DB1">
        <w:t xml:space="preserve">] </w:t>
      </w:r>
      <w:r w:rsidRPr="00124DB1">
        <w:t xml:space="preserve">“finish the job”, and </w:t>
      </w:r>
      <w:r w:rsidR="00D2518D" w:rsidRPr="00124DB1">
        <w:t>[</w:t>
      </w:r>
      <w:r w:rsidR="00D2518D" w:rsidRPr="00124DB1">
        <w:rPr>
          <w:smallCaps/>
        </w:rPr>
        <w:t>translation</w:t>
      </w:r>
      <w:r w:rsidR="00D2518D" w:rsidRPr="00124DB1">
        <w:t xml:space="preserve">] </w:t>
      </w:r>
      <w:r w:rsidRPr="00124DB1">
        <w:t xml:space="preserve">“finish him”. </w:t>
      </w:r>
    </w:p>
    <w:p w14:paraId="16CDBF26" w14:textId="77777777" w:rsidR="00507A20" w:rsidRPr="00124DB1" w:rsidRDefault="00907F34" w:rsidP="00507A20">
      <w:pPr>
        <w:pStyle w:val="Paragraphe"/>
        <w:tabs>
          <w:tab w:val="clear" w:pos="567"/>
        </w:tabs>
      </w:pPr>
      <w:r w:rsidRPr="00124DB1">
        <w:t xml:space="preserve">The </w:t>
      </w:r>
      <w:r w:rsidR="00D2518D" w:rsidRPr="00124DB1">
        <w:t>sergeant</w:t>
      </w:r>
      <w:r w:rsidRPr="00124DB1">
        <w:t xml:space="preserve"> detected </w:t>
      </w:r>
      <w:r w:rsidR="00E420D6" w:rsidRPr="00124DB1">
        <w:t>[</w:t>
      </w:r>
      <w:r w:rsidR="00E420D6" w:rsidRPr="00124DB1">
        <w:rPr>
          <w:smallCaps/>
        </w:rPr>
        <w:t>translation</w:t>
      </w:r>
      <w:r w:rsidR="00E420D6" w:rsidRPr="00124DB1">
        <w:t xml:space="preserve">] </w:t>
      </w:r>
      <w:r w:rsidRPr="00124DB1">
        <w:t xml:space="preserve">“an urgency to act” and mobilized the members of his team to </w:t>
      </w:r>
      <w:r w:rsidR="00E420D6" w:rsidRPr="00124DB1">
        <w:t>[</w:t>
      </w:r>
      <w:r w:rsidR="00E420D6" w:rsidRPr="00124DB1">
        <w:rPr>
          <w:smallCaps/>
        </w:rPr>
        <w:t>translation</w:t>
      </w:r>
      <w:r w:rsidR="00E420D6" w:rsidRPr="00124DB1">
        <w:t xml:space="preserve">] </w:t>
      </w:r>
      <w:r w:rsidRPr="00124DB1">
        <w:t xml:space="preserve">“intervene quickly”, given the possibility of an assault with a </w:t>
      </w:r>
      <w:r w:rsidR="00E420D6" w:rsidRPr="00124DB1">
        <w:t>[</w:t>
      </w:r>
      <w:r w:rsidR="00E420D6" w:rsidRPr="00124DB1">
        <w:rPr>
          <w:smallCaps/>
        </w:rPr>
        <w:t>translation</w:t>
      </w:r>
      <w:r w:rsidR="00E420D6" w:rsidRPr="00124DB1">
        <w:t xml:space="preserve">] </w:t>
      </w:r>
      <w:r w:rsidRPr="00124DB1">
        <w:t>“high risk potential”.</w:t>
      </w:r>
      <w:r w:rsidR="00AD32E1" w:rsidRPr="00124DB1">
        <w:t xml:space="preserve"> </w:t>
      </w:r>
    </w:p>
    <w:p w14:paraId="6E2AE4D3" w14:textId="77777777" w:rsidR="00507A20" w:rsidRPr="00124DB1" w:rsidRDefault="00907F34" w:rsidP="00507A20">
      <w:pPr>
        <w:pStyle w:val="Paragraphe"/>
        <w:tabs>
          <w:tab w:val="clear" w:pos="567"/>
        </w:tabs>
      </w:pPr>
      <w:r w:rsidRPr="00124DB1">
        <w:t>The officers got together and parked the patrol cars in a lin</w:t>
      </w:r>
      <w:r w:rsidR="00E420D6" w:rsidRPr="00124DB1">
        <w:t>e</w:t>
      </w:r>
      <w:r w:rsidRPr="00124DB1">
        <w:t xml:space="preserve"> on De Maisonneuve Boulevard.</w:t>
      </w:r>
      <w:r w:rsidR="00AD32E1" w:rsidRPr="00124DB1">
        <w:t xml:space="preserve"> </w:t>
      </w:r>
      <w:r w:rsidRPr="00124DB1">
        <w:t>Then, for tactical reasons, they continued on foot to the Crescent Street bar.</w:t>
      </w:r>
    </w:p>
    <w:p w14:paraId="7E99728D" w14:textId="77777777" w:rsidR="00507A20" w:rsidRPr="00124DB1" w:rsidRDefault="00E420D6" w:rsidP="00507A20">
      <w:pPr>
        <w:pStyle w:val="Paragraphe"/>
        <w:tabs>
          <w:tab w:val="clear" w:pos="567"/>
        </w:tabs>
      </w:pPr>
      <w:r w:rsidRPr="00124DB1">
        <w:t>Sergeant</w:t>
      </w:r>
      <w:r w:rsidR="00907F34" w:rsidRPr="00124DB1">
        <w:t xml:space="preserve"> Mathurin was leading the march.</w:t>
      </w:r>
      <w:r w:rsidR="00AD32E1" w:rsidRPr="00124DB1">
        <w:t xml:space="preserve"> </w:t>
      </w:r>
      <w:r w:rsidR="00907F34" w:rsidRPr="00124DB1">
        <w:t xml:space="preserve">When they got to Thursday’s, one of the </w:t>
      </w:r>
      <w:proofErr w:type="gramStart"/>
      <w:r w:rsidR="00907F34" w:rsidRPr="00124DB1">
        <w:t>doormen</w:t>
      </w:r>
      <w:proofErr w:type="gramEnd"/>
      <w:r w:rsidR="00907F34" w:rsidRPr="00124DB1">
        <w:t xml:space="preserve"> gave him a sign that a black man nearby – it was Mr. </w:t>
      </w:r>
      <w:proofErr w:type="spellStart"/>
      <w:r w:rsidR="00907F34" w:rsidRPr="00124DB1">
        <w:t>Milien</w:t>
      </w:r>
      <w:proofErr w:type="spellEnd"/>
      <w:r w:rsidR="00907F34" w:rsidRPr="00124DB1">
        <w:t xml:space="preserve"> – was of interest.</w:t>
      </w:r>
      <w:r w:rsidR="00AD32E1" w:rsidRPr="00124DB1">
        <w:t xml:space="preserve"> </w:t>
      </w:r>
    </w:p>
    <w:p w14:paraId="5FCC8DD2" w14:textId="77777777" w:rsidR="00507A20" w:rsidRPr="00124DB1" w:rsidRDefault="00907F34" w:rsidP="00507A20">
      <w:pPr>
        <w:pStyle w:val="Paragraphe"/>
        <w:tabs>
          <w:tab w:val="clear" w:pos="567"/>
        </w:tabs>
      </w:pPr>
      <w:r w:rsidRPr="00124DB1">
        <w:t xml:space="preserve">With hand signals, the </w:t>
      </w:r>
      <w:r w:rsidR="00E420D6" w:rsidRPr="00124DB1">
        <w:t>sergeant</w:t>
      </w:r>
      <w:r w:rsidRPr="00124DB1">
        <w:t xml:space="preserve"> told two police officers to </w:t>
      </w:r>
      <w:r w:rsidR="00E420D6" w:rsidRPr="00124DB1">
        <w:t>intercept</w:t>
      </w:r>
      <w:r w:rsidRPr="00124DB1">
        <w:t xml:space="preserve"> Mr. </w:t>
      </w:r>
      <w:proofErr w:type="spellStart"/>
      <w:r w:rsidRPr="00124DB1">
        <w:t>Milien</w:t>
      </w:r>
      <w:proofErr w:type="spellEnd"/>
      <w:r w:rsidRPr="00124DB1">
        <w:t>, which they did.</w:t>
      </w:r>
    </w:p>
    <w:p w14:paraId="4569A235" w14:textId="40C535AF" w:rsidR="00507A20" w:rsidRPr="00124DB1" w:rsidRDefault="00907F34" w:rsidP="00507A20">
      <w:pPr>
        <w:pStyle w:val="Paragraphe"/>
        <w:tabs>
          <w:tab w:val="clear" w:pos="567"/>
        </w:tabs>
      </w:pPr>
      <w:r w:rsidRPr="00124DB1">
        <w:t xml:space="preserve">He then went toward the bar’s main door to meet with Mr. D.B., who was, according to the </w:t>
      </w:r>
      <w:r w:rsidR="00E420D6" w:rsidRPr="00124DB1">
        <w:t>sergeant</w:t>
      </w:r>
      <w:r w:rsidRPr="00124DB1">
        <w:t>, shaking, in tears</w:t>
      </w:r>
      <w:r w:rsidR="00E420D6" w:rsidRPr="00124DB1">
        <w:t>,</w:t>
      </w:r>
      <w:r w:rsidRPr="00124DB1">
        <w:t xml:space="preserve"> and completely distressed.</w:t>
      </w:r>
    </w:p>
    <w:p w14:paraId="00809AD5" w14:textId="77777777" w:rsidR="00507A20" w:rsidRPr="00124DB1" w:rsidRDefault="00907F34" w:rsidP="00507A20">
      <w:pPr>
        <w:pStyle w:val="Paragraphe"/>
        <w:tabs>
          <w:tab w:val="clear" w:pos="567"/>
        </w:tabs>
      </w:pPr>
      <w:r w:rsidRPr="00124DB1">
        <w:lastRenderedPageBreak/>
        <w:t xml:space="preserve">The </w:t>
      </w:r>
      <w:proofErr w:type="gramStart"/>
      <w:r w:rsidRPr="00124DB1">
        <w:t>doorman</w:t>
      </w:r>
      <w:proofErr w:type="gramEnd"/>
      <w:r w:rsidRPr="00124DB1">
        <w:t xml:space="preserve"> confirmed the reasons for his call and gave a brief physical description of Mr. </w:t>
      </w:r>
      <w:proofErr w:type="spellStart"/>
      <w:r w:rsidRPr="00124DB1">
        <w:t>Bazelais</w:t>
      </w:r>
      <w:proofErr w:type="spellEnd"/>
      <w:r w:rsidRPr="00124DB1">
        <w:t xml:space="preserve"> and Mr. Bernard, pointing in the direction where the two men were seated.</w:t>
      </w:r>
    </w:p>
    <w:p w14:paraId="60C08D1B" w14:textId="06F7FEE1" w:rsidR="00507A20" w:rsidRPr="00124DB1" w:rsidRDefault="00907F34" w:rsidP="00507A20">
      <w:pPr>
        <w:pStyle w:val="Paragraphe"/>
        <w:tabs>
          <w:tab w:val="clear" w:pos="567"/>
        </w:tabs>
      </w:pPr>
      <w:r w:rsidRPr="00124DB1">
        <w:t xml:space="preserve">The order </w:t>
      </w:r>
      <w:proofErr w:type="gramStart"/>
      <w:r w:rsidRPr="00124DB1">
        <w:t>was given</w:t>
      </w:r>
      <w:proofErr w:type="gramEnd"/>
      <w:r w:rsidRPr="00124DB1">
        <w:t xml:space="preserve"> to four officers to </w:t>
      </w:r>
      <w:r w:rsidR="00825FE8" w:rsidRPr="00124DB1">
        <w:t>[</w:t>
      </w:r>
      <w:r w:rsidR="00825FE8" w:rsidRPr="00124DB1">
        <w:rPr>
          <w:smallCaps/>
        </w:rPr>
        <w:t>translation</w:t>
      </w:r>
      <w:r w:rsidR="00825FE8" w:rsidRPr="00124DB1">
        <w:t xml:space="preserve">] </w:t>
      </w:r>
      <w:r w:rsidRPr="00124DB1">
        <w:t>“breach the distance” – according to Mr. Mathurin’s expression – and to quickly intervene with them</w:t>
      </w:r>
      <w:r w:rsidR="002A1658" w:rsidRPr="00124DB1">
        <w:t xml:space="preserve"> and</w:t>
      </w:r>
      <w:r w:rsidRPr="00124DB1">
        <w:t xml:space="preserve"> look for weapons.</w:t>
      </w:r>
    </w:p>
    <w:p w14:paraId="55F239B2" w14:textId="77777777" w:rsidR="00507A20" w:rsidRPr="00124DB1" w:rsidRDefault="00907F34" w:rsidP="00507A20">
      <w:pPr>
        <w:pStyle w:val="Paragraphe"/>
        <w:tabs>
          <w:tab w:val="clear" w:pos="567"/>
        </w:tabs>
      </w:pPr>
      <w:r w:rsidRPr="00124DB1">
        <w:t xml:space="preserve">Two more police officers set up watch near Mr. D.B., who took refuge on the </w:t>
      </w:r>
      <w:r w:rsidR="00694030" w:rsidRPr="00124DB1">
        <w:t xml:space="preserve">bar’s </w:t>
      </w:r>
      <w:r w:rsidRPr="00124DB1">
        <w:t>secon</w:t>
      </w:r>
      <w:r w:rsidR="00694030" w:rsidRPr="00124DB1">
        <w:t>d</w:t>
      </w:r>
      <w:r w:rsidRPr="00124DB1">
        <w:t xml:space="preserve"> floor and did not see the intervention.</w:t>
      </w:r>
    </w:p>
    <w:p w14:paraId="489C54C1" w14:textId="00F12529" w:rsidR="00507A20" w:rsidRPr="00124DB1" w:rsidRDefault="00694030" w:rsidP="00507A20">
      <w:pPr>
        <w:pStyle w:val="Paragraphe"/>
        <w:tabs>
          <w:tab w:val="clear" w:pos="567"/>
        </w:tabs>
      </w:pPr>
      <w:r w:rsidRPr="00124DB1">
        <w:t>Sergeant</w:t>
      </w:r>
      <w:r w:rsidR="00907F34" w:rsidRPr="00124DB1">
        <w:t xml:space="preserve"> Mathurin went outside toward the front of the establishment.</w:t>
      </w:r>
      <w:r w:rsidR="00AD32E1" w:rsidRPr="00124DB1">
        <w:t xml:space="preserve"> </w:t>
      </w:r>
      <w:r w:rsidR="00907F34" w:rsidRPr="00124DB1">
        <w:t>He glimpsed the f</w:t>
      </w:r>
      <w:r w:rsidRPr="00124DB1">
        <w:t>our police officers escorting Mr</w:t>
      </w:r>
      <w:r w:rsidR="00907F34" w:rsidRPr="00124DB1">
        <w:t xml:space="preserve">. </w:t>
      </w:r>
      <w:proofErr w:type="spellStart"/>
      <w:r w:rsidR="00907F34" w:rsidRPr="00124DB1">
        <w:t>Bazelais</w:t>
      </w:r>
      <w:proofErr w:type="spellEnd"/>
      <w:r w:rsidR="00907F34" w:rsidRPr="00124DB1">
        <w:t xml:space="preserve"> and Mr. Bernard </w:t>
      </w:r>
      <w:r w:rsidRPr="00124DB1">
        <w:t>toward the door, near the patio</w:t>
      </w:r>
      <w:r w:rsidR="00907F34" w:rsidRPr="00124DB1">
        <w:t xml:space="preserve"> that leads to the alley</w:t>
      </w:r>
      <w:r w:rsidR="002A1658" w:rsidRPr="00124DB1">
        <w:t>,</w:t>
      </w:r>
      <w:r w:rsidR="00907F34" w:rsidRPr="00124DB1">
        <w:t xml:space="preserve"> but </w:t>
      </w:r>
      <w:proofErr w:type="gramStart"/>
      <w:r w:rsidR="00907F34" w:rsidRPr="00124DB1">
        <w:t>momentarily</w:t>
      </w:r>
      <w:proofErr w:type="gramEnd"/>
      <w:r w:rsidR="00907F34" w:rsidRPr="00124DB1">
        <w:t xml:space="preserve"> lost sight of them afterward.</w:t>
      </w:r>
    </w:p>
    <w:p w14:paraId="306C49F4" w14:textId="540A9A94" w:rsidR="00507A20" w:rsidRPr="00124DB1" w:rsidRDefault="00907F34" w:rsidP="00507A20">
      <w:pPr>
        <w:pStyle w:val="Paragraphe"/>
        <w:tabs>
          <w:tab w:val="clear" w:pos="567"/>
        </w:tabs>
      </w:pPr>
      <w:r w:rsidRPr="00124DB1">
        <w:t xml:space="preserve">The identity of the three men who </w:t>
      </w:r>
      <w:proofErr w:type="gramStart"/>
      <w:r w:rsidRPr="00124DB1">
        <w:t xml:space="preserve">were </w:t>
      </w:r>
      <w:r w:rsidR="00694030" w:rsidRPr="00124DB1">
        <w:t>intercepted</w:t>
      </w:r>
      <w:proofErr w:type="gramEnd"/>
      <w:r w:rsidRPr="00124DB1">
        <w:t xml:space="preserve"> was then confirmed.</w:t>
      </w:r>
      <w:r w:rsidR="00AD32E1" w:rsidRPr="00124DB1">
        <w:t xml:space="preserve"> </w:t>
      </w:r>
      <w:r w:rsidR="00396866">
        <w:t>T</w:t>
      </w:r>
      <w:r w:rsidRPr="00124DB1">
        <w:t>hey were American and did not have criminal records.</w:t>
      </w:r>
      <w:r w:rsidR="00AD32E1" w:rsidRPr="00124DB1">
        <w:t xml:space="preserve"> </w:t>
      </w:r>
      <w:proofErr w:type="gramStart"/>
      <w:r w:rsidR="00694030" w:rsidRPr="00124DB1">
        <w:t>Th</w:t>
      </w:r>
      <w:r w:rsidRPr="00124DB1">
        <w:t>ere was nothing that seemed to connect them to street gangs</w:t>
      </w:r>
      <w:r w:rsidR="002A1658" w:rsidRPr="00124DB1">
        <w:t>.</w:t>
      </w:r>
      <w:proofErr w:type="gramEnd"/>
      <w:r w:rsidRPr="00124DB1">
        <w:t xml:space="preserve"> </w:t>
      </w:r>
      <w:r w:rsidR="00694030" w:rsidRPr="00124DB1">
        <w:t>[</w:t>
      </w:r>
      <w:r w:rsidR="00694030" w:rsidRPr="00124DB1">
        <w:rPr>
          <w:smallCaps/>
        </w:rPr>
        <w:t>translation</w:t>
      </w:r>
      <w:r w:rsidR="00694030" w:rsidRPr="00124DB1">
        <w:t xml:space="preserve">] </w:t>
      </w:r>
      <w:r w:rsidRPr="00124DB1">
        <w:t xml:space="preserve">“The search was negative”, added Mr. Mathurin, who had strong doubts by then </w:t>
      </w:r>
      <w:r w:rsidR="00694030" w:rsidRPr="00124DB1">
        <w:t>about</w:t>
      </w:r>
      <w:r w:rsidRPr="00124DB1">
        <w:t xml:space="preserve"> a Montreal gang </w:t>
      </w:r>
      <w:r w:rsidR="00694030" w:rsidRPr="00124DB1">
        <w:t>hiring</w:t>
      </w:r>
      <w:r w:rsidRPr="00124DB1">
        <w:t xml:space="preserve"> American contract killers to eliminate a doorman like Mr. D. B.</w:t>
      </w:r>
    </w:p>
    <w:p w14:paraId="455DE750" w14:textId="3570ECAD" w:rsidR="00507A20" w:rsidRPr="00124DB1" w:rsidRDefault="00907F34" w:rsidP="00507A20">
      <w:pPr>
        <w:pStyle w:val="Paragraphe"/>
        <w:tabs>
          <w:tab w:val="clear" w:pos="567"/>
        </w:tabs>
      </w:pPr>
      <w:r w:rsidRPr="00124DB1">
        <w:t xml:space="preserve">The </w:t>
      </w:r>
      <w:r w:rsidR="002A1658" w:rsidRPr="00124DB1">
        <w:t>s</w:t>
      </w:r>
      <w:r w:rsidR="00694030" w:rsidRPr="00124DB1">
        <w:t>ergeant</w:t>
      </w:r>
      <w:r w:rsidRPr="00124DB1">
        <w:t xml:space="preserve"> first informed the </w:t>
      </w:r>
      <w:proofErr w:type="gramStart"/>
      <w:r w:rsidRPr="00124DB1">
        <w:t>doorman</w:t>
      </w:r>
      <w:proofErr w:type="gramEnd"/>
      <w:r w:rsidRPr="00124DB1">
        <w:t xml:space="preserve"> that there was </w:t>
      </w:r>
      <w:r w:rsidR="00694030" w:rsidRPr="00124DB1">
        <w:t>[</w:t>
      </w:r>
      <w:r w:rsidR="00694030" w:rsidRPr="00124DB1">
        <w:rPr>
          <w:smallCaps/>
        </w:rPr>
        <w:t>translation</w:t>
      </w:r>
      <w:r w:rsidR="00694030" w:rsidRPr="00124DB1">
        <w:t xml:space="preserve">] </w:t>
      </w:r>
      <w:r w:rsidRPr="00124DB1">
        <w:t>“mistaken identity” before heading to the alley</w:t>
      </w:r>
      <w:r w:rsidR="00694030" w:rsidRPr="00124DB1">
        <w:t>.</w:t>
      </w:r>
    </w:p>
    <w:p w14:paraId="3E7FC174" w14:textId="77777777" w:rsidR="00507A20" w:rsidRPr="00124DB1" w:rsidRDefault="00907F34" w:rsidP="00507A20">
      <w:pPr>
        <w:pStyle w:val="Paragraphe"/>
        <w:tabs>
          <w:tab w:val="clear" w:pos="567"/>
        </w:tabs>
      </w:pPr>
      <w:r w:rsidRPr="00124DB1">
        <w:t xml:space="preserve">He testified that he identified himself to Mr. </w:t>
      </w:r>
      <w:proofErr w:type="spellStart"/>
      <w:r w:rsidRPr="00124DB1">
        <w:t>Bazelais</w:t>
      </w:r>
      <w:proofErr w:type="spellEnd"/>
      <w:r w:rsidRPr="00124DB1">
        <w:t xml:space="preserve"> who, he noted, was on edge and stressed.</w:t>
      </w:r>
      <w:r w:rsidR="00AD32E1" w:rsidRPr="00124DB1">
        <w:t xml:space="preserve"> </w:t>
      </w:r>
      <w:r w:rsidRPr="00124DB1">
        <w:t xml:space="preserve">He claims that he took the time to give him the reasons for the intervention, but that Mr. </w:t>
      </w:r>
      <w:proofErr w:type="spellStart"/>
      <w:r w:rsidRPr="00124DB1">
        <w:t>Bazelais</w:t>
      </w:r>
      <w:proofErr w:type="spellEnd"/>
      <w:r w:rsidRPr="00124DB1">
        <w:t xml:space="preserve"> was not satisfied with his explanations.</w:t>
      </w:r>
    </w:p>
    <w:p w14:paraId="462D4D5E" w14:textId="77777777" w:rsidR="00507A20" w:rsidRPr="00124DB1" w:rsidRDefault="00907F34" w:rsidP="00507A20">
      <w:pPr>
        <w:pStyle w:val="Paragraphe"/>
        <w:tabs>
          <w:tab w:val="clear" w:pos="567"/>
        </w:tabs>
      </w:pPr>
      <w:r w:rsidRPr="00124DB1">
        <w:t xml:space="preserve">His dissatisfaction was not lessened when he found out from the </w:t>
      </w:r>
      <w:r w:rsidR="00694030" w:rsidRPr="00124DB1">
        <w:t>sergeant</w:t>
      </w:r>
      <w:r w:rsidRPr="00124DB1">
        <w:t xml:space="preserve"> that he was not allowed to go back inside the bar because one of the establishment’s </w:t>
      </w:r>
      <w:proofErr w:type="gramStart"/>
      <w:r w:rsidRPr="00124DB1">
        <w:t>doormen</w:t>
      </w:r>
      <w:proofErr w:type="gramEnd"/>
      <w:r w:rsidRPr="00124DB1">
        <w:t xml:space="preserve"> was opposed to it.</w:t>
      </w:r>
    </w:p>
    <w:p w14:paraId="52FDDAE6" w14:textId="77777777" w:rsidR="00507A20" w:rsidRPr="00124DB1" w:rsidRDefault="00907F34" w:rsidP="00507A20">
      <w:pPr>
        <w:pStyle w:val="Paragraphe"/>
        <w:tabs>
          <w:tab w:val="clear" w:pos="567"/>
        </w:tabs>
      </w:pPr>
      <w:r w:rsidRPr="00124DB1">
        <w:t xml:space="preserve">Cutting </w:t>
      </w:r>
      <w:r w:rsidR="00694030" w:rsidRPr="00124DB1">
        <w:t>any</w:t>
      </w:r>
      <w:r w:rsidRPr="00124DB1">
        <w:t xml:space="preserve"> argument short, </w:t>
      </w:r>
      <w:r w:rsidR="00694030" w:rsidRPr="00124DB1">
        <w:t>Sergeant</w:t>
      </w:r>
      <w:r w:rsidRPr="00124DB1">
        <w:t xml:space="preserve"> Mathurin and his colleagues withdrew and left the premises.</w:t>
      </w:r>
      <w:r w:rsidR="00AD32E1" w:rsidRPr="00124DB1">
        <w:t>   </w:t>
      </w:r>
    </w:p>
    <w:p w14:paraId="6FC39BE5" w14:textId="77777777" w:rsidR="00507A20" w:rsidRPr="00124DB1" w:rsidRDefault="00AD32E1" w:rsidP="00507A20">
      <w:pPr>
        <w:pStyle w:val="Paragraphe"/>
        <w:numPr>
          <w:ilvl w:val="0"/>
          <w:numId w:val="0"/>
        </w:numPr>
        <w:tabs>
          <w:tab w:val="clear" w:pos="567"/>
        </w:tabs>
        <w:jc w:val="center"/>
      </w:pPr>
      <w:r w:rsidRPr="00124DB1">
        <w:t>* * *</w:t>
      </w:r>
    </w:p>
    <w:p w14:paraId="3E408113" w14:textId="4E9B83B9" w:rsidR="00507A20" w:rsidRPr="00124DB1" w:rsidRDefault="00694030" w:rsidP="00507A20">
      <w:pPr>
        <w:pStyle w:val="Paragraphe"/>
        <w:tabs>
          <w:tab w:val="clear" w:pos="567"/>
        </w:tabs>
        <w:rPr>
          <w:i/>
        </w:rPr>
      </w:pPr>
      <w:r w:rsidRPr="00124DB1">
        <w:t>Once</w:t>
      </w:r>
      <w:r w:rsidR="00907F34" w:rsidRPr="00124DB1">
        <w:t xml:space="preserve"> home, Mr. </w:t>
      </w:r>
      <w:proofErr w:type="spellStart"/>
      <w:r w:rsidR="00907F34" w:rsidRPr="00124DB1">
        <w:t>Bazelais</w:t>
      </w:r>
      <w:proofErr w:type="spellEnd"/>
      <w:r w:rsidR="00907F34" w:rsidRPr="00124DB1">
        <w:t xml:space="preserve"> could not sleep.</w:t>
      </w:r>
      <w:r w:rsidR="00AD32E1" w:rsidRPr="00124DB1">
        <w:t xml:space="preserve"> </w:t>
      </w:r>
      <w:r w:rsidR="00907F34" w:rsidRPr="00124DB1">
        <w:t xml:space="preserve">He claims to have been devastated </w:t>
      </w:r>
      <w:r w:rsidRPr="00124DB1">
        <w:t>and</w:t>
      </w:r>
      <w:r w:rsidR="00907F34" w:rsidRPr="00124DB1">
        <w:t xml:space="preserve"> anxious.</w:t>
      </w:r>
      <w:r w:rsidR="00AD32E1" w:rsidRPr="00124DB1">
        <w:t xml:space="preserve"> </w:t>
      </w:r>
      <w:r w:rsidR="00907F34" w:rsidRPr="00124DB1">
        <w:t xml:space="preserve">He </w:t>
      </w:r>
      <w:r w:rsidRPr="00124DB1">
        <w:t>still struggles</w:t>
      </w:r>
      <w:r w:rsidR="00907F34" w:rsidRPr="00124DB1">
        <w:t xml:space="preserve"> to </w:t>
      </w:r>
      <w:r w:rsidRPr="00124DB1">
        <w:t>understand</w:t>
      </w:r>
      <w:r w:rsidR="00907F34" w:rsidRPr="00124DB1">
        <w:t xml:space="preserve"> what could have </w:t>
      </w:r>
      <w:r w:rsidRPr="00124DB1">
        <w:t>caused</w:t>
      </w:r>
      <w:r w:rsidR="00907F34" w:rsidRPr="00124DB1">
        <w:t xml:space="preserve"> him and his friends to draw this type of attention from </w:t>
      </w:r>
      <w:r w:rsidR="005E02BE" w:rsidRPr="00124DB1">
        <w:t xml:space="preserve">the </w:t>
      </w:r>
      <w:r w:rsidR="00907F34" w:rsidRPr="00124DB1">
        <w:t>police</w:t>
      </w:r>
      <w:r w:rsidR="005E02BE" w:rsidRPr="00124DB1">
        <w:t>.</w:t>
      </w:r>
      <w:r w:rsidR="00907F34" w:rsidRPr="00124DB1">
        <w:t xml:space="preserve"> “I was looking for </w:t>
      </w:r>
      <w:r w:rsidRPr="00124DB1">
        <w:t>answers</w:t>
      </w:r>
      <w:r w:rsidR="00907F34" w:rsidRPr="00124DB1">
        <w:t>”</w:t>
      </w:r>
      <w:r w:rsidR="005E02BE" w:rsidRPr="00124DB1">
        <w:t>, he said</w:t>
      </w:r>
      <w:r w:rsidR="00907F34" w:rsidRPr="00124DB1">
        <w:t>.</w:t>
      </w:r>
    </w:p>
    <w:p w14:paraId="4BA48A7F" w14:textId="77777777" w:rsidR="00507A20" w:rsidRPr="00124DB1" w:rsidRDefault="00907F34" w:rsidP="00507A20">
      <w:pPr>
        <w:pStyle w:val="Paragraphe"/>
        <w:tabs>
          <w:tab w:val="clear" w:pos="567"/>
        </w:tabs>
      </w:pPr>
      <w:r w:rsidRPr="00124DB1">
        <w:lastRenderedPageBreak/>
        <w:t xml:space="preserve">The next day, he went back to </w:t>
      </w:r>
      <w:r w:rsidR="00694030" w:rsidRPr="00124DB1">
        <w:t>T</w:t>
      </w:r>
      <w:r w:rsidRPr="00124DB1">
        <w:t xml:space="preserve">hursday’s and spoke with Mr. Sean Brown, the doorman who, the previous evening, had refused to let the three men back inside the establishment </w:t>
      </w:r>
      <w:r w:rsidR="00694030" w:rsidRPr="00124DB1">
        <w:t>following</w:t>
      </w:r>
      <w:r w:rsidRPr="00124DB1">
        <w:t xml:space="preserve"> the police intervention.</w:t>
      </w:r>
      <w:r w:rsidR="00AD32E1" w:rsidRPr="00124DB1">
        <w:t xml:space="preserve"> </w:t>
      </w:r>
      <w:r w:rsidRPr="00124DB1">
        <w:t>He wanted to know more about the reasons for this intervention.</w:t>
      </w:r>
    </w:p>
    <w:p w14:paraId="026206C1" w14:textId="1673002D" w:rsidR="00507A20" w:rsidRPr="00124DB1" w:rsidRDefault="00694030" w:rsidP="00507A20">
      <w:pPr>
        <w:pStyle w:val="Paragraphe"/>
        <w:tabs>
          <w:tab w:val="clear" w:pos="567"/>
        </w:tabs>
      </w:pPr>
      <w:r w:rsidRPr="00124DB1">
        <w:t>Then</w:t>
      </w:r>
      <w:r w:rsidR="00907F34" w:rsidRPr="00124DB1">
        <w:t xml:space="preserve">, he went to an SPVM neighbourhood police station where he tried </w:t>
      </w:r>
      <w:r w:rsidR="005E02BE" w:rsidRPr="00124DB1">
        <w:t xml:space="preserve">in vain </w:t>
      </w:r>
      <w:r w:rsidR="00907F34" w:rsidRPr="00124DB1">
        <w:t>to obtain a report of the incident.</w:t>
      </w:r>
      <w:r w:rsidR="00AD32E1" w:rsidRPr="00124DB1">
        <w:t xml:space="preserve"> </w:t>
      </w:r>
      <w:r w:rsidR="00907F34" w:rsidRPr="00124DB1">
        <w:t xml:space="preserve">He </w:t>
      </w:r>
      <w:proofErr w:type="gramStart"/>
      <w:r w:rsidR="00907F34" w:rsidRPr="00124DB1">
        <w:t>was directed</w:t>
      </w:r>
      <w:proofErr w:type="gramEnd"/>
      <w:r w:rsidR="00907F34" w:rsidRPr="00124DB1">
        <w:t xml:space="preserve"> to the police headquarters, but everything points to the </w:t>
      </w:r>
      <w:r w:rsidRPr="00124DB1">
        <w:t>incident</w:t>
      </w:r>
      <w:r w:rsidR="00907F34" w:rsidRPr="00124DB1">
        <w:t xml:space="preserve"> not </w:t>
      </w:r>
      <w:r w:rsidR="005E02BE" w:rsidRPr="00124DB1">
        <w:t>having been</w:t>
      </w:r>
      <w:r w:rsidR="00907F34" w:rsidRPr="00124DB1">
        <w:t xml:space="preserve"> documented.</w:t>
      </w:r>
      <w:r w:rsidR="00AD32E1" w:rsidRPr="00124DB1">
        <w:rPr>
          <w:rStyle w:val="Appelnotedebasdep"/>
        </w:rPr>
        <w:footnoteReference w:id="11"/>
      </w:r>
      <w:r w:rsidR="00AD32E1" w:rsidRPr="00124DB1">
        <w:t xml:space="preserve"> </w:t>
      </w:r>
    </w:p>
    <w:p w14:paraId="05A9BAB6" w14:textId="54CF0B43" w:rsidR="00507A20" w:rsidRPr="00124DB1" w:rsidRDefault="00907F34" w:rsidP="00507A20">
      <w:pPr>
        <w:pStyle w:val="Paragraphe"/>
        <w:tabs>
          <w:tab w:val="clear" w:pos="567"/>
        </w:tabs>
      </w:pPr>
      <w:r w:rsidRPr="00124DB1">
        <w:t xml:space="preserve">On November 11, 2014, </w:t>
      </w:r>
      <w:r w:rsidR="00BF0F6F" w:rsidRPr="00124DB1">
        <w:t xml:space="preserve">with Mr. </w:t>
      </w:r>
      <w:proofErr w:type="spellStart"/>
      <w:r w:rsidR="00BF0F6F" w:rsidRPr="00124DB1">
        <w:t>Bazelais’s</w:t>
      </w:r>
      <w:proofErr w:type="spellEnd"/>
      <w:r w:rsidR="00BF0F6F" w:rsidRPr="00124DB1">
        <w:t xml:space="preserve"> consent,</w:t>
      </w:r>
      <w:r w:rsidR="00AD32E1" w:rsidRPr="00124DB1">
        <w:rPr>
          <w:rStyle w:val="Appelnotedebasdep"/>
        </w:rPr>
        <w:footnoteReference w:id="12"/>
      </w:r>
      <w:r w:rsidR="00BF0F6F" w:rsidRPr="00124DB1">
        <w:t xml:space="preserve"> the Center for Research-Action on Race Relations (CRARR) filed a complaint with the Commission</w:t>
      </w:r>
      <w:r w:rsidRPr="00124DB1">
        <w:t>.</w:t>
      </w:r>
      <w:r w:rsidR="00AD32E1" w:rsidRPr="00124DB1">
        <w:rPr>
          <w:rStyle w:val="Appelnotedebasdep"/>
        </w:rPr>
        <w:footnoteReference w:id="13"/>
      </w:r>
      <w:r w:rsidR="00AD32E1" w:rsidRPr="00124DB1">
        <w:t xml:space="preserve"> </w:t>
      </w:r>
      <w:r w:rsidRPr="00124DB1">
        <w:t xml:space="preserve">In addition to the </w:t>
      </w:r>
      <w:r w:rsidR="00DD0C6B">
        <w:t>City</w:t>
      </w:r>
      <w:r w:rsidRPr="00124DB1">
        <w:t xml:space="preserve"> and Mr. Mathurin, the complaint also targeted two other police officers then identified as “John Doe” and “Jane Doe”.</w:t>
      </w:r>
    </w:p>
    <w:p w14:paraId="5B6C8C1E" w14:textId="70D9EBB8" w:rsidR="00507A20" w:rsidRPr="00124DB1" w:rsidRDefault="00907F34" w:rsidP="00507A20">
      <w:pPr>
        <w:pStyle w:val="Paragraphe"/>
        <w:tabs>
          <w:tab w:val="clear" w:pos="567"/>
        </w:tabs>
      </w:pPr>
      <w:r w:rsidRPr="00124DB1">
        <w:t>On December 9, 2014, Kathrin Pete</w:t>
      </w:r>
      <w:r w:rsidR="002A4E8E" w:rsidRPr="00124DB1">
        <w:t>r, an assessment advisor for the Co</w:t>
      </w:r>
      <w:r w:rsidRPr="00124DB1">
        <w:t xml:space="preserve">mmission, informed the CRARR that she had been </w:t>
      </w:r>
      <w:r w:rsidR="002A4E8E" w:rsidRPr="00124DB1">
        <w:t>[</w:t>
      </w:r>
      <w:r w:rsidR="002A4E8E" w:rsidRPr="00124DB1">
        <w:rPr>
          <w:smallCaps/>
        </w:rPr>
        <w:t>translation</w:t>
      </w:r>
      <w:r w:rsidR="002A4E8E" w:rsidRPr="00124DB1">
        <w:t xml:space="preserve">] </w:t>
      </w:r>
      <w:r w:rsidRPr="00124DB1">
        <w:t xml:space="preserve">“assigned the file for </w:t>
      </w:r>
      <w:r w:rsidR="00BF0F6F" w:rsidRPr="00124DB1">
        <w:t>assessment</w:t>
      </w:r>
      <w:r w:rsidRPr="00124DB1">
        <w:t>”.</w:t>
      </w:r>
      <w:r w:rsidR="00AD32E1" w:rsidRPr="00124DB1">
        <w:t xml:space="preserve"> </w:t>
      </w:r>
      <w:r w:rsidRPr="00124DB1">
        <w:t xml:space="preserve">She wanted to meet with Mr. </w:t>
      </w:r>
      <w:proofErr w:type="spellStart"/>
      <w:r w:rsidRPr="00124DB1">
        <w:t>Bazelais</w:t>
      </w:r>
      <w:proofErr w:type="spellEnd"/>
      <w:r w:rsidRPr="00124DB1">
        <w:t xml:space="preserve"> during the week of December 15, 2014.</w:t>
      </w:r>
      <w:r w:rsidR="00AD32E1" w:rsidRPr="00124DB1">
        <w:rPr>
          <w:rStyle w:val="Appelnotedebasdep"/>
        </w:rPr>
        <w:footnoteReference w:id="14"/>
      </w:r>
    </w:p>
    <w:p w14:paraId="6E484DFA" w14:textId="13C2ABBF" w:rsidR="00507A20" w:rsidRPr="00124DB1" w:rsidRDefault="00907F34" w:rsidP="00507A20">
      <w:pPr>
        <w:pStyle w:val="Paragraphe"/>
        <w:tabs>
          <w:tab w:val="clear" w:pos="567"/>
        </w:tabs>
      </w:pPr>
      <w:r w:rsidRPr="00124DB1">
        <w:t xml:space="preserve">On December 19, 2014, the </w:t>
      </w:r>
      <w:r w:rsidR="00DD0C6B">
        <w:t>City</w:t>
      </w:r>
      <w:r w:rsidRPr="00124DB1">
        <w:t xml:space="preserve"> </w:t>
      </w:r>
      <w:proofErr w:type="gramStart"/>
      <w:r w:rsidRPr="00124DB1">
        <w:t>was informed</w:t>
      </w:r>
      <w:proofErr w:type="gramEnd"/>
      <w:r w:rsidRPr="00124DB1">
        <w:t xml:space="preserve"> of the complaint, which was then being </w:t>
      </w:r>
      <w:r w:rsidR="00BF0F6F" w:rsidRPr="00124DB1">
        <w:t>assessed</w:t>
      </w:r>
      <w:r w:rsidRPr="00124DB1">
        <w:t xml:space="preserve"> </w:t>
      </w:r>
      <w:r w:rsidR="002A4E8E" w:rsidRPr="00124DB1">
        <w:t>[</w:t>
      </w:r>
      <w:r w:rsidR="002A4E8E" w:rsidRPr="00124DB1">
        <w:rPr>
          <w:smallCaps/>
        </w:rPr>
        <w:t>translation</w:t>
      </w:r>
      <w:r w:rsidR="002A4E8E" w:rsidRPr="00124DB1">
        <w:t xml:space="preserve">] </w:t>
      </w:r>
      <w:r w:rsidRPr="00124DB1">
        <w:t>“to determine possible next steps in the file”.</w:t>
      </w:r>
      <w:r w:rsidR="00AD32E1" w:rsidRPr="00124DB1">
        <w:rPr>
          <w:rStyle w:val="Appelnotedebasdep"/>
        </w:rPr>
        <w:footnoteReference w:id="15"/>
      </w:r>
      <w:r w:rsidR="00AD32E1" w:rsidRPr="00124DB1">
        <w:t xml:space="preserve"> </w:t>
      </w:r>
    </w:p>
    <w:p w14:paraId="66E460BC" w14:textId="74078D81" w:rsidR="00507A20" w:rsidRPr="00124DB1" w:rsidRDefault="00907F34" w:rsidP="00507A20">
      <w:pPr>
        <w:pStyle w:val="Paragraphe"/>
        <w:tabs>
          <w:tab w:val="clear" w:pos="567"/>
        </w:tabs>
      </w:pPr>
      <w:r w:rsidRPr="00124DB1">
        <w:t xml:space="preserve">On January 9, 2015, counsel for the </w:t>
      </w:r>
      <w:r w:rsidR="00DD0C6B">
        <w:t>City</w:t>
      </w:r>
      <w:r w:rsidRPr="00124DB1">
        <w:t xml:space="preserve"> voiced her client’s interest in </w:t>
      </w:r>
      <w:r w:rsidR="002A4E8E" w:rsidRPr="00124DB1">
        <w:t>[</w:t>
      </w:r>
      <w:r w:rsidR="002A4E8E" w:rsidRPr="00124DB1">
        <w:rPr>
          <w:smallCaps/>
        </w:rPr>
        <w:t>translation</w:t>
      </w:r>
      <w:r w:rsidR="002A4E8E" w:rsidRPr="00124DB1">
        <w:t xml:space="preserve">] </w:t>
      </w:r>
      <w:r w:rsidRPr="00124DB1">
        <w:t>“taking part in a mediation process in this case”.</w:t>
      </w:r>
      <w:r w:rsidR="00AD32E1" w:rsidRPr="00124DB1">
        <w:rPr>
          <w:rStyle w:val="Appelnotedebasdep"/>
        </w:rPr>
        <w:footnoteReference w:id="16"/>
      </w:r>
    </w:p>
    <w:p w14:paraId="6260024F" w14:textId="77777777" w:rsidR="00507A20" w:rsidRPr="00124DB1" w:rsidRDefault="00907F34" w:rsidP="00507A20">
      <w:pPr>
        <w:pStyle w:val="Paragraphe"/>
        <w:tabs>
          <w:tab w:val="clear" w:pos="567"/>
        </w:tabs>
      </w:pPr>
      <w:r w:rsidRPr="00124DB1">
        <w:t xml:space="preserve">On January 15, 2015, Mr. </w:t>
      </w:r>
      <w:proofErr w:type="spellStart"/>
      <w:r w:rsidRPr="00124DB1">
        <w:t>Bazelais</w:t>
      </w:r>
      <w:proofErr w:type="spellEnd"/>
      <w:r w:rsidRPr="00124DB1">
        <w:t xml:space="preserve"> </w:t>
      </w:r>
      <w:r w:rsidR="002A4E8E" w:rsidRPr="00124DB1">
        <w:t>[</w:t>
      </w:r>
      <w:r w:rsidR="002A4E8E" w:rsidRPr="00124DB1">
        <w:rPr>
          <w:smallCaps/>
        </w:rPr>
        <w:t>translation</w:t>
      </w:r>
      <w:r w:rsidR="002A4E8E" w:rsidRPr="00124DB1">
        <w:t xml:space="preserve">] </w:t>
      </w:r>
      <w:r w:rsidRPr="00124DB1">
        <w:t>“agreed to mediation”.</w:t>
      </w:r>
      <w:r w:rsidR="00AD32E1" w:rsidRPr="00124DB1">
        <w:rPr>
          <w:rStyle w:val="Appelnotedebasdep"/>
        </w:rPr>
        <w:footnoteReference w:id="17"/>
      </w:r>
    </w:p>
    <w:p w14:paraId="18456DC3" w14:textId="50564AF4" w:rsidR="00507A20" w:rsidRPr="00124DB1" w:rsidRDefault="00907F34" w:rsidP="00507A20">
      <w:pPr>
        <w:pStyle w:val="Paragraphe"/>
        <w:tabs>
          <w:tab w:val="clear" w:pos="567"/>
        </w:tabs>
      </w:pPr>
      <w:r w:rsidRPr="00124DB1">
        <w:t xml:space="preserve">On January 16, 2015, the Commission informed the </w:t>
      </w:r>
      <w:r w:rsidR="00DD0C6B">
        <w:t>City</w:t>
      </w:r>
      <w:r w:rsidRPr="00124DB1">
        <w:t xml:space="preserve"> that the file </w:t>
      </w:r>
      <w:proofErr w:type="gramStart"/>
      <w:r w:rsidRPr="00124DB1">
        <w:t>had been sent</w:t>
      </w:r>
      <w:proofErr w:type="gramEnd"/>
      <w:r w:rsidRPr="00124DB1">
        <w:t xml:space="preserve"> to its mediation department.</w:t>
      </w:r>
      <w:r w:rsidR="00AD32E1" w:rsidRPr="00124DB1">
        <w:rPr>
          <w:rStyle w:val="Appelnotedebasdep"/>
        </w:rPr>
        <w:footnoteReference w:id="18"/>
      </w:r>
    </w:p>
    <w:p w14:paraId="3A909C3F" w14:textId="0ECD616F" w:rsidR="00507A20" w:rsidRPr="00124DB1" w:rsidRDefault="00907F34" w:rsidP="00507A20">
      <w:pPr>
        <w:pStyle w:val="Paragraphe"/>
        <w:tabs>
          <w:tab w:val="clear" w:pos="567"/>
        </w:tabs>
      </w:pPr>
      <w:r w:rsidRPr="00124DB1">
        <w:t xml:space="preserve">On April 9, 2015, the </w:t>
      </w:r>
      <w:r w:rsidR="00DD0C6B">
        <w:t>City</w:t>
      </w:r>
      <w:r w:rsidRPr="00124DB1">
        <w:t xml:space="preserve"> </w:t>
      </w:r>
      <w:proofErr w:type="gramStart"/>
      <w:r w:rsidRPr="00124DB1">
        <w:t>was given the name of the mediator and told that mediation could take place on May 1, 2015</w:t>
      </w:r>
      <w:proofErr w:type="gramEnd"/>
      <w:r w:rsidRPr="00124DB1">
        <w:t>.</w:t>
      </w:r>
      <w:r w:rsidR="00AD32E1" w:rsidRPr="00124DB1">
        <w:rPr>
          <w:rStyle w:val="Appelnotedebasdep"/>
        </w:rPr>
        <w:footnoteReference w:id="19"/>
      </w:r>
    </w:p>
    <w:p w14:paraId="58C6DE86" w14:textId="77777777" w:rsidR="00507A20" w:rsidRPr="00124DB1" w:rsidRDefault="00907F34" w:rsidP="00507A20">
      <w:pPr>
        <w:pStyle w:val="Paragraphe"/>
        <w:tabs>
          <w:tab w:val="clear" w:pos="567"/>
        </w:tabs>
      </w:pPr>
      <w:r w:rsidRPr="00124DB1">
        <w:lastRenderedPageBreak/>
        <w:t xml:space="preserve">On April 15, 2015, the mediator confirmed that the mediation session </w:t>
      </w:r>
      <w:proofErr w:type="gramStart"/>
      <w:r w:rsidRPr="00124DB1">
        <w:t>would be held</w:t>
      </w:r>
      <w:proofErr w:type="gramEnd"/>
      <w:r w:rsidRPr="00124DB1">
        <w:t xml:space="preserve"> on May 1, 2015.</w:t>
      </w:r>
    </w:p>
    <w:p w14:paraId="60539903" w14:textId="28A0A082" w:rsidR="00507A20" w:rsidRPr="00124DB1" w:rsidRDefault="00907F34" w:rsidP="00507A20">
      <w:pPr>
        <w:pStyle w:val="Paragraphe"/>
        <w:tabs>
          <w:tab w:val="clear" w:pos="567"/>
        </w:tabs>
      </w:pPr>
      <w:r w:rsidRPr="00124DB1">
        <w:t xml:space="preserve">On April 27, 2015, counsel for the </w:t>
      </w:r>
      <w:r w:rsidR="00DD0C6B">
        <w:t>City</w:t>
      </w:r>
      <w:r w:rsidRPr="00124DB1">
        <w:t xml:space="preserve"> informed the mediator that </w:t>
      </w:r>
      <w:r w:rsidR="00746F75" w:rsidRPr="00124DB1">
        <w:t>Sergeant</w:t>
      </w:r>
      <w:r w:rsidRPr="00124DB1">
        <w:t xml:space="preserve"> Mathurin would not be available and </w:t>
      </w:r>
      <w:r w:rsidR="00C47647" w:rsidRPr="00124DB1">
        <w:t xml:space="preserve">that </w:t>
      </w:r>
      <w:r w:rsidRPr="00124DB1">
        <w:t xml:space="preserve">the search to identify the two other police </w:t>
      </w:r>
      <w:r w:rsidR="00746F75" w:rsidRPr="00124DB1">
        <w:t>officers</w:t>
      </w:r>
      <w:r w:rsidRPr="00124DB1">
        <w:t xml:space="preserve">, while </w:t>
      </w:r>
      <w:r w:rsidR="00C47647" w:rsidRPr="00124DB1">
        <w:t>started</w:t>
      </w:r>
      <w:r w:rsidRPr="00124DB1">
        <w:t xml:space="preserve">, </w:t>
      </w:r>
      <w:r w:rsidR="00C47647" w:rsidRPr="00124DB1">
        <w:t>was</w:t>
      </w:r>
      <w:r w:rsidRPr="00124DB1">
        <w:t xml:space="preserve"> not complete</w:t>
      </w:r>
      <w:r w:rsidR="00C47647" w:rsidRPr="00124DB1">
        <w:t>,</w:t>
      </w:r>
      <w:r w:rsidRPr="00124DB1">
        <w:t xml:space="preserve"> making it necessary to postpone the mediation session.</w:t>
      </w:r>
      <w:r w:rsidR="00AD32E1" w:rsidRPr="00124DB1">
        <w:rPr>
          <w:rStyle w:val="Appelnotedebasdep"/>
        </w:rPr>
        <w:footnoteReference w:id="20"/>
      </w:r>
      <w:r w:rsidR="00AD32E1" w:rsidRPr="00124DB1">
        <w:t xml:space="preserve"> </w:t>
      </w:r>
    </w:p>
    <w:p w14:paraId="0221FC3C" w14:textId="77777777" w:rsidR="00507A20" w:rsidRPr="00124DB1" w:rsidRDefault="00907F34" w:rsidP="00507A20">
      <w:pPr>
        <w:pStyle w:val="Paragraphe"/>
        <w:tabs>
          <w:tab w:val="clear" w:pos="567"/>
        </w:tabs>
      </w:pPr>
      <w:r w:rsidRPr="00124DB1">
        <w:t>On May 1, 2015, the mediator postponed the mediation session to June 23, 2015.</w:t>
      </w:r>
      <w:r w:rsidR="00AD32E1" w:rsidRPr="00124DB1">
        <w:rPr>
          <w:rStyle w:val="Appelnotedebasdep"/>
        </w:rPr>
        <w:footnoteReference w:id="21"/>
      </w:r>
      <w:r w:rsidR="00AD32E1" w:rsidRPr="00124DB1">
        <w:t xml:space="preserve"> </w:t>
      </w:r>
      <w:r w:rsidRPr="00124DB1">
        <w:t>Everything seems to indicate that the parties met with the mediator on that date, without coming to an agreement, however.</w:t>
      </w:r>
    </w:p>
    <w:p w14:paraId="6CD62BBD" w14:textId="30EAB557" w:rsidR="00507A20" w:rsidRPr="00124DB1" w:rsidRDefault="00746F75" w:rsidP="00507A20">
      <w:pPr>
        <w:pStyle w:val="Paragraphe"/>
        <w:tabs>
          <w:tab w:val="clear" w:pos="567"/>
        </w:tabs>
      </w:pPr>
      <w:r w:rsidRPr="00124DB1">
        <w:t xml:space="preserve">On September 21, 2015, the </w:t>
      </w:r>
      <w:r w:rsidR="00DD0C6B">
        <w:t>City</w:t>
      </w:r>
      <w:r w:rsidR="00907F34" w:rsidRPr="00124DB1">
        <w:t xml:space="preserve"> indicated that it had finally discovered the identity of the two officers also concerned by the complaint.</w:t>
      </w:r>
      <w:r w:rsidR="00AD32E1" w:rsidRPr="00124DB1">
        <w:rPr>
          <w:rStyle w:val="Appelnotedebasdep"/>
        </w:rPr>
        <w:footnoteReference w:id="22"/>
      </w:r>
    </w:p>
    <w:p w14:paraId="6F58D65D" w14:textId="77777777" w:rsidR="00507A20" w:rsidRPr="00124DB1" w:rsidRDefault="00907F34" w:rsidP="00507A20">
      <w:pPr>
        <w:pStyle w:val="Paragraphe"/>
        <w:tabs>
          <w:tab w:val="clear" w:pos="567"/>
        </w:tabs>
      </w:pPr>
      <w:r w:rsidRPr="00124DB1">
        <w:t xml:space="preserve">The parties were </w:t>
      </w:r>
      <w:r w:rsidR="00746F75" w:rsidRPr="00124DB1">
        <w:t>un</w:t>
      </w:r>
      <w:r w:rsidRPr="00124DB1">
        <w:t>able to come to an agreement, however, despite the mediator’s help.</w:t>
      </w:r>
    </w:p>
    <w:p w14:paraId="3E24A37F" w14:textId="51C10915" w:rsidR="00507A20" w:rsidRPr="00124DB1" w:rsidRDefault="00746F75" w:rsidP="00507A20">
      <w:pPr>
        <w:pStyle w:val="Paragraphe"/>
        <w:tabs>
          <w:tab w:val="clear" w:pos="567"/>
        </w:tabs>
      </w:pPr>
      <w:r w:rsidRPr="00124DB1">
        <w:t>Thus</w:t>
      </w:r>
      <w:r w:rsidR="00907F34" w:rsidRPr="00124DB1">
        <w:t xml:space="preserve">, on October 22, 2015, the mediator wrote to counsel for </w:t>
      </w:r>
      <w:r w:rsidRPr="00124DB1">
        <w:t>the</w:t>
      </w:r>
      <w:r w:rsidR="00907F34" w:rsidRPr="00124DB1">
        <w:t xml:space="preserve"> </w:t>
      </w:r>
      <w:r w:rsidR="00DD0C6B">
        <w:t>City</w:t>
      </w:r>
      <w:r w:rsidR="00907F34" w:rsidRPr="00124DB1">
        <w:t>:</w:t>
      </w:r>
    </w:p>
    <w:p w14:paraId="1EA126C4" w14:textId="77777777" w:rsidR="00746F75" w:rsidRPr="00124DB1" w:rsidRDefault="00746F75" w:rsidP="00507A20">
      <w:pPr>
        <w:pStyle w:val="Citationenretrait"/>
        <w:rPr>
          <w:lang w:val="en-CA"/>
        </w:rPr>
      </w:pPr>
      <w:r w:rsidRPr="00124DB1">
        <w:rPr>
          <w:lang w:val="en-CA"/>
        </w:rPr>
        <w:t>[</w:t>
      </w:r>
      <w:r w:rsidRPr="00124DB1">
        <w:rPr>
          <w:smallCaps/>
          <w:lang w:val="en-CA"/>
        </w:rPr>
        <w:t>translation</w:t>
      </w:r>
      <w:r w:rsidRPr="00124DB1">
        <w:rPr>
          <w:lang w:val="en-CA"/>
        </w:rPr>
        <w:t>]</w:t>
      </w:r>
    </w:p>
    <w:p w14:paraId="2758E8B3" w14:textId="4DA20713" w:rsidR="00507A20" w:rsidRPr="00124DB1" w:rsidRDefault="00907F34" w:rsidP="00507A20">
      <w:pPr>
        <w:pStyle w:val="Citationenretrait"/>
        <w:rPr>
          <w:lang w:val="en-CA"/>
        </w:rPr>
      </w:pPr>
      <w:r w:rsidRPr="00124DB1">
        <w:rPr>
          <w:lang w:val="en-CA"/>
        </w:rPr>
        <w:t xml:space="preserve">We have noted the impossibility, for the time being, </w:t>
      </w:r>
      <w:r w:rsidR="00C47647" w:rsidRPr="00124DB1">
        <w:rPr>
          <w:lang w:val="en-CA"/>
        </w:rPr>
        <w:t>of reaching</w:t>
      </w:r>
      <w:r w:rsidRPr="00124DB1">
        <w:rPr>
          <w:lang w:val="en-CA"/>
        </w:rPr>
        <w:t xml:space="preserve"> an amicable agreement in this file.</w:t>
      </w:r>
    </w:p>
    <w:p w14:paraId="77BDADCA" w14:textId="39D1F3DC" w:rsidR="00507A20" w:rsidRPr="00124DB1" w:rsidRDefault="00907F34" w:rsidP="00507A20">
      <w:pPr>
        <w:pStyle w:val="Citationenretrait"/>
        <w:rPr>
          <w:lang w:val="en-CA"/>
        </w:rPr>
      </w:pPr>
      <w:r w:rsidRPr="00124DB1">
        <w:rPr>
          <w:lang w:val="en-CA"/>
        </w:rPr>
        <w:t xml:space="preserve">We therefore </w:t>
      </w:r>
      <w:r w:rsidR="00C47647" w:rsidRPr="00124DB1">
        <w:rPr>
          <w:lang w:val="en-CA"/>
        </w:rPr>
        <w:t>inform</w:t>
      </w:r>
      <w:r w:rsidRPr="00124DB1">
        <w:rPr>
          <w:lang w:val="en-CA"/>
        </w:rPr>
        <w:t xml:space="preserve"> you that the file </w:t>
      </w:r>
      <w:proofErr w:type="gramStart"/>
      <w:r w:rsidRPr="00124DB1">
        <w:rPr>
          <w:lang w:val="en-CA"/>
        </w:rPr>
        <w:t xml:space="preserve">is </w:t>
      </w:r>
      <w:r w:rsidR="00C47647" w:rsidRPr="00124DB1">
        <w:rPr>
          <w:lang w:val="en-CA"/>
        </w:rPr>
        <w:t xml:space="preserve">being </w:t>
      </w:r>
      <w:r w:rsidRPr="00124DB1">
        <w:rPr>
          <w:lang w:val="en-CA"/>
        </w:rPr>
        <w:t>transferred</w:t>
      </w:r>
      <w:proofErr w:type="gramEnd"/>
      <w:r w:rsidRPr="00124DB1">
        <w:rPr>
          <w:lang w:val="en-CA"/>
        </w:rPr>
        <w:t xml:space="preserve"> to the Investigation department and that it will be assigned within the next few months.</w:t>
      </w:r>
      <w:r w:rsidR="00AD32E1" w:rsidRPr="00124DB1">
        <w:rPr>
          <w:rStyle w:val="Appelnotedebasdep"/>
          <w:szCs w:val="22"/>
          <w:lang w:val="en-CA"/>
        </w:rPr>
        <w:footnoteReference w:id="23"/>
      </w:r>
    </w:p>
    <w:p w14:paraId="42C114B2" w14:textId="50CF46DB" w:rsidR="00507A20" w:rsidRPr="00124DB1" w:rsidRDefault="00907F34" w:rsidP="00507A20">
      <w:pPr>
        <w:pStyle w:val="Paragraphe"/>
        <w:tabs>
          <w:tab w:val="clear" w:pos="567"/>
        </w:tabs>
      </w:pPr>
      <w:r w:rsidRPr="00124DB1">
        <w:t>O</w:t>
      </w:r>
      <w:r w:rsidR="00746F75" w:rsidRPr="00124DB1">
        <w:t>n</w:t>
      </w:r>
      <w:r w:rsidRPr="00124DB1">
        <w:t xml:space="preserve"> June 16, 2016, Investigator Omar </w:t>
      </w:r>
      <w:proofErr w:type="spellStart"/>
      <w:r w:rsidRPr="00124DB1">
        <w:t>Edriss</w:t>
      </w:r>
      <w:proofErr w:type="spellEnd"/>
      <w:r w:rsidRPr="00124DB1">
        <w:t xml:space="preserve"> of the Commission informed the </w:t>
      </w:r>
      <w:r w:rsidR="00DD0C6B">
        <w:t>City</w:t>
      </w:r>
      <w:r w:rsidRPr="00124DB1">
        <w:t xml:space="preserve"> that he </w:t>
      </w:r>
      <w:proofErr w:type="gramStart"/>
      <w:r w:rsidRPr="00124DB1">
        <w:t xml:space="preserve">had been appointed and asked to obtain its version of the facts, in writing, </w:t>
      </w:r>
      <w:r w:rsidR="00EC3431" w:rsidRPr="00124DB1">
        <w:t>[</w:t>
      </w:r>
      <w:r w:rsidR="00EC3431" w:rsidRPr="00124DB1">
        <w:rPr>
          <w:smallCaps/>
        </w:rPr>
        <w:t>translation</w:t>
      </w:r>
      <w:r w:rsidR="00EC3431" w:rsidRPr="00124DB1">
        <w:t xml:space="preserve">] </w:t>
      </w:r>
      <w:r w:rsidRPr="00124DB1">
        <w:t>“by July 4, 2016, at the latest”</w:t>
      </w:r>
      <w:proofErr w:type="gramEnd"/>
      <w:r w:rsidRPr="00124DB1">
        <w:t>.</w:t>
      </w:r>
      <w:r w:rsidR="00AD32E1" w:rsidRPr="00124DB1">
        <w:rPr>
          <w:rStyle w:val="Appelnotedebasdep"/>
        </w:rPr>
        <w:footnoteReference w:id="24"/>
      </w:r>
    </w:p>
    <w:p w14:paraId="0443C350" w14:textId="37504F11" w:rsidR="00507A20" w:rsidRPr="00124DB1" w:rsidRDefault="00907F34" w:rsidP="00507A20">
      <w:pPr>
        <w:pStyle w:val="Paragraphe"/>
        <w:tabs>
          <w:tab w:val="clear" w:pos="567"/>
          <w:tab w:val="num" w:pos="709"/>
        </w:tabs>
      </w:pPr>
      <w:r w:rsidRPr="00124DB1">
        <w:t xml:space="preserve">The </w:t>
      </w:r>
      <w:r w:rsidR="00DD0C6B">
        <w:t>City</w:t>
      </w:r>
      <w:r w:rsidRPr="00124DB1">
        <w:t xml:space="preserve"> was unable to communicate its version within that </w:t>
      </w:r>
      <w:proofErr w:type="gramStart"/>
      <w:r w:rsidRPr="00124DB1">
        <w:t>time period</w:t>
      </w:r>
      <w:proofErr w:type="gramEnd"/>
      <w:r w:rsidRPr="00124DB1">
        <w:t>.</w:t>
      </w:r>
      <w:r w:rsidR="00AD32E1" w:rsidRPr="00124DB1">
        <w:t xml:space="preserve"> </w:t>
      </w:r>
    </w:p>
    <w:p w14:paraId="36A894F4" w14:textId="7ADE4EB6" w:rsidR="00507A20" w:rsidRPr="00124DB1" w:rsidRDefault="00907F34" w:rsidP="00507A20">
      <w:pPr>
        <w:pStyle w:val="Paragraphe"/>
        <w:tabs>
          <w:tab w:val="clear" w:pos="567"/>
          <w:tab w:val="num" w:pos="709"/>
        </w:tabs>
      </w:pPr>
      <w:r w:rsidRPr="00124DB1">
        <w:t xml:space="preserve">On July 26, 2016, the </w:t>
      </w:r>
      <w:r w:rsidR="00DD0C6B">
        <w:t>City</w:t>
      </w:r>
      <w:r w:rsidRPr="00124DB1">
        <w:t xml:space="preserve"> sent Investigator </w:t>
      </w:r>
      <w:proofErr w:type="spellStart"/>
      <w:r w:rsidRPr="00124DB1">
        <w:t>Edriss</w:t>
      </w:r>
      <w:proofErr w:type="spellEnd"/>
      <w:r w:rsidRPr="00124DB1">
        <w:t xml:space="preserve"> the only document it had in connection with the intervention at Thursday’s on the evening of August 31, 2014.</w:t>
      </w:r>
      <w:r w:rsidR="00AD32E1" w:rsidRPr="00124DB1">
        <w:rPr>
          <w:rStyle w:val="Appelnotedebasdep"/>
        </w:rPr>
        <w:footnoteReference w:id="25"/>
      </w:r>
      <w:r w:rsidR="00AD32E1" w:rsidRPr="00124DB1">
        <w:t xml:space="preserve">  </w:t>
      </w:r>
    </w:p>
    <w:p w14:paraId="7C6713A7" w14:textId="45A9E256" w:rsidR="00507A20" w:rsidRPr="00124DB1" w:rsidRDefault="00AD32E1" w:rsidP="00507A20">
      <w:pPr>
        <w:pStyle w:val="Paragraphe"/>
        <w:tabs>
          <w:tab w:val="clear" w:pos="567"/>
          <w:tab w:val="num" w:pos="709"/>
        </w:tabs>
      </w:pPr>
      <w:r w:rsidRPr="00124DB1">
        <w:lastRenderedPageBreak/>
        <w:t xml:space="preserve">On October 11, 2016, Investigator Serge Marquis of the Commission </w:t>
      </w:r>
      <w:r w:rsidR="00771BF4" w:rsidRPr="00124DB1">
        <w:t>informed</w:t>
      </w:r>
      <w:r w:rsidRPr="00124DB1">
        <w:t xml:space="preserve"> the </w:t>
      </w:r>
      <w:r w:rsidR="00DD0C6B">
        <w:t>City</w:t>
      </w:r>
      <w:r w:rsidRPr="00124DB1">
        <w:t xml:space="preserve"> that the file had been </w:t>
      </w:r>
      <w:r w:rsidR="007553EB" w:rsidRPr="00124DB1">
        <w:t>[</w:t>
      </w:r>
      <w:r w:rsidR="007553EB" w:rsidRPr="00124DB1">
        <w:rPr>
          <w:smallCaps/>
        </w:rPr>
        <w:t>translation</w:t>
      </w:r>
      <w:r w:rsidR="007553EB" w:rsidRPr="00124DB1">
        <w:t xml:space="preserve">] </w:t>
      </w:r>
      <w:r w:rsidRPr="00124DB1">
        <w:t xml:space="preserve">“reassigned to him for investigation”. He asked for the names and badge numbers of </w:t>
      </w:r>
      <w:r w:rsidR="007553EB" w:rsidRPr="00124DB1">
        <w:t>the</w:t>
      </w:r>
      <w:r w:rsidRPr="00124DB1">
        <w:t xml:space="preserve"> officers who intervened with Mr. </w:t>
      </w:r>
      <w:proofErr w:type="spellStart"/>
      <w:r w:rsidRPr="00124DB1">
        <w:t>Bazelais</w:t>
      </w:r>
      <w:proofErr w:type="spellEnd"/>
      <w:r w:rsidRPr="00124DB1">
        <w:t xml:space="preserve"> and the </w:t>
      </w:r>
      <w:r w:rsidR="00DD0C6B">
        <w:t>City</w:t>
      </w:r>
      <w:r w:rsidRPr="00124DB1">
        <w:t xml:space="preserve">’s version of the facts, </w:t>
      </w:r>
      <w:r w:rsidR="007553EB" w:rsidRPr="00124DB1">
        <w:t>[</w:t>
      </w:r>
      <w:r w:rsidR="007553EB" w:rsidRPr="00124DB1">
        <w:rPr>
          <w:smallCaps/>
        </w:rPr>
        <w:t>translation</w:t>
      </w:r>
      <w:r w:rsidR="007553EB" w:rsidRPr="00124DB1">
        <w:t xml:space="preserve">] </w:t>
      </w:r>
      <w:r w:rsidRPr="00124DB1">
        <w:t>“by October 28, 2016, at the latest”.</w:t>
      </w:r>
      <w:r w:rsidRPr="00124DB1">
        <w:rPr>
          <w:rStyle w:val="Appelnotedebasdep"/>
        </w:rPr>
        <w:footnoteReference w:id="26"/>
      </w:r>
      <w:r w:rsidRPr="00124DB1">
        <w:t xml:space="preserve"> </w:t>
      </w:r>
    </w:p>
    <w:p w14:paraId="1969E4A8" w14:textId="77777777" w:rsidR="00507A20" w:rsidRPr="00124DB1" w:rsidRDefault="00AD32E1" w:rsidP="00507A20">
      <w:pPr>
        <w:pStyle w:val="Paragraphe"/>
        <w:tabs>
          <w:tab w:val="clear" w:pos="567"/>
          <w:tab w:val="num" w:pos="709"/>
        </w:tabs>
      </w:pPr>
      <w:r w:rsidRPr="00124DB1">
        <w:t xml:space="preserve">On December 9, 2016, the Commission’s investigator spoke with Mr. Mathurin and then prepared a document titled </w:t>
      </w:r>
      <w:r w:rsidR="007553EB" w:rsidRPr="00124DB1">
        <w:t>[</w:t>
      </w:r>
      <w:r w:rsidR="007553EB" w:rsidRPr="00124DB1">
        <w:rPr>
          <w:smallCaps/>
        </w:rPr>
        <w:t>translation</w:t>
      </w:r>
      <w:r w:rsidR="007553EB" w:rsidRPr="00124DB1">
        <w:t xml:space="preserve">] </w:t>
      </w:r>
      <w:r w:rsidRPr="00124DB1">
        <w:t>“Statement (by telephone)”.</w:t>
      </w:r>
      <w:r w:rsidRPr="00124DB1">
        <w:rPr>
          <w:rStyle w:val="Appelnotedebasdep"/>
        </w:rPr>
        <w:footnoteReference w:id="27"/>
      </w:r>
    </w:p>
    <w:p w14:paraId="0E75C598" w14:textId="04FD9E38" w:rsidR="00507A20" w:rsidRPr="00124DB1" w:rsidRDefault="00AD32E1" w:rsidP="00507A20">
      <w:pPr>
        <w:pStyle w:val="Paragraphe"/>
        <w:tabs>
          <w:tab w:val="clear" w:pos="567"/>
          <w:tab w:val="num" w:pos="709"/>
        </w:tabs>
      </w:pPr>
      <w:r w:rsidRPr="00124DB1">
        <w:t>On December 12, 2016, Investigator Marqu</w:t>
      </w:r>
      <w:r w:rsidR="007553EB" w:rsidRPr="00124DB1">
        <w:t>i</w:t>
      </w:r>
      <w:r w:rsidRPr="00124DB1">
        <w:t xml:space="preserve">s sent this document to counsel for the </w:t>
      </w:r>
      <w:r w:rsidR="00DD0C6B">
        <w:t>City</w:t>
      </w:r>
      <w:r w:rsidRPr="00124DB1">
        <w:t xml:space="preserve"> and asked </w:t>
      </w:r>
      <w:proofErr w:type="gramStart"/>
      <w:r w:rsidRPr="00124DB1">
        <w:t>for Mr</w:t>
      </w:r>
      <w:proofErr w:type="gramEnd"/>
      <w:r w:rsidRPr="00124DB1">
        <w:t xml:space="preserve">. Mathurin to initial each of the pages and </w:t>
      </w:r>
      <w:r w:rsidR="007553EB" w:rsidRPr="00124DB1">
        <w:t xml:space="preserve">add </w:t>
      </w:r>
      <w:r w:rsidRPr="00124DB1">
        <w:t>his signature on the last page.</w:t>
      </w:r>
      <w:r w:rsidRPr="00124DB1">
        <w:rPr>
          <w:rStyle w:val="Appelnotedebasdep"/>
        </w:rPr>
        <w:footnoteReference w:id="28"/>
      </w:r>
    </w:p>
    <w:p w14:paraId="572A1369" w14:textId="0D7FA4D4" w:rsidR="00507A20" w:rsidRPr="00124DB1" w:rsidRDefault="00AD32E1" w:rsidP="00507A20">
      <w:pPr>
        <w:pStyle w:val="Paragraphe"/>
        <w:tabs>
          <w:tab w:val="clear" w:pos="567"/>
          <w:tab w:val="num" w:pos="709"/>
        </w:tabs>
      </w:pPr>
      <w:r w:rsidRPr="00124DB1">
        <w:t xml:space="preserve">In an email dated December 21, 2016, counsel for the </w:t>
      </w:r>
      <w:r w:rsidR="00DD0C6B">
        <w:t>City</w:t>
      </w:r>
      <w:r w:rsidRPr="00124DB1">
        <w:t xml:space="preserve"> told the investigator that </w:t>
      </w:r>
      <w:r w:rsidR="00D27B9F" w:rsidRPr="00124DB1">
        <w:t>he</w:t>
      </w:r>
      <w:r w:rsidRPr="00124DB1">
        <w:t xml:space="preserve"> </w:t>
      </w:r>
      <w:r w:rsidR="007553EB" w:rsidRPr="00124DB1">
        <w:t>could</w:t>
      </w:r>
      <w:r w:rsidRPr="00124DB1">
        <w:t xml:space="preserve"> not recommend that Mr. Mathurin sign that statement for the following reasons:</w:t>
      </w:r>
    </w:p>
    <w:p w14:paraId="04379005" w14:textId="77777777" w:rsidR="007553EB" w:rsidRPr="00124DB1" w:rsidRDefault="007553EB" w:rsidP="00507A20">
      <w:pPr>
        <w:pStyle w:val="Citationenretrait"/>
        <w:rPr>
          <w:lang w:val="en-CA"/>
        </w:rPr>
      </w:pPr>
      <w:r w:rsidRPr="00124DB1">
        <w:rPr>
          <w:lang w:val="en-CA"/>
        </w:rPr>
        <w:t>[</w:t>
      </w:r>
      <w:r w:rsidRPr="00124DB1">
        <w:rPr>
          <w:smallCaps/>
          <w:lang w:val="en-CA"/>
        </w:rPr>
        <w:t>translation</w:t>
      </w:r>
      <w:r w:rsidRPr="00124DB1">
        <w:rPr>
          <w:lang w:val="en-CA"/>
        </w:rPr>
        <w:t>]</w:t>
      </w:r>
    </w:p>
    <w:p w14:paraId="629CC05E" w14:textId="4757A281" w:rsidR="00507A20" w:rsidRPr="00124DB1" w:rsidRDefault="00AD32E1" w:rsidP="00507A20">
      <w:pPr>
        <w:pStyle w:val="Citationenretrait"/>
        <w:rPr>
          <w:lang w:val="en-CA"/>
        </w:rPr>
      </w:pPr>
      <w:r w:rsidRPr="00124DB1">
        <w:rPr>
          <w:lang w:val="en-CA"/>
        </w:rPr>
        <w:t xml:space="preserve">... </w:t>
      </w:r>
      <w:proofErr w:type="gramStart"/>
      <w:r w:rsidRPr="00124DB1">
        <w:rPr>
          <w:lang w:val="en-CA"/>
        </w:rPr>
        <w:t>because</w:t>
      </w:r>
      <w:proofErr w:type="gramEnd"/>
      <w:r w:rsidRPr="00124DB1">
        <w:rPr>
          <w:lang w:val="en-CA"/>
        </w:rPr>
        <w:t xml:space="preserve"> despite the best of intentions</w:t>
      </w:r>
      <w:r w:rsidR="00771BF4" w:rsidRPr="00124DB1">
        <w:rPr>
          <w:lang w:val="en-CA"/>
        </w:rPr>
        <w:t>,</w:t>
      </w:r>
      <w:r w:rsidRPr="00124DB1">
        <w:rPr>
          <w:lang w:val="en-CA"/>
        </w:rPr>
        <w:t xml:space="preserve"> you cannot transcribe verbatim this statement, which lasted 90 minutes</w:t>
      </w:r>
      <w:r w:rsidR="00771BF4" w:rsidRPr="00124DB1">
        <w:rPr>
          <w:lang w:val="en-CA"/>
        </w:rPr>
        <w:t>;</w:t>
      </w:r>
      <w:r w:rsidRPr="00124DB1">
        <w:rPr>
          <w:lang w:val="en-CA"/>
        </w:rPr>
        <w:t xml:space="preserve"> your transcription</w:t>
      </w:r>
      <w:r w:rsidR="00771BF4" w:rsidRPr="00124DB1">
        <w:rPr>
          <w:lang w:val="en-CA"/>
        </w:rPr>
        <w:t xml:space="preserve"> cannot</w:t>
      </w:r>
      <w:r w:rsidR="007553EB" w:rsidRPr="00124DB1">
        <w:rPr>
          <w:lang w:val="en-CA"/>
        </w:rPr>
        <w:t xml:space="preserve"> [</w:t>
      </w:r>
      <w:r w:rsidR="007553EB" w:rsidRPr="00124DB1">
        <w:rPr>
          <w:smallCaps/>
          <w:lang w:val="en-CA"/>
        </w:rPr>
        <w:t>translation</w:t>
      </w:r>
      <w:r w:rsidR="007553EB" w:rsidRPr="00124DB1">
        <w:rPr>
          <w:lang w:val="en-CA"/>
        </w:rPr>
        <w:t>]</w:t>
      </w:r>
      <w:r w:rsidRPr="00124DB1">
        <w:rPr>
          <w:lang w:val="en-CA"/>
        </w:rPr>
        <w:t xml:space="preserve"> “reproduce it faithfully”. In </w:t>
      </w:r>
      <w:r w:rsidR="009F521C" w:rsidRPr="00124DB1">
        <w:rPr>
          <w:lang w:val="en-CA"/>
        </w:rPr>
        <w:t>the circumstances</w:t>
      </w:r>
      <w:r w:rsidRPr="00124DB1">
        <w:rPr>
          <w:lang w:val="en-CA"/>
        </w:rPr>
        <w:t xml:space="preserve">, you </w:t>
      </w:r>
      <w:r w:rsidR="009F521C" w:rsidRPr="00124DB1">
        <w:rPr>
          <w:lang w:val="en-CA"/>
        </w:rPr>
        <w:t xml:space="preserve">will </w:t>
      </w:r>
      <w:r w:rsidRPr="00124DB1">
        <w:rPr>
          <w:lang w:val="en-CA"/>
        </w:rPr>
        <w:t xml:space="preserve">understand that we have </w:t>
      </w:r>
      <w:r w:rsidR="009F521C" w:rsidRPr="00124DB1">
        <w:rPr>
          <w:lang w:val="en-CA"/>
        </w:rPr>
        <w:t>advised</w:t>
      </w:r>
      <w:r w:rsidRPr="00124DB1">
        <w:rPr>
          <w:lang w:val="en-CA"/>
        </w:rPr>
        <w:t xml:space="preserve"> Mr. Mathurin not to sign or initial it.</w:t>
      </w:r>
      <w:r w:rsidRPr="00124DB1">
        <w:rPr>
          <w:rStyle w:val="Appelnotedebasdep"/>
          <w:szCs w:val="22"/>
          <w:lang w:val="en-CA"/>
        </w:rPr>
        <w:footnoteReference w:id="29"/>
      </w:r>
    </w:p>
    <w:p w14:paraId="328CCAF6" w14:textId="500F0591" w:rsidR="00507A20" w:rsidRPr="00124DB1" w:rsidRDefault="00AD32E1" w:rsidP="00507A20">
      <w:pPr>
        <w:pStyle w:val="Paragraphe"/>
        <w:tabs>
          <w:tab w:val="clear" w:pos="567"/>
        </w:tabs>
      </w:pPr>
      <w:r w:rsidRPr="00124DB1">
        <w:t xml:space="preserve">On June 23, 2017, counsel for the </w:t>
      </w:r>
      <w:r w:rsidR="00DD0C6B">
        <w:t>City</w:t>
      </w:r>
      <w:r w:rsidRPr="00124DB1">
        <w:t xml:space="preserve"> asked </w:t>
      </w:r>
      <w:r w:rsidR="004D757F" w:rsidRPr="00124DB1">
        <w:t>Investigator</w:t>
      </w:r>
      <w:r w:rsidRPr="00124DB1">
        <w:t xml:space="preserve"> Marqu</w:t>
      </w:r>
      <w:r w:rsidR="007553EB" w:rsidRPr="00124DB1">
        <w:t>is</w:t>
      </w:r>
      <w:r w:rsidRPr="00124DB1">
        <w:t xml:space="preserve"> when he </w:t>
      </w:r>
      <w:r w:rsidR="007553EB" w:rsidRPr="00124DB1">
        <w:t xml:space="preserve">thought he would be able to send </w:t>
      </w:r>
      <w:r w:rsidR="00256F1B">
        <w:t>her</w:t>
      </w:r>
      <w:r w:rsidRPr="00124DB1">
        <w:t xml:space="preserve"> his </w:t>
      </w:r>
      <w:r w:rsidR="007553EB" w:rsidRPr="00124DB1">
        <w:t>[</w:t>
      </w:r>
      <w:r w:rsidR="007553EB" w:rsidRPr="00124DB1">
        <w:rPr>
          <w:smallCaps/>
        </w:rPr>
        <w:t>translation</w:t>
      </w:r>
      <w:r w:rsidR="007553EB" w:rsidRPr="00124DB1">
        <w:t xml:space="preserve">] </w:t>
      </w:r>
      <w:r w:rsidRPr="00124DB1">
        <w:t xml:space="preserve">“statement of facts” </w:t>
      </w:r>
      <w:r w:rsidR="007553EB" w:rsidRPr="00124DB1">
        <w:t>since the [</w:t>
      </w:r>
      <w:r w:rsidR="007553EB" w:rsidRPr="00124DB1">
        <w:rPr>
          <w:smallCaps/>
        </w:rPr>
        <w:t>translation</w:t>
      </w:r>
      <w:r w:rsidR="007553EB" w:rsidRPr="00124DB1">
        <w:t xml:space="preserve">] </w:t>
      </w:r>
      <w:r w:rsidRPr="00124DB1">
        <w:t xml:space="preserve">“last step in this file </w:t>
      </w:r>
      <w:r w:rsidR="004D757F" w:rsidRPr="00124DB1">
        <w:t>goes</w:t>
      </w:r>
      <w:r w:rsidRPr="00124DB1">
        <w:t xml:space="preserve"> back to December 21, 2016”.</w:t>
      </w:r>
      <w:r w:rsidRPr="00124DB1">
        <w:rPr>
          <w:rStyle w:val="Appelnotedebasdep"/>
        </w:rPr>
        <w:footnoteReference w:id="30"/>
      </w:r>
    </w:p>
    <w:p w14:paraId="5E532006" w14:textId="41D99046" w:rsidR="00507A20" w:rsidRPr="00124DB1" w:rsidRDefault="00AD32E1" w:rsidP="00507A20">
      <w:pPr>
        <w:pStyle w:val="Paragraphe"/>
        <w:tabs>
          <w:tab w:val="clear" w:pos="567"/>
        </w:tabs>
      </w:pPr>
      <w:r w:rsidRPr="00124DB1">
        <w:t>On August 24, 2017, the investigator sent his statement of facts</w:t>
      </w:r>
      <w:r w:rsidRPr="00124DB1">
        <w:rPr>
          <w:rStyle w:val="Appelnotedebasdep"/>
        </w:rPr>
        <w:footnoteReference w:id="31"/>
      </w:r>
      <w:r w:rsidRPr="00124DB1">
        <w:t xml:space="preserve"> and asked for the CRARR’s comments,</w:t>
      </w:r>
      <w:r w:rsidRPr="00124DB1">
        <w:rPr>
          <w:rStyle w:val="Appelnotedebasdep"/>
        </w:rPr>
        <w:footnoteReference w:id="32"/>
      </w:r>
      <w:r w:rsidRPr="00124DB1">
        <w:t xml:space="preserve"> and then those of the </w:t>
      </w:r>
      <w:r w:rsidR="00DD0C6B">
        <w:t>City</w:t>
      </w:r>
      <w:r w:rsidRPr="00124DB1">
        <w:t xml:space="preserve">, </w:t>
      </w:r>
      <w:r w:rsidR="007553EB" w:rsidRPr="00124DB1">
        <w:t>[</w:t>
      </w:r>
      <w:r w:rsidR="007553EB" w:rsidRPr="00124DB1">
        <w:rPr>
          <w:smallCaps/>
        </w:rPr>
        <w:t>translation</w:t>
      </w:r>
      <w:r w:rsidR="007553EB" w:rsidRPr="00124DB1">
        <w:t xml:space="preserve">] </w:t>
      </w:r>
      <w:r w:rsidRPr="00124DB1">
        <w:t>“before September 1, 2017”.</w:t>
      </w:r>
      <w:r w:rsidRPr="00124DB1">
        <w:rPr>
          <w:rStyle w:val="Appelnotedebasdep"/>
        </w:rPr>
        <w:footnoteReference w:id="33"/>
      </w:r>
    </w:p>
    <w:p w14:paraId="36006C28" w14:textId="257B9E8B" w:rsidR="00507A20" w:rsidRPr="00124DB1" w:rsidRDefault="00AD32E1" w:rsidP="00507A20">
      <w:pPr>
        <w:pStyle w:val="Paragraphe"/>
        <w:tabs>
          <w:tab w:val="clear" w:pos="567"/>
        </w:tabs>
      </w:pPr>
      <w:r w:rsidRPr="00124DB1">
        <w:t xml:space="preserve">After obtaining an additional week </w:t>
      </w:r>
      <w:r w:rsidR="00285A07" w:rsidRPr="00124DB1">
        <w:t xml:space="preserve">from the investigator </w:t>
      </w:r>
      <w:r w:rsidRPr="00124DB1">
        <w:t xml:space="preserve">to </w:t>
      </w:r>
      <w:r w:rsidR="00EC4002" w:rsidRPr="00124DB1">
        <w:t>provide</w:t>
      </w:r>
      <w:r w:rsidRPr="00124DB1">
        <w:t xml:space="preserve"> </w:t>
      </w:r>
      <w:r w:rsidR="00285A07" w:rsidRPr="00124DB1">
        <w:t>his</w:t>
      </w:r>
      <w:r w:rsidRPr="00124DB1">
        <w:t xml:space="preserve"> remarks,</w:t>
      </w:r>
      <w:r w:rsidRPr="00124DB1">
        <w:rPr>
          <w:rStyle w:val="Appelnotedebasdep"/>
        </w:rPr>
        <w:footnoteReference w:id="34"/>
      </w:r>
      <w:r w:rsidRPr="00124DB1">
        <w:t xml:space="preserve"> counsel for the </w:t>
      </w:r>
      <w:r w:rsidR="00DD0C6B">
        <w:t>City</w:t>
      </w:r>
      <w:r w:rsidRPr="00124DB1">
        <w:t xml:space="preserve"> sent them on September 6, 2017.</w:t>
      </w:r>
      <w:r w:rsidRPr="00124DB1">
        <w:rPr>
          <w:rStyle w:val="Appelnotedebasdep"/>
        </w:rPr>
        <w:footnoteReference w:id="35"/>
      </w:r>
      <w:r w:rsidRPr="00124DB1">
        <w:t xml:space="preserve">  </w:t>
      </w:r>
    </w:p>
    <w:p w14:paraId="49421C8A" w14:textId="006A19FF" w:rsidR="00507A20" w:rsidRPr="00124DB1" w:rsidRDefault="00AD32E1" w:rsidP="00507A20">
      <w:pPr>
        <w:pStyle w:val="Paragraphe"/>
        <w:tabs>
          <w:tab w:val="clear" w:pos="567"/>
        </w:tabs>
      </w:pPr>
      <w:r w:rsidRPr="00124DB1">
        <w:lastRenderedPageBreak/>
        <w:t xml:space="preserve">Two days later, the CRARR </w:t>
      </w:r>
      <w:r w:rsidR="00EC4002" w:rsidRPr="00124DB1">
        <w:t>provided</w:t>
      </w:r>
      <w:r w:rsidRPr="00124DB1">
        <w:t xml:space="preserve"> its remarks to the investigator.</w:t>
      </w:r>
      <w:r w:rsidRPr="00124DB1">
        <w:rPr>
          <w:rStyle w:val="Appelnotedebasdep"/>
        </w:rPr>
        <w:footnoteReference w:id="36"/>
      </w:r>
    </w:p>
    <w:p w14:paraId="084DA417" w14:textId="36DF9FAF" w:rsidR="00507A20" w:rsidRPr="00124DB1" w:rsidRDefault="00AD32E1" w:rsidP="00507A20">
      <w:pPr>
        <w:pStyle w:val="Paragraphe"/>
        <w:tabs>
          <w:tab w:val="clear" w:pos="567"/>
        </w:tabs>
      </w:pPr>
      <w:r w:rsidRPr="00124DB1">
        <w:t xml:space="preserve">On May 22, 2019, the </w:t>
      </w:r>
      <w:r w:rsidR="00EC4002" w:rsidRPr="00124DB1">
        <w:t>complaints committee</w:t>
      </w:r>
      <w:r w:rsidRPr="00124DB1">
        <w:t xml:space="preserve"> adopted a resolution in which the Commission deemed that:</w:t>
      </w:r>
    </w:p>
    <w:p w14:paraId="259CC48C" w14:textId="77777777" w:rsidR="00285A07" w:rsidRPr="00124DB1" w:rsidRDefault="00285A07" w:rsidP="00507A20">
      <w:pPr>
        <w:pStyle w:val="Citationenretrait"/>
        <w:rPr>
          <w:lang w:val="en-CA"/>
        </w:rPr>
      </w:pPr>
      <w:r w:rsidRPr="00124DB1">
        <w:rPr>
          <w:lang w:val="en-CA"/>
        </w:rPr>
        <w:t>[</w:t>
      </w:r>
      <w:r w:rsidRPr="00124DB1">
        <w:rPr>
          <w:smallCaps/>
          <w:lang w:val="en-CA"/>
        </w:rPr>
        <w:t>translation</w:t>
      </w:r>
      <w:r w:rsidRPr="00124DB1">
        <w:rPr>
          <w:lang w:val="en-CA"/>
        </w:rPr>
        <w:t>]</w:t>
      </w:r>
    </w:p>
    <w:p w14:paraId="0A2CFF90" w14:textId="26B8BB5D" w:rsidR="00507A20" w:rsidRPr="00124DB1" w:rsidRDefault="00AD32E1" w:rsidP="00507A20">
      <w:pPr>
        <w:pStyle w:val="Citationenretrait"/>
        <w:rPr>
          <w:lang w:val="en-CA"/>
        </w:rPr>
      </w:pPr>
      <w:r w:rsidRPr="00124DB1">
        <w:rPr>
          <w:lang w:val="en-CA"/>
        </w:rPr>
        <w:t xml:space="preserve">... there </w:t>
      </w:r>
      <w:r w:rsidR="00EC4002" w:rsidRPr="00124DB1">
        <w:rPr>
          <w:lang w:val="en-CA"/>
        </w:rPr>
        <w:t>is</w:t>
      </w:r>
      <w:r w:rsidRPr="00124DB1">
        <w:rPr>
          <w:lang w:val="en-CA"/>
        </w:rPr>
        <w:t xml:space="preserve"> sufficient evidence to conclude that Mr. </w:t>
      </w:r>
      <w:proofErr w:type="spellStart"/>
      <w:r w:rsidRPr="00124DB1">
        <w:rPr>
          <w:lang w:val="en-CA"/>
        </w:rPr>
        <w:t>Bazelais</w:t>
      </w:r>
      <w:proofErr w:type="spellEnd"/>
      <w:r w:rsidRPr="00124DB1">
        <w:rPr>
          <w:lang w:val="en-CA"/>
        </w:rPr>
        <w:t xml:space="preserve"> was the subject of differential or unusual treatment by the SPVM </w:t>
      </w:r>
      <w:r w:rsidR="00EC4002" w:rsidRPr="00124DB1">
        <w:rPr>
          <w:lang w:val="en-CA"/>
        </w:rPr>
        <w:t xml:space="preserve">officers </w:t>
      </w:r>
      <w:r w:rsidRPr="00124DB1">
        <w:rPr>
          <w:lang w:val="en-CA"/>
        </w:rPr>
        <w:t xml:space="preserve">and </w:t>
      </w:r>
      <w:r w:rsidR="00285A07" w:rsidRPr="00124DB1">
        <w:rPr>
          <w:lang w:val="en-CA"/>
        </w:rPr>
        <w:t>Sergeant</w:t>
      </w:r>
      <w:r w:rsidRPr="00124DB1">
        <w:rPr>
          <w:lang w:val="en-CA"/>
        </w:rPr>
        <w:t xml:space="preserve"> Stéphane Mathurin, who intervened on August 31, 2014, at Thursday’s due</w:t>
      </w:r>
      <w:r w:rsidR="000974A6" w:rsidRPr="00124DB1">
        <w:rPr>
          <w:lang w:val="en-CA"/>
        </w:rPr>
        <w:t>,</w:t>
      </w:r>
      <w:r w:rsidRPr="00124DB1">
        <w:rPr>
          <w:lang w:val="en-CA"/>
        </w:rPr>
        <w:t xml:space="preserve"> in particular</w:t>
      </w:r>
      <w:r w:rsidR="000974A6" w:rsidRPr="00124DB1">
        <w:rPr>
          <w:lang w:val="en-CA"/>
        </w:rPr>
        <w:t>,</w:t>
      </w:r>
      <w:r w:rsidRPr="00124DB1">
        <w:rPr>
          <w:lang w:val="en-CA"/>
        </w:rPr>
        <w:t xml:space="preserve"> to his belonging to one of the groups protected by the </w:t>
      </w:r>
      <w:r w:rsidRPr="00124DB1">
        <w:rPr>
          <w:i/>
          <w:lang w:val="en-CA"/>
        </w:rPr>
        <w:t>Charter</w:t>
      </w:r>
      <w:r w:rsidRPr="00124DB1">
        <w:rPr>
          <w:lang w:val="en-CA"/>
        </w:rPr>
        <w:t>.</w:t>
      </w:r>
      <w:r w:rsidRPr="00124DB1">
        <w:rPr>
          <w:rStyle w:val="Appelnotedebasdep"/>
          <w:szCs w:val="22"/>
          <w:lang w:val="en-CA"/>
        </w:rPr>
        <w:footnoteReference w:id="37"/>
      </w:r>
      <w:r w:rsidRPr="00124DB1">
        <w:rPr>
          <w:lang w:val="en-CA"/>
        </w:rPr>
        <w:t xml:space="preserve"> </w:t>
      </w:r>
    </w:p>
    <w:p w14:paraId="7B54DC79" w14:textId="5797D04B" w:rsidR="00507A20" w:rsidRPr="00124DB1" w:rsidRDefault="00AD32E1" w:rsidP="00507A20">
      <w:pPr>
        <w:pStyle w:val="Paragraphe"/>
        <w:tabs>
          <w:tab w:val="clear" w:pos="567"/>
          <w:tab w:val="num" w:pos="709"/>
        </w:tabs>
      </w:pPr>
      <w:r w:rsidRPr="00124DB1">
        <w:t xml:space="preserve">On August 26, 2019, the </w:t>
      </w:r>
      <w:r w:rsidR="00285A07" w:rsidRPr="00124DB1">
        <w:t>Commission</w:t>
      </w:r>
      <w:r w:rsidRPr="00124DB1">
        <w:t xml:space="preserve"> notified this resolution – and the proposed measures of redress it contained – to the </w:t>
      </w:r>
      <w:r w:rsidR="00DD0C6B">
        <w:t>City</w:t>
      </w:r>
      <w:r w:rsidRPr="00124DB1">
        <w:t>.</w:t>
      </w:r>
      <w:r w:rsidRPr="00124DB1">
        <w:rPr>
          <w:rStyle w:val="Appelnotedebasdep"/>
        </w:rPr>
        <w:footnoteReference w:id="38"/>
      </w:r>
      <w:r w:rsidRPr="00124DB1">
        <w:t xml:space="preserve"> </w:t>
      </w:r>
    </w:p>
    <w:p w14:paraId="019B11C3" w14:textId="5B699ACE" w:rsidR="00507A20" w:rsidRPr="00124DB1" w:rsidRDefault="00AD32E1" w:rsidP="00507A20">
      <w:pPr>
        <w:pStyle w:val="Paragraphe"/>
        <w:tabs>
          <w:tab w:val="clear" w:pos="567"/>
          <w:tab w:val="num" w:pos="709"/>
        </w:tabs>
      </w:pPr>
      <w:r w:rsidRPr="00124DB1">
        <w:t xml:space="preserve">The </w:t>
      </w:r>
      <w:r w:rsidR="00DD0C6B">
        <w:t>City</w:t>
      </w:r>
      <w:r w:rsidRPr="00124DB1">
        <w:t xml:space="preserve"> did not follow up on the proposed measures of redress.</w:t>
      </w:r>
    </w:p>
    <w:p w14:paraId="3505066F" w14:textId="77777777" w:rsidR="00507A20" w:rsidRPr="00124DB1" w:rsidRDefault="00AD32E1" w:rsidP="00507A20">
      <w:pPr>
        <w:pStyle w:val="Paragraphe"/>
        <w:tabs>
          <w:tab w:val="clear" w:pos="567"/>
          <w:tab w:val="num" w:pos="709"/>
        </w:tabs>
      </w:pPr>
      <w:r w:rsidRPr="00124DB1">
        <w:t xml:space="preserve">On October 25, 2019, the Commission filed its originating </w:t>
      </w:r>
      <w:r w:rsidR="00285A07" w:rsidRPr="00124DB1">
        <w:t>application</w:t>
      </w:r>
      <w:r w:rsidRPr="00124DB1">
        <w:t>.</w:t>
      </w:r>
    </w:p>
    <w:p w14:paraId="1CD4AAB1" w14:textId="5C71CE0D" w:rsidR="00507A20" w:rsidRPr="00124DB1" w:rsidRDefault="00AD32E1" w:rsidP="00507A20">
      <w:pPr>
        <w:pStyle w:val="Paragraphe"/>
        <w:tabs>
          <w:tab w:val="clear" w:pos="567"/>
          <w:tab w:val="num" w:pos="709"/>
        </w:tabs>
      </w:pPr>
      <w:r w:rsidRPr="00124DB1">
        <w:t xml:space="preserve">On April 15, 2020, the </w:t>
      </w:r>
      <w:r w:rsidR="00DD0C6B">
        <w:t>City</w:t>
      </w:r>
      <w:r w:rsidRPr="00124DB1">
        <w:t xml:space="preserve"> served on </w:t>
      </w:r>
      <w:r w:rsidR="00285A07" w:rsidRPr="00124DB1">
        <w:t>the</w:t>
      </w:r>
      <w:r w:rsidRPr="00124DB1">
        <w:t xml:space="preserve"> Commission a Preliminary application to dismiss the proceeding due to abusive and prejudicial delay</w:t>
      </w:r>
      <w:r w:rsidR="00545840" w:rsidRPr="00124DB1">
        <w:t>s</w:t>
      </w:r>
      <w:r w:rsidRPr="00124DB1">
        <w:t>.</w:t>
      </w:r>
    </w:p>
    <w:p w14:paraId="25A50987" w14:textId="43678E6A" w:rsidR="00507A20" w:rsidRPr="00124DB1" w:rsidRDefault="00AD32E1" w:rsidP="00507A20">
      <w:pPr>
        <w:pStyle w:val="Paragraphe"/>
        <w:tabs>
          <w:tab w:val="clear" w:pos="567"/>
          <w:tab w:val="num" w:pos="709"/>
        </w:tabs>
      </w:pPr>
      <w:r w:rsidRPr="00124DB1">
        <w:t>On July 24, 2020, after hea</w:t>
      </w:r>
      <w:r w:rsidR="00285A07" w:rsidRPr="00124DB1">
        <w:t>ring the parties and deliberating</w:t>
      </w:r>
      <w:r w:rsidRPr="00124DB1">
        <w:t>, the Honourable Ann</w:t>
      </w:r>
      <w:r w:rsidR="00BD4E2A" w:rsidRPr="00124DB1">
        <w:noBreakHyphen/>
      </w:r>
      <w:r w:rsidRPr="00124DB1">
        <w:t xml:space="preserve">Marie Jones rendered judgment and </w:t>
      </w:r>
      <w:r w:rsidR="00285A07" w:rsidRPr="00124DB1">
        <w:t>[</w:t>
      </w:r>
      <w:r w:rsidR="00285A07" w:rsidRPr="00124DB1">
        <w:rPr>
          <w:smallCaps/>
        </w:rPr>
        <w:t>translation</w:t>
      </w:r>
      <w:r w:rsidR="00285A07" w:rsidRPr="00124DB1">
        <w:t xml:space="preserve">] </w:t>
      </w:r>
      <w:r w:rsidRPr="00124DB1">
        <w:t>“</w:t>
      </w:r>
      <w:r w:rsidRPr="00124DB1">
        <w:rPr>
          <w:b/>
        </w:rPr>
        <w:t xml:space="preserve">REFERRED </w:t>
      </w:r>
      <w:r w:rsidRPr="00124DB1">
        <w:t xml:space="preserve">the application to dismiss the defendants’ proceeding due to abusive and prejudicial delays to the judge who will hear the </w:t>
      </w:r>
      <w:r w:rsidR="00BD4E2A" w:rsidRPr="00124DB1">
        <w:t>case</w:t>
      </w:r>
      <w:r w:rsidRPr="00124DB1">
        <w:t xml:space="preserve"> on the merits”.</w:t>
      </w:r>
      <w:r w:rsidRPr="00124DB1">
        <w:rPr>
          <w:rStyle w:val="Appelnotedebasdep"/>
        </w:rPr>
        <w:footnoteReference w:id="39"/>
      </w:r>
      <w:r w:rsidRPr="00124DB1">
        <w:t xml:space="preserve"> </w:t>
      </w:r>
    </w:p>
    <w:p w14:paraId="476B4B3C" w14:textId="77777777" w:rsidR="00507A20" w:rsidRPr="00124DB1" w:rsidRDefault="00AD32E1" w:rsidP="00507A20">
      <w:pPr>
        <w:pStyle w:val="Titre1"/>
        <w:rPr>
          <w:lang w:val="en-CA"/>
        </w:rPr>
      </w:pPr>
      <w:r w:rsidRPr="00124DB1">
        <w:rPr>
          <w:lang w:val="en-CA"/>
        </w:rPr>
        <w:t xml:space="preserve">ANALYSIS </w:t>
      </w:r>
    </w:p>
    <w:p w14:paraId="7A320E0E" w14:textId="03BECF6B" w:rsidR="00507A20" w:rsidRPr="00124DB1" w:rsidRDefault="00192AF7" w:rsidP="00507A20">
      <w:pPr>
        <w:pStyle w:val="Titre2"/>
        <w:rPr>
          <w:lang w:val="en-CA"/>
        </w:rPr>
      </w:pPr>
      <w:r w:rsidRPr="00124DB1">
        <w:rPr>
          <w:lang w:val="en-CA"/>
        </w:rPr>
        <w:t xml:space="preserve">Application to dismiss for abuse of </w:t>
      </w:r>
      <w:r w:rsidR="00BD4E2A" w:rsidRPr="00124DB1">
        <w:rPr>
          <w:lang w:val="en-CA"/>
        </w:rPr>
        <w:t>procedure</w:t>
      </w:r>
    </w:p>
    <w:p w14:paraId="6D521BBB" w14:textId="43BBC0DB" w:rsidR="00507A20" w:rsidRPr="00124DB1" w:rsidRDefault="00192AF7" w:rsidP="00507A20">
      <w:pPr>
        <w:pStyle w:val="Paragraphe"/>
      </w:pPr>
      <w:r w:rsidRPr="00124DB1">
        <w:t xml:space="preserve">The </w:t>
      </w:r>
      <w:r w:rsidR="00DD0C6B">
        <w:t>City</w:t>
      </w:r>
      <w:r w:rsidRPr="00124DB1">
        <w:t xml:space="preserve"> argue</w:t>
      </w:r>
      <w:r w:rsidR="00285A07" w:rsidRPr="00124DB1">
        <w:t>s</w:t>
      </w:r>
      <w:r w:rsidRPr="00124DB1">
        <w:t xml:space="preserve"> that </w:t>
      </w:r>
      <w:r w:rsidR="00285A07" w:rsidRPr="00124DB1">
        <w:t>the</w:t>
      </w:r>
      <w:r w:rsidRPr="00124DB1">
        <w:t xml:space="preserve"> Commission took an </w:t>
      </w:r>
      <w:r w:rsidR="00285A07" w:rsidRPr="00124DB1">
        <w:t>unreasonable</w:t>
      </w:r>
      <w:r w:rsidRPr="00124DB1">
        <w:t xml:space="preserve"> amount of time to process the discrimination complaint made </w:t>
      </w:r>
      <w:r w:rsidR="00285A07" w:rsidRPr="00124DB1">
        <w:t>against</w:t>
      </w:r>
      <w:r w:rsidRPr="00124DB1">
        <w:t xml:space="preserve"> it by </w:t>
      </w:r>
      <w:r w:rsidR="00285A07" w:rsidRPr="00124DB1">
        <w:t>the</w:t>
      </w:r>
      <w:r w:rsidRPr="00124DB1">
        <w:t xml:space="preserve"> CRARR on behalf of Mr.</w:t>
      </w:r>
      <w:r w:rsidR="00BD4E2A" w:rsidRPr="00124DB1">
        <w:t> </w:t>
      </w:r>
      <w:proofErr w:type="spellStart"/>
      <w:r w:rsidRPr="00124DB1">
        <w:t>Bazelais</w:t>
      </w:r>
      <w:proofErr w:type="spellEnd"/>
      <w:r w:rsidRPr="00124DB1">
        <w:t>.</w:t>
      </w:r>
      <w:r w:rsidR="00AD32E1" w:rsidRPr="00124DB1">
        <w:t xml:space="preserve"> </w:t>
      </w:r>
      <w:r w:rsidRPr="00124DB1">
        <w:t xml:space="preserve">It </w:t>
      </w:r>
      <w:r w:rsidR="00BD4E2A" w:rsidRPr="00124DB1">
        <w:t>wrote</w:t>
      </w:r>
      <w:r w:rsidRPr="00124DB1">
        <w:t>:</w:t>
      </w:r>
    </w:p>
    <w:p w14:paraId="01FEBD76" w14:textId="77777777" w:rsidR="00285A07" w:rsidRPr="00124DB1" w:rsidRDefault="00285A07" w:rsidP="00507A20">
      <w:pPr>
        <w:pStyle w:val="Citationenretrait"/>
        <w:rPr>
          <w:lang w:val="en-CA"/>
        </w:rPr>
      </w:pPr>
      <w:r w:rsidRPr="00124DB1">
        <w:rPr>
          <w:lang w:val="en-CA"/>
        </w:rPr>
        <w:t>[</w:t>
      </w:r>
      <w:r w:rsidRPr="00124DB1">
        <w:rPr>
          <w:smallCaps/>
          <w:lang w:val="en-CA"/>
        </w:rPr>
        <w:t>translation</w:t>
      </w:r>
      <w:r w:rsidRPr="00124DB1">
        <w:rPr>
          <w:lang w:val="en-CA"/>
        </w:rPr>
        <w:t xml:space="preserve">] </w:t>
      </w:r>
    </w:p>
    <w:p w14:paraId="24B71A55" w14:textId="1FC0B5F4" w:rsidR="00507A20" w:rsidRPr="00124DB1" w:rsidRDefault="00192AF7" w:rsidP="00507A20">
      <w:pPr>
        <w:pStyle w:val="Citationenretrait"/>
        <w:rPr>
          <w:lang w:val="en-CA"/>
        </w:rPr>
      </w:pPr>
      <w:r w:rsidRPr="00124DB1">
        <w:rPr>
          <w:lang w:val="en-CA"/>
        </w:rPr>
        <w:lastRenderedPageBreak/>
        <w:t xml:space="preserve">Between </w:t>
      </w:r>
      <w:r w:rsidRPr="00124DB1">
        <w:rPr>
          <w:b/>
          <w:lang w:val="en-CA"/>
        </w:rPr>
        <w:t>November 11, 2014</w:t>
      </w:r>
      <w:r w:rsidRPr="00124DB1">
        <w:rPr>
          <w:lang w:val="en-CA"/>
        </w:rPr>
        <w:t xml:space="preserve">, </w:t>
      </w:r>
      <w:r w:rsidR="00BD4E2A" w:rsidRPr="00124DB1">
        <w:rPr>
          <w:lang w:val="en-CA"/>
        </w:rPr>
        <w:t xml:space="preserve">the </w:t>
      </w:r>
      <w:r w:rsidRPr="00124DB1">
        <w:rPr>
          <w:lang w:val="en-CA"/>
        </w:rPr>
        <w:t>date on which the complaint was served on the CDPDJ</w:t>
      </w:r>
      <w:r w:rsidR="00F06FCD" w:rsidRPr="00124DB1">
        <w:rPr>
          <w:lang w:val="en-CA"/>
        </w:rPr>
        <w:t>,</w:t>
      </w:r>
      <w:r w:rsidRPr="00124DB1">
        <w:rPr>
          <w:lang w:val="en-CA"/>
        </w:rPr>
        <w:t xml:space="preserve"> </w:t>
      </w:r>
      <w:r w:rsidR="00285A07" w:rsidRPr="00124DB1">
        <w:rPr>
          <w:lang w:val="en-CA"/>
        </w:rPr>
        <w:t>and</w:t>
      </w:r>
      <w:r w:rsidRPr="00124DB1">
        <w:rPr>
          <w:lang w:val="en-CA"/>
        </w:rPr>
        <w:t xml:space="preserve"> </w:t>
      </w:r>
      <w:r w:rsidRPr="00124DB1">
        <w:rPr>
          <w:b/>
          <w:lang w:val="en-CA"/>
        </w:rPr>
        <w:t>October 25, 2019</w:t>
      </w:r>
      <w:r w:rsidRPr="00124DB1">
        <w:rPr>
          <w:lang w:val="en-CA"/>
        </w:rPr>
        <w:t xml:space="preserve">, </w:t>
      </w:r>
      <w:r w:rsidR="00F06FCD" w:rsidRPr="00124DB1">
        <w:rPr>
          <w:lang w:val="en-CA"/>
        </w:rPr>
        <w:t xml:space="preserve">the </w:t>
      </w:r>
      <w:r w:rsidRPr="00124DB1">
        <w:rPr>
          <w:lang w:val="en-CA"/>
        </w:rPr>
        <w:t xml:space="preserve">date on which this proceeding was finally </w:t>
      </w:r>
      <w:r w:rsidR="00F06FCD" w:rsidRPr="00124DB1">
        <w:rPr>
          <w:lang w:val="en-CA"/>
        </w:rPr>
        <w:t>notified to</w:t>
      </w:r>
      <w:r w:rsidRPr="00124DB1">
        <w:rPr>
          <w:lang w:val="en-CA"/>
        </w:rPr>
        <w:t xml:space="preserve"> the </w:t>
      </w:r>
      <w:r w:rsidR="00DD0C6B">
        <w:rPr>
          <w:lang w:val="en-CA"/>
        </w:rPr>
        <w:t>City</w:t>
      </w:r>
      <w:r w:rsidRPr="00124DB1">
        <w:rPr>
          <w:lang w:val="en-CA"/>
        </w:rPr>
        <w:t xml:space="preserve">, </w:t>
      </w:r>
      <w:r w:rsidRPr="00124DB1">
        <w:rPr>
          <w:b/>
          <w:lang w:val="en-CA"/>
        </w:rPr>
        <w:t>5 years less 17 days passed</w:t>
      </w:r>
      <w:r w:rsidRPr="00124DB1">
        <w:rPr>
          <w:lang w:val="en-CA"/>
        </w:rPr>
        <w:t>;</w:t>
      </w:r>
      <w:r w:rsidR="00AD32E1" w:rsidRPr="00124DB1">
        <w:rPr>
          <w:rStyle w:val="Appelnotedebasdep"/>
          <w:szCs w:val="22"/>
          <w:lang w:val="en-CA"/>
        </w:rPr>
        <w:footnoteReference w:id="40"/>
      </w:r>
    </w:p>
    <w:p w14:paraId="1F79E6C8" w14:textId="77777777" w:rsidR="00507A20" w:rsidRPr="002B1C2B" w:rsidRDefault="00192AF7" w:rsidP="00507A20">
      <w:pPr>
        <w:pStyle w:val="Paragraphe"/>
        <w:tabs>
          <w:tab w:val="clear" w:pos="567"/>
          <w:tab w:val="num" w:pos="0"/>
        </w:tabs>
        <w:rPr>
          <w:lang w:val="fr-CA"/>
        </w:rPr>
      </w:pPr>
      <w:r w:rsidRPr="002B1C2B">
        <w:rPr>
          <w:lang w:val="fr-CA"/>
        </w:rPr>
        <w:t xml:space="preserve">In </w:t>
      </w:r>
      <w:r w:rsidRPr="002B1C2B">
        <w:rPr>
          <w:i/>
          <w:lang w:val="fr-CA"/>
        </w:rPr>
        <w:t>Commission des droits de la personne et des droits de la jeunesse (</w:t>
      </w:r>
      <w:proofErr w:type="spellStart"/>
      <w:r w:rsidRPr="002B1C2B">
        <w:rPr>
          <w:i/>
          <w:lang w:val="fr-CA"/>
        </w:rPr>
        <w:t>Nyembwe</w:t>
      </w:r>
      <w:proofErr w:type="spellEnd"/>
      <w:r w:rsidRPr="002B1C2B">
        <w:rPr>
          <w:i/>
          <w:lang w:val="fr-CA"/>
        </w:rPr>
        <w:t>) c. Ville de Gatineau</w:t>
      </w:r>
      <w:r w:rsidRPr="002B1C2B">
        <w:rPr>
          <w:lang w:val="fr-CA"/>
        </w:rPr>
        <w:t>,</w:t>
      </w:r>
      <w:r w:rsidR="00AD32E1" w:rsidRPr="00124DB1">
        <w:rPr>
          <w:rStyle w:val="Appelnotedebasdep"/>
        </w:rPr>
        <w:footnoteReference w:id="41"/>
      </w:r>
      <w:r w:rsidRPr="002B1C2B">
        <w:rPr>
          <w:lang w:val="fr-CA"/>
        </w:rPr>
        <w:t xml:space="preserve"> the Tribunal </w:t>
      </w:r>
      <w:proofErr w:type="spellStart"/>
      <w:r w:rsidRPr="002B1C2B">
        <w:rPr>
          <w:lang w:val="fr-CA"/>
        </w:rPr>
        <w:t>recalled</w:t>
      </w:r>
      <w:proofErr w:type="spellEnd"/>
      <w:r w:rsidRPr="002B1C2B">
        <w:rPr>
          <w:lang w:val="fr-CA"/>
        </w:rPr>
        <w:t xml:space="preserve">: </w:t>
      </w:r>
    </w:p>
    <w:p w14:paraId="22973E1B" w14:textId="77777777" w:rsidR="00EB3416" w:rsidRPr="00124DB1" w:rsidRDefault="00EB3416" w:rsidP="00507A20">
      <w:pPr>
        <w:pStyle w:val="Citationenretrait"/>
        <w:rPr>
          <w:lang w:val="en-CA"/>
        </w:rPr>
      </w:pPr>
      <w:r w:rsidRPr="00124DB1">
        <w:rPr>
          <w:lang w:val="en-CA"/>
        </w:rPr>
        <w:t>[</w:t>
      </w:r>
      <w:r w:rsidRPr="00124DB1">
        <w:rPr>
          <w:smallCaps/>
          <w:lang w:val="en-CA"/>
        </w:rPr>
        <w:t>translation</w:t>
      </w:r>
      <w:r w:rsidRPr="00124DB1">
        <w:rPr>
          <w:lang w:val="en-CA"/>
        </w:rPr>
        <w:t xml:space="preserve">] </w:t>
      </w:r>
    </w:p>
    <w:p w14:paraId="1F36552C" w14:textId="3A94F25C" w:rsidR="00507A20" w:rsidRPr="00124DB1" w:rsidRDefault="00192AF7" w:rsidP="00507A20">
      <w:pPr>
        <w:pStyle w:val="Citationenretrait"/>
        <w:rPr>
          <w:lang w:val="en-CA"/>
        </w:rPr>
      </w:pPr>
      <w:r w:rsidRPr="00124DB1">
        <w:rPr>
          <w:lang w:val="en-CA"/>
        </w:rPr>
        <w:t xml:space="preserve">[211] </w:t>
      </w:r>
      <w:bookmarkStart w:id="0" w:name="_Ref43987340"/>
      <w:proofErr w:type="gramStart"/>
      <w:r w:rsidR="00F06FCD" w:rsidRPr="002B1C2B">
        <w:rPr>
          <w:rFonts w:cs="Arial"/>
          <w:color w:val="000000"/>
          <w:lang w:val="en-CA"/>
        </w:rPr>
        <w:t>The</w:t>
      </w:r>
      <w:proofErr w:type="gramEnd"/>
      <w:r w:rsidR="00F06FCD" w:rsidRPr="002B1C2B">
        <w:rPr>
          <w:rFonts w:cs="Arial"/>
          <w:color w:val="000000"/>
          <w:lang w:val="en-CA"/>
        </w:rPr>
        <w:t xml:space="preserve"> right of parties involved in a discrimination complaint filed with the Commission to have their complaint dealt with within a reasonable delay is governed by the principles of public law, as are the possible sanctions for undue delay in filing a proceeding before the Tribunal</w:t>
      </w:r>
      <w:bookmarkEnd w:id="0"/>
      <w:r w:rsidRPr="00124DB1">
        <w:rPr>
          <w:lang w:val="en-CA"/>
        </w:rPr>
        <w:t>.</w:t>
      </w:r>
      <w:r w:rsidR="00AD32E1" w:rsidRPr="00124DB1">
        <w:rPr>
          <w:rStyle w:val="Appelnotedebasdep"/>
          <w:szCs w:val="22"/>
          <w:lang w:val="en-CA"/>
        </w:rPr>
        <w:footnoteReference w:id="42"/>
      </w:r>
    </w:p>
    <w:p w14:paraId="026E37C7" w14:textId="39E53AC3" w:rsidR="00507A20" w:rsidRPr="00124DB1" w:rsidRDefault="00192AF7" w:rsidP="00507A20">
      <w:pPr>
        <w:pStyle w:val="Paragraphe"/>
        <w:tabs>
          <w:tab w:val="clear" w:pos="567"/>
        </w:tabs>
      </w:pPr>
      <w:r w:rsidRPr="00124DB1">
        <w:t xml:space="preserve">These principles of public law appear, </w:t>
      </w:r>
      <w:r w:rsidRPr="00124DB1">
        <w:rPr>
          <w:i/>
        </w:rPr>
        <w:t>inter alia</w:t>
      </w:r>
      <w:r w:rsidRPr="00124DB1">
        <w:t xml:space="preserve">, from </w:t>
      </w:r>
      <w:proofErr w:type="spellStart"/>
      <w:r w:rsidRPr="00124DB1">
        <w:rPr>
          <w:i/>
        </w:rPr>
        <w:t>Blencoe</w:t>
      </w:r>
      <w:proofErr w:type="spellEnd"/>
      <w:r w:rsidRPr="00124DB1">
        <w:rPr>
          <w:i/>
        </w:rPr>
        <w:t xml:space="preserve"> v. British Columbia (Human Rights Commission)</w:t>
      </w:r>
      <w:r w:rsidRPr="00124DB1">
        <w:t>,</w:t>
      </w:r>
      <w:r w:rsidR="00AD32E1" w:rsidRPr="00124DB1">
        <w:rPr>
          <w:rStyle w:val="Appelnotedebasdep"/>
          <w:color w:val="000000"/>
        </w:rPr>
        <w:footnoteReference w:id="43"/>
      </w:r>
      <w:r w:rsidRPr="00124DB1">
        <w:rPr>
          <w:color w:val="000000"/>
        </w:rPr>
        <w:t xml:space="preserve"> [</w:t>
      </w:r>
      <w:r w:rsidRPr="00124DB1">
        <w:rPr>
          <w:smallCaps/>
          <w:color w:val="000000"/>
        </w:rPr>
        <w:t>translation</w:t>
      </w:r>
      <w:r w:rsidRPr="00124DB1">
        <w:rPr>
          <w:color w:val="000000"/>
        </w:rPr>
        <w:t xml:space="preserve">] “the leading case on the </w:t>
      </w:r>
      <w:r w:rsidR="00C1061B" w:rsidRPr="00124DB1">
        <w:rPr>
          <w:color w:val="000000"/>
        </w:rPr>
        <w:t>subject</w:t>
      </w:r>
      <w:r w:rsidRPr="00124DB1">
        <w:rPr>
          <w:color w:val="000000"/>
        </w:rPr>
        <w:t>”.</w:t>
      </w:r>
      <w:r w:rsidR="00AD32E1" w:rsidRPr="00124DB1">
        <w:rPr>
          <w:rStyle w:val="Appelnotedebasdep"/>
          <w:color w:val="000000"/>
        </w:rPr>
        <w:footnoteReference w:id="44"/>
      </w:r>
      <w:r w:rsidR="00AD32E1" w:rsidRPr="00124DB1">
        <w:rPr>
          <w:color w:val="000000"/>
        </w:rPr>
        <w:t xml:space="preserve"> </w:t>
      </w:r>
    </w:p>
    <w:p w14:paraId="595E8902" w14:textId="6C234CC7" w:rsidR="00507A20" w:rsidRPr="00124DB1" w:rsidRDefault="00192AF7" w:rsidP="00507A20">
      <w:pPr>
        <w:pStyle w:val="Paragraphe"/>
        <w:tabs>
          <w:tab w:val="clear" w:pos="567"/>
        </w:tabs>
      </w:pPr>
      <w:r w:rsidRPr="00124DB1">
        <w:rPr>
          <w:color w:val="000000"/>
        </w:rPr>
        <w:t xml:space="preserve">That judgment confirmed that the time taken by </w:t>
      </w:r>
      <w:r w:rsidR="00C1061B" w:rsidRPr="00124DB1">
        <w:rPr>
          <w:color w:val="000000"/>
        </w:rPr>
        <w:t>a</w:t>
      </w:r>
      <w:r w:rsidRPr="00124DB1">
        <w:rPr>
          <w:color w:val="000000"/>
        </w:rPr>
        <w:t xml:space="preserve"> </w:t>
      </w:r>
      <w:r w:rsidR="00C1061B" w:rsidRPr="00124DB1">
        <w:rPr>
          <w:color w:val="000000"/>
        </w:rPr>
        <w:t>h</w:t>
      </w:r>
      <w:r w:rsidRPr="00124DB1">
        <w:rPr>
          <w:color w:val="000000"/>
        </w:rPr>
        <w:t xml:space="preserve">uman </w:t>
      </w:r>
      <w:r w:rsidR="00C1061B" w:rsidRPr="00124DB1">
        <w:rPr>
          <w:color w:val="000000"/>
        </w:rPr>
        <w:t>r</w:t>
      </w:r>
      <w:r w:rsidRPr="00124DB1">
        <w:rPr>
          <w:color w:val="000000"/>
        </w:rPr>
        <w:t xml:space="preserve">ights </w:t>
      </w:r>
      <w:r w:rsidR="00C1061B" w:rsidRPr="00124DB1">
        <w:rPr>
          <w:color w:val="000000"/>
        </w:rPr>
        <w:t>c</w:t>
      </w:r>
      <w:r w:rsidRPr="00124DB1">
        <w:rPr>
          <w:color w:val="000000"/>
        </w:rPr>
        <w:t>ommission to process a discrimination complaint may exceptionally turn into “abuse of process” if three conditions are present:</w:t>
      </w:r>
      <w:r w:rsidR="00AD32E1" w:rsidRPr="00124DB1">
        <w:rPr>
          <w:color w:val="000000"/>
        </w:rPr>
        <w:t xml:space="preserve"> </w:t>
      </w:r>
    </w:p>
    <w:p w14:paraId="1ABB0904" w14:textId="77777777" w:rsidR="00EB3416" w:rsidRPr="00124DB1" w:rsidRDefault="00EB3416" w:rsidP="00507A20">
      <w:pPr>
        <w:pStyle w:val="Citationenretrait"/>
        <w:rPr>
          <w:lang w:val="en-CA"/>
        </w:rPr>
      </w:pPr>
      <w:r w:rsidRPr="00124DB1">
        <w:rPr>
          <w:lang w:val="en-CA"/>
        </w:rPr>
        <w:t>[</w:t>
      </w:r>
      <w:r w:rsidRPr="00124DB1">
        <w:rPr>
          <w:smallCaps/>
          <w:lang w:val="en-CA"/>
        </w:rPr>
        <w:t>translation</w:t>
      </w:r>
      <w:r w:rsidRPr="00124DB1">
        <w:rPr>
          <w:lang w:val="en-CA"/>
        </w:rPr>
        <w:t>]</w:t>
      </w:r>
    </w:p>
    <w:p w14:paraId="1455AF87" w14:textId="77777777" w:rsidR="00507A20" w:rsidRPr="00124DB1" w:rsidRDefault="00192AF7" w:rsidP="00507A20">
      <w:pPr>
        <w:pStyle w:val="Citationenretrait"/>
        <w:rPr>
          <w:lang w:val="en-CA"/>
        </w:rPr>
      </w:pPr>
      <w:proofErr w:type="gramStart"/>
      <w:r w:rsidRPr="00124DB1">
        <w:rPr>
          <w:lang w:val="en-CA"/>
        </w:rPr>
        <w:t xml:space="preserve">[81] A review of </w:t>
      </w:r>
      <w:proofErr w:type="spellStart"/>
      <w:r w:rsidRPr="00124DB1">
        <w:rPr>
          <w:i/>
          <w:lang w:val="en-CA"/>
        </w:rPr>
        <w:t>Blencoe</w:t>
      </w:r>
      <w:proofErr w:type="spellEnd"/>
      <w:r w:rsidRPr="00124DB1">
        <w:rPr>
          <w:i/>
          <w:lang w:val="en-CA"/>
        </w:rPr>
        <w:t xml:space="preserve"> </w:t>
      </w:r>
      <w:r w:rsidRPr="00124DB1">
        <w:rPr>
          <w:lang w:val="en-CA"/>
        </w:rPr>
        <w:t>establishes that three conditions must be met to support a finding of abuse of procedure justifying the dismissal of the application: (1) a delay in processing the discrimination complaint that can be characterized as excessive or inexcusable; (2) that causes the defendants significant, i.e., actual and serious, prejudice; (3) such that would bring the human rights protection system into disrepute and offend the community’s sense of fairness.</w:t>
      </w:r>
      <w:r w:rsidR="00AD32E1" w:rsidRPr="00124DB1">
        <w:rPr>
          <w:rStyle w:val="Appelnotedebasdep"/>
          <w:color w:val="000000"/>
          <w:szCs w:val="22"/>
          <w:lang w:val="en-CA"/>
        </w:rPr>
        <w:footnoteReference w:id="45"/>
      </w:r>
      <w:proofErr w:type="gramEnd"/>
    </w:p>
    <w:p w14:paraId="363B960D" w14:textId="158FD51B" w:rsidR="00507A20" w:rsidRPr="00124DB1" w:rsidRDefault="00DB3D11" w:rsidP="00507A20">
      <w:pPr>
        <w:pStyle w:val="Titre3"/>
        <w:rPr>
          <w:lang w:val="en-CA"/>
        </w:rPr>
      </w:pPr>
      <w:r w:rsidRPr="00124DB1">
        <w:rPr>
          <w:lang w:val="en-CA"/>
        </w:rPr>
        <w:lastRenderedPageBreak/>
        <w:t>P</w:t>
      </w:r>
      <w:r w:rsidR="00192AF7" w:rsidRPr="00124DB1">
        <w:rPr>
          <w:lang w:val="en-CA"/>
        </w:rPr>
        <w:t>rocess</w:t>
      </w:r>
      <w:r w:rsidRPr="00124DB1">
        <w:rPr>
          <w:lang w:val="en-CA"/>
        </w:rPr>
        <w:t>ing time</w:t>
      </w:r>
    </w:p>
    <w:p w14:paraId="26F8398E" w14:textId="22747542" w:rsidR="00507A20" w:rsidRPr="00124DB1" w:rsidRDefault="00192AF7" w:rsidP="00507A20">
      <w:pPr>
        <w:pStyle w:val="Paragraphe"/>
        <w:tabs>
          <w:tab w:val="clear" w:pos="567"/>
          <w:tab w:val="left" w:pos="709"/>
        </w:tabs>
      </w:pPr>
      <w:r w:rsidRPr="00124DB1">
        <w:t xml:space="preserve">The initial </w:t>
      </w:r>
      <w:r w:rsidR="00EB3416" w:rsidRPr="00124DB1">
        <w:t>complaint</w:t>
      </w:r>
      <w:r w:rsidRPr="00124DB1">
        <w:t xml:space="preserve"> concerned two other police officers from the </w:t>
      </w:r>
      <w:proofErr w:type="spellStart"/>
      <w:r w:rsidR="00DB3D11" w:rsidRPr="00124DB1">
        <w:t>É</w:t>
      </w:r>
      <w:r w:rsidRPr="00124DB1">
        <w:t>clipse</w:t>
      </w:r>
      <w:proofErr w:type="spellEnd"/>
      <w:r w:rsidRPr="00124DB1">
        <w:t xml:space="preserve"> unit who intervened directly with Mr. </w:t>
      </w:r>
      <w:proofErr w:type="spellStart"/>
      <w:r w:rsidRPr="00124DB1">
        <w:t>Bazelais</w:t>
      </w:r>
      <w:proofErr w:type="spellEnd"/>
      <w:r w:rsidRPr="00124DB1">
        <w:t xml:space="preserve"> on the evening of August 31, 2014.</w:t>
      </w:r>
    </w:p>
    <w:p w14:paraId="1BC4C558" w14:textId="6D56DDEC" w:rsidR="00507A20" w:rsidRPr="00124DB1" w:rsidRDefault="00192AF7" w:rsidP="00507A20">
      <w:pPr>
        <w:pStyle w:val="Paragraphe"/>
        <w:tabs>
          <w:tab w:val="clear" w:pos="567"/>
          <w:tab w:val="left" w:pos="709"/>
        </w:tabs>
      </w:pPr>
      <w:r w:rsidRPr="00124DB1">
        <w:t xml:space="preserve">The </w:t>
      </w:r>
      <w:r w:rsidR="00DD0C6B">
        <w:t>City</w:t>
      </w:r>
      <w:r w:rsidRPr="00124DB1">
        <w:t xml:space="preserve"> </w:t>
      </w:r>
      <w:r w:rsidR="00EB3416" w:rsidRPr="00124DB1">
        <w:t>acknowledges</w:t>
      </w:r>
      <w:r w:rsidRPr="00124DB1">
        <w:t xml:space="preserve"> that a delay of </w:t>
      </w:r>
      <w:r w:rsidR="00EB3416" w:rsidRPr="00124DB1">
        <w:t>[</w:t>
      </w:r>
      <w:r w:rsidR="00EB3416" w:rsidRPr="00124DB1">
        <w:rPr>
          <w:smallCaps/>
        </w:rPr>
        <w:t>translation</w:t>
      </w:r>
      <w:r w:rsidR="00EB3416" w:rsidRPr="00124DB1">
        <w:t xml:space="preserve">] </w:t>
      </w:r>
      <w:r w:rsidRPr="00124DB1">
        <w:t xml:space="preserve">“nearly five (5) months” was necessary to </w:t>
      </w:r>
      <w:r w:rsidR="00EB3416" w:rsidRPr="00124DB1">
        <w:t>[</w:t>
      </w:r>
      <w:r w:rsidR="00EB3416" w:rsidRPr="00124DB1">
        <w:rPr>
          <w:smallCaps/>
        </w:rPr>
        <w:t>translation</w:t>
      </w:r>
      <w:r w:rsidR="00EB3416" w:rsidRPr="00124DB1">
        <w:t xml:space="preserve">] </w:t>
      </w:r>
      <w:r w:rsidRPr="00124DB1">
        <w:t xml:space="preserve">“trace the identity of the two (2) unknown police officers” </w:t>
      </w:r>
      <w:r w:rsidR="00EB3416" w:rsidRPr="00124DB1">
        <w:t>and</w:t>
      </w:r>
      <w:r w:rsidRPr="00124DB1">
        <w:t xml:space="preserve"> that this delay is attributable to the </w:t>
      </w:r>
      <w:r w:rsidR="00DD0C6B">
        <w:t>City</w:t>
      </w:r>
      <w:r w:rsidRPr="00124DB1">
        <w:t>.</w:t>
      </w:r>
      <w:r w:rsidR="00AD32E1" w:rsidRPr="00124DB1">
        <w:rPr>
          <w:rStyle w:val="Appelnotedebasdep"/>
        </w:rPr>
        <w:footnoteReference w:id="46"/>
      </w:r>
      <w:r w:rsidR="00AD32E1" w:rsidRPr="00124DB1">
        <w:t xml:space="preserve"> </w:t>
      </w:r>
    </w:p>
    <w:p w14:paraId="66D382C1" w14:textId="77777777" w:rsidR="00507A20" w:rsidRPr="00124DB1" w:rsidRDefault="00192AF7" w:rsidP="00507A20">
      <w:pPr>
        <w:pStyle w:val="Paragraphe"/>
        <w:tabs>
          <w:tab w:val="clear" w:pos="567"/>
          <w:tab w:val="left" w:pos="709"/>
        </w:tabs>
      </w:pPr>
      <w:r w:rsidRPr="00124DB1">
        <w:t>It laments the delays it attributes to the Commission, however:</w:t>
      </w:r>
    </w:p>
    <w:p w14:paraId="5B4C1262" w14:textId="688D8901" w:rsidR="00507A20" w:rsidRPr="00124DB1" w:rsidRDefault="00192AF7" w:rsidP="00507A20">
      <w:pPr>
        <w:pStyle w:val="Paragraphe"/>
        <w:numPr>
          <w:ilvl w:val="0"/>
          <w:numId w:val="6"/>
        </w:numPr>
      </w:pPr>
      <w:r w:rsidRPr="00124DB1">
        <w:t xml:space="preserve">The delay of </w:t>
      </w:r>
      <w:r w:rsidRPr="000D2254">
        <w:rPr>
          <w:u w:val="single"/>
        </w:rPr>
        <w:t>one (1) month and eight (8) days</w:t>
      </w:r>
      <w:r w:rsidRPr="00124DB1">
        <w:t xml:space="preserve"> between the CDPDJ receiving the complaint and its service on the </w:t>
      </w:r>
      <w:r w:rsidR="00DD0C6B">
        <w:t>City</w:t>
      </w:r>
      <w:r w:rsidRPr="00124DB1">
        <w:t xml:space="preserve"> (November 11 – December 19, 2014);</w:t>
      </w:r>
    </w:p>
    <w:p w14:paraId="106A2580" w14:textId="1CC838C2" w:rsidR="00507A20" w:rsidRPr="00124DB1" w:rsidRDefault="00192AF7" w:rsidP="00507A20">
      <w:pPr>
        <w:pStyle w:val="Paragraphe"/>
        <w:numPr>
          <w:ilvl w:val="0"/>
          <w:numId w:val="6"/>
        </w:numPr>
      </w:pPr>
      <w:r w:rsidRPr="00124DB1">
        <w:t xml:space="preserve">The delay of </w:t>
      </w:r>
      <w:r w:rsidRPr="000D2254">
        <w:rPr>
          <w:u w:val="single"/>
        </w:rPr>
        <w:t>three (3) months</w:t>
      </w:r>
      <w:r w:rsidRPr="00124DB1">
        <w:t xml:space="preserve"> between the </w:t>
      </w:r>
      <w:r w:rsidR="00DD0C6B">
        <w:t>City</w:t>
      </w:r>
      <w:r w:rsidRPr="00124DB1">
        <w:t xml:space="preserve"> </w:t>
      </w:r>
      <w:r w:rsidR="00F82EA8" w:rsidRPr="00124DB1">
        <w:t>signaling</w:t>
      </w:r>
      <w:r w:rsidRPr="00124DB1">
        <w:t xml:space="preserve"> its interest in </w:t>
      </w:r>
      <w:r w:rsidR="003510A3" w:rsidRPr="00124DB1">
        <w:t>participating</w:t>
      </w:r>
      <w:r w:rsidRPr="00124DB1">
        <w:t xml:space="preserve"> in a mediation session and the appointment of a mediator (January 9 – April 9, 2015);</w:t>
      </w:r>
    </w:p>
    <w:p w14:paraId="532D688E" w14:textId="21CE41FC" w:rsidR="00507A20" w:rsidRPr="00124DB1" w:rsidRDefault="00192AF7" w:rsidP="00507A20">
      <w:pPr>
        <w:pStyle w:val="Paragraphe"/>
        <w:numPr>
          <w:ilvl w:val="0"/>
          <w:numId w:val="6"/>
        </w:numPr>
      </w:pPr>
      <w:r w:rsidRPr="00124DB1">
        <w:t xml:space="preserve">The delay of </w:t>
      </w:r>
      <w:r w:rsidRPr="000D2254">
        <w:rPr>
          <w:u w:val="single"/>
        </w:rPr>
        <w:t>one (1) month and one (1) day</w:t>
      </w:r>
      <w:r w:rsidRPr="00124DB1">
        <w:t xml:space="preserve"> between the </w:t>
      </w:r>
      <w:r w:rsidR="00DD0C6B">
        <w:t>City</w:t>
      </w:r>
      <w:r w:rsidRPr="00124DB1">
        <w:t xml:space="preserve"> informing the CDPDJ of the fact that the two unidentified police officers were now known </w:t>
      </w:r>
      <w:r w:rsidR="00F82EA8" w:rsidRPr="00124DB1">
        <w:t>and</w:t>
      </w:r>
      <w:r w:rsidRPr="00124DB1">
        <w:t xml:space="preserve"> th</w:t>
      </w:r>
      <w:r w:rsidR="00F82EA8" w:rsidRPr="00124DB1">
        <w:t>e transfer of the file to the In</w:t>
      </w:r>
      <w:r w:rsidRPr="00124DB1">
        <w:t>vestigation department (September 21 – October 22, 2015);</w:t>
      </w:r>
    </w:p>
    <w:p w14:paraId="1010ED40" w14:textId="77777777" w:rsidR="00507A20" w:rsidRPr="00124DB1" w:rsidRDefault="00192AF7" w:rsidP="00507A20">
      <w:pPr>
        <w:pStyle w:val="Paragraphe"/>
        <w:numPr>
          <w:ilvl w:val="0"/>
          <w:numId w:val="6"/>
        </w:numPr>
      </w:pPr>
      <w:r w:rsidRPr="00124DB1">
        <w:t xml:space="preserve">The delay of </w:t>
      </w:r>
      <w:r w:rsidRPr="000D2254">
        <w:rPr>
          <w:u w:val="single"/>
        </w:rPr>
        <w:t>seven (7) months and twenty-five (25) days</w:t>
      </w:r>
      <w:r w:rsidRPr="00124DB1">
        <w:t xml:space="preserve"> between the transfer o</w:t>
      </w:r>
      <w:r w:rsidR="00F82EA8" w:rsidRPr="00124DB1">
        <w:t>f the file to the Investigation</w:t>
      </w:r>
      <w:r w:rsidRPr="00124DB1">
        <w:t xml:space="preserve"> department and the appointment of an investigator (October 22, 2015 – June 16, 2016);</w:t>
      </w:r>
    </w:p>
    <w:p w14:paraId="746A65AC" w14:textId="77777777" w:rsidR="00507A20" w:rsidRPr="00124DB1" w:rsidRDefault="00192AF7" w:rsidP="00507A20">
      <w:pPr>
        <w:pStyle w:val="Paragraphe"/>
        <w:numPr>
          <w:ilvl w:val="0"/>
          <w:numId w:val="6"/>
        </w:numPr>
      </w:pPr>
      <w:r w:rsidRPr="00124DB1">
        <w:t xml:space="preserve">The delay of </w:t>
      </w:r>
      <w:r w:rsidRPr="000D2254">
        <w:rPr>
          <w:u w:val="single"/>
        </w:rPr>
        <w:t>two (2) months and fifteen (15) days</w:t>
      </w:r>
      <w:r w:rsidRPr="00124DB1">
        <w:t xml:space="preserve"> between the SPVM sending the documentation requested and the appointment of a new investigator (July 26 – October 11, 2016);</w:t>
      </w:r>
    </w:p>
    <w:p w14:paraId="30CB64E2" w14:textId="77777777" w:rsidR="00507A20" w:rsidRPr="00124DB1" w:rsidRDefault="00F82EA8" w:rsidP="00507A20">
      <w:pPr>
        <w:pStyle w:val="Paragraphe"/>
        <w:numPr>
          <w:ilvl w:val="0"/>
          <w:numId w:val="6"/>
        </w:numPr>
      </w:pPr>
      <w:r w:rsidRPr="00124DB1">
        <w:t>Th</w:t>
      </w:r>
      <w:r w:rsidR="00192AF7" w:rsidRPr="00124DB1">
        <w:t xml:space="preserve">e delay of </w:t>
      </w:r>
      <w:r w:rsidR="00192AF7" w:rsidRPr="000D2254">
        <w:rPr>
          <w:u w:val="single"/>
        </w:rPr>
        <w:t>eight (8) months and three (3) days</w:t>
      </w:r>
      <w:r w:rsidR="00192AF7" w:rsidRPr="00124DB1">
        <w:t xml:space="preserve"> between the transmission of </w:t>
      </w:r>
      <w:r w:rsidRPr="00124DB1">
        <w:t>Sergeant</w:t>
      </w:r>
      <w:r w:rsidR="00192AF7" w:rsidRPr="00124DB1">
        <w:t xml:space="preserve"> Mathurin’s remarks and sending the statement of facts (December 21, 2016 – August 24, 2017);</w:t>
      </w:r>
    </w:p>
    <w:p w14:paraId="05E9ED13" w14:textId="77777777" w:rsidR="00507A20" w:rsidRPr="00124DB1" w:rsidRDefault="00192AF7" w:rsidP="00507A20">
      <w:pPr>
        <w:pStyle w:val="Paragraphe"/>
        <w:numPr>
          <w:ilvl w:val="0"/>
          <w:numId w:val="6"/>
        </w:numPr>
      </w:pPr>
      <w:r w:rsidRPr="00124DB1">
        <w:t xml:space="preserve">The delay of </w:t>
      </w:r>
      <w:r w:rsidRPr="000D2254">
        <w:rPr>
          <w:u w:val="single"/>
        </w:rPr>
        <w:t>over twenty-three (23) mont</w:t>
      </w:r>
      <w:r w:rsidR="00F82EA8" w:rsidRPr="000D2254">
        <w:rPr>
          <w:u w:val="single"/>
        </w:rPr>
        <w:t>hs and twenty (20) days</w:t>
      </w:r>
      <w:r w:rsidR="00F82EA8" w:rsidRPr="00124DB1">
        <w:t xml:space="preserve"> between</w:t>
      </w:r>
      <w:r w:rsidRPr="00124DB1">
        <w:t xml:space="preserve"> the transmission of remarks on the statement of facts </w:t>
      </w:r>
      <w:r w:rsidR="00F82EA8" w:rsidRPr="00124DB1">
        <w:t>and</w:t>
      </w:r>
      <w:r w:rsidRPr="00124DB1">
        <w:t xml:space="preserve"> the notification of the CDPDJ’s </w:t>
      </w:r>
      <w:r w:rsidR="00F82EA8" w:rsidRPr="00124DB1">
        <w:t>resolution</w:t>
      </w:r>
      <w:r w:rsidRPr="00124DB1">
        <w:t xml:space="preserve"> (September 6, 2017 – August 26, 2019);</w:t>
      </w:r>
    </w:p>
    <w:p w14:paraId="7A38A380" w14:textId="77777777" w:rsidR="00507A20" w:rsidRPr="00124DB1" w:rsidRDefault="00192AF7" w:rsidP="00507A20">
      <w:pPr>
        <w:pStyle w:val="Paragraphe"/>
        <w:numPr>
          <w:ilvl w:val="0"/>
          <w:numId w:val="6"/>
        </w:numPr>
      </w:pPr>
      <w:r w:rsidRPr="00124DB1">
        <w:lastRenderedPageBreak/>
        <w:t xml:space="preserve">The delay of </w:t>
      </w:r>
      <w:r w:rsidRPr="000D2254">
        <w:rPr>
          <w:u w:val="single"/>
        </w:rPr>
        <w:t>two (2) months and three (3) days</w:t>
      </w:r>
      <w:r w:rsidRPr="00124DB1">
        <w:t xml:space="preserve"> between the notification of </w:t>
      </w:r>
      <w:r w:rsidR="00F82EA8" w:rsidRPr="00124DB1">
        <w:t>the</w:t>
      </w:r>
      <w:r w:rsidRPr="00124DB1">
        <w:t xml:space="preserve"> </w:t>
      </w:r>
      <w:r w:rsidR="00F82EA8" w:rsidRPr="00124DB1">
        <w:t>resolution</w:t>
      </w:r>
      <w:r w:rsidRPr="00124DB1">
        <w:t xml:space="preserve"> </w:t>
      </w:r>
      <w:r w:rsidR="00F82EA8" w:rsidRPr="00124DB1">
        <w:t>and</w:t>
      </w:r>
      <w:r w:rsidRPr="00124DB1">
        <w:t xml:space="preserve"> the notification of the originating application (August 26, 2019 – October 25, 2019).</w:t>
      </w:r>
      <w:r w:rsidR="00AD32E1" w:rsidRPr="00124DB1">
        <w:rPr>
          <w:rStyle w:val="Appelnotedebasdep"/>
        </w:rPr>
        <w:footnoteReference w:id="47"/>
      </w:r>
    </w:p>
    <w:p w14:paraId="69E56F24" w14:textId="42178845" w:rsidR="00507A20" w:rsidRPr="000D2254" w:rsidRDefault="003510A3" w:rsidP="00507A20">
      <w:pPr>
        <w:pStyle w:val="Paragraphe"/>
        <w:numPr>
          <w:ilvl w:val="0"/>
          <w:numId w:val="0"/>
        </w:numPr>
        <w:ind w:left="924"/>
        <w:jc w:val="right"/>
        <w:rPr>
          <w:sz w:val="20"/>
        </w:rPr>
      </w:pPr>
      <w:r w:rsidRPr="000D2254">
        <w:rPr>
          <w:sz w:val="20"/>
        </w:rPr>
        <w:t>[</w:t>
      </w:r>
      <w:r w:rsidR="00192AF7" w:rsidRPr="000D2254">
        <w:rPr>
          <w:sz w:val="20"/>
        </w:rPr>
        <w:t>Emphasis in original</w:t>
      </w:r>
      <w:r w:rsidRPr="000D2254">
        <w:rPr>
          <w:sz w:val="20"/>
        </w:rPr>
        <w:t>.</w:t>
      </w:r>
      <w:r w:rsidRPr="00124DB1">
        <w:rPr>
          <w:sz w:val="20"/>
        </w:rPr>
        <w:t>]</w:t>
      </w:r>
      <w:r w:rsidR="00AD32E1" w:rsidRPr="000D2254">
        <w:rPr>
          <w:sz w:val="20"/>
        </w:rPr>
        <w:t xml:space="preserve"> </w:t>
      </w:r>
    </w:p>
    <w:p w14:paraId="21E5ABD8" w14:textId="24A214E4" w:rsidR="00507A20" w:rsidRPr="00124DB1" w:rsidRDefault="00192AF7" w:rsidP="00507A20">
      <w:pPr>
        <w:pStyle w:val="Paragraphe"/>
        <w:tabs>
          <w:tab w:val="clear" w:pos="567"/>
          <w:tab w:val="left" w:pos="709"/>
        </w:tabs>
      </w:pPr>
      <w:r w:rsidRPr="00124DB1">
        <w:t>Without saying that the delays of three months or less that appear in sequences (1), (2), (3), (5)</w:t>
      </w:r>
      <w:r w:rsidR="003510A3" w:rsidRPr="00124DB1">
        <w:t>,</w:t>
      </w:r>
      <w:r w:rsidRPr="00124DB1">
        <w:t xml:space="preserve"> and (8) are </w:t>
      </w:r>
      <w:r w:rsidR="007E5E7B" w:rsidRPr="00124DB1">
        <w:t>negligible</w:t>
      </w:r>
      <w:r w:rsidRPr="00124DB1">
        <w:t>, most of them can be explained, in large part at least, by their institutional nature.</w:t>
      </w:r>
      <w:r w:rsidR="00AD32E1" w:rsidRPr="00124DB1">
        <w:t xml:space="preserve"> </w:t>
      </w:r>
    </w:p>
    <w:p w14:paraId="02FE494D" w14:textId="77777777" w:rsidR="00507A20" w:rsidRPr="00124DB1" w:rsidRDefault="00192AF7" w:rsidP="00507A20">
      <w:pPr>
        <w:pStyle w:val="Paragraphe"/>
        <w:tabs>
          <w:tab w:val="clear" w:pos="567"/>
          <w:tab w:val="left" w:pos="709"/>
        </w:tabs>
      </w:pPr>
      <w:r w:rsidRPr="00124DB1">
        <w:t>The appropriate processing of a discrimination complaint takes time and will necessarily create administrative delays.</w:t>
      </w:r>
    </w:p>
    <w:p w14:paraId="704EBB8D" w14:textId="58E68223" w:rsidR="00507A20" w:rsidRPr="00124DB1" w:rsidRDefault="00192AF7" w:rsidP="00507A20">
      <w:pPr>
        <w:pStyle w:val="Paragraphe"/>
        <w:tabs>
          <w:tab w:val="clear" w:pos="567"/>
          <w:tab w:val="left" w:pos="709"/>
        </w:tabs>
      </w:pPr>
      <w:r w:rsidRPr="00124DB1">
        <w:t xml:space="preserve">Once received, the complaint must first be the subject of a </w:t>
      </w:r>
      <w:r w:rsidR="007E5E7B" w:rsidRPr="00124DB1">
        <w:t>summary</w:t>
      </w:r>
      <w:r w:rsidRPr="00124DB1">
        <w:t xml:space="preserve"> </w:t>
      </w:r>
      <w:r w:rsidR="007E5E7B" w:rsidRPr="00124DB1">
        <w:t>assessment</w:t>
      </w:r>
      <w:r w:rsidRPr="00124DB1">
        <w:t>, if only t</w:t>
      </w:r>
      <w:r w:rsidR="007E5E7B" w:rsidRPr="00124DB1">
        <w:t>o determine whether, on its face</w:t>
      </w:r>
      <w:r w:rsidRPr="00124DB1">
        <w:t>, it appears “frivolous” or purely “vexatious”</w:t>
      </w:r>
      <w:r w:rsidR="008C23CE" w:rsidRPr="00124DB1">
        <w:t>, for example</w:t>
      </w:r>
      <w:r w:rsidRPr="00124DB1">
        <w:t>.</w:t>
      </w:r>
      <w:r w:rsidR="00AD32E1" w:rsidRPr="00124DB1">
        <w:rPr>
          <w:rStyle w:val="Appelnotedebasdep"/>
        </w:rPr>
        <w:footnoteReference w:id="48"/>
      </w:r>
      <w:r w:rsidR="00AD32E1" w:rsidRPr="00124DB1">
        <w:t xml:space="preserve"> </w:t>
      </w:r>
    </w:p>
    <w:p w14:paraId="177E135A" w14:textId="77777777" w:rsidR="00507A20" w:rsidRPr="00124DB1" w:rsidRDefault="00192AF7" w:rsidP="00507A20">
      <w:pPr>
        <w:pStyle w:val="Paragraphe"/>
        <w:tabs>
          <w:tab w:val="clear" w:pos="567"/>
          <w:tab w:val="left" w:pos="709"/>
        </w:tabs>
      </w:pPr>
      <w:r w:rsidRPr="00124DB1">
        <w:t xml:space="preserve">The persons of interest (victim, complainant organization) </w:t>
      </w:r>
      <w:proofErr w:type="gramStart"/>
      <w:r w:rsidRPr="00124DB1">
        <w:t>must then be contacted</w:t>
      </w:r>
      <w:proofErr w:type="gramEnd"/>
      <w:r w:rsidRPr="00124DB1">
        <w:t>.</w:t>
      </w:r>
      <w:r w:rsidR="00AD32E1" w:rsidRPr="00124DB1">
        <w:t xml:space="preserve"> </w:t>
      </w:r>
      <w:r w:rsidRPr="00124DB1">
        <w:t xml:space="preserve">Details may have to </w:t>
      </w:r>
      <w:proofErr w:type="gramStart"/>
      <w:r w:rsidRPr="00124DB1">
        <w:t>be obtained</w:t>
      </w:r>
      <w:proofErr w:type="gramEnd"/>
      <w:r w:rsidRPr="00124DB1">
        <w:t xml:space="preserve"> before the person concerned can be informed that a complaint has been made against him or her.</w:t>
      </w:r>
    </w:p>
    <w:p w14:paraId="5AB9294D" w14:textId="3E7E7744" w:rsidR="00507A20" w:rsidRPr="00124DB1" w:rsidRDefault="007B2F94" w:rsidP="00507A20">
      <w:pPr>
        <w:pStyle w:val="Paragraphe"/>
        <w:tabs>
          <w:tab w:val="clear" w:pos="567"/>
          <w:tab w:val="left" w:pos="709"/>
        </w:tabs>
      </w:pPr>
      <w:r w:rsidRPr="00124DB1">
        <w:t>The use of</w:t>
      </w:r>
      <w:r w:rsidR="00192AF7" w:rsidRPr="00124DB1">
        <w:t xml:space="preserve"> mediation, after having obtained the parties’ consent, may also </w:t>
      </w:r>
      <w:r w:rsidRPr="00124DB1">
        <w:t>cause</w:t>
      </w:r>
      <w:r w:rsidR="00192AF7" w:rsidRPr="00124DB1">
        <w:t xml:space="preserve"> delays related to finding a mediator who is available, who must then </w:t>
      </w:r>
      <w:r w:rsidRPr="00124DB1">
        <w:t xml:space="preserve">become </w:t>
      </w:r>
      <w:r w:rsidR="00192AF7" w:rsidRPr="00124DB1">
        <w:t>familiar</w:t>
      </w:r>
      <w:r w:rsidR="007E5E7B" w:rsidRPr="00124DB1">
        <w:t xml:space="preserve"> with the file, communicate</w:t>
      </w:r>
      <w:r w:rsidR="00192AF7" w:rsidRPr="00124DB1">
        <w:t xml:space="preserve"> with the parties, </w:t>
      </w:r>
      <w:r w:rsidRPr="00124DB1">
        <w:t xml:space="preserve">and </w:t>
      </w:r>
      <w:r w:rsidR="00192AF7" w:rsidRPr="00124DB1">
        <w:t>prepare and hold mediation sessions depending on the availability of everyone involved.</w:t>
      </w:r>
    </w:p>
    <w:p w14:paraId="0C72655D" w14:textId="3DA722D2" w:rsidR="00507A20" w:rsidRPr="00124DB1" w:rsidRDefault="00192AF7" w:rsidP="00507A20">
      <w:pPr>
        <w:pStyle w:val="Paragraphe"/>
        <w:tabs>
          <w:tab w:val="clear" w:pos="567"/>
          <w:tab w:val="left" w:pos="709"/>
        </w:tabs>
      </w:pPr>
      <w:r w:rsidRPr="00124DB1">
        <w:t>If mediation fails, an investigation must begin.</w:t>
      </w:r>
      <w:r w:rsidR="00AD32E1" w:rsidRPr="00124DB1">
        <w:t xml:space="preserve"> </w:t>
      </w:r>
      <w:r w:rsidR="004346A1" w:rsidRPr="00124DB1">
        <w:t xml:space="preserve">The person </w:t>
      </w:r>
      <w:r w:rsidR="00E93E55" w:rsidRPr="00124DB1">
        <w:t>appointed</w:t>
      </w:r>
      <w:r w:rsidR="004346A1" w:rsidRPr="00124DB1">
        <w:t xml:space="preserve"> must review the file </w:t>
      </w:r>
      <w:r w:rsidR="00E93E55" w:rsidRPr="00124DB1">
        <w:t xml:space="preserve">and </w:t>
      </w:r>
      <w:r w:rsidR="004346A1" w:rsidRPr="00124DB1">
        <w:t xml:space="preserve">then obtain the </w:t>
      </w:r>
      <w:r w:rsidR="007E5E7B" w:rsidRPr="00124DB1">
        <w:t>versions</w:t>
      </w:r>
      <w:r w:rsidR="004346A1" w:rsidRPr="00124DB1">
        <w:t xml:space="preserve"> of the parties and witnesses, if any, to prepare the written statement of facts that he or she will submit to the parties for </w:t>
      </w:r>
      <w:r w:rsidR="000D2254">
        <w:t>comment</w:t>
      </w:r>
      <w:r w:rsidR="004346A1" w:rsidRPr="00124DB1">
        <w:t>,</w:t>
      </w:r>
      <w:r w:rsidR="00AD32E1" w:rsidRPr="00124DB1">
        <w:rPr>
          <w:rStyle w:val="Appelnotedebasdep"/>
        </w:rPr>
        <w:footnoteReference w:id="49"/>
      </w:r>
      <w:r w:rsidR="004346A1" w:rsidRPr="00124DB1">
        <w:t xml:space="preserve"> before putting final touches on his or her Investigation report.</w:t>
      </w:r>
    </w:p>
    <w:p w14:paraId="1BA753F7" w14:textId="35A75378" w:rsidR="00507A20" w:rsidRPr="00124DB1" w:rsidRDefault="004346A1" w:rsidP="00507A20">
      <w:pPr>
        <w:pStyle w:val="Paragraphe"/>
        <w:tabs>
          <w:tab w:val="clear" w:pos="567"/>
          <w:tab w:val="left" w:pos="709"/>
        </w:tabs>
      </w:pPr>
      <w:r w:rsidRPr="00124DB1">
        <w:t xml:space="preserve">The </w:t>
      </w:r>
      <w:r w:rsidR="00F0714B" w:rsidRPr="00124DB1">
        <w:t>[</w:t>
      </w:r>
      <w:r w:rsidR="00F0714B" w:rsidRPr="00124DB1">
        <w:rPr>
          <w:smallCaps/>
        </w:rPr>
        <w:t>translation</w:t>
      </w:r>
      <w:r w:rsidR="00F0714B" w:rsidRPr="00124DB1">
        <w:t xml:space="preserve">] </w:t>
      </w:r>
      <w:r w:rsidRPr="00124DB1">
        <w:t>“decision-making step of the administrative process” then begins and, as explained by the</w:t>
      </w:r>
      <w:r w:rsidR="00E93E55" w:rsidRPr="00124DB1">
        <w:t xml:space="preserve"> Commission’s</w:t>
      </w:r>
      <w:r w:rsidRPr="00124DB1">
        <w:t xml:space="preserve"> </w:t>
      </w:r>
      <w:r w:rsidR="00E93E55" w:rsidRPr="00124DB1">
        <w:t>s</w:t>
      </w:r>
      <w:r w:rsidRPr="00124DB1">
        <w:t xml:space="preserve">ecretary </w:t>
      </w:r>
      <w:r w:rsidR="00E93E55" w:rsidRPr="00124DB1">
        <w:t>g</w:t>
      </w:r>
      <w:r w:rsidRPr="00124DB1">
        <w:t xml:space="preserve">eneral and </w:t>
      </w:r>
      <w:r w:rsidR="00E93E55" w:rsidRPr="00124DB1">
        <w:t>d</w:t>
      </w:r>
      <w:r w:rsidRPr="00124DB1">
        <w:t xml:space="preserve">irector of </w:t>
      </w:r>
      <w:r w:rsidR="00E93E55" w:rsidRPr="00124DB1">
        <w:t>administration</w:t>
      </w:r>
      <w:r w:rsidRPr="00124DB1">
        <w:t>,</w:t>
      </w:r>
      <w:r w:rsidR="00AD32E1" w:rsidRPr="00124DB1">
        <w:rPr>
          <w:rStyle w:val="Appelnotedebasdep"/>
        </w:rPr>
        <w:footnoteReference w:id="50"/>
      </w:r>
      <w:r w:rsidRPr="00124DB1">
        <w:t xml:space="preserve"> it includes six steps:</w:t>
      </w:r>
    </w:p>
    <w:p w14:paraId="7D4CE087" w14:textId="2EFBC83D" w:rsidR="00507A20" w:rsidRPr="00124DB1" w:rsidRDefault="004346A1" w:rsidP="00507A20">
      <w:pPr>
        <w:pStyle w:val="Paragraphe"/>
        <w:numPr>
          <w:ilvl w:val="0"/>
          <w:numId w:val="7"/>
        </w:numPr>
        <w:tabs>
          <w:tab w:val="clear" w:pos="567"/>
          <w:tab w:val="left" w:pos="709"/>
        </w:tabs>
        <w:spacing w:line="240" w:lineRule="auto"/>
        <w:ind w:left="1066" w:hanging="357"/>
      </w:pPr>
      <w:r w:rsidRPr="00124DB1">
        <w:lastRenderedPageBreak/>
        <w:t>Filing the Report for decision on the investigation with the Secretariat;</w:t>
      </w:r>
    </w:p>
    <w:p w14:paraId="094E84EC" w14:textId="25605E64" w:rsidR="00507A20" w:rsidRPr="00124DB1" w:rsidRDefault="004346A1" w:rsidP="00507A20">
      <w:pPr>
        <w:pStyle w:val="Paragraphe"/>
        <w:numPr>
          <w:ilvl w:val="0"/>
          <w:numId w:val="7"/>
        </w:numPr>
        <w:tabs>
          <w:tab w:val="clear" w:pos="567"/>
          <w:tab w:val="left" w:pos="709"/>
        </w:tabs>
        <w:spacing w:line="240" w:lineRule="auto"/>
        <w:ind w:left="1066" w:hanging="357"/>
      </w:pPr>
      <w:r w:rsidRPr="00124DB1">
        <w:t>Request</w:t>
      </w:r>
      <w:r w:rsidR="00F0714B" w:rsidRPr="00124DB1">
        <w:t>ing a</w:t>
      </w:r>
      <w:r w:rsidRPr="00124DB1">
        <w:t xml:space="preserve"> legal opinion from the head of the Legal Department;</w:t>
      </w:r>
    </w:p>
    <w:p w14:paraId="244DF82D" w14:textId="489D1DB4" w:rsidR="00507A20" w:rsidRPr="00124DB1" w:rsidRDefault="004346A1" w:rsidP="00507A20">
      <w:pPr>
        <w:pStyle w:val="Paragraphe"/>
        <w:numPr>
          <w:ilvl w:val="0"/>
          <w:numId w:val="7"/>
        </w:numPr>
        <w:tabs>
          <w:tab w:val="clear" w:pos="567"/>
          <w:tab w:val="left" w:pos="709"/>
        </w:tabs>
        <w:spacing w:line="240" w:lineRule="auto"/>
        <w:ind w:left="1066" w:hanging="357"/>
      </w:pPr>
      <w:r w:rsidRPr="00124DB1">
        <w:t xml:space="preserve">Sending the file to the Secretariat to establish the </w:t>
      </w:r>
      <w:r w:rsidR="00E93E55" w:rsidRPr="00124DB1">
        <w:t>c</w:t>
      </w:r>
      <w:r w:rsidRPr="00124DB1">
        <w:t xml:space="preserve">omplaints </w:t>
      </w:r>
      <w:r w:rsidR="00E93E55" w:rsidRPr="00124DB1">
        <w:t>c</w:t>
      </w:r>
      <w:r w:rsidRPr="00124DB1">
        <w:t>ommittee;</w:t>
      </w:r>
      <w:r w:rsidR="00AD32E1" w:rsidRPr="00124DB1">
        <w:rPr>
          <w:rStyle w:val="Appelnotedebasdep"/>
        </w:rPr>
        <w:footnoteReference w:id="51"/>
      </w:r>
    </w:p>
    <w:p w14:paraId="5E3690CA" w14:textId="14FD02BD" w:rsidR="00507A20" w:rsidRPr="00124DB1" w:rsidRDefault="00F0714B" w:rsidP="00507A20">
      <w:pPr>
        <w:pStyle w:val="Paragraphe"/>
        <w:numPr>
          <w:ilvl w:val="0"/>
          <w:numId w:val="7"/>
        </w:numPr>
        <w:tabs>
          <w:tab w:val="clear" w:pos="567"/>
          <w:tab w:val="left" w:pos="709"/>
        </w:tabs>
        <w:spacing w:line="240" w:lineRule="auto"/>
        <w:ind w:left="1066" w:hanging="357"/>
      </w:pPr>
      <w:r w:rsidRPr="00124DB1">
        <w:t>Holding a se</w:t>
      </w:r>
      <w:r w:rsidR="004346A1" w:rsidRPr="00124DB1">
        <w:t xml:space="preserve">ssion of </w:t>
      </w:r>
      <w:r w:rsidRPr="00124DB1">
        <w:t>the</w:t>
      </w:r>
      <w:r w:rsidR="004346A1" w:rsidRPr="00124DB1">
        <w:t xml:space="preserve"> </w:t>
      </w:r>
      <w:r w:rsidR="00E93E55" w:rsidRPr="00124DB1">
        <w:t>c</w:t>
      </w:r>
      <w:r w:rsidR="004346A1" w:rsidRPr="00124DB1">
        <w:t>omplaints committee:</w:t>
      </w:r>
      <w:r w:rsidR="00AD32E1" w:rsidRPr="00124DB1">
        <w:rPr>
          <w:rStyle w:val="Appelnotedebasdep"/>
        </w:rPr>
        <w:footnoteReference w:id="52"/>
      </w:r>
    </w:p>
    <w:p w14:paraId="6E5D894B" w14:textId="5F222FC7" w:rsidR="00507A20" w:rsidRPr="00124DB1" w:rsidRDefault="004346A1" w:rsidP="00507A20">
      <w:pPr>
        <w:pStyle w:val="Paragraphe"/>
        <w:numPr>
          <w:ilvl w:val="0"/>
          <w:numId w:val="7"/>
        </w:numPr>
        <w:tabs>
          <w:tab w:val="clear" w:pos="567"/>
          <w:tab w:val="left" w:pos="709"/>
        </w:tabs>
        <w:spacing w:line="240" w:lineRule="auto"/>
        <w:ind w:left="1066" w:hanging="357"/>
      </w:pPr>
      <w:r w:rsidRPr="00124DB1">
        <w:t xml:space="preserve">Drafting the </w:t>
      </w:r>
      <w:r w:rsidR="0018409A" w:rsidRPr="00124DB1">
        <w:t>r</w:t>
      </w:r>
      <w:r w:rsidRPr="00124DB1">
        <w:t>esolution;</w:t>
      </w:r>
    </w:p>
    <w:p w14:paraId="15690260" w14:textId="06E5E9E6" w:rsidR="00507A20" w:rsidRPr="00124DB1" w:rsidRDefault="004346A1" w:rsidP="00507A20">
      <w:pPr>
        <w:pStyle w:val="Paragraphe"/>
        <w:numPr>
          <w:ilvl w:val="0"/>
          <w:numId w:val="7"/>
        </w:numPr>
        <w:tabs>
          <w:tab w:val="clear" w:pos="567"/>
          <w:tab w:val="left" w:pos="709"/>
        </w:tabs>
        <w:spacing w:line="240" w:lineRule="auto"/>
        <w:ind w:left="1066" w:hanging="357"/>
      </w:pPr>
      <w:r w:rsidRPr="00124DB1">
        <w:t xml:space="preserve">Sending the </w:t>
      </w:r>
      <w:r w:rsidR="0018409A" w:rsidRPr="00124DB1">
        <w:t>r</w:t>
      </w:r>
      <w:r w:rsidRPr="00124DB1">
        <w:t xml:space="preserve">esolution </w:t>
      </w:r>
      <w:r w:rsidR="00F0714B" w:rsidRPr="00124DB1">
        <w:t>to</w:t>
      </w:r>
      <w:r w:rsidRPr="00124DB1">
        <w:t xml:space="preserve"> the parties.</w:t>
      </w:r>
    </w:p>
    <w:p w14:paraId="788CE7BA" w14:textId="7390600D" w:rsidR="00507A20" w:rsidRPr="00124DB1" w:rsidRDefault="004346A1" w:rsidP="00507A20">
      <w:pPr>
        <w:pStyle w:val="Paragraphe"/>
        <w:tabs>
          <w:tab w:val="clear" w:pos="567"/>
          <w:tab w:val="left" w:pos="709"/>
        </w:tabs>
      </w:pPr>
      <w:r w:rsidRPr="00124DB1">
        <w:t>When the Commission deems that there is sufficient proof of discrimination,</w:t>
      </w:r>
      <w:r w:rsidR="00AD32E1" w:rsidRPr="00124DB1">
        <w:rPr>
          <w:rStyle w:val="Appelnotedebasdep"/>
        </w:rPr>
        <w:footnoteReference w:id="53"/>
      </w:r>
      <w:r w:rsidRPr="00124DB1">
        <w:t xml:space="preserve"> it </w:t>
      </w:r>
      <w:r w:rsidR="00F0714B" w:rsidRPr="00124DB1">
        <w:t xml:space="preserve">will </w:t>
      </w:r>
      <w:r w:rsidRPr="00124DB1">
        <w:t>propose measures of redress</w:t>
      </w:r>
      <w:r w:rsidR="00F0714B" w:rsidRPr="00124DB1">
        <w:t xml:space="preserve"> in its resolution</w:t>
      </w:r>
      <w:r w:rsidRPr="00124DB1">
        <w:t>.</w:t>
      </w:r>
      <w:r w:rsidR="00AD32E1" w:rsidRPr="00124DB1">
        <w:rPr>
          <w:rStyle w:val="Appelnotedebasdep"/>
        </w:rPr>
        <w:footnoteReference w:id="54"/>
      </w:r>
    </w:p>
    <w:p w14:paraId="50A2B604" w14:textId="5F75CEA6" w:rsidR="00507A20" w:rsidRPr="00124DB1" w:rsidRDefault="004346A1" w:rsidP="00507A20">
      <w:pPr>
        <w:pStyle w:val="Paragraphe"/>
        <w:tabs>
          <w:tab w:val="clear" w:pos="567"/>
          <w:tab w:val="left" w:pos="709"/>
        </w:tabs>
      </w:pPr>
      <w:r w:rsidRPr="00124DB1">
        <w:t xml:space="preserve">In the </w:t>
      </w:r>
      <w:r w:rsidR="00E93E55" w:rsidRPr="00124DB1">
        <w:t>event that</w:t>
      </w:r>
      <w:r w:rsidRPr="00124DB1">
        <w:t xml:space="preserve"> the person to whom the discriminatory conduct is attributed ignores the proposal, the Commission’s legal department </w:t>
      </w:r>
      <w:r w:rsidR="00E93E55" w:rsidRPr="00124DB1">
        <w:t>may</w:t>
      </w:r>
      <w:r w:rsidRPr="00124DB1">
        <w:t xml:space="preserve"> b</w:t>
      </w:r>
      <w:r w:rsidR="0042405D" w:rsidRPr="00124DB1">
        <w:t>e</w:t>
      </w:r>
      <w:r w:rsidRPr="00124DB1">
        <w:t xml:space="preserve"> called upon to exercise the appropriate remedy,</w:t>
      </w:r>
      <w:r w:rsidR="00AD32E1" w:rsidRPr="00124DB1">
        <w:rPr>
          <w:rStyle w:val="Appelnotedebasdep"/>
        </w:rPr>
        <w:footnoteReference w:id="55"/>
      </w:r>
      <w:r w:rsidRPr="00124DB1">
        <w:t xml:space="preserve"> which may, once again, </w:t>
      </w:r>
      <w:r w:rsidR="00B115C6" w:rsidRPr="00124DB1">
        <w:t>cause</w:t>
      </w:r>
      <w:r w:rsidRPr="00124DB1">
        <w:t xml:space="preserve"> some delays </w:t>
      </w:r>
      <w:r w:rsidR="00B115C6" w:rsidRPr="00124DB1">
        <w:t xml:space="preserve">inherent </w:t>
      </w:r>
      <w:r w:rsidRPr="00124DB1">
        <w:t xml:space="preserve">to fully </w:t>
      </w:r>
      <w:r w:rsidR="00B115C6" w:rsidRPr="00124DB1">
        <w:t>reviewing</w:t>
      </w:r>
      <w:r w:rsidRPr="00124DB1">
        <w:t xml:space="preserve"> the file, establish</w:t>
      </w:r>
      <w:r w:rsidR="00B115C6" w:rsidRPr="00124DB1">
        <w:t>ing</w:t>
      </w:r>
      <w:r w:rsidRPr="00124DB1">
        <w:t xml:space="preserve"> the strategy (or theory of the case)</w:t>
      </w:r>
      <w:r w:rsidR="00B115C6" w:rsidRPr="00124DB1">
        <w:t>,</w:t>
      </w:r>
      <w:r w:rsidRPr="00124DB1">
        <w:t xml:space="preserve"> and draft</w:t>
      </w:r>
      <w:r w:rsidR="00B115C6" w:rsidRPr="00124DB1">
        <w:t>ing</w:t>
      </w:r>
      <w:r w:rsidRPr="00124DB1">
        <w:t xml:space="preserve"> the proceedings.</w:t>
      </w:r>
    </w:p>
    <w:p w14:paraId="0D2DA394" w14:textId="77777777" w:rsidR="00507A20" w:rsidRPr="00124DB1" w:rsidRDefault="00AD32E1" w:rsidP="00507A20">
      <w:pPr>
        <w:pStyle w:val="Paragraphe"/>
        <w:numPr>
          <w:ilvl w:val="0"/>
          <w:numId w:val="0"/>
        </w:numPr>
        <w:tabs>
          <w:tab w:val="clear" w:pos="567"/>
          <w:tab w:val="left" w:pos="709"/>
        </w:tabs>
        <w:jc w:val="center"/>
      </w:pPr>
      <w:r w:rsidRPr="00124DB1">
        <w:t>* * *</w:t>
      </w:r>
    </w:p>
    <w:p w14:paraId="2AE91C5D" w14:textId="7BACC6BE" w:rsidR="00507A20" w:rsidRPr="00124DB1" w:rsidRDefault="004346A1" w:rsidP="00507A20">
      <w:pPr>
        <w:pStyle w:val="Paragraphe"/>
        <w:tabs>
          <w:tab w:val="clear" w:pos="567"/>
        </w:tabs>
      </w:pPr>
      <w:r w:rsidRPr="00124DB1">
        <w:t>That being said, the delays in sequences (4), (6), and (7),</w:t>
      </w:r>
      <w:r w:rsidR="00AD32E1" w:rsidRPr="00124DB1">
        <w:rPr>
          <w:rStyle w:val="Appelnotedebasdep"/>
        </w:rPr>
        <w:footnoteReference w:id="56"/>
      </w:r>
      <w:r w:rsidRPr="00124DB1">
        <w:t xml:space="preserve"> that is</w:t>
      </w:r>
      <w:r w:rsidR="0042405D" w:rsidRPr="00124DB1">
        <w:t>,</w:t>
      </w:r>
      <w:r w:rsidRPr="00124DB1">
        <w:t xml:space="preserve"> between:</w:t>
      </w:r>
    </w:p>
    <w:p w14:paraId="4BF1ED15" w14:textId="476C5B36" w:rsidR="00507A20" w:rsidRPr="00124DB1" w:rsidRDefault="005E1AC3" w:rsidP="00507A20">
      <w:pPr>
        <w:pStyle w:val="Paragraphe"/>
        <w:numPr>
          <w:ilvl w:val="0"/>
          <w:numId w:val="5"/>
        </w:numPr>
        <w:tabs>
          <w:tab w:val="clear" w:pos="567"/>
        </w:tabs>
      </w:pPr>
      <w:r w:rsidRPr="00124DB1">
        <w:t>The t</w:t>
      </w:r>
      <w:r w:rsidR="0075555D" w:rsidRPr="00124DB1">
        <w:t xml:space="preserve">ransfer of file to the Investigations department and </w:t>
      </w:r>
      <w:r w:rsidRPr="00124DB1">
        <w:t xml:space="preserve">the </w:t>
      </w:r>
      <w:r w:rsidR="0075555D" w:rsidRPr="00124DB1">
        <w:t>appointment of an investigator;</w:t>
      </w:r>
    </w:p>
    <w:p w14:paraId="1B211B8B" w14:textId="19803A72" w:rsidR="00507A20" w:rsidRPr="00124DB1" w:rsidRDefault="005E1AC3" w:rsidP="00507A20">
      <w:pPr>
        <w:pStyle w:val="Paragraphe"/>
        <w:numPr>
          <w:ilvl w:val="0"/>
          <w:numId w:val="5"/>
        </w:numPr>
        <w:tabs>
          <w:tab w:val="clear" w:pos="567"/>
        </w:tabs>
      </w:pPr>
      <w:r w:rsidRPr="00124DB1">
        <w:t>The communication</w:t>
      </w:r>
      <w:r w:rsidR="0075555D" w:rsidRPr="00124DB1">
        <w:t xml:space="preserve"> of remarks by </w:t>
      </w:r>
      <w:r w:rsidR="0042405D" w:rsidRPr="00124DB1">
        <w:t>Sergeant</w:t>
      </w:r>
      <w:r w:rsidR="0075555D" w:rsidRPr="00124DB1">
        <w:t xml:space="preserve"> Mathurin and </w:t>
      </w:r>
      <w:r w:rsidRPr="00124DB1">
        <w:t xml:space="preserve">the </w:t>
      </w:r>
      <w:r w:rsidR="0075555D" w:rsidRPr="00124DB1">
        <w:t xml:space="preserve">sending </w:t>
      </w:r>
      <w:r w:rsidRPr="00124DB1">
        <w:t xml:space="preserve">of </w:t>
      </w:r>
      <w:r w:rsidR="0075555D" w:rsidRPr="00124DB1">
        <w:t>the statement of facts;</w:t>
      </w:r>
      <w:r w:rsidRPr="00124DB1">
        <w:t xml:space="preserve"> and</w:t>
      </w:r>
    </w:p>
    <w:p w14:paraId="602A5FF6" w14:textId="49337F8D" w:rsidR="00507A20" w:rsidRPr="00124DB1" w:rsidRDefault="005E1AC3" w:rsidP="00507A20">
      <w:pPr>
        <w:pStyle w:val="Paragraphe"/>
        <w:numPr>
          <w:ilvl w:val="0"/>
          <w:numId w:val="5"/>
        </w:numPr>
        <w:tabs>
          <w:tab w:val="clear" w:pos="567"/>
        </w:tabs>
      </w:pPr>
      <w:r w:rsidRPr="00124DB1">
        <w:t>The c</w:t>
      </w:r>
      <w:r w:rsidR="0075555D" w:rsidRPr="00124DB1">
        <w:t xml:space="preserve">ommunication of remarks by the </w:t>
      </w:r>
      <w:r w:rsidR="00DD0C6B">
        <w:t>City</w:t>
      </w:r>
      <w:r w:rsidR="0075555D" w:rsidRPr="00124DB1">
        <w:t xml:space="preserve"> </w:t>
      </w:r>
      <w:r w:rsidR="0042405D" w:rsidRPr="00124DB1">
        <w:t>concerning</w:t>
      </w:r>
      <w:r w:rsidR="0075555D" w:rsidRPr="00124DB1">
        <w:t xml:space="preserve"> the statement of facts and the notification of the Commission’s resolution; </w:t>
      </w:r>
    </w:p>
    <w:p w14:paraId="54B0509C" w14:textId="77777777" w:rsidR="00507A20" w:rsidRPr="00124DB1" w:rsidRDefault="0075555D" w:rsidP="00507A20">
      <w:pPr>
        <w:pStyle w:val="Paragraphe"/>
        <w:numPr>
          <w:ilvl w:val="0"/>
          <w:numId w:val="0"/>
        </w:numPr>
        <w:tabs>
          <w:tab w:val="clear" w:pos="567"/>
        </w:tabs>
      </w:pPr>
      <w:proofErr w:type="gramStart"/>
      <w:r w:rsidRPr="00124DB1">
        <w:t>are</w:t>
      </w:r>
      <w:proofErr w:type="gramEnd"/>
      <w:r w:rsidRPr="00124DB1">
        <w:t xml:space="preserve"> characterized by periods of administrative inactivity that, </w:t>
      </w:r>
      <w:r w:rsidRPr="00124DB1">
        <w:rPr>
          <w:i/>
        </w:rPr>
        <w:t>prima facie</w:t>
      </w:r>
      <w:r w:rsidRPr="00124DB1">
        <w:t>, appear difficult to explain.</w:t>
      </w:r>
    </w:p>
    <w:p w14:paraId="0B114E43" w14:textId="43281913" w:rsidR="00507A20" w:rsidRPr="00124DB1" w:rsidRDefault="0075555D" w:rsidP="00507A20">
      <w:pPr>
        <w:pStyle w:val="Paragraphe"/>
        <w:tabs>
          <w:tab w:val="clear" w:pos="567"/>
        </w:tabs>
      </w:pPr>
      <w:r w:rsidRPr="00124DB1">
        <w:lastRenderedPageBreak/>
        <w:t xml:space="preserve">The </w:t>
      </w:r>
      <w:proofErr w:type="gramStart"/>
      <w:r w:rsidRPr="00124DB1">
        <w:t xml:space="preserve">Commission was created by </w:t>
      </w:r>
      <w:r w:rsidR="0042405D" w:rsidRPr="00124DB1">
        <w:t>the</w:t>
      </w:r>
      <w:r w:rsidRPr="00124DB1">
        <w:t xml:space="preserve"> </w:t>
      </w:r>
      <w:r w:rsidRPr="00124DB1">
        <w:rPr>
          <w:i/>
        </w:rPr>
        <w:t>Charter</w:t>
      </w:r>
      <w:proofErr w:type="gramEnd"/>
      <w:r w:rsidRPr="00124DB1">
        <w:t>.</w:t>
      </w:r>
      <w:r w:rsidR="00AD32E1" w:rsidRPr="00124DB1">
        <w:t xml:space="preserve"> </w:t>
      </w:r>
      <w:r w:rsidRPr="00124DB1">
        <w:t>Inserted under the title “Functions”, section 71 establishes its responsibilities, including the very first which is:</w:t>
      </w:r>
    </w:p>
    <w:p w14:paraId="31F40ECC" w14:textId="46953E90" w:rsidR="00507A20" w:rsidRPr="00124DB1" w:rsidRDefault="003D7EFB" w:rsidP="00507A20">
      <w:pPr>
        <w:pStyle w:val="Citationenretrait"/>
        <w:rPr>
          <w:lang w:val="en-CA"/>
        </w:rPr>
      </w:pPr>
      <w:r w:rsidRPr="00124DB1">
        <w:rPr>
          <w:lang w:val="en-CA"/>
        </w:rPr>
        <w:t xml:space="preserve">… </w:t>
      </w:r>
      <w:r w:rsidR="0075555D" w:rsidRPr="00124DB1">
        <w:rPr>
          <w:lang w:val="en-CA"/>
        </w:rPr>
        <w:t xml:space="preserve">to make a non-adversary </w:t>
      </w:r>
      <w:r w:rsidR="0075555D" w:rsidRPr="00124DB1">
        <w:rPr>
          <w:u w:val="single"/>
          <w:lang w:val="en-CA"/>
        </w:rPr>
        <w:t>investigation</w:t>
      </w:r>
      <w:r w:rsidR="0075555D" w:rsidRPr="00124DB1">
        <w:rPr>
          <w:lang w:val="en-CA"/>
        </w:rPr>
        <w:t xml:space="preserve">, on its own initiative or </w:t>
      </w:r>
      <w:r w:rsidR="0075555D" w:rsidRPr="00124DB1">
        <w:rPr>
          <w:u w:val="single"/>
          <w:lang w:val="en-CA"/>
        </w:rPr>
        <w:t>following receipt of a complaint</w:t>
      </w:r>
      <w:r w:rsidR="0075555D" w:rsidRPr="00124DB1">
        <w:rPr>
          <w:lang w:val="en-CA"/>
        </w:rPr>
        <w:t>, into any situation, ... which appears to the commission to be either a case of discrimination within the meaning of sections 10 to 19 ... ;</w:t>
      </w:r>
      <w:r w:rsidR="00AD32E1" w:rsidRPr="00124DB1">
        <w:rPr>
          <w:rStyle w:val="Appelnotedebasdep"/>
          <w:szCs w:val="22"/>
          <w:lang w:val="en-CA"/>
        </w:rPr>
        <w:footnoteReference w:id="57"/>
      </w:r>
      <w:r w:rsidR="0075555D" w:rsidRPr="00124DB1">
        <w:rPr>
          <w:lang w:val="en-CA"/>
        </w:rPr>
        <w:t xml:space="preserve"> </w:t>
      </w:r>
    </w:p>
    <w:p w14:paraId="7AE87342" w14:textId="1B00DB00" w:rsidR="00507A20" w:rsidRPr="00124DB1" w:rsidRDefault="0075555D" w:rsidP="00507A20">
      <w:pPr>
        <w:pStyle w:val="Citationenretrait"/>
        <w:jc w:val="right"/>
        <w:rPr>
          <w:sz w:val="20"/>
          <w:lang w:val="en-CA"/>
        </w:rPr>
      </w:pPr>
      <w:r w:rsidRPr="00124DB1">
        <w:rPr>
          <w:sz w:val="20"/>
          <w:lang w:val="en-CA"/>
        </w:rPr>
        <w:t>[Emphasis added</w:t>
      </w:r>
      <w:r w:rsidR="003D7EFB" w:rsidRPr="00124DB1">
        <w:rPr>
          <w:sz w:val="20"/>
          <w:lang w:val="en-CA"/>
        </w:rPr>
        <w:t>.</w:t>
      </w:r>
      <w:r w:rsidRPr="00124DB1">
        <w:rPr>
          <w:sz w:val="20"/>
          <w:lang w:val="en-CA"/>
        </w:rPr>
        <w:t>]</w:t>
      </w:r>
    </w:p>
    <w:p w14:paraId="429AB24C" w14:textId="17903D2D" w:rsidR="00507A20" w:rsidRPr="00124DB1" w:rsidRDefault="001479BB" w:rsidP="00507A20">
      <w:pPr>
        <w:pStyle w:val="Paragraphe"/>
        <w:tabs>
          <w:tab w:val="clear" w:pos="567"/>
        </w:tabs>
      </w:pPr>
      <w:r w:rsidRPr="00124DB1">
        <w:t xml:space="preserve">Given the importance of this </w:t>
      </w:r>
      <w:r w:rsidR="0042405D" w:rsidRPr="00124DB1">
        <w:t>responsibility</w:t>
      </w:r>
      <w:r w:rsidRPr="00124DB1">
        <w:t xml:space="preserve"> </w:t>
      </w:r>
      <w:r w:rsidR="00256F1B">
        <w:t>assigned</w:t>
      </w:r>
      <w:r w:rsidRPr="00124DB1">
        <w:t xml:space="preserve"> to the Commission by the legislature, what are</w:t>
      </w:r>
      <w:r w:rsidR="0042405D" w:rsidRPr="00124DB1">
        <w:t xml:space="preserve"> we</w:t>
      </w:r>
      <w:r w:rsidRPr="00124DB1">
        <w:t xml:space="preserve"> to make of the fact that it took </w:t>
      </w:r>
      <w:r w:rsidR="00B461A5" w:rsidRPr="00124DB1">
        <w:t>7</w:t>
      </w:r>
      <w:r w:rsidRPr="00124DB1">
        <w:t xml:space="preserve"> months and </w:t>
      </w:r>
      <w:r w:rsidR="00B461A5" w:rsidRPr="00124DB1">
        <w:t>25</w:t>
      </w:r>
      <w:r w:rsidRPr="00124DB1">
        <w:t xml:space="preserve"> days – that is, 238 days – before an investigator </w:t>
      </w:r>
      <w:proofErr w:type="gramStart"/>
      <w:r w:rsidRPr="00124DB1">
        <w:t xml:space="preserve">was appointed and revealed himself for the first time to the </w:t>
      </w:r>
      <w:r w:rsidR="00DD0C6B">
        <w:t>City</w:t>
      </w:r>
      <w:r w:rsidRPr="00124DB1">
        <w:t xml:space="preserve"> after mediation failed</w:t>
      </w:r>
      <w:proofErr w:type="gramEnd"/>
      <w:r w:rsidRPr="00124DB1">
        <w:t>?</w:t>
      </w:r>
    </w:p>
    <w:p w14:paraId="43B6E93F" w14:textId="49D1743B" w:rsidR="00507A20" w:rsidRPr="00124DB1" w:rsidRDefault="001479BB" w:rsidP="00507A20">
      <w:pPr>
        <w:pStyle w:val="Paragraphe"/>
        <w:tabs>
          <w:tab w:val="clear" w:pos="567"/>
        </w:tabs>
      </w:pPr>
      <w:r w:rsidRPr="00124DB1">
        <w:t xml:space="preserve">Similarly, after informing the </w:t>
      </w:r>
      <w:r w:rsidR="0042405D" w:rsidRPr="00124DB1">
        <w:t>Commission that Mr</w:t>
      </w:r>
      <w:r w:rsidRPr="00124DB1">
        <w:t xml:space="preserve">. Mathurin </w:t>
      </w:r>
      <w:r w:rsidR="0042405D" w:rsidRPr="00124DB1">
        <w:t>would</w:t>
      </w:r>
      <w:r w:rsidRPr="00124DB1">
        <w:t xml:space="preserve"> not sign the </w:t>
      </w:r>
      <w:r w:rsidR="0042405D" w:rsidRPr="00124DB1">
        <w:t>transcription</w:t>
      </w:r>
      <w:r w:rsidRPr="00124DB1">
        <w:t xml:space="preserve"> of </w:t>
      </w:r>
      <w:r w:rsidR="0042405D" w:rsidRPr="00124DB1">
        <w:t>the</w:t>
      </w:r>
      <w:r w:rsidRPr="00124DB1">
        <w:t xml:space="preserve"> Statement (given by telephone) written by the investigator, the </w:t>
      </w:r>
      <w:r w:rsidR="00DD0C6B">
        <w:t>City</w:t>
      </w:r>
      <w:r w:rsidRPr="00124DB1">
        <w:t xml:space="preserve"> wait</w:t>
      </w:r>
      <w:r w:rsidR="0077454E" w:rsidRPr="00124DB1">
        <w:t>ed</w:t>
      </w:r>
      <w:r w:rsidRPr="00124DB1">
        <w:t xml:space="preserve"> another </w:t>
      </w:r>
      <w:r w:rsidR="00B461A5" w:rsidRPr="00124DB1">
        <w:t>8</w:t>
      </w:r>
      <w:r w:rsidRPr="00124DB1">
        <w:t xml:space="preserve"> months and </w:t>
      </w:r>
      <w:r w:rsidR="00B461A5" w:rsidRPr="00124DB1">
        <w:t>3</w:t>
      </w:r>
      <w:r w:rsidRPr="00124DB1">
        <w:t xml:space="preserve"> days – that is, 246 days – before receiving </w:t>
      </w:r>
      <w:proofErr w:type="gramStart"/>
      <w:r w:rsidRPr="00124DB1">
        <w:t>for the purpose of</w:t>
      </w:r>
      <w:proofErr w:type="gramEnd"/>
      <w:r w:rsidRPr="00124DB1">
        <w:t xml:space="preserve"> commenting, the first version of the 10-page statement of facts prepared by the investigator. </w:t>
      </w:r>
    </w:p>
    <w:p w14:paraId="5B1EF558" w14:textId="1C612050" w:rsidR="00507A20" w:rsidRPr="00124DB1" w:rsidRDefault="0077454E" w:rsidP="00507A20">
      <w:pPr>
        <w:pStyle w:val="Paragraphe"/>
        <w:tabs>
          <w:tab w:val="clear" w:pos="567"/>
        </w:tabs>
      </w:pPr>
      <w:r w:rsidRPr="00124DB1">
        <w:t>Finally</w:t>
      </w:r>
      <w:r w:rsidR="001479BB" w:rsidRPr="00124DB1">
        <w:t xml:space="preserve">, there were 23 </w:t>
      </w:r>
      <w:r w:rsidRPr="00124DB1">
        <w:t>months</w:t>
      </w:r>
      <w:r w:rsidR="001479BB" w:rsidRPr="00124DB1">
        <w:t xml:space="preserve"> and 20 days – that is, 719 days – between the moment the </w:t>
      </w:r>
      <w:r w:rsidR="00DD0C6B">
        <w:t>City</w:t>
      </w:r>
      <w:r w:rsidR="001479BB" w:rsidRPr="00124DB1">
        <w:t xml:space="preserve"> communicated its remarks on the statement of facts and the notification by the Commission of its resolution and</w:t>
      </w:r>
      <w:r w:rsidRPr="00124DB1">
        <w:t xml:space="preserve"> the</w:t>
      </w:r>
      <w:r w:rsidR="001479BB" w:rsidRPr="00124DB1">
        <w:t xml:space="preserve"> proposed measures of redress it contained.</w:t>
      </w:r>
    </w:p>
    <w:p w14:paraId="4DB71A8B" w14:textId="77777777" w:rsidR="00507A20" w:rsidRPr="00124DB1" w:rsidRDefault="001479BB" w:rsidP="00507A20">
      <w:pPr>
        <w:pStyle w:val="Paragraphe"/>
        <w:tabs>
          <w:tab w:val="clear" w:pos="567"/>
        </w:tabs>
      </w:pPr>
      <w:r w:rsidRPr="00124DB1">
        <w:t xml:space="preserve">It appears that there were three periods of extended inactivity totalling 1,203 days, or some 40 months, during the processing of Mr. </w:t>
      </w:r>
      <w:proofErr w:type="spellStart"/>
      <w:r w:rsidRPr="00124DB1">
        <w:t>Bazelais’s</w:t>
      </w:r>
      <w:proofErr w:type="spellEnd"/>
      <w:r w:rsidRPr="00124DB1">
        <w:t xml:space="preserve"> complaint.</w:t>
      </w:r>
    </w:p>
    <w:p w14:paraId="04821DB7" w14:textId="77777777" w:rsidR="00507A20" w:rsidRPr="00124DB1" w:rsidRDefault="001479BB" w:rsidP="00507A20">
      <w:pPr>
        <w:pStyle w:val="Paragraphe"/>
        <w:tabs>
          <w:tab w:val="clear" w:pos="567"/>
        </w:tabs>
      </w:pPr>
      <w:r w:rsidRPr="00124DB1">
        <w:t>As the Tribunal observed:</w:t>
      </w:r>
    </w:p>
    <w:p w14:paraId="023F83F0" w14:textId="3491339D" w:rsidR="0077454E" w:rsidRPr="00124DB1" w:rsidRDefault="0077454E" w:rsidP="00507A20">
      <w:pPr>
        <w:pStyle w:val="Citationenretrait"/>
        <w:rPr>
          <w:lang w:val="en-CA"/>
        </w:rPr>
      </w:pPr>
      <w:r w:rsidRPr="00124DB1">
        <w:rPr>
          <w:lang w:val="en-CA"/>
        </w:rPr>
        <w:t>[</w:t>
      </w:r>
      <w:r w:rsidRPr="00124DB1">
        <w:rPr>
          <w:smallCaps/>
          <w:lang w:val="en-CA"/>
        </w:rPr>
        <w:t>translation</w:t>
      </w:r>
      <w:r w:rsidRPr="00124DB1">
        <w:rPr>
          <w:lang w:val="en-CA"/>
        </w:rPr>
        <w:t>]</w:t>
      </w:r>
    </w:p>
    <w:p w14:paraId="0EBAB972" w14:textId="7747DE6B" w:rsidR="00507A20" w:rsidRPr="00124DB1" w:rsidRDefault="001479BB" w:rsidP="00507A20">
      <w:pPr>
        <w:pStyle w:val="Citationenretrait"/>
        <w:rPr>
          <w:lang w:val="en-CA"/>
        </w:rPr>
      </w:pPr>
      <w:r w:rsidRPr="00124DB1">
        <w:rPr>
          <w:lang w:val="en-CA"/>
        </w:rPr>
        <w:t xml:space="preserve">[214] </w:t>
      </w:r>
      <w:proofErr w:type="gramStart"/>
      <w:r w:rsidR="00276284" w:rsidRPr="00A34F57">
        <w:rPr>
          <w:rFonts w:cs="Arial"/>
          <w:color w:val="000000"/>
          <w:lang w:val="en-CA"/>
        </w:rPr>
        <w:t>The</w:t>
      </w:r>
      <w:proofErr w:type="gramEnd"/>
      <w:r w:rsidR="00276284" w:rsidRPr="00A34F57">
        <w:rPr>
          <w:rFonts w:cs="Arial"/>
          <w:color w:val="000000"/>
          <w:lang w:val="en-CA"/>
        </w:rPr>
        <w:t xml:space="preserve"> prolonged periods of inactivity during the investigation and the state or cessation of communication between the parties must be taken into consideration in determining whether the delays that preceded the institution of the proceeding are unreasonable.</w:t>
      </w:r>
      <w:r w:rsidR="00AD32E1" w:rsidRPr="00124DB1">
        <w:rPr>
          <w:rStyle w:val="Appelnotedebasdep"/>
          <w:szCs w:val="22"/>
          <w:lang w:val="en-CA"/>
        </w:rPr>
        <w:footnoteReference w:id="58"/>
      </w:r>
      <w:r w:rsidR="00AD32E1" w:rsidRPr="00124DB1">
        <w:rPr>
          <w:lang w:val="en-CA"/>
        </w:rPr>
        <w:t xml:space="preserve">     </w:t>
      </w:r>
    </w:p>
    <w:p w14:paraId="2C68F43A" w14:textId="1D2B3A69" w:rsidR="00507A20" w:rsidRPr="00124DB1" w:rsidRDefault="001479BB" w:rsidP="00507A20">
      <w:pPr>
        <w:pStyle w:val="Paragraphe"/>
        <w:tabs>
          <w:tab w:val="clear" w:pos="567"/>
        </w:tabs>
      </w:pPr>
      <w:r w:rsidRPr="00124DB1">
        <w:t xml:space="preserve">In this case, there are 4 years, 11 months, and 14 days – that is, 1,809 days – between the time Mr. </w:t>
      </w:r>
      <w:proofErr w:type="spellStart"/>
      <w:r w:rsidRPr="00124DB1">
        <w:t>Bazelais’s</w:t>
      </w:r>
      <w:proofErr w:type="spellEnd"/>
      <w:r w:rsidRPr="00124DB1">
        <w:t xml:space="preserve"> complaint </w:t>
      </w:r>
      <w:proofErr w:type="gramStart"/>
      <w:r w:rsidRPr="00124DB1">
        <w:t>was filed</w:t>
      </w:r>
      <w:proofErr w:type="gramEnd"/>
      <w:r w:rsidRPr="00124DB1">
        <w:t xml:space="preserve"> </w:t>
      </w:r>
      <w:r w:rsidR="0077454E" w:rsidRPr="00124DB1">
        <w:t>and</w:t>
      </w:r>
      <w:r w:rsidRPr="00124DB1">
        <w:t xml:space="preserve"> the notification of </w:t>
      </w:r>
      <w:r w:rsidR="0077454E" w:rsidRPr="00124DB1">
        <w:t>the</w:t>
      </w:r>
      <w:r w:rsidRPr="00124DB1">
        <w:t xml:space="preserve"> proceeding on his behalf by the Commission.</w:t>
      </w:r>
      <w:r w:rsidR="00AD32E1" w:rsidRPr="00124DB1">
        <w:t xml:space="preserve"> </w:t>
      </w:r>
    </w:p>
    <w:p w14:paraId="516E162F" w14:textId="77777777" w:rsidR="00507A20" w:rsidRPr="00124DB1" w:rsidRDefault="001479BB" w:rsidP="00507A20">
      <w:pPr>
        <w:pStyle w:val="Paragraphe"/>
        <w:tabs>
          <w:tab w:val="clear" w:pos="567"/>
        </w:tabs>
      </w:pPr>
      <w:r w:rsidRPr="00124DB1">
        <w:t xml:space="preserve">It appears that two-thirds of this time </w:t>
      </w:r>
      <w:proofErr w:type="gramStart"/>
      <w:r w:rsidRPr="00124DB1">
        <w:t>was marked</w:t>
      </w:r>
      <w:proofErr w:type="gramEnd"/>
      <w:r w:rsidRPr="00124DB1">
        <w:t>, so to speak, by inertia.</w:t>
      </w:r>
      <w:r w:rsidR="00AD32E1" w:rsidRPr="00124DB1">
        <w:t xml:space="preserve"> </w:t>
      </w:r>
    </w:p>
    <w:p w14:paraId="0755DCFF" w14:textId="37B4346B" w:rsidR="00507A20" w:rsidRPr="00124DB1" w:rsidRDefault="001479BB" w:rsidP="00507A20">
      <w:pPr>
        <w:pStyle w:val="Paragraphe"/>
        <w:tabs>
          <w:tab w:val="clear" w:pos="567"/>
        </w:tabs>
      </w:pPr>
      <w:r w:rsidRPr="00124DB1">
        <w:lastRenderedPageBreak/>
        <w:t xml:space="preserve">It </w:t>
      </w:r>
      <w:r w:rsidR="00276284" w:rsidRPr="00124DB1">
        <w:t>must be concluded</w:t>
      </w:r>
      <w:r w:rsidRPr="00124DB1">
        <w:t xml:space="preserve"> that there was a lack of diligence largely attributable to the </w:t>
      </w:r>
      <w:r w:rsidR="0077454E" w:rsidRPr="00124DB1">
        <w:t>Commission</w:t>
      </w:r>
      <w:r w:rsidRPr="00124DB1">
        <w:t xml:space="preserve">, </w:t>
      </w:r>
      <w:r w:rsidR="0077454E" w:rsidRPr="00124DB1">
        <w:t>[</w:t>
      </w:r>
      <w:r w:rsidR="0077454E" w:rsidRPr="00124DB1">
        <w:rPr>
          <w:smallCaps/>
        </w:rPr>
        <w:t>translation</w:t>
      </w:r>
      <w:r w:rsidR="0077454E" w:rsidRPr="00124DB1">
        <w:t>] “</w:t>
      </w:r>
      <w:r w:rsidRPr="00124DB1">
        <w:t>which resulted in an unusually long and unacceptable delay in processing the complaint”.</w:t>
      </w:r>
      <w:r w:rsidR="00AD32E1" w:rsidRPr="00124DB1">
        <w:rPr>
          <w:rStyle w:val="Appelnotedebasdep"/>
        </w:rPr>
        <w:footnoteReference w:id="59"/>
      </w:r>
    </w:p>
    <w:p w14:paraId="040BE6E6" w14:textId="77777777" w:rsidR="00507A20" w:rsidRPr="00124DB1" w:rsidRDefault="001479BB" w:rsidP="00507A20">
      <w:pPr>
        <w:pStyle w:val="Titre3"/>
        <w:spacing w:after="0"/>
        <w:rPr>
          <w:lang w:val="en-CA"/>
        </w:rPr>
      </w:pPr>
      <w:r w:rsidRPr="00124DB1">
        <w:rPr>
          <w:lang w:val="en-CA"/>
        </w:rPr>
        <w:t>Prejudice</w:t>
      </w:r>
    </w:p>
    <w:p w14:paraId="57A5CB3D" w14:textId="77777777" w:rsidR="00507A20" w:rsidRPr="00124DB1" w:rsidRDefault="001479BB" w:rsidP="00507A20">
      <w:pPr>
        <w:pStyle w:val="Paragraphe"/>
        <w:tabs>
          <w:tab w:val="clear" w:pos="567"/>
        </w:tabs>
      </w:pPr>
      <w:r w:rsidRPr="00124DB1">
        <w:t xml:space="preserve">In </w:t>
      </w:r>
      <w:proofErr w:type="spellStart"/>
      <w:r w:rsidRPr="00124DB1">
        <w:rPr>
          <w:i/>
        </w:rPr>
        <w:t>Blencoe</w:t>
      </w:r>
      <w:proofErr w:type="spellEnd"/>
      <w:r w:rsidRPr="00124DB1">
        <w:t xml:space="preserve">, the Supreme Court of Canada </w:t>
      </w:r>
      <w:proofErr w:type="gramStart"/>
      <w:r w:rsidRPr="00124DB1">
        <w:t>stated that</w:t>
      </w:r>
      <w:proofErr w:type="gramEnd"/>
      <w:r w:rsidRPr="00124DB1">
        <w:t xml:space="preserve"> “delay, without more, will not warrant a stay of proceedings”,</w:t>
      </w:r>
      <w:r w:rsidR="00AD32E1" w:rsidRPr="00124DB1">
        <w:rPr>
          <w:rStyle w:val="Appelnotedebasdep"/>
        </w:rPr>
        <w:footnoteReference w:id="60"/>
      </w:r>
      <w:r w:rsidRPr="00124DB1">
        <w:t xml:space="preserve"> such that “there must be proof of significant prejudice”,</w:t>
      </w:r>
      <w:r w:rsidR="00AD32E1" w:rsidRPr="00124DB1">
        <w:rPr>
          <w:rStyle w:val="Appelnotedebasdep"/>
        </w:rPr>
        <w:footnoteReference w:id="61"/>
      </w:r>
      <w:r w:rsidRPr="00124DB1">
        <w:t xml:space="preserve"> “actual”,</w:t>
      </w:r>
      <w:r w:rsidR="00AD32E1" w:rsidRPr="00124DB1">
        <w:rPr>
          <w:rStyle w:val="Appelnotedebasdep"/>
        </w:rPr>
        <w:footnoteReference w:id="62"/>
      </w:r>
      <w:r w:rsidRPr="00124DB1">
        <w:t xml:space="preserve"> “serious”.</w:t>
      </w:r>
      <w:r w:rsidR="00AD32E1" w:rsidRPr="00124DB1">
        <w:rPr>
          <w:rStyle w:val="Appelnotedebasdep"/>
        </w:rPr>
        <w:footnoteReference w:id="63"/>
      </w:r>
    </w:p>
    <w:p w14:paraId="0E72BA28" w14:textId="124818D1" w:rsidR="00507A20" w:rsidRPr="00124DB1" w:rsidRDefault="001479BB" w:rsidP="00507A20">
      <w:pPr>
        <w:pStyle w:val="Paragraphe"/>
        <w:tabs>
          <w:tab w:val="clear" w:pos="567"/>
        </w:tabs>
      </w:pPr>
      <w:r w:rsidRPr="00124DB1">
        <w:t>More recently, the Court of Appeal of Quebec reiterated the double requirement imp</w:t>
      </w:r>
      <w:r w:rsidR="0077454E" w:rsidRPr="00124DB1">
        <w:t xml:space="preserve">osed on the party who believes </w:t>
      </w:r>
      <w:r w:rsidRPr="00124DB1">
        <w:t xml:space="preserve">he or she has been harmed by the slowness of </w:t>
      </w:r>
      <w:r w:rsidR="0077454E" w:rsidRPr="00124DB1">
        <w:t>the</w:t>
      </w:r>
      <w:r w:rsidRPr="00124DB1">
        <w:t xml:space="preserve"> administrative process as follows:</w:t>
      </w:r>
    </w:p>
    <w:p w14:paraId="4061B7DD" w14:textId="3C21A429" w:rsidR="0077454E" w:rsidRPr="00124DB1" w:rsidRDefault="0077454E" w:rsidP="00507A20">
      <w:pPr>
        <w:pStyle w:val="Citationenretrait"/>
        <w:spacing w:after="0"/>
        <w:rPr>
          <w:lang w:val="en-CA"/>
        </w:rPr>
      </w:pPr>
      <w:r w:rsidRPr="00124DB1">
        <w:rPr>
          <w:lang w:val="en-CA"/>
        </w:rPr>
        <w:t>[</w:t>
      </w:r>
      <w:r w:rsidRPr="00124DB1">
        <w:rPr>
          <w:smallCaps/>
          <w:lang w:val="en-CA"/>
        </w:rPr>
        <w:t>translation</w:t>
      </w:r>
      <w:r w:rsidRPr="00124DB1">
        <w:rPr>
          <w:lang w:val="en-CA"/>
        </w:rPr>
        <w:t>]</w:t>
      </w:r>
    </w:p>
    <w:p w14:paraId="71A38DA3" w14:textId="77777777" w:rsidR="0077454E" w:rsidRPr="00124DB1" w:rsidRDefault="0077454E" w:rsidP="00507A20">
      <w:pPr>
        <w:pStyle w:val="Citationenretrait"/>
        <w:spacing w:after="0"/>
        <w:rPr>
          <w:lang w:val="en-CA"/>
        </w:rPr>
      </w:pPr>
    </w:p>
    <w:p w14:paraId="625C3F96" w14:textId="3A9F9CFF" w:rsidR="00507A20" w:rsidRPr="00124DB1" w:rsidRDefault="001479BB" w:rsidP="00507A20">
      <w:pPr>
        <w:pStyle w:val="Citationenretrait"/>
        <w:spacing w:after="0"/>
        <w:rPr>
          <w:lang w:val="en-CA"/>
        </w:rPr>
      </w:pPr>
      <w:r w:rsidRPr="00124DB1">
        <w:rPr>
          <w:lang w:val="en-CA"/>
        </w:rPr>
        <w:t>When involved in administrative proceedings ... citizens may benefit from certain administrative law remedies if subjected to unreasonable delays that are attributab</w:t>
      </w:r>
      <w:r w:rsidR="0077454E" w:rsidRPr="00124DB1">
        <w:rPr>
          <w:lang w:val="en-CA"/>
        </w:rPr>
        <w:t xml:space="preserve">le to the state </w:t>
      </w:r>
      <w:r w:rsidR="0077454E" w:rsidRPr="00124DB1">
        <w:rPr>
          <w:u w:val="single"/>
          <w:lang w:val="en-CA"/>
        </w:rPr>
        <w:t>and</w:t>
      </w:r>
      <w:r w:rsidR="0077454E" w:rsidRPr="00124DB1">
        <w:rPr>
          <w:lang w:val="en-CA"/>
        </w:rPr>
        <w:t xml:space="preserve"> that cause</w:t>
      </w:r>
      <w:r w:rsidRPr="00124DB1">
        <w:rPr>
          <w:lang w:val="en-CA"/>
        </w:rPr>
        <w:t xml:space="preserve"> </w:t>
      </w:r>
      <w:r w:rsidR="00440F48" w:rsidRPr="00124DB1">
        <w:rPr>
          <w:lang w:val="en-CA"/>
        </w:rPr>
        <w:t xml:space="preserve">a </w:t>
      </w:r>
      <w:r w:rsidRPr="00124DB1">
        <w:rPr>
          <w:lang w:val="en-CA"/>
        </w:rPr>
        <w:t>significant prejudice.</w:t>
      </w:r>
      <w:r w:rsidR="00AD32E1" w:rsidRPr="00124DB1">
        <w:rPr>
          <w:rStyle w:val="Appelnotedebasdep"/>
          <w:szCs w:val="22"/>
          <w:lang w:val="en-CA"/>
        </w:rPr>
        <w:footnoteReference w:id="64"/>
      </w:r>
    </w:p>
    <w:p w14:paraId="08003A08" w14:textId="77777777" w:rsidR="00507A20" w:rsidRPr="00124DB1" w:rsidRDefault="001479BB" w:rsidP="00507A20">
      <w:pPr>
        <w:pStyle w:val="Citationenretrait"/>
        <w:jc w:val="right"/>
        <w:rPr>
          <w:sz w:val="20"/>
          <w:lang w:val="en-CA"/>
        </w:rPr>
      </w:pPr>
      <w:r w:rsidRPr="00124DB1">
        <w:rPr>
          <w:sz w:val="20"/>
          <w:lang w:val="en-CA"/>
        </w:rPr>
        <w:t>(Emphasis in original.)</w:t>
      </w:r>
    </w:p>
    <w:p w14:paraId="0BBF04E6" w14:textId="1F0B09B1" w:rsidR="00507A20" w:rsidRPr="00124DB1" w:rsidRDefault="001479BB" w:rsidP="00507A20">
      <w:pPr>
        <w:pStyle w:val="Paragraphe"/>
        <w:tabs>
          <w:tab w:val="clear" w:pos="567"/>
        </w:tabs>
        <w:spacing w:before="0"/>
      </w:pPr>
      <w:r w:rsidRPr="00124DB1">
        <w:t xml:space="preserve">The </w:t>
      </w:r>
      <w:r w:rsidR="00DD0C6B">
        <w:t>City</w:t>
      </w:r>
      <w:r w:rsidRPr="00124DB1">
        <w:t xml:space="preserve"> argues that the </w:t>
      </w:r>
      <w:r w:rsidR="0077454E" w:rsidRPr="00124DB1">
        <w:t>[</w:t>
      </w:r>
      <w:r w:rsidR="0077454E" w:rsidRPr="00124DB1">
        <w:rPr>
          <w:smallCaps/>
        </w:rPr>
        <w:t>translation</w:t>
      </w:r>
      <w:r w:rsidR="0077454E" w:rsidRPr="00124DB1">
        <w:t xml:space="preserve">] </w:t>
      </w:r>
      <w:r w:rsidRPr="00124DB1">
        <w:t>“excessive and abusive delays in processing this complaint have cause</w:t>
      </w:r>
      <w:r w:rsidR="0077454E" w:rsidRPr="00124DB1">
        <w:t>d</w:t>
      </w:r>
      <w:r w:rsidRPr="00124DB1">
        <w:t xml:space="preserve"> serious prejudice to the defendants and </w:t>
      </w:r>
      <w:r w:rsidR="00440F48" w:rsidRPr="00124DB1">
        <w:t>have</w:t>
      </w:r>
      <w:r w:rsidR="0077454E" w:rsidRPr="00124DB1">
        <w:t xml:space="preserve"> had</w:t>
      </w:r>
      <w:r w:rsidRPr="00124DB1">
        <w:t xml:space="preserve"> a serious impact on their right to make full answer </w:t>
      </w:r>
      <w:r w:rsidR="0077454E" w:rsidRPr="00124DB1">
        <w:t>and</w:t>
      </w:r>
      <w:r w:rsidRPr="00124DB1">
        <w:t xml:space="preserve"> defence”.</w:t>
      </w:r>
      <w:r w:rsidR="00AD32E1" w:rsidRPr="00124DB1">
        <w:t xml:space="preserve"> </w:t>
      </w:r>
      <w:r w:rsidRPr="00124DB1">
        <w:t xml:space="preserve">In this respect, it </w:t>
      </w:r>
      <w:r w:rsidR="00440F48" w:rsidRPr="00124DB1">
        <w:t>wrote</w:t>
      </w:r>
      <w:r w:rsidRPr="00124DB1">
        <w:t>:</w:t>
      </w:r>
    </w:p>
    <w:p w14:paraId="6F8E5DBC" w14:textId="7C82FCB4" w:rsidR="00440F48" w:rsidRPr="00124DB1" w:rsidRDefault="00440F48" w:rsidP="00507A20">
      <w:pPr>
        <w:pStyle w:val="Citationenretrait"/>
        <w:rPr>
          <w:lang w:val="en-CA"/>
        </w:rPr>
      </w:pPr>
      <w:r w:rsidRPr="00124DB1">
        <w:rPr>
          <w:lang w:val="en-CA"/>
        </w:rPr>
        <w:t>[</w:t>
      </w:r>
      <w:r w:rsidRPr="00124DB1">
        <w:rPr>
          <w:smallCaps/>
          <w:lang w:val="en-CA"/>
        </w:rPr>
        <w:t>translation</w:t>
      </w:r>
      <w:r w:rsidRPr="00124DB1">
        <w:rPr>
          <w:lang w:val="en-CA"/>
        </w:rPr>
        <w:t>]</w:t>
      </w:r>
    </w:p>
    <w:p w14:paraId="3A2BA3AD" w14:textId="64BE31EE" w:rsidR="00507A20" w:rsidRPr="00124DB1" w:rsidRDefault="001479BB" w:rsidP="00507A20">
      <w:pPr>
        <w:pStyle w:val="Citationenretrait"/>
        <w:rPr>
          <w:lang w:val="en-CA"/>
        </w:rPr>
      </w:pPr>
      <w:r w:rsidRPr="00124DB1">
        <w:rPr>
          <w:lang w:val="en-CA"/>
        </w:rPr>
        <w:t>The passage of time will certainly resul</w:t>
      </w:r>
      <w:r w:rsidR="00C44996" w:rsidRPr="00124DB1">
        <w:rPr>
          <w:lang w:val="en-CA"/>
        </w:rPr>
        <w:t>t</w:t>
      </w:r>
      <w:r w:rsidRPr="00124DB1">
        <w:rPr>
          <w:lang w:val="en-CA"/>
        </w:rPr>
        <w:t xml:space="preserve"> in making the administration of the defendants’ evidence much more difficult, particularly in this case where, because it was a routine intervention, the officers did not complete a report and so will be unable to refresh their memory;</w:t>
      </w:r>
    </w:p>
    <w:p w14:paraId="3732FF90" w14:textId="475396C7" w:rsidR="00507A20" w:rsidRPr="00124DB1" w:rsidRDefault="001479BB" w:rsidP="00507A20">
      <w:pPr>
        <w:pStyle w:val="Citationenretrait"/>
        <w:spacing w:after="0"/>
        <w:rPr>
          <w:lang w:val="en-CA"/>
        </w:rPr>
      </w:pPr>
      <w:proofErr w:type="gramStart"/>
      <w:r w:rsidRPr="00124DB1">
        <w:rPr>
          <w:lang w:val="en-CA"/>
        </w:rPr>
        <w:t xml:space="preserve">Indeed, the quality of the testimony of all those involved </w:t>
      </w:r>
      <w:r w:rsidR="00C44996" w:rsidRPr="00124DB1">
        <w:rPr>
          <w:lang w:val="en-CA"/>
        </w:rPr>
        <w:t>and</w:t>
      </w:r>
      <w:r w:rsidRPr="00124DB1">
        <w:rPr>
          <w:lang w:val="en-CA"/>
        </w:rPr>
        <w:t xml:space="preserve"> those who witnessed the incident on August 31, 2014, can only be seriously affected by the passage of time, particularly in a file, like this one, where the details are very important</w:t>
      </w:r>
      <w:r w:rsidR="00440F48" w:rsidRPr="00124DB1">
        <w:rPr>
          <w:lang w:val="en-CA"/>
        </w:rPr>
        <w:t>,</w:t>
      </w:r>
      <w:r w:rsidRPr="00124DB1">
        <w:rPr>
          <w:lang w:val="en-CA"/>
        </w:rPr>
        <w:t xml:space="preserve"> and the </w:t>
      </w:r>
      <w:r w:rsidRPr="00124DB1">
        <w:rPr>
          <w:lang w:val="en-CA"/>
        </w:rPr>
        <w:lastRenderedPageBreak/>
        <w:t>credibility of all of them will play such a dominant role that this erosion of memory is in itself a serious prejudice;</w:t>
      </w:r>
      <w:r w:rsidR="00AD32E1" w:rsidRPr="00124DB1">
        <w:rPr>
          <w:rStyle w:val="Appelnotedebasdep"/>
          <w:szCs w:val="22"/>
          <w:lang w:val="en-CA"/>
        </w:rPr>
        <w:footnoteReference w:id="65"/>
      </w:r>
      <w:proofErr w:type="gramEnd"/>
    </w:p>
    <w:p w14:paraId="3A82F760" w14:textId="2576B5B1" w:rsidR="00507A20" w:rsidRPr="00124DB1" w:rsidRDefault="001479BB" w:rsidP="00507A20">
      <w:pPr>
        <w:pStyle w:val="Paragraphe"/>
        <w:tabs>
          <w:tab w:val="clear" w:pos="567"/>
        </w:tabs>
      </w:pPr>
      <w:r w:rsidRPr="00124DB1">
        <w:t xml:space="preserve">The events </w:t>
      </w:r>
      <w:r w:rsidR="002E2124" w:rsidRPr="00124DB1">
        <w:t>underlying</w:t>
      </w:r>
      <w:r w:rsidRPr="00124DB1">
        <w:t xml:space="preserve"> </w:t>
      </w:r>
      <w:r w:rsidR="00C44996" w:rsidRPr="00124DB1">
        <w:t>the</w:t>
      </w:r>
      <w:r w:rsidRPr="00124DB1">
        <w:t xml:space="preserve"> dispute </w:t>
      </w:r>
      <w:r w:rsidR="00C44996" w:rsidRPr="00124DB1">
        <w:t>occurred</w:t>
      </w:r>
      <w:r w:rsidRPr="00124DB1">
        <w:t xml:space="preserve"> on August 31, 2014. </w:t>
      </w:r>
      <w:r w:rsidR="00BB3A86" w:rsidRPr="00124DB1">
        <w:t xml:space="preserve">The </w:t>
      </w:r>
      <w:r w:rsidR="00C44996" w:rsidRPr="00124DB1">
        <w:t xml:space="preserve">Commission </w:t>
      </w:r>
      <w:r w:rsidR="002E2124" w:rsidRPr="00124DB1">
        <w:t>communicated</w:t>
      </w:r>
      <w:r w:rsidR="00C44996" w:rsidRPr="00124DB1">
        <w:t xml:space="preserve"> the </w:t>
      </w:r>
      <w:r w:rsidR="00BB3A86" w:rsidRPr="00124DB1">
        <w:t xml:space="preserve">discrimination complaint made by the CRARR on behalf of Mr. </w:t>
      </w:r>
      <w:proofErr w:type="spellStart"/>
      <w:r w:rsidR="00BB3A86" w:rsidRPr="00124DB1">
        <w:t>Bazelais</w:t>
      </w:r>
      <w:proofErr w:type="spellEnd"/>
      <w:r w:rsidR="00BB3A86" w:rsidRPr="00124DB1">
        <w:t xml:space="preserve"> to the </w:t>
      </w:r>
      <w:r w:rsidR="00DD0C6B">
        <w:t>City</w:t>
      </w:r>
      <w:r w:rsidR="00BB3A86" w:rsidRPr="00124DB1">
        <w:t xml:space="preserve"> on December 19, 2014.</w:t>
      </w:r>
      <w:r w:rsidR="00AD32E1" w:rsidRPr="00124DB1">
        <w:t xml:space="preserve"> </w:t>
      </w:r>
      <w:r w:rsidR="00BB3A86" w:rsidRPr="00124DB1">
        <w:t xml:space="preserve">Less than four months had passed since the </w:t>
      </w:r>
      <w:proofErr w:type="spellStart"/>
      <w:r w:rsidR="002E2124" w:rsidRPr="00124DB1">
        <w:t>É</w:t>
      </w:r>
      <w:r w:rsidR="00BB3A86" w:rsidRPr="00124DB1">
        <w:t>clipse</w:t>
      </w:r>
      <w:proofErr w:type="spellEnd"/>
      <w:r w:rsidR="00BB3A86" w:rsidRPr="00124DB1">
        <w:t xml:space="preserve"> unit had </w:t>
      </w:r>
      <w:r w:rsidR="00C44996" w:rsidRPr="00124DB1">
        <w:t>intercepted</w:t>
      </w:r>
      <w:r w:rsidR="00BB3A86" w:rsidRPr="00124DB1">
        <w:t xml:space="preserve"> Mr. </w:t>
      </w:r>
      <w:proofErr w:type="spellStart"/>
      <w:r w:rsidR="00BB3A86" w:rsidRPr="00124DB1">
        <w:t>Bazelais</w:t>
      </w:r>
      <w:proofErr w:type="spellEnd"/>
      <w:r w:rsidR="00BB3A86" w:rsidRPr="00124DB1">
        <w:t>.</w:t>
      </w:r>
    </w:p>
    <w:p w14:paraId="4D590354" w14:textId="7734E85E" w:rsidR="00507A20" w:rsidRPr="00124DB1" w:rsidRDefault="00BB3A86" w:rsidP="00507A20">
      <w:pPr>
        <w:pStyle w:val="Paragraphe"/>
        <w:tabs>
          <w:tab w:val="clear" w:pos="567"/>
        </w:tabs>
      </w:pPr>
      <w:r w:rsidRPr="00124DB1">
        <w:t xml:space="preserve">From that </w:t>
      </w:r>
      <w:r w:rsidR="0058338B" w:rsidRPr="00124DB1">
        <w:t>point</w:t>
      </w:r>
      <w:r w:rsidRPr="00124DB1">
        <w:t xml:space="preserve">, the </w:t>
      </w:r>
      <w:r w:rsidR="00DD0C6B">
        <w:t>City</w:t>
      </w:r>
      <w:r w:rsidRPr="00124DB1">
        <w:t xml:space="preserve"> was able to take appropriate internal steps to find the officers on duty on the evening of August 31, 2014, and try to reconstruct the events, with the assistance of </w:t>
      </w:r>
      <w:r w:rsidR="0058338B" w:rsidRPr="00124DB1">
        <w:t>Sergeant</w:t>
      </w:r>
      <w:r w:rsidRPr="00124DB1">
        <w:t xml:space="preserve"> Mathurin and the members of his unit, for </w:t>
      </w:r>
      <w:r w:rsidR="0058338B" w:rsidRPr="00124DB1">
        <w:t>the</w:t>
      </w:r>
      <w:r w:rsidRPr="00124DB1">
        <w:t xml:space="preserve"> purpose of </w:t>
      </w:r>
      <w:r w:rsidR="0058338B" w:rsidRPr="00124DB1">
        <w:t>[</w:t>
      </w:r>
      <w:r w:rsidR="0058338B" w:rsidRPr="00124DB1">
        <w:rPr>
          <w:smallCaps/>
        </w:rPr>
        <w:t>translation</w:t>
      </w:r>
      <w:r w:rsidR="0058338B" w:rsidRPr="00124DB1">
        <w:t xml:space="preserve">] </w:t>
      </w:r>
      <w:r w:rsidRPr="00124DB1">
        <w:t>“documenting” what was, to them, a mere routine intervention.</w:t>
      </w:r>
    </w:p>
    <w:p w14:paraId="6AE1851B" w14:textId="50BBB58F" w:rsidR="00507A20" w:rsidRPr="00124DB1" w:rsidRDefault="00BB3A86" w:rsidP="00507A20">
      <w:pPr>
        <w:pStyle w:val="Paragraphe"/>
        <w:tabs>
          <w:tab w:val="clear" w:pos="567"/>
        </w:tabs>
      </w:pPr>
      <w:r w:rsidRPr="00124DB1">
        <w:t>The righ</w:t>
      </w:r>
      <w:r w:rsidR="0058338B" w:rsidRPr="00124DB1">
        <w:t>ts and freedoms guaranteed unde</w:t>
      </w:r>
      <w:r w:rsidRPr="00124DB1">
        <w:t>r</w:t>
      </w:r>
      <w:r w:rsidR="0058338B" w:rsidRPr="00124DB1">
        <w:t xml:space="preserve"> </w:t>
      </w:r>
      <w:r w:rsidRPr="00124DB1">
        <w:t xml:space="preserve">the </w:t>
      </w:r>
      <w:r w:rsidRPr="00124DB1">
        <w:rPr>
          <w:i/>
        </w:rPr>
        <w:t>Charter</w:t>
      </w:r>
      <w:r w:rsidRPr="00124DB1">
        <w:t xml:space="preserve"> are not dependant on the subjective characterization that police officers give their interventions.</w:t>
      </w:r>
      <w:r w:rsidR="00AD32E1" w:rsidRPr="00124DB1">
        <w:t xml:space="preserve"> </w:t>
      </w:r>
      <w:r w:rsidRPr="00124DB1">
        <w:t xml:space="preserve">The harm a person deems to have suffered from </w:t>
      </w:r>
      <w:proofErr w:type="gramStart"/>
      <w:r w:rsidRPr="00124DB1">
        <w:t xml:space="preserve">being </w:t>
      </w:r>
      <w:r w:rsidR="0058338B" w:rsidRPr="00124DB1">
        <w:t>questioned</w:t>
      </w:r>
      <w:proofErr w:type="gramEnd"/>
      <w:r w:rsidRPr="00124DB1">
        <w:t xml:space="preserve"> by the police does not disappear because it is the result of a so-called routine intervention rather than one that is carefully planned and subsequently documented for the </w:t>
      </w:r>
      <w:r w:rsidR="0058338B" w:rsidRPr="00124DB1">
        <w:t>purpose</w:t>
      </w:r>
      <w:r w:rsidRPr="00124DB1">
        <w:t xml:space="preserve"> of a possible trial.</w:t>
      </w:r>
      <w:r w:rsidR="00AD32E1" w:rsidRPr="00124DB1">
        <w:t xml:space="preserve">   </w:t>
      </w:r>
    </w:p>
    <w:p w14:paraId="68BC439C" w14:textId="19EE784F" w:rsidR="00507A20" w:rsidRPr="00124DB1" w:rsidRDefault="00BB3A86" w:rsidP="00507A20">
      <w:pPr>
        <w:pStyle w:val="Paragraphe"/>
        <w:tabs>
          <w:tab w:val="clear" w:pos="567"/>
        </w:tabs>
      </w:pPr>
      <w:r w:rsidRPr="00124DB1">
        <w:t xml:space="preserve">A public body the size of the </w:t>
      </w:r>
      <w:r w:rsidR="00DD0C6B">
        <w:t>Ville</w:t>
      </w:r>
      <w:r w:rsidRPr="00124DB1">
        <w:t xml:space="preserve"> de Montréal should take reasonable steps to preserve its </w:t>
      </w:r>
      <w:r w:rsidR="0058338B" w:rsidRPr="00124DB1">
        <w:t>[</w:t>
      </w:r>
      <w:r w:rsidR="0058338B" w:rsidRPr="00124DB1">
        <w:rPr>
          <w:smallCaps/>
        </w:rPr>
        <w:t>translation</w:t>
      </w:r>
      <w:r w:rsidR="0058338B" w:rsidRPr="00124DB1">
        <w:t xml:space="preserve">] </w:t>
      </w:r>
      <w:r w:rsidRPr="00124DB1">
        <w:t>“institutional memory”</w:t>
      </w:r>
      <w:r w:rsidR="00AD32E1" w:rsidRPr="00124DB1">
        <w:rPr>
          <w:rStyle w:val="Appelnotedebasdep"/>
        </w:rPr>
        <w:footnoteReference w:id="66"/>
      </w:r>
      <w:r w:rsidRPr="00124DB1">
        <w:t xml:space="preserve">as soon as it finds out that a </w:t>
      </w:r>
      <w:r w:rsidR="0058338B" w:rsidRPr="00124DB1">
        <w:t>discrimination</w:t>
      </w:r>
      <w:r w:rsidRPr="00124DB1">
        <w:t xml:space="preserve"> complaint has been made </w:t>
      </w:r>
      <w:r w:rsidR="0058338B" w:rsidRPr="00124DB1">
        <w:t>against</w:t>
      </w:r>
      <w:r w:rsidRPr="00124DB1">
        <w:t xml:space="preserve"> it, which is obviously likely to progress over time until a court rules on it.</w:t>
      </w:r>
    </w:p>
    <w:p w14:paraId="197A999B" w14:textId="3E584655" w:rsidR="00507A20" w:rsidRPr="00124DB1" w:rsidRDefault="00BB3A86" w:rsidP="00507A20">
      <w:pPr>
        <w:pStyle w:val="Paragraphe"/>
        <w:tabs>
          <w:tab w:val="clear" w:pos="567"/>
        </w:tabs>
      </w:pPr>
      <w:r w:rsidRPr="00124DB1">
        <w:t xml:space="preserve">That said, the indubitable fact that memories </w:t>
      </w:r>
      <w:r w:rsidR="00A76A79" w:rsidRPr="00124DB1">
        <w:t>fade over</w:t>
      </w:r>
      <w:r w:rsidRPr="00124DB1">
        <w:t xml:space="preserve"> time does not</w:t>
      </w:r>
      <w:r w:rsidR="00A76A79" w:rsidRPr="00124DB1">
        <w:t>,</w:t>
      </w:r>
      <w:r w:rsidRPr="00124DB1">
        <w:t xml:space="preserve"> </w:t>
      </w:r>
      <w:r w:rsidR="00A76A79" w:rsidRPr="00124DB1">
        <w:t>in</w:t>
      </w:r>
      <w:r w:rsidR="0058338B" w:rsidRPr="00124DB1">
        <w:t xml:space="preserve"> itself</w:t>
      </w:r>
      <w:r w:rsidRPr="00124DB1">
        <w:t xml:space="preserve">, </w:t>
      </w:r>
      <w:r w:rsidR="00A76A79" w:rsidRPr="00124DB1">
        <w:t xml:space="preserve">constitute </w:t>
      </w:r>
      <w:r w:rsidRPr="00124DB1">
        <w:t>evidence of an irremediable infringement of procedural fairness:</w:t>
      </w:r>
      <w:r w:rsidR="00AD32E1" w:rsidRPr="00124DB1">
        <w:rPr>
          <w:rStyle w:val="Appelnotedebasdep"/>
        </w:rPr>
        <w:footnoteReference w:id="67"/>
      </w:r>
    </w:p>
    <w:p w14:paraId="60AC2623" w14:textId="61E8322A" w:rsidR="00A76A79" w:rsidRPr="00124DB1" w:rsidRDefault="00A76A79" w:rsidP="00507A20">
      <w:pPr>
        <w:pStyle w:val="Citationenretrait"/>
        <w:spacing w:after="0"/>
        <w:rPr>
          <w:lang w:val="en-CA"/>
        </w:rPr>
      </w:pPr>
      <w:r w:rsidRPr="00124DB1">
        <w:rPr>
          <w:lang w:val="en-CA"/>
        </w:rPr>
        <w:t>[</w:t>
      </w:r>
      <w:r w:rsidRPr="00124DB1">
        <w:rPr>
          <w:smallCaps/>
          <w:lang w:val="en-CA"/>
        </w:rPr>
        <w:t>translation</w:t>
      </w:r>
      <w:r w:rsidRPr="00124DB1">
        <w:rPr>
          <w:lang w:val="en-CA"/>
        </w:rPr>
        <w:t xml:space="preserve">] </w:t>
      </w:r>
    </w:p>
    <w:p w14:paraId="23D94ECD" w14:textId="77777777" w:rsidR="00A76A79" w:rsidRPr="00124DB1" w:rsidRDefault="00A76A79" w:rsidP="00507A20">
      <w:pPr>
        <w:pStyle w:val="Citationenretrait"/>
        <w:spacing w:after="0"/>
        <w:rPr>
          <w:lang w:val="en-CA"/>
        </w:rPr>
      </w:pPr>
    </w:p>
    <w:p w14:paraId="0F63924C" w14:textId="7353608E" w:rsidR="00507A20" w:rsidRPr="00124DB1" w:rsidRDefault="00BB3A86" w:rsidP="00507A20">
      <w:pPr>
        <w:pStyle w:val="Citationenretrait"/>
        <w:spacing w:after="0"/>
        <w:rPr>
          <w:lang w:val="en-CA"/>
        </w:rPr>
      </w:pPr>
      <w:r w:rsidRPr="00124DB1">
        <w:rPr>
          <w:lang w:val="en-CA"/>
        </w:rPr>
        <w:t xml:space="preserve">As noted several times in the case law, </w:t>
      </w:r>
      <w:r w:rsidRPr="00124DB1">
        <w:rPr>
          <w:u w:val="single"/>
          <w:lang w:val="en-CA"/>
        </w:rPr>
        <w:t>the mere passage of time does not entail a presumption of inability to make full answer and defence</w:t>
      </w:r>
      <w:r w:rsidRPr="00124DB1">
        <w:rPr>
          <w:lang w:val="en-CA"/>
        </w:rPr>
        <w:t>.</w:t>
      </w:r>
      <w:r w:rsidR="00AD32E1" w:rsidRPr="00124DB1">
        <w:rPr>
          <w:lang w:val="en-CA"/>
        </w:rPr>
        <w:t xml:space="preserve"> </w:t>
      </w:r>
      <w:r w:rsidRPr="00124DB1">
        <w:rPr>
          <w:lang w:val="en-CA"/>
        </w:rPr>
        <w:t xml:space="preserve">... </w:t>
      </w:r>
      <w:proofErr w:type="gramStart"/>
      <w:r w:rsidRPr="00124DB1">
        <w:rPr>
          <w:lang w:val="en-CA"/>
        </w:rPr>
        <w:t>even</w:t>
      </w:r>
      <w:proofErr w:type="gramEnd"/>
      <w:r w:rsidRPr="00124DB1">
        <w:rPr>
          <w:lang w:val="en-CA"/>
        </w:rPr>
        <w:t xml:space="preserve"> if it is obvious that memories fade over time, that is not sufficient to establish definite prejudice concerning the production of evidence.</w:t>
      </w:r>
      <w:r w:rsidR="00AD32E1" w:rsidRPr="00124DB1">
        <w:rPr>
          <w:rStyle w:val="Appelnotedebasdep"/>
          <w:rFonts w:cs="Arial"/>
          <w:color w:val="000000"/>
          <w:kern w:val="0"/>
          <w:szCs w:val="22"/>
          <w:lang w:val="en-CA"/>
        </w:rPr>
        <w:footnoteReference w:id="68"/>
      </w:r>
    </w:p>
    <w:p w14:paraId="79F02FEB" w14:textId="77777777" w:rsidR="00507A20" w:rsidRPr="00124DB1" w:rsidRDefault="00BB3A86" w:rsidP="00507A20">
      <w:pPr>
        <w:pStyle w:val="Citationenretrait"/>
        <w:spacing w:after="0" w:line="240" w:lineRule="auto"/>
        <w:jc w:val="right"/>
        <w:rPr>
          <w:sz w:val="20"/>
          <w:lang w:val="en-CA"/>
        </w:rPr>
      </w:pPr>
      <w:r w:rsidRPr="00124DB1">
        <w:rPr>
          <w:sz w:val="20"/>
          <w:lang w:val="en-CA"/>
        </w:rPr>
        <w:lastRenderedPageBreak/>
        <w:t>[Emphasis added.]</w:t>
      </w:r>
      <w:r w:rsidR="00AD32E1" w:rsidRPr="00124DB1">
        <w:rPr>
          <w:sz w:val="20"/>
          <w:lang w:val="en-CA"/>
        </w:rPr>
        <w:t xml:space="preserve"> </w:t>
      </w:r>
    </w:p>
    <w:p w14:paraId="0E6B4110" w14:textId="77777777" w:rsidR="00507A20" w:rsidRPr="00124DB1" w:rsidRDefault="00A7388A" w:rsidP="00507A20">
      <w:pPr>
        <w:pStyle w:val="Citationenretrait"/>
        <w:spacing w:after="0" w:line="240" w:lineRule="auto"/>
        <w:jc w:val="right"/>
        <w:rPr>
          <w:sz w:val="20"/>
          <w:lang w:val="en-CA"/>
        </w:rPr>
      </w:pPr>
      <w:r w:rsidRPr="00124DB1">
        <w:rPr>
          <w:sz w:val="20"/>
          <w:lang w:val="en-CA"/>
        </w:rPr>
        <w:t>[Citations omitted.]</w:t>
      </w:r>
    </w:p>
    <w:p w14:paraId="43ABAB80" w14:textId="214733D4" w:rsidR="00507A20" w:rsidRPr="00124DB1" w:rsidRDefault="00BB3A86" w:rsidP="00507A20">
      <w:pPr>
        <w:pStyle w:val="Paragraphe"/>
        <w:tabs>
          <w:tab w:val="clear" w:pos="567"/>
          <w:tab w:val="left" w:pos="0"/>
        </w:tabs>
      </w:pPr>
      <w:r w:rsidRPr="00124DB1">
        <w:t>The Tribunal has had the opportunity of hearing all the witnesses summoned to appear.</w:t>
      </w:r>
      <w:r w:rsidR="00AD32E1" w:rsidRPr="00124DB1">
        <w:t xml:space="preserve"> </w:t>
      </w:r>
      <w:r w:rsidR="00DA5D7C" w:rsidRPr="00124DB1">
        <w:t>While it is true that</w:t>
      </w:r>
      <w:r w:rsidRPr="00124DB1">
        <w:t xml:space="preserve">, on occasion, some questions revealed a failing memory </w:t>
      </w:r>
      <w:r w:rsidR="009C10AA" w:rsidRPr="00124DB1">
        <w:t xml:space="preserve">in a given witness </w:t>
      </w:r>
      <w:r w:rsidRPr="00124DB1">
        <w:t xml:space="preserve">with respect to a specific detail, the </w:t>
      </w:r>
      <w:r w:rsidR="00DD0C6B">
        <w:t>City</w:t>
      </w:r>
      <w:r w:rsidRPr="00124DB1">
        <w:t xml:space="preserve"> was clearly able to establish the essential elements of its defence.</w:t>
      </w:r>
    </w:p>
    <w:p w14:paraId="2BDF192E" w14:textId="6E53812C" w:rsidR="00507A20" w:rsidRPr="00124DB1" w:rsidRDefault="00DA5D7C" w:rsidP="00507A20">
      <w:pPr>
        <w:pStyle w:val="Paragraphe"/>
        <w:tabs>
          <w:tab w:val="clear" w:pos="567"/>
        </w:tabs>
      </w:pPr>
      <w:r w:rsidRPr="00124DB1">
        <w:t>Sergeant</w:t>
      </w:r>
      <w:r w:rsidR="00BB3A86" w:rsidRPr="00124DB1">
        <w:t xml:space="preserve"> Mathurin, a key witness for </w:t>
      </w:r>
      <w:r w:rsidRPr="00124DB1">
        <w:t>the</w:t>
      </w:r>
      <w:r w:rsidR="00BB3A86" w:rsidRPr="00124DB1">
        <w:t xml:space="preserve"> </w:t>
      </w:r>
      <w:r w:rsidR="00DD0C6B">
        <w:t>City</w:t>
      </w:r>
      <w:r w:rsidR="00BB3A86" w:rsidRPr="00124DB1">
        <w:t xml:space="preserve">, was able to testify at length </w:t>
      </w:r>
      <w:r w:rsidRPr="00124DB1">
        <w:t>about</w:t>
      </w:r>
      <w:r w:rsidR="00BB3A86" w:rsidRPr="00124DB1">
        <w:t xml:space="preserve"> </w:t>
      </w:r>
      <w:r w:rsidRPr="00124DB1">
        <w:t>the</w:t>
      </w:r>
      <w:r w:rsidR="00BB3A86" w:rsidRPr="00124DB1">
        <w:t xml:space="preserve"> </w:t>
      </w:r>
      <w:r w:rsidRPr="00124DB1">
        <w:t>nature</w:t>
      </w:r>
      <w:r w:rsidR="00BB3A86" w:rsidRPr="00124DB1">
        <w:t xml:space="preserve"> of </w:t>
      </w:r>
      <w:r w:rsidRPr="00124DB1">
        <w:t xml:space="preserve">the </w:t>
      </w:r>
      <w:proofErr w:type="spellStart"/>
      <w:r w:rsidR="009C10AA" w:rsidRPr="00124DB1">
        <w:t>É</w:t>
      </w:r>
      <w:r w:rsidR="00BB3A86" w:rsidRPr="00124DB1">
        <w:t>clipse</w:t>
      </w:r>
      <w:proofErr w:type="spellEnd"/>
      <w:r w:rsidR="00BB3A86" w:rsidRPr="00124DB1">
        <w:t xml:space="preserve"> unit’s intervention and the circumstances in which it unfolded.</w:t>
      </w:r>
      <w:r w:rsidR="00AD32E1" w:rsidRPr="00124DB1">
        <w:t xml:space="preserve"> </w:t>
      </w:r>
      <w:r w:rsidR="00BB3A86" w:rsidRPr="00124DB1">
        <w:t xml:space="preserve">Both during his examination in chief by counsel for the </w:t>
      </w:r>
      <w:r w:rsidR="00DD0C6B">
        <w:t>City</w:t>
      </w:r>
      <w:r w:rsidR="00BB3A86" w:rsidRPr="00124DB1">
        <w:t xml:space="preserve"> and during his cross-examination by counsel for the Commission, he answered the questions he </w:t>
      </w:r>
      <w:proofErr w:type="gramStart"/>
      <w:r w:rsidR="00BB3A86" w:rsidRPr="00124DB1">
        <w:t>was asked</w:t>
      </w:r>
      <w:proofErr w:type="gramEnd"/>
      <w:r w:rsidR="009C10AA" w:rsidRPr="00124DB1">
        <w:t xml:space="preserve"> effectively and with aplomb</w:t>
      </w:r>
      <w:r w:rsidR="00BB3A86" w:rsidRPr="00124DB1">
        <w:t>, sometimes adding nuance, and at other times the details requested.</w:t>
      </w:r>
      <w:r w:rsidR="00AD32E1" w:rsidRPr="00124DB1">
        <w:t xml:space="preserve"> </w:t>
      </w:r>
      <w:r w:rsidR="00BB3A86" w:rsidRPr="00124DB1">
        <w:t xml:space="preserve">Obviously, the limited and rather minor lapses in memory did not compromise his ability to offer a consistent </w:t>
      </w:r>
      <w:r w:rsidR="009C10AA" w:rsidRPr="00124DB1">
        <w:t>account</w:t>
      </w:r>
      <w:r w:rsidR="00BB3A86" w:rsidRPr="00124DB1">
        <w:t xml:space="preserve"> of </w:t>
      </w:r>
      <w:r w:rsidR="009C10AA" w:rsidRPr="00124DB1">
        <w:t xml:space="preserve">the </w:t>
      </w:r>
      <w:r w:rsidR="00BB3A86" w:rsidRPr="00124DB1">
        <w:t>events.</w:t>
      </w:r>
      <w:r w:rsidR="00AD32E1" w:rsidRPr="00124DB1">
        <w:rPr>
          <w:rStyle w:val="Appelnotedebasdep"/>
        </w:rPr>
        <w:footnoteReference w:id="69"/>
      </w:r>
      <w:r w:rsidR="00AD32E1" w:rsidRPr="00124DB1">
        <w:t xml:space="preserve"> </w:t>
      </w:r>
    </w:p>
    <w:p w14:paraId="28D5BEB9" w14:textId="2BA903C2" w:rsidR="00507A20" w:rsidRPr="00124DB1" w:rsidRDefault="00D35BBD" w:rsidP="00507A20">
      <w:pPr>
        <w:pStyle w:val="Paragraphe"/>
        <w:tabs>
          <w:tab w:val="clear" w:pos="567"/>
        </w:tabs>
      </w:pPr>
      <w:r w:rsidRPr="00124DB1">
        <w:t xml:space="preserve">There remains the </w:t>
      </w:r>
      <w:r w:rsidR="00DD0C6B">
        <w:t>City</w:t>
      </w:r>
      <w:r w:rsidR="006111AE" w:rsidRPr="00124DB1">
        <w:t>’s</w:t>
      </w:r>
      <w:r w:rsidRPr="00124DB1">
        <w:t xml:space="preserve"> </w:t>
      </w:r>
      <w:r w:rsidR="006111AE" w:rsidRPr="00124DB1">
        <w:t>argument</w:t>
      </w:r>
      <w:r w:rsidRPr="00124DB1">
        <w:t xml:space="preserve"> that </w:t>
      </w:r>
      <w:r w:rsidR="006111AE" w:rsidRPr="00124DB1">
        <w:t>[</w:t>
      </w:r>
      <w:r w:rsidR="006111AE" w:rsidRPr="00124DB1">
        <w:rPr>
          <w:smallCaps/>
        </w:rPr>
        <w:t>translation</w:t>
      </w:r>
      <w:r w:rsidR="006111AE" w:rsidRPr="00124DB1">
        <w:t xml:space="preserve">] </w:t>
      </w:r>
      <w:r w:rsidRPr="00124DB1">
        <w:t xml:space="preserve">“the destruction of medical reports relating to the leaves from work” of Mr. </w:t>
      </w:r>
      <w:proofErr w:type="spellStart"/>
      <w:r w:rsidRPr="00124DB1">
        <w:t>Bazelais</w:t>
      </w:r>
      <w:proofErr w:type="spellEnd"/>
      <w:r w:rsidRPr="00124DB1">
        <w:t xml:space="preserve"> </w:t>
      </w:r>
      <w:r w:rsidR="006111AE" w:rsidRPr="00124DB1">
        <w:t>[</w:t>
      </w:r>
      <w:r w:rsidR="006111AE" w:rsidRPr="00124DB1">
        <w:rPr>
          <w:smallCaps/>
        </w:rPr>
        <w:t>translation</w:t>
      </w:r>
      <w:r w:rsidR="006111AE" w:rsidRPr="00124DB1">
        <w:t xml:space="preserve">] </w:t>
      </w:r>
      <w:r w:rsidRPr="00124DB1">
        <w:t xml:space="preserve">“also cause it </w:t>
      </w:r>
      <w:r w:rsidR="006111AE" w:rsidRPr="00124DB1">
        <w:t>definite</w:t>
      </w:r>
      <w:r w:rsidRPr="00124DB1">
        <w:t xml:space="preserve"> prejudice” due to the fact that Mr. </w:t>
      </w:r>
      <w:proofErr w:type="spellStart"/>
      <w:r w:rsidRPr="00124DB1">
        <w:t>Bazelais</w:t>
      </w:r>
      <w:proofErr w:type="spellEnd"/>
      <w:r w:rsidRPr="00124DB1">
        <w:t xml:space="preserve"> </w:t>
      </w:r>
      <w:r w:rsidR="006111AE" w:rsidRPr="00124DB1">
        <w:t>[</w:t>
      </w:r>
      <w:r w:rsidR="006111AE" w:rsidRPr="00124DB1">
        <w:rPr>
          <w:smallCaps/>
        </w:rPr>
        <w:t>translation</w:t>
      </w:r>
      <w:r w:rsidR="006111AE" w:rsidRPr="00124DB1">
        <w:t xml:space="preserve">] </w:t>
      </w:r>
      <w:r w:rsidRPr="00124DB1">
        <w:t>“attributes these leaves to the police intervention and that he claims the resulting pecuniary losses”.</w:t>
      </w:r>
      <w:r w:rsidR="00AD32E1" w:rsidRPr="00124DB1">
        <w:rPr>
          <w:rStyle w:val="Appelnotedebasdep"/>
        </w:rPr>
        <w:footnoteReference w:id="70"/>
      </w:r>
    </w:p>
    <w:p w14:paraId="2B027DD9" w14:textId="4FD41388" w:rsidR="00507A20" w:rsidRPr="00124DB1" w:rsidRDefault="00D35BBD" w:rsidP="00507A20">
      <w:pPr>
        <w:pStyle w:val="Paragraphe"/>
        <w:tabs>
          <w:tab w:val="clear" w:pos="567"/>
        </w:tabs>
      </w:pPr>
      <w:r w:rsidRPr="00124DB1">
        <w:t xml:space="preserve">On this point, the evidence of </w:t>
      </w:r>
      <w:r w:rsidR="001071F4" w:rsidRPr="00124DB1">
        <w:t>material injury</w:t>
      </w:r>
      <w:r w:rsidRPr="00124DB1">
        <w:t xml:space="preserve"> that Mr. </w:t>
      </w:r>
      <w:proofErr w:type="spellStart"/>
      <w:r w:rsidRPr="00124DB1">
        <w:t>Bazelais</w:t>
      </w:r>
      <w:proofErr w:type="spellEnd"/>
      <w:r w:rsidRPr="00124DB1">
        <w:t xml:space="preserve"> alleges having suffered is incumbent upon the Commission.</w:t>
      </w:r>
      <w:r w:rsidR="00AD32E1" w:rsidRPr="00124DB1">
        <w:t xml:space="preserve"> </w:t>
      </w:r>
      <w:r w:rsidRPr="00124DB1">
        <w:t xml:space="preserve">It will be up to </w:t>
      </w:r>
      <w:r w:rsidR="006111AE" w:rsidRPr="00124DB1">
        <w:t>the</w:t>
      </w:r>
      <w:r w:rsidRPr="00124DB1">
        <w:t xml:space="preserve"> Tribunal to assess its value and probative force, in particular in light of the so-called </w:t>
      </w:r>
      <w:r w:rsidR="00962B93" w:rsidRPr="00124DB1">
        <w:t>[</w:t>
      </w:r>
      <w:r w:rsidR="00962B93" w:rsidRPr="00124DB1">
        <w:rPr>
          <w:smallCaps/>
        </w:rPr>
        <w:t>translation</w:t>
      </w:r>
      <w:r w:rsidR="00962B93" w:rsidRPr="00124DB1">
        <w:t xml:space="preserve">] </w:t>
      </w:r>
      <w:r w:rsidRPr="00124DB1">
        <w:t xml:space="preserve">“best evidence” rule argued by </w:t>
      </w:r>
      <w:r w:rsidR="006111AE" w:rsidRPr="00124DB1">
        <w:t>the</w:t>
      </w:r>
      <w:r w:rsidRPr="00124DB1">
        <w:t xml:space="preserve"> </w:t>
      </w:r>
      <w:r w:rsidR="00DD0C6B">
        <w:t>City</w:t>
      </w:r>
      <w:r w:rsidRPr="00124DB1">
        <w:t xml:space="preserve"> </w:t>
      </w:r>
      <w:r w:rsidR="00962B93" w:rsidRPr="00124DB1">
        <w:t>in this case</w:t>
      </w:r>
      <w:r w:rsidRPr="00124DB1">
        <w:t>.</w:t>
      </w:r>
      <w:r w:rsidR="00AD32E1" w:rsidRPr="00124DB1">
        <w:rPr>
          <w:rStyle w:val="Appelnotedebasdep"/>
        </w:rPr>
        <w:footnoteReference w:id="71"/>
      </w:r>
    </w:p>
    <w:p w14:paraId="19A2C1FB" w14:textId="4A601891" w:rsidR="00507A20" w:rsidRPr="00124DB1" w:rsidRDefault="00D35BBD" w:rsidP="00507A20">
      <w:pPr>
        <w:pStyle w:val="Paragraphe"/>
        <w:tabs>
          <w:tab w:val="clear" w:pos="567"/>
        </w:tabs>
      </w:pPr>
      <w:r w:rsidRPr="00124DB1">
        <w:t xml:space="preserve">Overall, the Tribunal </w:t>
      </w:r>
      <w:r w:rsidR="00962B93" w:rsidRPr="00124DB1">
        <w:t>finds</w:t>
      </w:r>
      <w:r w:rsidRPr="00124DB1">
        <w:t xml:space="preserve"> that the </w:t>
      </w:r>
      <w:r w:rsidR="00DD0C6B">
        <w:t>City</w:t>
      </w:r>
      <w:r w:rsidRPr="00124DB1">
        <w:t xml:space="preserve"> has failed to prove a prejudice so “significant”, “actual”, or “serious”</w:t>
      </w:r>
      <w:r w:rsidR="00AD32E1" w:rsidRPr="00124DB1">
        <w:rPr>
          <w:rStyle w:val="Appelnotedebasdep"/>
        </w:rPr>
        <w:footnoteReference w:id="72"/>
      </w:r>
      <w:r w:rsidRPr="00124DB1">
        <w:t xml:space="preserve"> that it would be appropriate </w:t>
      </w:r>
      <w:proofErr w:type="gramStart"/>
      <w:r w:rsidRPr="00124DB1">
        <w:t>to immediately put</w:t>
      </w:r>
      <w:proofErr w:type="gramEnd"/>
      <w:r w:rsidRPr="00124DB1">
        <w:t xml:space="preserve"> an end to </w:t>
      </w:r>
      <w:r w:rsidR="006111AE" w:rsidRPr="00124DB1">
        <w:t>the</w:t>
      </w:r>
      <w:r w:rsidRPr="00124DB1">
        <w:t xml:space="preserve"> dispute based solely on that </w:t>
      </w:r>
      <w:r w:rsidR="006111AE" w:rsidRPr="00124DB1">
        <w:t>ground</w:t>
      </w:r>
      <w:r w:rsidRPr="00124DB1">
        <w:t>.</w:t>
      </w:r>
      <w:r w:rsidR="00AD32E1" w:rsidRPr="00124DB1">
        <w:t xml:space="preserve"> </w:t>
      </w:r>
    </w:p>
    <w:p w14:paraId="13F86CFD" w14:textId="77777777" w:rsidR="00507A20" w:rsidRPr="00124DB1" w:rsidRDefault="00D35BBD" w:rsidP="00507A20">
      <w:pPr>
        <w:pStyle w:val="Titre3"/>
        <w:rPr>
          <w:lang w:val="en-CA"/>
        </w:rPr>
      </w:pPr>
      <w:r w:rsidRPr="00124DB1">
        <w:rPr>
          <w:lang w:val="en-CA"/>
        </w:rPr>
        <w:t>Bringing the human rights protection system into disrepute</w:t>
      </w:r>
    </w:p>
    <w:p w14:paraId="3C79DF3B" w14:textId="1769F8FD" w:rsidR="00507A20" w:rsidRPr="00124DB1" w:rsidRDefault="00D35BBD" w:rsidP="00507A20">
      <w:pPr>
        <w:pStyle w:val="Paragraphe"/>
        <w:tabs>
          <w:tab w:val="clear" w:pos="567"/>
        </w:tabs>
      </w:pPr>
      <w:r w:rsidRPr="00124DB1">
        <w:t xml:space="preserve">The </w:t>
      </w:r>
      <w:r w:rsidR="00DD0C6B">
        <w:t>City</w:t>
      </w:r>
      <w:r w:rsidRPr="00124DB1">
        <w:t xml:space="preserve"> argues:</w:t>
      </w:r>
    </w:p>
    <w:p w14:paraId="13DC1BA7" w14:textId="0487B8CD" w:rsidR="006111AE" w:rsidRPr="00124DB1" w:rsidRDefault="006111AE" w:rsidP="00507A20">
      <w:pPr>
        <w:pStyle w:val="Citationenretrait"/>
        <w:rPr>
          <w:lang w:val="en-CA"/>
        </w:rPr>
      </w:pPr>
      <w:r w:rsidRPr="00124DB1">
        <w:rPr>
          <w:lang w:val="en-CA"/>
        </w:rPr>
        <w:lastRenderedPageBreak/>
        <w:t>[</w:t>
      </w:r>
      <w:r w:rsidRPr="00124DB1">
        <w:rPr>
          <w:smallCaps/>
          <w:lang w:val="en-CA"/>
        </w:rPr>
        <w:t>translation</w:t>
      </w:r>
      <w:r w:rsidRPr="00124DB1">
        <w:rPr>
          <w:lang w:val="en-CA"/>
        </w:rPr>
        <w:t>]</w:t>
      </w:r>
    </w:p>
    <w:p w14:paraId="2A75B28D" w14:textId="1BA0D1E7" w:rsidR="00507A20" w:rsidRPr="00124DB1" w:rsidRDefault="00812BEA" w:rsidP="00507A20">
      <w:pPr>
        <w:pStyle w:val="Citationenretrait"/>
        <w:rPr>
          <w:lang w:val="en-CA"/>
        </w:rPr>
      </w:pPr>
      <w:r w:rsidRPr="00124DB1">
        <w:rPr>
          <w:lang w:val="en-CA"/>
        </w:rPr>
        <w:t xml:space="preserve">Notwithstanding the </w:t>
      </w:r>
      <w:r w:rsidR="007E4B6E">
        <w:rPr>
          <w:lang w:val="en-CA"/>
        </w:rPr>
        <w:t>foregoing</w:t>
      </w:r>
      <w:r w:rsidRPr="00124DB1">
        <w:rPr>
          <w:lang w:val="en-CA"/>
        </w:rPr>
        <w:t xml:space="preserve">, we </w:t>
      </w:r>
      <w:r w:rsidR="006111AE" w:rsidRPr="00124DB1">
        <w:rPr>
          <w:lang w:val="en-CA"/>
        </w:rPr>
        <w:t>respectfully</w:t>
      </w:r>
      <w:r w:rsidRPr="00124DB1">
        <w:rPr>
          <w:lang w:val="en-CA"/>
        </w:rPr>
        <w:t xml:space="preserve"> submit to the Tribunal that the </w:t>
      </w:r>
      <w:r w:rsidR="007E4B6E">
        <w:rPr>
          <w:lang w:val="en-CA"/>
        </w:rPr>
        <w:t>delays incurred</w:t>
      </w:r>
      <w:r w:rsidRPr="00124DB1">
        <w:rPr>
          <w:lang w:val="en-CA"/>
        </w:rPr>
        <w:t xml:space="preserve"> in this </w:t>
      </w:r>
      <w:r w:rsidR="007D0F99" w:rsidRPr="00124DB1">
        <w:rPr>
          <w:lang w:val="en-CA"/>
        </w:rPr>
        <w:t>case</w:t>
      </w:r>
      <w:r w:rsidRPr="00124DB1">
        <w:rPr>
          <w:lang w:val="en-CA"/>
        </w:rPr>
        <w:t xml:space="preserve"> </w:t>
      </w:r>
      <w:r w:rsidR="007E4B6E">
        <w:rPr>
          <w:lang w:val="en-CA"/>
        </w:rPr>
        <w:t>are</w:t>
      </w:r>
      <w:r w:rsidRPr="00124DB1">
        <w:rPr>
          <w:lang w:val="en-CA"/>
        </w:rPr>
        <w:t xml:space="preserve"> </w:t>
      </w:r>
      <w:r w:rsidRPr="00124DB1">
        <w:rPr>
          <w:u w:val="single"/>
          <w:lang w:val="en-CA"/>
        </w:rPr>
        <w:t xml:space="preserve">so serious that </w:t>
      </w:r>
      <w:r w:rsidR="007E4B6E">
        <w:rPr>
          <w:u w:val="single"/>
          <w:lang w:val="en-CA"/>
        </w:rPr>
        <w:t>they are</w:t>
      </w:r>
      <w:r w:rsidRPr="00124DB1">
        <w:rPr>
          <w:u w:val="single"/>
          <w:lang w:val="en-CA"/>
        </w:rPr>
        <w:t xml:space="preserve"> in and of </w:t>
      </w:r>
      <w:r w:rsidR="007E4B6E">
        <w:rPr>
          <w:u w:val="single"/>
          <w:lang w:val="en-CA"/>
        </w:rPr>
        <w:t>themselves</w:t>
      </w:r>
      <w:r w:rsidRPr="00124DB1">
        <w:rPr>
          <w:u w:val="single"/>
          <w:lang w:val="en-CA"/>
        </w:rPr>
        <w:t xml:space="preserve"> prejudicial</w:t>
      </w:r>
      <w:r w:rsidRPr="00124DB1">
        <w:rPr>
          <w:lang w:val="en-CA"/>
        </w:rPr>
        <w:t xml:space="preserve"> in that </w:t>
      </w:r>
      <w:r w:rsidR="007E4B6E">
        <w:rPr>
          <w:lang w:val="en-CA"/>
        </w:rPr>
        <w:t>they</w:t>
      </w:r>
      <w:r w:rsidRPr="00124DB1">
        <w:rPr>
          <w:lang w:val="en-CA"/>
        </w:rPr>
        <w:t xml:space="preserve"> bring the very meaning of justice and the human rights protection system into disrepute.</w:t>
      </w:r>
      <w:r w:rsidR="00AD32E1" w:rsidRPr="00124DB1">
        <w:rPr>
          <w:rStyle w:val="Appelnotedebasdep"/>
          <w:szCs w:val="22"/>
          <w:lang w:val="en-CA"/>
        </w:rPr>
        <w:footnoteReference w:id="73"/>
      </w:r>
    </w:p>
    <w:p w14:paraId="004F9615" w14:textId="77777777" w:rsidR="00507A20" w:rsidRPr="00124DB1" w:rsidRDefault="00BB3A86" w:rsidP="00507A20">
      <w:pPr>
        <w:pStyle w:val="Citationenretrait"/>
        <w:jc w:val="right"/>
        <w:rPr>
          <w:sz w:val="20"/>
          <w:lang w:val="en-CA"/>
        </w:rPr>
      </w:pPr>
      <w:r w:rsidRPr="00124DB1">
        <w:rPr>
          <w:sz w:val="20"/>
          <w:lang w:val="en-CA"/>
        </w:rPr>
        <w:t>[Emphasis added.]</w:t>
      </w:r>
    </w:p>
    <w:p w14:paraId="083D425A" w14:textId="05D7C283" w:rsidR="00507A20" w:rsidRPr="00124DB1" w:rsidRDefault="00812BEA" w:rsidP="00507A20">
      <w:pPr>
        <w:pStyle w:val="Paragraphe"/>
        <w:tabs>
          <w:tab w:val="clear" w:pos="567"/>
        </w:tabs>
      </w:pPr>
      <w:r w:rsidRPr="00124DB1">
        <w:t xml:space="preserve">In doing so, the </w:t>
      </w:r>
      <w:r w:rsidR="00DD0C6B">
        <w:t>City</w:t>
      </w:r>
      <w:r w:rsidRPr="00124DB1">
        <w:t xml:space="preserve"> repeats the theory that the passing of an unusually long time when processing a complaint </w:t>
      </w:r>
      <w:r w:rsidR="006111AE" w:rsidRPr="00124DB1">
        <w:t>justifies</w:t>
      </w:r>
      <w:r w:rsidRPr="00124DB1">
        <w:t xml:space="preserve"> an inference that the person to whom the discriminatory act </w:t>
      </w:r>
      <w:proofErr w:type="gramStart"/>
      <w:r w:rsidRPr="00124DB1">
        <w:t>is attributed</w:t>
      </w:r>
      <w:proofErr w:type="gramEnd"/>
      <w:r w:rsidRPr="00124DB1">
        <w:t xml:space="preserve"> suffers, based solely on this, a prejudice justifying a stay of proceedings. </w:t>
      </w:r>
    </w:p>
    <w:p w14:paraId="31273C4E" w14:textId="6DA5CD03" w:rsidR="00507A20" w:rsidRPr="00124DB1" w:rsidRDefault="00812BEA" w:rsidP="00507A20">
      <w:pPr>
        <w:pStyle w:val="Paragraphe"/>
        <w:tabs>
          <w:tab w:val="clear" w:pos="567"/>
        </w:tabs>
      </w:pPr>
      <w:r w:rsidRPr="00124DB1">
        <w:t xml:space="preserve">In </w:t>
      </w:r>
      <w:r w:rsidRPr="00124DB1">
        <w:rPr>
          <w:i/>
        </w:rPr>
        <w:t xml:space="preserve">Commission des droits de la </w:t>
      </w:r>
      <w:proofErr w:type="spellStart"/>
      <w:r w:rsidRPr="00124DB1">
        <w:rPr>
          <w:i/>
        </w:rPr>
        <w:t>personne</w:t>
      </w:r>
      <w:proofErr w:type="spellEnd"/>
      <w:r w:rsidRPr="00124DB1">
        <w:rPr>
          <w:i/>
        </w:rPr>
        <w:t xml:space="preserve"> </w:t>
      </w:r>
      <w:proofErr w:type="gramStart"/>
      <w:r w:rsidRPr="00124DB1">
        <w:rPr>
          <w:i/>
        </w:rPr>
        <w:t>et</w:t>
      </w:r>
      <w:proofErr w:type="gramEnd"/>
      <w:r w:rsidRPr="00124DB1">
        <w:rPr>
          <w:i/>
        </w:rPr>
        <w:t xml:space="preserve"> des droits de la </w:t>
      </w:r>
      <w:proofErr w:type="spellStart"/>
      <w:r w:rsidRPr="00124DB1">
        <w:rPr>
          <w:i/>
        </w:rPr>
        <w:t>jeunesse</w:t>
      </w:r>
      <w:proofErr w:type="spellEnd"/>
      <w:r w:rsidRPr="00124DB1">
        <w:rPr>
          <w:i/>
        </w:rPr>
        <w:t xml:space="preserve"> (</w:t>
      </w:r>
      <w:proofErr w:type="spellStart"/>
      <w:r w:rsidRPr="00124DB1">
        <w:rPr>
          <w:i/>
        </w:rPr>
        <w:t>Desrosiers</w:t>
      </w:r>
      <w:proofErr w:type="spellEnd"/>
      <w:r w:rsidRPr="00124DB1">
        <w:rPr>
          <w:i/>
        </w:rPr>
        <w:t xml:space="preserve"> et </w:t>
      </w:r>
      <w:proofErr w:type="spellStart"/>
      <w:r w:rsidRPr="00124DB1">
        <w:rPr>
          <w:i/>
        </w:rPr>
        <w:t>autres</w:t>
      </w:r>
      <w:proofErr w:type="spellEnd"/>
      <w:r w:rsidRPr="00124DB1">
        <w:rPr>
          <w:i/>
        </w:rPr>
        <w:t xml:space="preserve">) c. Centre de la petite </w:t>
      </w:r>
      <w:proofErr w:type="spellStart"/>
      <w:r w:rsidRPr="00124DB1">
        <w:rPr>
          <w:i/>
        </w:rPr>
        <w:t>enfance</w:t>
      </w:r>
      <w:proofErr w:type="spellEnd"/>
      <w:r w:rsidRPr="00124DB1">
        <w:rPr>
          <w:i/>
        </w:rPr>
        <w:t xml:space="preserve"> Les </w:t>
      </w:r>
      <w:proofErr w:type="spellStart"/>
      <w:r w:rsidRPr="00124DB1">
        <w:rPr>
          <w:i/>
        </w:rPr>
        <w:t>Pandamis</w:t>
      </w:r>
      <w:proofErr w:type="spellEnd"/>
      <w:r w:rsidRPr="00124DB1">
        <w:rPr>
          <w:i/>
        </w:rPr>
        <w:t xml:space="preserve"> (</w:t>
      </w:r>
      <w:proofErr w:type="spellStart"/>
      <w:r w:rsidRPr="00124DB1">
        <w:rPr>
          <w:i/>
        </w:rPr>
        <w:t>Gardeurois</w:t>
      </w:r>
      <w:proofErr w:type="spellEnd"/>
      <w:r w:rsidRPr="00124DB1">
        <w:rPr>
          <w:i/>
        </w:rPr>
        <w:t>)</w:t>
      </w:r>
      <w:r w:rsidRPr="00124DB1">
        <w:t>,</w:t>
      </w:r>
      <w:r w:rsidR="00AD32E1" w:rsidRPr="00124DB1">
        <w:rPr>
          <w:rStyle w:val="Appelnotedebasdep"/>
        </w:rPr>
        <w:footnoteReference w:id="74"/>
      </w:r>
      <w:r w:rsidRPr="00124DB1">
        <w:t xml:space="preserve"> argued by </w:t>
      </w:r>
      <w:r w:rsidR="006111AE" w:rsidRPr="00124DB1">
        <w:t>the</w:t>
      </w:r>
      <w:r w:rsidRPr="00124DB1">
        <w:t xml:space="preserve"> </w:t>
      </w:r>
      <w:r w:rsidR="00DD0C6B">
        <w:t>City</w:t>
      </w:r>
      <w:r w:rsidRPr="00124DB1">
        <w:t xml:space="preserve">, 57 months had passed between the filing of the </w:t>
      </w:r>
      <w:r w:rsidR="006111AE" w:rsidRPr="00124DB1">
        <w:t>complaint</w:t>
      </w:r>
      <w:r w:rsidRPr="00124DB1">
        <w:t xml:space="preserve"> and the moment the proceeding was brought before </w:t>
      </w:r>
      <w:r w:rsidR="006111AE" w:rsidRPr="00124DB1">
        <w:t>the</w:t>
      </w:r>
      <w:r w:rsidRPr="00124DB1">
        <w:t xml:space="preserve"> Tribunal.</w:t>
      </w:r>
      <w:r w:rsidR="00AD32E1" w:rsidRPr="00124DB1">
        <w:rPr>
          <w:rFonts w:cs="Arial"/>
          <w:color w:val="000000"/>
        </w:rPr>
        <w:t xml:space="preserve"> </w:t>
      </w:r>
      <w:r w:rsidRPr="00124DB1">
        <w:rPr>
          <w:rFonts w:cs="Arial"/>
          <w:color w:val="000000"/>
        </w:rPr>
        <w:t xml:space="preserve">Incidentally, </w:t>
      </w:r>
      <w:r w:rsidR="00F10069" w:rsidRPr="00124DB1">
        <w:rPr>
          <w:rFonts w:cs="Arial"/>
          <w:color w:val="000000"/>
        </w:rPr>
        <w:t>in that file, there was</w:t>
      </w:r>
      <w:r w:rsidRPr="00124DB1">
        <w:rPr>
          <w:rFonts w:cs="Arial"/>
          <w:color w:val="000000"/>
        </w:rPr>
        <w:t xml:space="preserve"> a complete lack of communication by the </w:t>
      </w:r>
      <w:r w:rsidR="006111AE" w:rsidRPr="00124DB1">
        <w:rPr>
          <w:rFonts w:cs="Arial"/>
          <w:color w:val="000000"/>
        </w:rPr>
        <w:t>Commission</w:t>
      </w:r>
      <w:r w:rsidRPr="00124DB1">
        <w:rPr>
          <w:rFonts w:cs="Arial"/>
          <w:color w:val="000000"/>
        </w:rPr>
        <w:t xml:space="preserve"> for 43 months.</w:t>
      </w:r>
      <w:r w:rsidR="00AD32E1" w:rsidRPr="00124DB1">
        <w:rPr>
          <w:rFonts w:cs="Arial"/>
          <w:color w:val="000000"/>
        </w:rPr>
        <w:t> </w:t>
      </w:r>
    </w:p>
    <w:p w14:paraId="49415ABC" w14:textId="77777777" w:rsidR="00507A20" w:rsidRPr="00124DB1" w:rsidRDefault="00812BEA" w:rsidP="00507A20">
      <w:pPr>
        <w:pStyle w:val="Paragraphe"/>
        <w:tabs>
          <w:tab w:val="clear" w:pos="567"/>
        </w:tabs>
      </w:pPr>
      <w:r w:rsidRPr="00124DB1">
        <w:t>In this respect, the Tribunal concluded:</w:t>
      </w:r>
    </w:p>
    <w:p w14:paraId="52C7F9B0" w14:textId="7A88EBB3" w:rsidR="006111AE" w:rsidRPr="00124DB1" w:rsidRDefault="006111AE" w:rsidP="00507A20">
      <w:pPr>
        <w:pStyle w:val="Citationenretrait"/>
        <w:rPr>
          <w:lang w:val="en-CA"/>
        </w:rPr>
      </w:pPr>
      <w:r w:rsidRPr="00124DB1">
        <w:rPr>
          <w:lang w:val="en-CA"/>
        </w:rPr>
        <w:t>[</w:t>
      </w:r>
      <w:r w:rsidRPr="00124DB1">
        <w:rPr>
          <w:smallCaps/>
          <w:lang w:val="en-CA"/>
        </w:rPr>
        <w:t>translation</w:t>
      </w:r>
      <w:r w:rsidRPr="00124DB1">
        <w:rPr>
          <w:lang w:val="en-CA"/>
        </w:rPr>
        <w:t>]</w:t>
      </w:r>
    </w:p>
    <w:p w14:paraId="6B42CA27" w14:textId="07F1654D" w:rsidR="00507A20" w:rsidRPr="00124DB1" w:rsidRDefault="00812BEA" w:rsidP="00507A20">
      <w:pPr>
        <w:pStyle w:val="Citationenretrait"/>
        <w:rPr>
          <w:lang w:val="en-CA"/>
        </w:rPr>
      </w:pPr>
      <w:proofErr w:type="gramStart"/>
      <w:r w:rsidRPr="00124DB1">
        <w:rPr>
          <w:lang w:val="en-CA"/>
        </w:rPr>
        <w:t xml:space="preserve">[74] In the opinion of the Tribunal, there is a point where the combined effect of the length of the delay, the extended and unexplained period of inactivity during the investigation, the nature and apparent simplicity of the facts in dispute, the absence of factual complexity requiring the gathering of a significant amount of information, the fact that no undue delay can be attributed to the petitioner since it always acted promptly and in good faith, and the absence of explanations by the Commission at the hearing means that the </w:t>
      </w:r>
      <w:r w:rsidRPr="00124DB1">
        <w:rPr>
          <w:u w:val="single"/>
          <w:lang w:val="en-CA"/>
        </w:rPr>
        <w:t>delay is prejudicial in and of itself</w:t>
      </w:r>
      <w:r w:rsidRPr="007E4B6E">
        <w:rPr>
          <w:lang w:val="en-CA"/>
        </w:rPr>
        <w:t xml:space="preserve"> </w:t>
      </w:r>
      <w:r w:rsidRPr="00124DB1">
        <w:rPr>
          <w:lang w:val="en-CA"/>
        </w:rPr>
        <w:t>to the extent that it offends a sense of decency and fairness, and brings the human rights protection system into disrepute.</w:t>
      </w:r>
      <w:r w:rsidR="00AD32E1" w:rsidRPr="00124DB1">
        <w:rPr>
          <w:rStyle w:val="Appelnotedebasdep"/>
          <w:szCs w:val="22"/>
          <w:lang w:val="en-CA"/>
        </w:rPr>
        <w:footnoteReference w:id="75"/>
      </w:r>
      <w:proofErr w:type="gramEnd"/>
    </w:p>
    <w:p w14:paraId="7C52393E" w14:textId="77777777" w:rsidR="00507A20" w:rsidRPr="00124DB1" w:rsidRDefault="00BB3A86" w:rsidP="00507A20">
      <w:pPr>
        <w:pStyle w:val="Citationenretrait"/>
        <w:jc w:val="right"/>
        <w:rPr>
          <w:sz w:val="20"/>
          <w:lang w:val="en-CA"/>
        </w:rPr>
      </w:pPr>
      <w:r w:rsidRPr="00124DB1">
        <w:rPr>
          <w:sz w:val="20"/>
          <w:lang w:val="en-CA"/>
        </w:rPr>
        <w:t>[Emphasis added.]</w:t>
      </w:r>
    </w:p>
    <w:p w14:paraId="796B021F" w14:textId="5B276244" w:rsidR="00507A20" w:rsidRPr="00124DB1" w:rsidRDefault="00812BEA" w:rsidP="00507A20">
      <w:pPr>
        <w:pStyle w:val="Paragraphe"/>
        <w:tabs>
          <w:tab w:val="clear" w:pos="567"/>
          <w:tab w:val="num" w:pos="709"/>
        </w:tabs>
      </w:pPr>
      <w:r w:rsidRPr="00124DB1">
        <w:t xml:space="preserve">In </w:t>
      </w:r>
      <w:r w:rsidRPr="00124DB1">
        <w:rPr>
          <w:i/>
        </w:rPr>
        <w:t xml:space="preserve">Commission des droits de la </w:t>
      </w:r>
      <w:proofErr w:type="spellStart"/>
      <w:r w:rsidRPr="00124DB1">
        <w:rPr>
          <w:i/>
        </w:rPr>
        <w:t>personne</w:t>
      </w:r>
      <w:proofErr w:type="spellEnd"/>
      <w:r w:rsidRPr="00124DB1">
        <w:rPr>
          <w:i/>
        </w:rPr>
        <w:t xml:space="preserve"> </w:t>
      </w:r>
      <w:proofErr w:type="gramStart"/>
      <w:r w:rsidRPr="00124DB1">
        <w:rPr>
          <w:i/>
        </w:rPr>
        <w:t>et</w:t>
      </w:r>
      <w:proofErr w:type="gramEnd"/>
      <w:r w:rsidRPr="00124DB1">
        <w:rPr>
          <w:i/>
        </w:rPr>
        <w:t xml:space="preserve"> des droits de la </w:t>
      </w:r>
      <w:proofErr w:type="spellStart"/>
      <w:r w:rsidRPr="00124DB1">
        <w:rPr>
          <w:i/>
        </w:rPr>
        <w:t>jeunesse</w:t>
      </w:r>
      <w:proofErr w:type="spellEnd"/>
      <w:r w:rsidRPr="00124DB1">
        <w:rPr>
          <w:i/>
        </w:rPr>
        <w:t xml:space="preserve"> c. </w:t>
      </w:r>
      <w:proofErr w:type="spellStart"/>
      <w:r w:rsidRPr="00124DB1">
        <w:rPr>
          <w:i/>
        </w:rPr>
        <w:t>Manoir</w:t>
      </w:r>
      <w:proofErr w:type="spellEnd"/>
      <w:r w:rsidRPr="00124DB1">
        <w:rPr>
          <w:i/>
        </w:rPr>
        <w:t xml:space="preserve"> Archer </w:t>
      </w:r>
      <w:proofErr w:type="spellStart"/>
      <w:r w:rsidRPr="00124DB1">
        <w:rPr>
          <w:i/>
        </w:rPr>
        <w:t>inc</w:t>
      </w:r>
      <w:r w:rsidRPr="00124DB1">
        <w:t>.</w:t>
      </w:r>
      <w:proofErr w:type="spellEnd"/>
      <w:r w:rsidRPr="00124DB1">
        <w:t>,</w:t>
      </w:r>
      <w:r w:rsidR="00AD32E1" w:rsidRPr="00124DB1">
        <w:rPr>
          <w:rStyle w:val="Appelnotedebasdep"/>
        </w:rPr>
        <w:footnoteReference w:id="76"/>
      </w:r>
      <w:r w:rsidRPr="00124DB1">
        <w:t xml:space="preserve"> also submitted by the </w:t>
      </w:r>
      <w:r w:rsidR="00DD0C6B">
        <w:t>City</w:t>
      </w:r>
      <w:r w:rsidRPr="00124DB1">
        <w:t xml:space="preserve">, a delay of 65 months separated the moment the complaint was filed from its </w:t>
      </w:r>
      <w:proofErr w:type="spellStart"/>
      <w:r w:rsidRPr="00124DB1">
        <w:t>judicialization</w:t>
      </w:r>
      <w:proofErr w:type="spellEnd"/>
      <w:r w:rsidRPr="00124DB1">
        <w:t>.</w:t>
      </w:r>
      <w:r w:rsidR="00AD32E1" w:rsidRPr="00124DB1">
        <w:t xml:space="preserve"> </w:t>
      </w:r>
      <w:r w:rsidRPr="00124DB1">
        <w:t xml:space="preserve">The Tribunal concluded that this delay was one </w:t>
      </w:r>
      <w:r w:rsidRPr="00124DB1">
        <w:lastRenderedPageBreak/>
        <w:t xml:space="preserve">that </w:t>
      </w:r>
      <w:r w:rsidR="00B54627" w:rsidRPr="00124DB1">
        <w:t>[</w:t>
      </w:r>
      <w:r w:rsidR="00B54627" w:rsidRPr="00124DB1">
        <w:rPr>
          <w:smallCaps/>
        </w:rPr>
        <w:t>translation</w:t>
      </w:r>
      <w:r w:rsidR="00B54627" w:rsidRPr="00124DB1">
        <w:t xml:space="preserve">] </w:t>
      </w:r>
      <w:r w:rsidRPr="00124DB1">
        <w:t>“is prejudicial in and of itself”</w:t>
      </w:r>
      <w:r w:rsidR="00AD32E1" w:rsidRPr="00124DB1">
        <w:rPr>
          <w:rStyle w:val="Appelnotedebasdep"/>
        </w:rPr>
        <w:footnoteReference w:id="77"/>
      </w:r>
      <w:r w:rsidRPr="00124DB1">
        <w:t xml:space="preserve"> because it reveal</w:t>
      </w:r>
      <w:r w:rsidR="00F10069" w:rsidRPr="00124DB1">
        <w:t>ed</w:t>
      </w:r>
      <w:r w:rsidRPr="00124DB1">
        <w:t xml:space="preserve"> an </w:t>
      </w:r>
      <w:r w:rsidR="00B54627" w:rsidRPr="00124DB1">
        <w:t>[</w:t>
      </w:r>
      <w:r w:rsidR="00B54627" w:rsidRPr="00124DB1">
        <w:rPr>
          <w:smallCaps/>
        </w:rPr>
        <w:t>translation</w:t>
      </w:r>
      <w:r w:rsidR="00B54627" w:rsidRPr="00124DB1">
        <w:t xml:space="preserve">] </w:t>
      </w:r>
      <w:r w:rsidRPr="00124DB1">
        <w:t xml:space="preserve">“abuse of </w:t>
      </w:r>
      <w:r w:rsidR="00F10069" w:rsidRPr="00124DB1">
        <w:t>procedure</w:t>
      </w:r>
      <w:r w:rsidRPr="00124DB1">
        <w:t>”,</w:t>
      </w:r>
      <w:r w:rsidR="00AD32E1" w:rsidRPr="00124DB1">
        <w:rPr>
          <w:rStyle w:val="Appelnotedebasdep"/>
        </w:rPr>
        <w:footnoteReference w:id="78"/>
      </w:r>
      <w:r w:rsidRPr="00124DB1">
        <w:t xml:space="preserve"> </w:t>
      </w:r>
      <w:proofErr w:type="gramStart"/>
      <w:r w:rsidRPr="00124DB1">
        <w:t>but nevertheless</w:t>
      </w:r>
      <w:proofErr w:type="gramEnd"/>
      <w:r w:rsidRPr="00124DB1">
        <w:t xml:space="preserve"> refused to order a stay of proceedings.</w:t>
      </w:r>
    </w:p>
    <w:p w14:paraId="193D502E" w14:textId="7E0925DD" w:rsidR="00507A20" w:rsidRPr="00124DB1" w:rsidRDefault="00812BEA" w:rsidP="00507A20">
      <w:pPr>
        <w:pStyle w:val="Paragraphe"/>
        <w:tabs>
          <w:tab w:val="clear" w:pos="567"/>
          <w:tab w:val="num" w:pos="709"/>
        </w:tabs>
      </w:pPr>
      <w:r w:rsidRPr="00124DB1">
        <w:t xml:space="preserve">The Court of Appeal of Quebec did not call into question the Tribunal’s conclusion on the intrinsically prejudicial nature of </w:t>
      </w:r>
      <w:r w:rsidR="002268E2" w:rsidRPr="00124DB1">
        <w:t xml:space="preserve">the </w:t>
      </w:r>
      <w:r w:rsidRPr="00124DB1">
        <w:t xml:space="preserve">delay but did </w:t>
      </w:r>
      <w:proofErr w:type="gramStart"/>
      <w:r w:rsidRPr="00124DB1">
        <w:t>consider, however,</w:t>
      </w:r>
      <w:proofErr w:type="gramEnd"/>
      <w:r w:rsidRPr="00124DB1">
        <w:t xml:space="preserve"> that </w:t>
      </w:r>
      <w:r w:rsidR="00B54627" w:rsidRPr="00124DB1">
        <w:t>[</w:t>
      </w:r>
      <w:r w:rsidR="00B54627" w:rsidRPr="00124DB1">
        <w:rPr>
          <w:smallCaps/>
        </w:rPr>
        <w:t>translation</w:t>
      </w:r>
      <w:r w:rsidR="00B54627" w:rsidRPr="00124DB1">
        <w:t xml:space="preserve">] </w:t>
      </w:r>
      <w:r w:rsidRPr="00124DB1">
        <w:t>“the Tribunal acted unreasonably by failing to order a stay of proceedings”.</w:t>
      </w:r>
      <w:r w:rsidR="00AD32E1" w:rsidRPr="00124DB1">
        <w:rPr>
          <w:rStyle w:val="Appelnotedebasdep"/>
        </w:rPr>
        <w:footnoteReference w:id="79"/>
      </w:r>
    </w:p>
    <w:p w14:paraId="6039C45C" w14:textId="5F0C965E" w:rsidR="00507A20" w:rsidRPr="00124DB1" w:rsidRDefault="00812BEA" w:rsidP="00507A20">
      <w:pPr>
        <w:pStyle w:val="Paragraphe"/>
        <w:tabs>
          <w:tab w:val="clear" w:pos="567"/>
          <w:tab w:val="num" w:pos="709"/>
        </w:tabs>
      </w:pPr>
      <w:r w:rsidRPr="00124DB1">
        <w:t xml:space="preserve">It remains that a dismissal for abuse of </w:t>
      </w:r>
      <w:r w:rsidR="002268E2" w:rsidRPr="00124DB1">
        <w:t>procedure</w:t>
      </w:r>
      <w:r w:rsidRPr="00124DB1">
        <w:t xml:space="preserve"> must be an </w:t>
      </w:r>
      <w:r w:rsidR="00B54627" w:rsidRPr="00124DB1">
        <w:t>[</w:t>
      </w:r>
      <w:r w:rsidR="00B54627" w:rsidRPr="00124DB1">
        <w:rPr>
          <w:smallCaps/>
        </w:rPr>
        <w:t>translation</w:t>
      </w:r>
      <w:r w:rsidR="00B54627" w:rsidRPr="00124DB1">
        <w:t xml:space="preserve">] </w:t>
      </w:r>
      <w:r w:rsidRPr="00124DB1">
        <w:t>“exceptional measure reserved for extreme cases”</w:t>
      </w:r>
      <w:r w:rsidR="00AD32E1" w:rsidRPr="00124DB1">
        <w:rPr>
          <w:rStyle w:val="Appelnotedebasdep"/>
        </w:rPr>
        <w:footnoteReference w:id="80"/>
      </w:r>
      <w:r w:rsidRPr="00124DB1">
        <w:t xml:space="preserve"> due to its devastating effect on the right of </w:t>
      </w:r>
      <w:r w:rsidR="00B54627" w:rsidRPr="00124DB1">
        <w:t>the</w:t>
      </w:r>
      <w:r w:rsidRPr="00124DB1">
        <w:t xml:space="preserve"> alleged victim of discrimination to access justice.</w:t>
      </w:r>
    </w:p>
    <w:p w14:paraId="232EDA7C" w14:textId="0F5AB4A2" w:rsidR="00507A20" w:rsidRPr="00124DB1" w:rsidRDefault="00812BEA" w:rsidP="00507A20">
      <w:pPr>
        <w:pStyle w:val="Paragraphe"/>
        <w:tabs>
          <w:tab w:val="clear" w:pos="567"/>
          <w:tab w:val="num" w:pos="709"/>
        </w:tabs>
      </w:pPr>
      <w:r w:rsidRPr="00124DB1">
        <w:t xml:space="preserve">In </w:t>
      </w:r>
      <w:r w:rsidRPr="00124DB1">
        <w:rPr>
          <w:i/>
        </w:rPr>
        <w:t xml:space="preserve">Commission des droits de la </w:t>
      </w:r>
      <w:proofErr w:type="spellStart"/>
      <w:r w:rsidRPr="00124DB1">
        <w:rPr>
          <w:i/>
        </w:rPr>
        <w:t>personne</w:t>
      </w:r>
      <w:proofErr w:type="spellEnd"/>
      <w:r w:rsidRPr="00124DB1">
        <w:rPr>
          <w:i/>
        </w:rPr>
        <w:t xml:space="preserve"> et des droits de la </w:t>
      </w:r>
      <w:proofErr w:type="spellStart"/>
      <w:r w:rsidRPr="00124DB1">
        <w:rPr>
          <w:i/>
        </w:rPr>
        <w:t>jeunesse</w:t>
      </w:r>
      <w:proofErr w:type="spellEnd"/>
      <w:r w:rsidRPr="00124DB1">
        <w:rPr>
          <w:i/>
        </w:rPr>
        <w:t xml:space="preserve"> (</w:t>
      </w:r>
      <w:proofErr w:type="spellStart"/>
      <w:r w:rsidRPr="00124DB1">
        <w:rPr>
          <w:i/>
        </w:rPr>
        <w:t>Asmar</w:t>
      </w:r>
      <w:proofErr w:type="spellEnd"/>
      <w:r w:rsidRPr="00124DB1">
        <w:rPr>
          <w:i/>
        </w:rPr>
        <w:t>) c. Ville de Montréal (Service de police de la Ville de Montréal) (</w:t>
      </w:r>
      <w:r w:rsidR="00E06C8D" w:rsidRPr="00A34F57">
        <w:rPr>
          <w:i/>
        </w:rPr>
        <w:t>«</w:t>
      </w:r>
      <w:r w:rsidRPr="00124DB1">
        <w:rPr>
          <w:i/>
        </w:rPr>
        <w:t>SPVM</w:t>
      </w:r>
      <w:r w:rsidR="00E06C8D" w:rsidRPr="00A34F57">
        <w:rPr>
          <w:i/>
        </w:rPr>
        <w:t>»</w:t>
      </w:r>
      <w:r w:rsidRPr="00124DB1">
        <w:rPr>
          <w:i/>
        </w:rPr>
        <w:t>)</w:t>
      </w:r>
      <w:r w:rsidRPr="00124DB1">
        <w:t>,</w:t>
      </w:r>
      <w:r w:rsidR="00AD32E1" w:rsidRPr="00124DB1">
        <w:rPr>
          <w:rStyle w:val="Appelnotedebasdep"/>
        </w:rPr>
        <w:footnoteReference w:id="81"/>
      </w:r>
      <w:r w:rsidRPr="00124DB1">
        <w:t xml:space="preserve"> the Tribunal granted the application to dismiss brought by the </w:t>
      </w:r>
      <w:r w:rsidR="00DD0C6B">
        <w:t>City</w:t>
      </w:r>
      <w:r w:rsidRPr="00124DB1">
        <w:t xml:space="preserve"> because 88 months </w:t>
      </w:r>
      <w:r w:rsidR="00E06C8D" w:rsidRPr="00124DB1">
        <w:t xml:space="preserve">had </w:t>
      </w:r>
      <w:r w:rsidRPr="00124DB1">
        <w:t>passed between the moment the discrimination complaint was filed and the originating application:</w:t>
      </w:r>
    </w:p>
    <w:p w14:paraId="617A9ECC" w14:textId="48850150" w:rsidR="00B54627" w:rsidRPr="00124DB1" w:rsidRDefault="00B54627" w:rsidP="00507A20">
      <w:pPr>
        <w:pStyle w:val="Citationenretrait"/>
        <w:rPr>
          <w:lang w:val="en-CA"/>
        </w:rPr>
      </w:pPr>
      <w:r w:rsidRPr="00124DB1">
        <w:rPr>
          <w:lang w:val="en-CA"/>
        </w:rPr>
        <w:t>[</w:t>
      </w:r>
      <w:r w:rsidRPr="00124DB1">
        <w:rPr>
          <w:smallCaps/>
          <w:lang w:val="en-CA"/>
        </w:rPr>
        <w:t>translation</w:t>
      </w:r>
      <w:r w:rsidRPr="00124DB1">
        <w:rPr>
          <w:lang w:val="en-CA"/>
        </w:rPr>
        <w:t>]</w:t>
      </w:r>
    </w:p>
    <w:p w14:paraId="57809173" w14:textId="55C5DCF8" w:rsidR="00507A20" w:rsidRPr="00124DB1" w:rsidRDefault="00812BEA" w:rsidP="00507A20">
      <w:pPr>
        <w:pStyle w:val="Citationenretrait"/>
        <w:rPr>
          <w:lang w:val="en-CA"/>
        </w:rPr>
      </w:pPr>
      <w:r w:rsidRPr="00124DB1">
        <w:rPr>
          <w:lang w:val="en-CA"/>
        </w:rPr>
        <w:t>[127</w:t>
      </w:r>
      <w:proofErr w:type="gramStart"/>
      <w:r w:rsidRPr="00124DB1">
        <w:rPr>
          <w:lang w:val="en-CA"/>
        </w:rPr>
        <w:t xml:space="preserve">] </w:t>
      </w:r>
      <w:r w:rsidR="00E06C8D" w:rsidRPr="007E4B6E">
        <w:rPr>
          <w:color w:val="000000"/>
          <w:sz w:val="14"/>
          <w:szCs w:val="14"/>
          <w:lang w:val="en-CA"/>
        </w:rPr>
        <w:t> </w:t>
      </w:r>
      <w:r w:rsidR="00E06C8D" w:rsidRPr="007E4B6E">
        <w:rPr>
          <w:rFonts w:cs="Arial"/>
          <w:color w:val="000000"/>
          <w:lang w:val="en-CA"/>
        </w:rPr>
        <w:t>Everyone</w:t>
      </w:r>
      <w:proofErr w:type="gramEnd"/>
      <w:r w:rsidR="00E06C8D" w:rsidRPr="007E4B6E">
        <w:rPr>
          <w:rFonts w:cs="Arial"/>
          <w:color w:val="000000"/>
          <w:lang w:val="en-CA"/>
        </w:rPr>
        <w:t xml:space="preserve"> is in agreement that proceedings are only dismissed for delays in exceptional cases. Here, the Tribunal </w:t>
      </w:r>
      <w:proofErr w:type="gramStart"/>
      <w:r w:rsidR="00E06C8D" w:rsidRPr="007E4B6E">
        <w:rPr>
          <w:rFonts w:cs="Arial"/>
          <w:color w:val="000000"/>
          <w:lang w:val="en-CA"/>
        </w:rPr>
        <w:t>is seized</w:t>
      </w:r>
      <w:proofErr w:type="gramEnd"/>
      <w:r w:rsidR="00E06C8D" w:rsidRPr="007E4B6E">
        <w:rPr>
          <w:rFonts w:cs="Arial"/>
          <w:color w:val="000000"/>
          <w:lang w:val="en-CA"/>
        </w:rPr>
        <w:t xml:space="preserve"> of an exceptional case that requires exceptional treatment. A delay of 88 months is, </w:t>
      </w:r>
      <w:r w:rsidR="00E06C8D" w:rsidRPr="007E4B6E">
        <w:rPr>
          <w:rFonts w:cs="Arial"/>
          <w:color w:val="000000"/>
          <w:u w:val="single"/>
          <w:lang w:val="en-CA"/>
        </w:rPr>
        <w:t>on its face, excessive and unreasonable</w:t>
      </w:r>
      <w:r w:rsidR="00E06C8D" w:rsidRPr="007E4B6E">
        <w:rPr>
          <w:rFonts w:cs="Arial"/>
          <w:color w:val="000000"/>
          <w:lang w:val="en-CA"/>
        </w:rPr>
        <w:t xml:space="preserve"> in the particular circumstances of this case.</w:t>
      </w:r>
      <w:r w:rsidR="00AD32E1" w:rsidRPr="00124DB1">
        <w:rPr>
          <w:rStyle w:val="Appelnotedebasdep"/>
          <w:szCs w:val="22"/>
          <w:lang w:val="en-CA"/>
        </w:rPr>
        <w:footnoteReference w:id="82"/>
      </w:r>
      <w:r w:rsidR="00AD32E1" w:rsidRPr="00124DB1">
        <w:rPr>
          <w:lang w:val="en-CA"/>
        </w:rPr>
        <w:t xml:space="preserve"> </w:t>
      </w:r>
    </w:p>
    <w:p w14:paraId="7A58D0C6" w14:textId="77777777" w:rsidR="00507A20" w:rsidRPr="00124DB1" w:rsidRDefault="00BB3A86" w:rsidP="00507A20">
      <w:pPr>
        <w:pStyle w:val="Citationenretrait"/>
        <w:jc w:val="right"/>
        <w:rPr>
          <w:sz w:val="20"/>
          <w:lang w:val="en-CA"/>
        </w:rPr>
      </w:pPr>
      <w:r w:rsidRPr="00124DB1">
        <w:rPr>
          <w:sz w:val="20"/>
          <w:lang w:val="en-CA"/>
        </w:rPr>
        <w:t>[Emphasis added.]</w:t>
      </w:r>
    </w:p>
    <w:p w14:paraId="3C4E40A1" w14:textId="29723C93" w:rsidR="00507A20" w:rsidRPr="00124DB1" w:rsidRDefault="00812BEA" w:rsidP="00507A20">
      <w:pPr>
        <w:pStyle w:val="Paragraphe"/>
        <w:tabs>
          <w:tab w:val="clear" w:pos="567"/>
          <w:tab w:val="num" w:pos="709"/>
        </w:tabs>
      </w:pPr>
      <w:r w:rsidRPr="00124DB1">
        <w:t xml:space="preserve">In </w:t>
      </w:r>
      <w:r w:rsidRPr="00124DB1">
        <w:rPr>
          <w:i/>
        </w:rPr>
        <w:t>Miller</w:t>
      </w:r>
      <w:r w:rsidRPr="00124DB1">
        <w:t>,</w:t>
      </w:r>
      <w:r w:rsidR="00AD32E1" w:rsidRPr="00124DB1">
        <w:rPr>
          <w:rStyle w:val="Appelnotedebasdep"/>
        </w:rPr>
        <w:footnoteReference w:id="83"/>
      </w:r>
      <w:r w:rsidR="00AD32E1" w:rsidRPr="00124DB1">
        <w:t xml:space="preserve"> </w:t>
      </w:r>
      <w:r w:rsidR="00E06C8D" w:rsidRPr="00124DB1">
        <w:t xml:space="preserve">nearly 77 months, that is, almost 6 and a half years, had passed between the filing of the discrimination complaints and the bringing of the proceeding. </w:t>
      </w:r>
      <w:r w:rsidRPr="00124DB1">
        <w:t>At trial, the Tribunal pointed out that</w:t>
      </w:r>
      <w:r w:rsidR="00B54627" w:rsidRPr="00124DB1">
        <w:t xml:space="preserve"> [</w:t>
      </w:r>
      <w:r w:rsidR="00B54627" w:rsidRPr="00124DB1">
        <w:rPr>
          <w:smallCaps/>
        </w:rPr>
        <w:t>translation</w:t>
      </w:r>
      <w:r w:rsidR="00B54627" w:rsidRPr="00124DB1">
        <w:t>]</w:t>
      </w:r>
      <w:r w:rsidRPr="00124DB1">
        <w:t xml:space="preserve"> “</w:t>
      </w:r>
      <w:r w:rsidR="00972D2B" w:rsidRPr="00124DB1">
        <w:rPr>
          <w:rFonts w:cs="Arial"/>
          <w:color w:val="000000"/>
        </w:rPr>
        <w:t>the witnesses’ memories had been</w:t>
      </w:r>
      <w:r w:rsidRPr="00124DB1">
        <w:t xml:space="preserve"> seriously altered by the passage of time”,</w:t>
      </w:r>
      <w:r w:rsidR="00AD32E1" w:rsidRPr="00124DB1">
        <w:rPr>
          <w:rStyle w:val="Appelnotedebasdep"/>
        </w:rPr>
        <w:footnoteReference w:id="84"/>
      </w:r>
      <w:r w:rsidRPr="00124DB1">
        <w:t xml:space="preserve"> and that </w:t>
      </w:r>
      <w:r w:rsidR="00B54627" w:rsidRPr="00124DB1">
        <w:t>[</w:t>
      </w:r>
      <w:r w:rsidR="00B54627" w:rsidRPr="00124DB1">
        <w:rPr>
          <w:smallCaps/>
        </w:rPr>
        <w:t>translation</w:t>
      </w:r>
      <w:r w:rsidR="00B54627" w:rsidRPr="00124DB1">
        <w:t xml:space="preserve">] </w:t>
      </w:r>
      <w:r w:rsidRPr="00124DB1">
        <w:t xml:space="preserve">“some </w:t>
      </w:r>
      <w:r w:rsidR="00972D2B" w:rsidRPr="00124DB1">
        <w:t xml:space="preserve">of the </w:t>
      </w:r>
      <w:r w:rsidRPr="00124DB1">
        <w:t>physical evidence</w:t>
      </w:r>
      <w:r w:rsidR="00972D2B" w:rsidRPr="00124DB1">
        <w:t xml:space="preserve"> ha[d] been</w:t>
      </w:r>
      <w:r w:rsidRPr="00124DB1">
        <w:t xml:space="preserve"> destroyed due to the passage of time”.</w:t>
      </w:r>
      <w:r w:rsidR="00AD32E1" w:rsidRPr="00124DB1">
        <w:rPr>
          <w:rStyle w:val="Appelnotedebasdep"/>
        </w:rPr>
        <w:footnoteReference w:id="85"/>
      </w:r>
      <w:r w:rsidR="00AD32E1" w:rsidRPr="00124DB1">
        <w:t xml:space="preserve"> </w:t>
      </w:r>
      <w:r w:rsidRPr="00124DB1">
        <w:t xml:space="preserve">This led to the observation that there was an </w:t>
      </w:r>
      <w:r w:rsidR="00B54627" w:rsidRPr="00124DB1">
        <w:t>[</w:t>
      </w:r>
      <w:r w:rsidR="00B54627" w:rsidRPr="00124DB1">
        <w:rPr>
          <w:smallCaps/>
        </w:rPr>
        <w:t>translation</w:t>
      </w:r>
      <w:r w:rsidR="00B54627" w:rsidRPr="00124DB1">
        <w:t xml:space="preserve">] </w:t>
      </w:r>
      <w:r w:rsidRPr="00124DB1">
        <w:t xml:space="preserve">“abuse of </w:t>
      </w:r>
      <w:r w:rsidR="009B79E7" w:rsidRPr="00124DB1">
        <w:t>procedure</w:t>
      </w:r>
      <w:r w:rsidRPr="00124DB1">
        <w:t xml:space="preserve">” that justified dismissing the </w:t>
      </w:r>
      <w:r w:rsidR="00B54627" w:rsidRPr="00124DB1">
        <w:t>Commission’s</w:t>
      </w:r>
      <w:r w:rsidRPr="00124DB1">
        <w:t xml:space="preserve"> proceeding:</w:t>
      </w:r>
    </w:p>
    <w:p w14:paraId="5E2BC902" w14:textId="7148A4D4" w:rsidR="00B54627" w:rsidRPr="00124DB1" w:rsidRDefault="00B54627" w:rsidP="00507A20">
      <w:pPr>
        <w:pStyle w:val="Citationenretrait"/>
        <w:rPr>
          <w:lang w:val="en-CA"/>
        </w:rPr>
      </w:pPr>
      <w:r w:rsidRPr="00124DB1">
        <w:rPr>
          <w:lang w:val="en-CA"/>
        </w:rPr>
        <w:lastRenderedPageBreak/>
        <w:t>[</w:t>
      </w:r>
      <w:r w:rsidRPr="00124DB1">
        <w:rPr>
          <w:smallCaps/>
          <w:lang w:val="en-CA"/>
        </w:rPr>
        <w:t>translation</w:t>
      </w:r>
      <w:r w:rsidRPr="00124DB1">
        <w:rPr>
          <w:lang w:val="en-CA"/>
        </w:rPr>
        <w:t>]</w:t>
      </w:r>
    </w:p>
    <w:p w14:paraId="21122E57" w14:textId="40463634" w:rsidR="00507A20" w:rsidRPr="00124DB1" w:rsidRDefault="00812BEA" w:rsidP="00507A20">
      <w:pPr>
        <w:pStyle w:val="Citationenretrait"/>
        <w:rPr>
          <w:lang w:val="en-CA"/>
        </w:rPr>
      </w:pPr>
      <w:r w:rsidRPr="00124DB1">
        <w:rPr>
          <w:lang w:val="en-CA"/>
        </w:rPr>
        <w:t xml:space="preserve">[569] </w:t>
      </w:r>
      <w:proofErr w:type="gramStart"/>
      <w:r w:rsidR="009B79E7" w:rsidRPr="007E4B6E">
        <w:rPr>
          <w:rFonts w:cs="Arial"/>
          <w:color w:val="000000"/>
          <w:lang w:val="en-CA"/>
        </w:rPr>
        <w:t>It</w:t>
      </w:r>
      <w:proofErr w:type="gramEnd"/>
      <w:r w:rsidR="009B79E7" w:rsidRPr="007E4B6E">
        <w:rPr>
          <w:rFonts w:cs="Arial"/>
          <w:color w:val="000000"/>
          <w:lang w:val="en-CA"/>
        </w:rPr>
        <w:t xml:space="preserve"> must be noted that the Commission was unacceptably slow in handling this file, to the detriment of not only the complainant parties, but also the community, which has an important interest in seeing human rights cases decided with diligence by a tribunal. Such delays bring the human rights protection system into disrepute and undermine citizens’ confidence in it.</w:t>
      </w:r>
    </w:p>
    <w:p w14:paraId="51888EE1" w14:textId="249E270A" w:rsidR="00507A20" w:rsidRPr="00124DB1" w:rsidRDefault="00812BEA" w:rsidP="00507A20">
      <w:pPr>
        <w:pStyle w:val="Citationenretrait"/>
        <w:rPr>
          <w:lang w:val="en-CA"/>
        </w:rPr>
      </w:pPr>
      <w:r w:rsidRPr="00124DB1">
        <w:rPr>
          <w:lang w:val="en-CA"/>
        </w:rPr>
        <w:t xml:space="preserve">[570] </w:t>
      </w:r>
      <w:r w:rsidR="009B79E7" w:rsidRPr="007E4B6E">
        <w:rPr>
          <w:rFonts w:cs="Arial"/>
          <w:color w:val="000000"/>
          <w:lang w:val="en-CA"/>
        </w:rPr>
        <w:t>In the circumstances, considering the 77-month delay, of which 65 months are attributable to the Commission, and the 15-month delay between the adoption of the resolutions by the complaints committee and their notification to the parties, this exceptional case warrants the exceptional remedy of the dismissal of the action</w:t>
      </w:r>
      <w:r w:rsidR="009B79E7" w:rsidRPr="00124DB1">
        <w:rPr>
          <w:rFonts w:cs="Arial"/>
          <w:color w:val="000000"/>
          <w:lang w:val="en-CA"/>
        </w:rPr>
        <w:t>.</w:t>
      </w:r>
      <w:r w:rsidR="00AD32E1" w:rsidRPr="00124DB1">
        <w:rPr>
          <w:rStyle w:val="Appelnotedebasdep"/>
          <w:szCs w:val="22"/>
          <w:lang w:val="en-CA"/>
        </w:rPr>
        <w:footnoteReference w:id="86"/>
      </w:r>
    </w:p>
    <w:p w14:paraId="7EDE2E51" w14:textId="361B0B0A" w:rsidR="00507A20" w:rsidRPr="00124DB1" w:rsidRDefault="00D442A8" w:rsidP="00507A20">
      <w:pPr>
        <w:pStyle w:val="Paragraphe"/>
        <w:tabs>
          <w:tab w:val="clear" w:pos="567"/>
          <w:tab w:val="num" w:pos="709"/>
        </w:tabs>
      </w:pPr>
      <w:r w:rsidRPr="00124DB1">
        <w:t xml:space="preserve">In </w:t>
      </w:r>
      <w:r w:rsidRPr="00124DB1">
        <w:rPr>
          <w:i/>
        </w:rPr>
        <w:t xml:space="preserve">Commission des droits de la </w:t>
      </w:r>
      <w:proofErr w:type="spellStart"/>
      <w:r w:rsidRPr="00124DB1">
        <w:rPr>
          <w:i/>
        </w:rPr>
        <w:t>personne</w:t>
      </w:r>
      <w:proofErr w:type="spellEnd"/>
      <w:r w:rsidRPr="00124DB1">
        <w:rPr>
          <w:i/>
        </w:rPr>
        <w:t xml:space="preserve"> </w:t>
      </w:r>
      <w:proofErr w:type="gramStart"/>
      <w:r w:rsidRPr="00124DB1">
        <w:rPr>
          <w:i/>
        </w:rPr>
        <w:t>et</w:t>
      </w:r>
      <w:proofErr w:type="gramEnd"/>
      <w:r w:rsidRPr="00124DB1">
        <w:rPr>
          <w:i/>
        </w:rPr>
        <w:t xml:space="preserve"> des droits de la </w:t>
      </w:r>
      <w:proofErr w:type="spellStart"/>
      <w:r w:rsidRPr="00124DB1">
        <w:rPr>
          <w:i/>
        </w:rPr>
        <w:t>jeunesse</w:t>
      </w:r>
      <w:proofErr w:type="spellEnd"/>
      <w:r w:rsidRPr="00124DB1">
        <w:rPr>
          <w:i/>
        </w:rPr>
        <w:t xml:space="preserve"> (N.R.) c. </w:t>
      </w:r>
      <w:proofErr w:type="spellStart"/>
      <w:r w:rsidRPr="00124DB1">
        <w:rPr>
          <w:i/>
        </w:rPr>
        <w:t>Procureure</w:t>
      </w:r>
      <w:proofErr w:type="spellEnd"/>
      <w:r w:rsidRPr="00124DB1">
        <w:rPr>
          <w:i/>
        </w:rPr>
        <w:t xml:space="preserve"> </w:t>
      </w:r>
      <w:proofErr w:type="spellStart"/>
      <w:r w:rsidRPr="00124DB1">
        <w:rPr>
          <w:i/>
        </w:rPr>
        <w:t>générale</w:t>
      </w:r>
      <w:proofErr w:type="spellEnd"/>
      <w:r w:rsidRPr="00124DB1">
        <w:rPr>
          <w:i/>
        </w:rPr>
        <w:t xml:space="preserve"> du Québec (</w:t>
      </w:r>
      <w:proofErr w:type="spellStart"/>
      <w:r w:rsidRPr="00124DB1">
        <w:rPr>
          <w:i/>
        </w:rPr>
        <w:t>Sûreté</w:t>
      </w:r>
      <w:proofErr w:type="spellEnd"/>
      <w:r w:rsidRPr="00124DB1">
        <w:rPr>
          <w:i/>
        </w:rPr>
        <w:t xml:space="preserve"> du Québec)</w:t>
      </w:r>
      <w:r w:rsidRPr="00124DB1">
        <w:t>,</w:t>
      </w:r>
      <w:r w:rsidR="00AD32E1" w:rsidRPr="00124DB1">
        <w:rPr>
          <w:rStyle w:val="Appelnotedebasdep"/>
        </w:rPr>
        <w:footnoteReference w:id="87"/>
      </w:r>
      <w:r w:rsidR="009B79E7" w:rsidRPr="00124DB1">
        <w:t xml:space="preserve"> two defendants were each seeking the dismissal of a proceeding that had been brought against them.</w:t>
      </w:r>
      <w:r w:rsidRPr="00124DB1">
        <w:t xml:space="preserve"> </w:t>
      </w:r>
    </w:p>
    <w:p w14:paraId="2CA3DECD" w14:textId="503D298D" w:rsidR="00507A20" w:rsidRPr="00124DB1" w:rsidRDefault="00D442A8" w:rsidP="00507A20">
      <w:pPr>
        <w:pStyle w:val="Paragraphe"/>
        <w:tabs>
          <w:tab w:val="clear" w:pos="567"/>
          <w:tab w:val="num" w:pos="709"/>
        </w:tabs>
      </w:pPr>
      <w:r w:rsidRPr="00124DB1">
        <w:t xml:space="preserve">The processing time for a discrimination complaint leading up to the exercise of the proceeding by the </w:t>
      </w:r>
      <w:r w:rsidR="00823DF1" w:rsidRPr="00124DB1">
        <w:t>Commission</w:t>
      </w:r>
      <w:r w:rsidRPr="00124DB1">
        <w:t xml:space="preserve"> spread over a period of </w:t>
      </w:r>
      <w:r w:rsidR="00823DF1" w:rsidRPr="00124DB1">
        <w:t>[</w:t>
      </w:r>
      <w:r w:rsidR="00823DF1" w:rsidRPr="00124DB1">
        <w:rPr>
          <w:smallCaps/>
        </w:rPr>
        <w:t>translation</w:t>
      </w:r>
      <w:r w:rsidR="00823DF1" w:rsidRPr="00124DB1">
        <w:t xml:space="preserve">] </w:t>
      </w:r>
      <w:r w:rsidRPr="00124DB1">
        <w:t>“5 years, 3 months, and 9 days”, that is</w:t>
      </w:r>
      <w:r w:rsidR="00823DF1" w:rsidRPr="00124DB1">
        <w:t xml:space="preserve"> [</w:t>
      </w:r>
      <w:r w:rsidR="00823DF1" w:rsidRPr="00124DB1">
        <w:rPr>
          <w:smallCaps/>
        </w:rPr>
        <w:t>translation</w:t>
      </w:r>
      <w:r w:rsidR="00823DF1" w:rsidRPr="00124DB1">
        <w:t>]</w:t>
      </w:r>
      <w:r w:rsidRPr="00124DB1">
        <w:t xml:space="preserve"> “over 63 months”.</w:t>
      </w:r>
      <w:r w:rsidR="00AD32E1" w:rsidRPr="00124DB1">
        <w:rPr>
          <w:rStyle w:val="Appelnotedebasdep"/>
        </w:rPr>
        <w:footnoteReference w:id="88"/>
      </w:r>
      <w:r w:rsidR="00AD32E1" w:rsidRPr="00124DB1">
        <w:t xml:space="preserve"> </w:t>
      </w:r>
      <w:r w:rsidRPr="00124DB1">
        <w:t xml:space="preserve">Furthermore, one of </w:t>
      </w:r>
      <w:r w:rsidR="00823DF1" w:rsidRPr="00124DB1">
        <w:t>the</w:t>
      </w:r>
      <w:r w:rsidRPr="00124DB1">
        <w:t xml:space="preserve"> defendants </w:t>
      </w:r>
      <w:proofErr w:type="gramStart"/>
      <w:r w:rsidRPr="00124DB1">
        <w:t>was told</w:t>
      </w:r>
      <w:proofErr w:type="gramEnd"/>
      <w:r w:rsidRPr="00124DB1">
        <w:t xml:space="preserve"> of the complaint made against it only some 40 months after it had been filed.</w:t>
      </w:r>
      <w:r w:rsidR="00AD32E1" w:rsidRPr="00124DB1">
        <w:rPr>
          <w:rStyle w:val="Appelnotedebasdep"/>
        </w:rPr>
        <w:footnoteReference w:id="89"/>
      </w:r>
    </w:p>
    <w:p w14:paraId="25A71E3D" w14:textId="18DCB8C8" w:rsidR="00507A20" w:rsidRPr="00124DB1" w:rsidRDefault="00D442A8" w:rsidP="00507A20">
      <w:pPr>
        <w:pStyle w:val="Paragraphe"/>
        <w:tabs>
          <w:tab w:val="clear" w:pos="567"/>
          <w:tab w:val="num" w:pos="709"/>
        </w:tabs>
      </w:pPr>
      <w:r w:rsidRPr="00124DB1">
        <w:t xml:space="preserve">The Tribunal concluded that the </w:t>
      </w:r>
      <w:r w:rsidR="00823DF1" w:rsidRPr="00124DB1">
        <w:t>Commission</w:t>
      </w:r>
      <w:r w:rsidRPr="00124DB1">
        <w:t xml:space="preserve"> had not been diligent and ordered, at the preliminary stage, a stay of proceedings in favour of each of the two defendants.</w:t>
      </w:r>
      <w:r w:rsidR="00AD32E1" w:rsidRPr="00124DB1">
        <w:t xml:space="preserve"> </w:t>
      </w:r>
      <w:r w:rsidR="00692177" w:rsidRPr="00124DB1">
        <w:t>It</w:t>
      </w:r>
      <w:r w:rsidRPr="00124DB1">
        <w:t xml:space="preserve"> explained it as follows:</w:t>
      </w:r>
    </w:p>
    <w:p w14:paraId="01B17A56" w14:textId="0296F112" w:rsidR="00823DF1" w:rsidRPr="00124DB1" w:rsidRDefault="00823DF1" w:rsidP="00507A20">
      <w:pPr>
        <w:pStyle w:val="Citationenretrait"/>
        <w:rPr>
          <w:lang w:val="en-CA"/>
        </w:rPr>
      </w:pPr>
      <w:r w:rsidRPr="00124DB1">
        <w:rPr>
          <w:lang w:val="en-CA"/>
        </w:rPr>
        <w:t>[</w:t>
      </w:r>
      <w:r w:rsidRPr="00124DB1">
        <w:rPr>
          <w:smallCaps/>
          <w:lang w:val="en-CA"/>
        </w:rPr>
        <w:t>translation</w:t>
      </w:r>
      <w:r w:rsidRPr="00124DB1">
        <w:rPr>
          <w:lang w:val="en-CA"/>
        </w:rPr>
        <w:t>]</w:t>
      </w:r>
    </w:p>
    <w:p w14:paraId="173FD3BE" w14:textId="7FD36B9B" w:rsidR="00507A20" w:rsidRPr="00124DB1" w:rsidRDefault="00D442A8" w:rsidP="00507A20">
      <w:pPr>
        <w:pStyle w:val="Citationenretrait"/>
        <w:rPr>
          <w:lang w:val="en-CA"/>
        </w:rPr>
      </w:pPr>
      <w:proofErr w:type="gramStart"/>
      <w:r w:rsidRPr="00124DB1">
        <w:rPr>
          <w:lang w:val="en-CA"/>
        </w:rPr>
        <w:t>[146] Considering the simplicity of the case, in the absence of any justification whatsoever by the Commission, the time passed is inconsistent with protecti</w:t>
      </w:r>
      <w:r w:rsidR="00692177" w:rsidRPr="00124DB1">
        <w:rPr>
          <w:lang w:val="en-CA"/>
        </w:rPr>
        <w:t>o</w:t>
      </w:r>
      <w:r w:rsidRPr="00124DB1">
        <w:rPr>
          <w:lang w:val="en-CA"/>
        </w:rPr>
        <w:t xml:space="preserve">n </w:t>
      </w:r>
      <w:r w:rsidR="00692177" w:rsidRPr="00124DB1">
        <w:rPr>
          <w:lang w:val="en-CA"/>
        </w:rPr>
        <w:t xml:space="preserve">of </w:t>
      </w:r>
      <w:r w:rsidRPr="00124DB1">
        <w:rPr>
          <w:lang w:val="en-CA"/>
        </w:rPr>
        <w:t xml:space="preserve">the parties’ fundamental rights, </w:t>
      </w:r>
      <w:r w:rsidRPr="00124DB1">
        <w:rPr>
          <w:u w:val="single"/>
          <w:lang w:val="en-CA"/>
        </w:rPr>
        <w:t xml:space="preserve">particularly with </w:t>
      </w:r>
      <w:r w:rsidR="00692177" w:rsidRPr="00124DB1">
        <w:rPr>
          <w:u w:val="single"/>
          <w:lang w:val="en-CA"/>
        </w:rPr>
        <w:t xml:space="preserve">the </w:t>
      </w:r>
      <w:r w:rsidRPr="00124DB1">
        <w:rPr>
          <w:u w:val="single"/>
          <w:lang w:val="en-CA"/>
        </w:rPr>
        <w:t>protecti</w:t>
      </w:r>
      <w:r w:rsidR="00692177" w:rsidRPr="00124DB1">
        <w:rPr>
          <w:u w:val="single"/>
          <w:lang w:val="en-CA"/>
        </w:rPr>
        <w:t>o</w:t>
      </w:r>
      <w:r w:rsidRPr="00124DB1">
        <w:rPr>
          <w:u w:val="single"/>
          <w:lang w:val="en-CA"/>
        </w:rPr>
        <w:t xml:space="preserve">n </w:t>
      </w:r>
      <w:r w:rsidR="00692177" w:rsidRPr="00124DB1">
        <w:rPr>
          <w:u w:val="single"/>
          <w:lang w:val="en-CA"/>
        </w:rPr>
        <w:t xml:space="preserve">of </w:t>
      </w:r>
      <w:r w:rsidRPr="00124DB1">
        <w:rPr>
          <w:u w:val="single"/>
          <w:lang w:val="en-CA"/>
        </w:rPr>
        <w:t>the defendant’s rights</w:t>
      </w:r>
      <w:r w:rsidR="00823DF1" w:rsidRPr="00124DB1">
        <w:rPr>
          <w:lang w:val="en-CA"/>
        </w:rPr>
        <w:t>, including the right to find out</w:t>
      </w:r>
      <w:r w:rsidRPr="00124DB1">
        <w:rPr>
          <w:lang w:val="en-CA"/>
        </w:rPr>
        <w:t xml:space="preserve"> within a </w:t>
      </w:r>
      <w:r w:rsidRPr="00DF40F2">
        <w:rPr>
          <w:lang w:val="en-CA"/>
        </w:rPr>
        <w:t>reasonable delay</w:t>
      </w:r>
      <w:r w:rsidRPr="00124DB1">
        <w:rPr>
          <w:lang w:val="en-CA"/>
        </w:rPr>
        <w:t xml:space="preserve"> </w:t>
      </w:r>
      <w:r w:rsidR="00823DF1" w:rsidRPr="00124DB1">
        <w:rPr>
          <w:lang w:val="en-CA"/>
        </w:rPr>
        <w:t>after</w:t>
      </w:r>
      <w:r w:rsidRPr="00124DB1">
        <w:rPr>
          <w:lang w:val="en-CA"/>
        </w:rPr>
        <w:t xml:space="preserve"> a complaint</w:t>
      </w:r>
      <w:r w:rsidR="00823DF1" w:rsidRPr="00124DB1">
        <w:rPr>
          <w:lang w:val="en-CA"/>
        </w:rPr>
        <w:t xml:space="preserve"> has been filed</w:t>
      </w:r>
      <w:r w:rsidRPr="00124DB1">
        <w:rPr>
          <w:lang w:val="en-CA"/>
        </w:rPr>
        <w:t xml:space="preserve"> against it, </w:t>
      </w:r>
      <w:r w:rsidRPr="00124DB1">
        <w:rPr>
          <w:u w:val="single"/>
          <w:lang w:val="en-CA"/>
        </w:rPr>
        <w:t xml:space="preserve">to allow the party to </w:t>
      </w:r>
      <w:r w:rsidR="00692177" w:rsidRPr="00124DB1">
        <w:rPr>
          <w:u w:val="single"/>
          <w:lang w:val="en-CA"/>
        </w:rPr>
        <w:t>preserve</w:t>
      </w:r>
      <w:r w:rsidRPr="00124DB1">
        <w:rPr>
          <w:u w:val="single"/>
          <w:lang w:val="en-CA"/>
        </w:rPr>
        <w:t xml:space="preserve"> all the evidence that will allow it to make full answer and defence</w:t>
      </w:r>
      <w:r w:rsidRPr="00124DB1">
        <w:rPr>
          <w:lang w:val="en-CA"/>
        </w:rPr>
        <w:t>.</w:t>
      </w:r>
      <w:proofErr w:type="gramEnd"/>
    </w:p>
    <w:p w14:paraId="06AAE1BD" w14:textId="2697C7D2" w:rsidR="00507A20" w:rsidRPr="00124DB1" w:rsidRDefault="00823DF1" w:rsidP="00507A20">
      <w:pPr>
        <w:pStyle w:val="Citationenretrait"/>
        <w:rPr>
          <w:lang w:val="en-CA"/>
        </w:rPr>
      </w:pPr>
      <w:r w:rsidRPr="00124DB1">
        <w:rPr>
          <w:lang w:val="en-CA"/>
        </w:rPr>
        <w:t>…</w:t>
      </w:r>
    </w:p>
    <w:p w14:paraId="64A2CE99" w14:textId="2C487CD1" w:rsidR="00507A20" w:rsidRPr="00124DB1" w:rsidRDefault="00D442A8" w:rsidP="00507A20">
      <w:pPr>
        <w:pStyle w:val="Citationenretrait"/>
        <w:rPr>
          <w:lang w:val="en-CA"/>
        </w:rPr>
      </w:pPr>
      <w:r w:rsidRPr="00124DB1">
        <w:rPr>
          <w:lang w:val="en-CA"/>
        </w:rPr>
        <w:lastRenderedPageBreak/>
        <w:t xml:space="preserve">[162] The Commission was unacceptably slow in handling this file, to the </w:t>
      </w:r>
      <w:r w:rsidR="00823DF1" w:rsidRPr="00124DB1">
        <w:rPr>
          <w:lang w:val="en-CA"/>
        </w:rPr>
        <w:t>detriment</w:t>
      </w:r>
      <w:r w:rsidRPr="00124DB1">
        <w:rPr>
          <w:lang w:val="en-CA"/>
        </w:rPr>
        <w:t xml:space="preserve"> of all the parties and the community, which has an interest in seeing the dispute decided by </w:t>
      </w:r>
      <w:r w:rsidR="00823DF1" w:rsidRPr="00124DB1">
        <w:rPr>
          <w:lang w:val="en-CA"/>
        </w:rPr>
        <w:t>the</w:t>
      </w:r>
      <w:r w:rsidRPr="00124DB1">
        <w:rPr>
          <w:lang w:val="en-CA"/>
        </w:rPr>
        <w:t xml:space="preserve"> Tribunal.</w:t>
      </w:r>
      <w:r w:rsidR="00AD32E1" w:rsidRPr="00124DB1">
        <w:rPr>
          <w:rStyle w:val="Appelnotedebasdep"/>
          <w:szCs w:val="22"/>
          <w:lang w:val="en-CA"/>
        </w:rPr>
        <w:footnoteReference w:id="90"/>
      </w:r>
    </w:p>
    <w:p w14:paraId="54DCB399" w14:textId="6213E607" w:rsidR="00507A20" w:rsidRPr="00124DB1" w:rsidRDefault="0075555D" w:rsidP="00507A20">
      <w:pPr>
        <w:pStyle w:val="Citationenretrait"/>
        <w:jc w:val="right"/>
        <w:rPr>
          <w:sz w:val="20"/>
          <w:lang w:val="en-CA"/>
        </w:rPr>
      </w:pPr>
      <w:r w:rsidRPr="00124DB1">
        <w:rPr>
          <w:sz w:val="20"/>
          <w:lang w:val="en-CA"/>
        </w:rPr>
        <w:t>[Emphasis added</w:t>
      </w:r>
      <w:r w:rsidR="00692177" w:rsidRPr="00124DB1">
        <w:rPr>
          <w:sz w:val="20"/>
          <w:lang w:val="en-CA"/>
        </w:rPr>
        <w:t>.</w:t>
      </w:r>
      <w:r w:rsidRPr="00124DB1">
        <w:rPr>
          <w:sz w:val="20"/>
          <w:lang w:val="en-CA"/>
        </w:rPr>
        <w:t>]</w:t>
      </w:r>
      <w:r w:rsidR="00AD32E1" w:rsidRPr="00124DB1">
        <w:rPr>
          <w:sz w:val="20"/>
          <w:lang w:val="en-CA"/>
        </w:rPr>
        <w:t xml:space="preserve"> </w:t>
      </w:r>
    </w:p>
    <w:p w14:paraId="31E2E3A0" w14:textId="77777777" w:rsidR="00507A20" w:rsidRPr="00124DB1" w:rsidRDefault="00D442A8" w:rsidP="00507A20">
      <w:pPr>
        <w:pStyle w:val="Paragraphe"/>
        <w:tabs>
          <w:tab w:val="clear" w:pos="567"/>
          <w:tab w:val="num" w:pos="709"/>
        </w:tabs>
      </w:pPr>
      <w:r w:rsidRPr="00124DB1">
        <w:t>The Commission has since obtained leave to appeal of that decision.</w:t>
      </w:r>
    </w:p>
    <w:p w14:paraId="6843524E" w14:textId="17082224" w:rsidR="00507A20" w:rsidRPr="00124DB1" w:rsidRDefault="00692177" w:rsidP="00507A20">
      <w:pPr>
        <w:pStyle w:val="Paragraphe"/>
        <w:tabs>
          <w:tab w:val="clear" w:pos="567"/>
          <w:tab w:val="num" w:pos="709"/>
        </w:tabs>
      </w:pPr>
      <w:r w:rsidRPr="00124DB1">
        <w:t>I</w:t>
      </w:r>
      <w:r w:rsidR="00D442A8" w:rsidRPr="00124DB1">
        <w:t xml:space="preserve">n the judgment granting leave, the Honourable Guy </w:t>
      </w:r>
      <w:proofErr w:type="spellStart"/>
      <w:r w:rsidR="00D442A8" w:rsidRPr="00124DB1">
        <w:t>Cournoyer</w:t>
      </w:r>
      <w:proofErr w:type="spellEnd"/>
      <w:r w:rsidR="00D442A8" w:rsidRPr="00124DB1">
        <w:t xml:space="preserve">, J.A. </w:t>
      </w:r>
      <w:r w:rsidRPr="00124DB1">
        <w:t>noted</w:t>
      </w:r>
      <w:r w:rsidR="00D442A8" w:rsidRPr="00124DB1">
        <w:t>:</w:t>
      </w:r>
    </w:p>
    <w:p w14:paraId="6416DB48" w14:textId="799C3C34" w:rsidR="00823DF1" w:rsidRPr="00124DB1" w:rsidRDefault="00823DF1" w:rsidP="00507A20">
      <w:pPr>
        <w:pStyle w:val="Citationenretrait"/>
        <w:rPr>
          <w:lang w:val="en-CA"/>
        </w:rPr>
      </w:pPr>
      <w:r w:rsidRPr="00124DB1">
        <w:rPr>
          <w:lang w:val="en-CA"/>
        </w:rPr>
        <w:t>[</w:t>
      </w:r>
      <w:r w:rsidRPr="00124DB1">
        <w:rPr>
          <w:smallCaps/>
          <w:lang w:val="en-CA"/>
        </w:rPr>
        <w:t>translation</w:t>
      </w:r>
      <w:r w:rsidRPr="00124DB1">
        <w:rPr>
          <w:lang w:val="en-CA"/>
        </w:rPr>
        <w:t>]</w:t>
      </w:r>
    </w:p>
    <w:p w14:paraId="79B96ABA" w14:textId="43C07328" w:rsidR="00507A20" w:rsidRPr="00124DB1" w:rsidRDefault="00D442A8" w:rsidP="00507A20">
      <w:pPr>
        <w:pStyle w:val="Citationenretrait"/>
        <w:rPr>
          <w:lang w:val="en-CA"/>
        </w:rPr>
      </w:pPr>
      <w:r w:rsidRPr="00124DB1">
        <w:rPr>
          <w:lang w:val="en-CA"/>
        </w:rPr>
        <w:t xml:space="preserve">[12] Without ruling on the appeal’s chances of success, I deem that the </w:t>
      </w:r>
      <w:r w:rsidR="00692177" w:rsidRPr="00124DB1">
        <w:rPr>
          <w:lang w:val="en-CA"/>
        </w:rPr>
        <w:t>issues</w:t>
      </w:r>
      <w:r w:rsidRPr="00124DB1">
        <w:rPr>
          <w:lang w:val="en-CA"/>
        </w:rPr>
        <w:t xml:space="preserve"> raised by the Commission on the Tribunal’s application of </w:t>
      </w:r>
      <w:proofErr w:type="spellStart"/>
      <w:r w:rsidRPr="00124DB1">
        <w:rPr>
          <w:i/>
          <w:lang w:val="en-CA"/>
        </w:rPr>
        <w:t>Blencoe</w:t>
      </w:r>
      <w:proofErr w:type="spellEnd"/>
      <w:r w:rsidRPr="00124DB1">
        <w:rPr>
          <w:lang w:val="en-CA"/>
        </w:rPr>
        <w:t xml:space="preserve">, and, </w:t>
      </w:r>
      <w:r w:rsidRPr="00124DB1">
        <w:rPr>
          <w:u w:val="single"/>
          <w:lang w:val="en-CA"/>
        </w:rPr>
        <w:t>in partic</w:t>
      </w:r>
      <w:r w:rsidR="00796915" w:rsidRPr="00124DB1">
        <w:rPr>
          <w:u w:val="single"/>
          <w:lang w:val="en-CA"/>
        </w:rPr>
        <w:t>u</w:t>
      </w:r>
      <w:r w:rsidRPr="00124DB1">
        <w:rPr>
          <w:u w:val="single"/>
          <w:lang w:val="en-CA"/>
        </w:rPr>
        <w:t>lar, whether it is possible to rely on a presumed prejudi</w:t>
      </w:r>
      <w:r w:rsidR="00823DF1" w:rsidRPr="00124DB1">
        <w:rPr>
          <w:u w:val="single"/>
          <w:lang w:val="en-CA"/>
        </w:rPr>
        <w:t>ce arising from the mere passage</w:t>
      </w:r>
      <w:r w:rsidRPr="00124DB1">
        <w:rPr>
          <w:u w:val="single"/>
          <w:lang w:val="en-CA"/>
        </w:rPr>
        <w:t xml:space="preserve"> of time</w:t>
      </w:r>
      <w:r w:rsidR="00796915" w:rsidRPr="00124DB1">
        <w:rPr>
          <w:u w:val="single"/>
          <w:lang w:val="en-CA"/>
        </w:rPr>
        <w:t>,</w:t>
      </w:r>
      <w:r w:rsidR="00796915" w:rsidRPr="00124DB1">
        <w:rPr>
          <w:lang w:val="en-CA"/>
        </w:rPr>
        <w:t xml:space="preserve"> merit the Court’s attention</w:t>
      </w:r>
      <w:r w:rsidRPr="00124DB1">
        <w:rPr>
          <w:lang w:val="en-CA"/>
        </w:rPr>
        <w:t>.</w:t>
      </w:r>
      <w:r w:rsidR="00AD32E1" w:rsidRPr="00124DB1">
        <w:rPr>
          <w:rStyle w:val="Appelnotedebasdep"/>
          <w:szCs w:val="22"/>
          <w:lang w:val="en-CA"/>
        </w:rPr>
        <w:footnoteReference w:id="91"/>
      </w:r>
      <w:r w:rsidR="00AD32E1" w:rsidRPr="00124DB1">
        <w:rPr>
          <w:lang w:val="en-CA"/>
        </w:rPr>
        <w:t xml:space="preserve"> </w:t>
      </w:r>
    </w:p>
    <w:p w14:paraId="59404D17" w14:textId="77777777" w:rsidR="00507A20" w:rsidRPr="00124DB1" w:rsidRDefault="00BB3A86" w:rsidP="00507A20">
      <w:pPr>
        <w:pStyle w:val="Citationenretrait"/>
        <w:jc w:val="right"/>
        <w:rPr>
          <w:sz w:val="20"/>
          <w:lang w:val="en-CA"/>
        </w:rPr>
      </w:pPr>
      <w:r w:rsidRPr="00124DB1">
        <w:rPr>
          <w:sz w:val="20"/>
          <w:lang w:val="en-CA"/>
        </w:rPr>
        <w:t>[Emphasis added.]</w:t>
      </w:r>
      <w:r w:rsidR="00AD32E1" w:rsidRPr="00124DB1">
        <w:rPr>
          <w:sz w:val="20"/>
          <w:lang w:val="en-CA"/>
        </w:rPr>
        <w:t xml:space="preserve"> </w:t>
      </w:r>
    </w:p>
    <w:p w14:paraId="12DA5E60" w14:textId="353F3491" w:rsidR="00507A20" w:rsidRPr="00124DB1" w:rsidRDefault="00D442A8" w:rsidP="00507A20">
      <w:pPr>
        <w:pStyle w:val="Paragraphe"/>
        <w:tabs>
          <w:tab w:val="clear" w:pos="567"/>
          <w:tab w:val="num" w:pos="709"/>
        </w:tabs>
      </w:pPr>
      <w:r w:rsidRPr="00124DB1">
        <w:t xml:space="preserve">It </w:t>
      </w:r>
      <w:proofErr w:type="gramStart"/>
      <w:r w:rsidRPr="00124DB1">
        <w:t>is easily inferred</w:t>
      </w:r>
      <w:proofErr w:type="gramEnd"/>
      <w:r w:rsidRPr="00124DB1">
        <w:t xml:space="preserve"> from these remarks that the state of the law </w:t>
      </w:r>
      <w:r w:rsidR="00F4228F" w:rsidRPr="00124DB1">
        <w:t xml:space="preserve">remains uncertain </w:t>
      </w:r>
      <w:r w:rsidRPr="00124DB1">
        <w:t xml:space="preserve">on the </w:t>
      </w:r>
      <w:r w:rsidR="00F4228F" w:rsidRPr="00124DB1">
        <w:t>issue</w:t>
      </w:r>
      <w:r w:rsidRPr="00124DB1">
        <w:t xml:space="preserve"> of whether the mere passage of long processing times </w:t>
      </w:r>
      <w:r w:rsidR="00823DF1" w:rsidRPr="00124DB1">
        <w:t>justifies</w:t>
      </w:r>
      <w:r w:rsidRPr="00124DB1">
        <w:t xml:space="preserve"> a presumption that there is a prejudice justifying a stay of proceedings.</w:t>
      </w:r>
    </w:p>
    <w:p w14:paraId="5E633562" w14:textId="2EDA058C" w:rsidR="00507A20" w:rsidRPr="00124DB1" w:rsidRDefault="00D442A8" w:rsidP="00507A20">
      <w:pPr>
        <w:pStyle w:val="Paragraphe"/>
        <w:tabs>
          <w:tab w:val="clear" w:pos="567"/>
          <w:tab w:val="num" w:pos="709"/>
        </w:tabs>
      </w:pPr>
      <w:r w:rsidRPr="00124DB1">
        <w:t xml:space="preserve">Given the Tribunal’s conclusion that the </w:t>
      </w:r>
      <w:r w:rsidR="00DD0C6B">
        <w:t>City</w:t>
      </w:r>
      <w:r w:rsidRPr="00124DB1">
        <w:t xml:space="preserve"> failed to establish, in this case, that it </w:t>
      </w:r>
      <w:r w:rsidR="00F4228F" w:rsidRPr="00124DB1">
        <w:t>suffer</w:t>
      </w:r>
      <w:r w:rsidR="001E2FA8" w:rsidRPr="00124DB1">
        <w:t>ed</w:t>
      </w:r>
      <w:r w:rsidRPr="00124DB1">
        <w:t xml:space="preserve"> a “significant”, “actual”, or “serious” prejudice – a burden that was incumbent upon it</w:t>
      </w:r>
      <w:r w:rsidR="00AD32E1" w:rsidRPr="00124DB1">
        <w:rPr>
          <w:rStyle w:val="Appelnotedebasdep"/>
        </w:rPr>
        <w:footnoteReference w:id="92"/>
      </w:r>
      <w:r w:rsidRPr="00124DB1">
        <w:t xml:space="preserve"> – it appears inappropriate to make up for this shortcoming by applying </w:t>
      </w:r>
      <w:r w:rsidR="001E2FA8" w:rsidRPr="00124DB1">
        <w:t>a</w:t>
      </w:r>
      <w:r w:rsidRPr="00124DB1">
        <w:t xml:space="preserve"> presumption </w:t>
      </w:r>
      <w:r w:rsidR="001E2FA8" w:rsidRPr="00124DB1">
        <w:t>that</w:t>
      </w:r>
      <w:r w:rsidRPr="00124DB1">
        <w:t xml:space="preserve"> has yet to be clearly defined by the higher courts.</w:t>
      </w:r>
      <w:r w:rsidR="00AD32E1" w:rsidRPr="00124DB1">
        <w:rPr>
          <w:rStyle w:val="Appelnotedebasdep"/>
        </w:rPr>
        <w:footnoteReference w:id="93"/>
      </w:r>
    </w:p>
    <w:p w14:paraId="1F03C666" w14:textId="77777777" w:rsidR="00507A20" w:rsidRPr="00124DB1" w:rsidRDefault="00D442A8" w:rsidP="00507A20">
      <w:pPr>
        <w:pStyle w:val="Paragraphe"/>
        <w:tabs>
          <w:tab w:val="clear" w:pos="567"/>
          <w:tab w:val="num" w:pos="709"/>
        </w:tabs>
      </w:pPr>
      <w:r w:rsidRPr="00124DB1">
        <w:t xml:space="preserve">Certainly, once again, the human rights protection system implemented by the </w:t>
      </w:r>
      <w:r w:rsidRPr="00124DB1">
        <w:rPr>
          <w:i/>
        </w:rPr>
        <w:t>Charter</w:t>
      </w:r>
      <w:r w:rsidRPr="00124DB1">
        <w:t xml:space="preserve"> </w:t>
      </w:r>
      <w:proofErr w:type="gramStart"/>
      <w:r w:rsidRPr="00124DB1">
        <w:t>is not improved</w:t>
      </w:r>
      <w:proofErr w:type="gramEnd"/>
      <w:r w:rsidRPr="00124DB1">
        <w:t xml:space="preserve"> by long periods of inactivity such as those that characterize the Commission’s investigation. </w:t>
      </w:r>
      <w:r w:rsidR="00AD32E1" w:rsidRPr="00124DB1">
        <w:t xml:space="preserve"> </w:t>
      </w:r>
    </w:p>
    <w:p w14:paraId="6EDEE9B4" w14:textId="7D385D91" w:rsidR="00507A20" w:rsidRPr="00124DB1" w:rsidRDefault="002C1246" w:rsidP="00507A20">
      <w:pPr>
        <w:pStyle w:val="Paragraphe"/>
        <w:tabs>
          <w:tab w:val="clear" w:pos="567"/>
          <w:tab w:val="num" w:pos="709"/>
        </w:tabs>
      </w:pPr>
      <w:r w:rsidRPr="00124DB1">
        <w:t>While</w:t>
      </w:r>
      <w:r w:rsidR="00D442A8" w:rsidRPr="00124DB1">
        <w:t xml:space="preserve"> the delays in this case do not reach the 77 months of </w:t>
      </w:r>
      <w:r w:rsidR="00D442A8" w:rsidRPr="00124DB1">
        <w:rPr>
          <w:i/>
        </w:rPr>
        <w:t>Miller</w:t>
      </w:r>
      <w:r w:rsidR="00F4228F" w:rsidRPr="00124DB1">
        <w:t xml:space="preserve"> or the 88 </w:t>
      </w:r>
      <w:r w:rsidR="00D442A8" w:rsidRPr="00124DB1">
        <w:t xml:space="preserve">months of </w:t>
      </w:r>
      <w:proofErr w:type="spellStart"/>
      <w:r w:rsidR="00D442A8" w:rsidRPr="00124DB1">
        <w:rPr>
          <w:i/>
        </w:rPr>
        <w:t>Asmar</w:t>
      </w:r>
      <w:proofErr w:type="spellEnd"/>
      <w:r w:rsidR="00D442A8" w:rsidRPr="00124DB1">
        <w:t xml:space="preserve">, they remain unreasonable and excessive, </w:t>
      </w:r>
      <w:r w:rsidRPr="00124DB1">
        <w:t>in particular</w:t>
      </w:r>
      <w:r w:rsidR="00D442A8" w:rsidRPr="00124DB1">
        <w:t xml:space="preserve"> due to the long periods of inactivity.</w:t>
      </w:r>
      <w:r w:rsidR="00AD32E1" w:rsidRPr="00124DB1">
        <w:t xml:space="preserve"> </w:t>
      </w:r>
      <w:r w:rsidR="00D442A8" w:rsidRPr="00124DB1">
        <w:t xml:space="preserve">They </w:t>
      </w:r>
      <w:r w:rsidR="00F4228F" w:rsidRPr="00124DB1">
        <w:t>[</w:t>
      </w:r>
      <w:r w:rsidR="00F4228F" w:rsidRPr="00124DB1">
        <w:rPr>
          <w:smallCaps/>
        </w:rPr>
        <w:t>translation</w:t>
      </w:r>
      <w:r w:rsidR="00F4228F" w:rsidRPr="00124DB1">
        <w:t xml:space="preserve">] </w:t>
      </w:r>
      <w:r w:rsidR="00D442A8" w:rsidRPr="00124DB1">
        <w:t xml:space="preserve">“contribute to bringing the human rights protection </w:t>
      </w:r>
      <w:r w:rsidR="00D442A8" w:rsidRPr="00124DB1">
        <w:lastRenderedPageBreak/>
        <w:t>system, and therefore the interests of justice, into disrepute”</w:t>
      </w:r>
      <w:r w:rsidR="00AD32E1" w:rsidRPr="00124DB1">
        <w:rPr>
          <w:rStyle w:val="Appelnotedebasdep"/>
        </w:rPr>
        <w:footnoteReference w:id="94"/>
      </w:r>
      <w:r w:rsidR="00D442A8" w:rsidRPr="00124DB1">
        <w:t xml:space="preserve"> </w:t>
      </w:r>
      <w:r w:rsidR="00F4228F" w:rsidRPr="00124DB1">
        <w:t>from the perspective of both the victim and the defendants:</w:t>
      </w:r>
    </w:p>
    <w:p w14:paraId="22C44D9A" w14:textId="3E0394F0" w:rsidR="00F4228F" w:rsidRPr="00124DB1" w:rsidRDefault="00F4228F" w:rsidP="00507A20">
      <w:pPr>
        <w:pStyle w:val="Citationenretrait"/>
        <w:tabs>
          <w:tab w:val="left" w:pos="8364"/>
        </w:tabs>
        <w:ind w:right="715"/>
        <w:rPr>
          <w:lang w:val="en-CA"/>
        </w:rPr>
      </w:pPr>
      <w:r w:rsidRPr="00124DB1">
        <w:rPr>
          <w:lang w:val="en-CA"/>
        </w:rPr>
        <w:t>[</w:t>
      </w:r>
      <w:r w:rsidRPr="00124DB1">
        <w:rPr>
          <w:smallCaps/>
          <w:lang w:val="en-CA"/>
        </w:rPr>
        <w:t>translation</w:t>
      </w:r>
      <w:r w:rsidRPr="00124DB1">
        <w:rPr>
          <w:lang w:val="en-CA"/>
        </w:rPr>
        <w:t>]</w:t>
      </w:r>
    </w:p>
    <w:p w14:paraId="78B8967F" w14:textId="376CBA35" w:rsidR="00507A20" w:rsidRPr="00124DB1" w:rsidRDefault="00F624DF" w:rsidP="00507A20">
      <w:pPr>
        <w:pStyle w:val="Citationenretrait"/>
        <w:tabs>
          <w:tab w:val="left" w:pos="8364"/>
        </w:tabs>
        <w:ind w:right="715"/>
        <w:rPr>
          <w:lang w:val="en-CA"/>
        </w:rPr>
      </w:pPr>
      <w:r w:rsidRPr="00124DB1">
        <w:rPr>
          <w:lang w:val="en-CA"/>
        </w:rPr>
        <w:t xml:space="preserve">[239] </w:t>
      </w:r>
      <w:r w:rsidR="00A34BC1" w:rsidRPr="00DF40F2">
        <w:rPr>
          <w:rFonts w:cs="Arial"/>
          <w:color w:val="000000"/>
          <w:lang w:val="en-CA"/>
        </w:rPr>
        <w:t xml:space="preserve">Like them, the victim suffers prejudice </w:t>
      </w:r>
      <w:proofErr w:type="gramStart"/>
      <w:r w:rsidR="00A34BC1" w:rsidRPr="00DF40F2">
        <w:rPr>
          <w:rFonts w:cs="Arial"/>
          <w:color w:val="000000"/>
          <w:lang w:val="en-CA"/>
        </w:rPr>
        <w:t>as a result</w:t>
      </w:r>
      <w:proofErr w:type="gramEnd"/>
      <w:r w:rsidR="00A34BC1" w:rsidRPr="00DF40F2">
        <w:rPr>
          <w:rFonts w:cs="Arial"/>
          <w:color w:val="000000"/>
          <w:lang w:val="en-CA"/>
        </w:rPr>
        <w:t xml:space="preserve"> of the delay in processing his or her complaint. He or she experiences the same anxiety related to the Commission’s institutional process, which adds to the anxiety from the situation of discrimination reported. The prejudice suffered as a result of the delay elapsed is all the more significant for the victim, who may not be able to prove the allegations he or she has made.</w:t>
      </w:r>
      <w:r w:rsidR="00AD32E1" w:rsidRPr="00124DB1">
        <w:rPr>
          <w:rStyle w:val="Appelnotedebasdep"/>
          <w:szCs w:val="22"/>
          <w:lang w:val="en-CA"/>
        </w:rPr>
        <w:footnoteReference w:id="95"/>
      </w:r>
    </w:p>
    <w:p w14:paraId="5C728CEE" w14:textId="77777777" w:rsidR="00507A20" w:rsidRPr="00124DB1" w:rsidRDefault="00F624DF" w:rsidP="00507A20">
      <w:pPr>
        <w:pStyle w:val="Paragraphe"/>
        <w:tabs>
          <w:tab w:val="clear" w:pos="567"/>
          <w:tab w:val="num" w:pos="709"/>
        </w:tabs>
      </w:pPr>
      <w:r w:rsidRPr="00124DB1">
        <w:t>This situation must be judicially condemned:</w:t>
      </w:r>
    </w:p>
    <w:p w14:paraId="24EB1799" w14:textId="3795F3F7" w:rsidR="00F4228F" w:rsidRPr="00124DB1" w:rsidRDefault="00F4228F" w:rsidP="00507A20">
      <w:pPr>
        <w:pStyle w:val="Paragraphe"/>
        <w:numPr>
          <w:ilvl w:val="0"/>
          <w:numId w:val="0"/>
        </w:numPr>
        <w:tabs>
          <w:tab w:val="clear" w:pos="567"/>
          <w:tab w:val="left" w:pos="8647"/>
        </w:tabs>
        <w:ind w:left="567" w:right="715"/>
        <w:rPr>
          <w:sz w:val="22"/>
          <w:szCs w:val="22"/>
        </w:rPr>
      </w:pPr>
      <w:r w:rsidRPr="00124DB1">
        <w:rPr>
          <w:sz w:val="22"/>
          <w:szCs w:val="22"/>
        </w:rPr>
        <w:t>[</w:t>
      </w:r>
      <w:r w:rsidRPr="00DF40F2">
        <w:rPr>
          <w:smallCaps/>
          <w:sz w:val="22"/>
          <w:szCs w:val="22"/>
        </w:rPr>
        <w:t>translation</w:t>
      </w:r>
      <w:r w:rsidRPr="00124DB1">
        <w:rPr>
          <w:sz w:val="22"/>
          <w:szCs w:val="22"/>
        </w:rPr>
        <w:t xml:space="preserve">] </w:t>
      </w:r>
    </w:p>
    <w:p w14:paraId="31957DF9" w14:textId="089F10A6" w:rsidR="00507A20" w:rsidRPr="00124DB1" w:rsidRDefault="009D57A0" w:rsidP="00507A20">
      <w:pPr>
        <w:pStyle w:val="Paragraphe"/>
        <w:numPr>
          <w:ilvl w:val="0"/>
          <w:numId w:val="0"/>
        </w:numPr>
        <w:tabs>
          <w:tab w:val="clear" w:pos="567"/>
          <w:tab w:val="left" w:pos="8647"/>
        </w:tabs>
        <w:ind w:left="567" w:right="715"/>
        <w:rPr>
          <w:rStyle w:val="CitationenretraitCar"/>
        </w:rPr>
      </w:pPr>
      <w:r w:rsidRPr="00124DB1">
        <w:rPr>
          <w:sz w:val="22"/>
          <w:szCs w:val="22"/>
        </w:rPr>
        <w:t xml:space="preserve">[277] ... </w:t>
      </w:r>
      <w:r w:rsidR="00A34BC1" w:rsidRPr="00DF40F2">
        <w:rPr>
          <w:sz w:val="22"/>
          <w:szCs w:val="22"/>
        </w:rPr>
        <w:t>this case is another opportunity for the Tribunal to denounce the fact that the Commission does not process the complaints it receives diligently, in the hopes of leading it to do what is necessary so that the delays in processing complaints do not harm the progress on the long road to respecting minority rights</w:t>
      </w:r>
      <w:r w:rsidR="00A34BC1" w:rsidRPr="00124DB1">
        <w:rPr>
          <w:sz w:val="22"/>
          <w:szCs w:val="22"/>
        </w:rPr>
        <w:t>.</w:t>
      </w:r>
      <w:r w:rsidR="00AD32E1" w:rsidRPr="00124DB1">
        <w:rPr>
          <w:rStyle w:val="CitationenretraitCar"/>
          <w:vertAlign w:val="superscript"/>
        </w:rPr>
        <w:footnoteReference w:id="96"/>
      </w:r>
    </w:p>
    <w:p w14:paraId="4F0E886E" w14:textId="31B00CAC" w:rsidR="00507A20" w:rsidRPr="00124DB1" w:rsidRDefault="009D57A0" w:rsidP="00507A20">
      <w:pPr>
        <w:pStyle w:val="Paragraphe"/>
        <w:tabs>
          <w:tab w:val="clear" w:pos="567"/>
          <w:tab w:val="num" w:pos="709"/>
        </w:tabs>
      </w:pPr>
      <w:r w:rsidRPr="00124DB1">
        <w:t xml:space="preserve">That said, considering that this case raises </w:t>
      </w:r>
      <w:r w:rsidR="00F4228F" w:rsidRPr="00124DB1">
        <w:t>the</w:t>
      </w:r>
      <w:r w:rsidRPr="00124DB1">
        <w:t xml:space="preserve"> delicate </w:t>
      </w:r>
      <w:r w:rsidR="00824143" w:rsidRPr="00124DB1">
        <w:t>issue</w:t>
      </w:r>
      <w:r w:rsidRPr="00124DB1">
        <w:t xml:space="preserve"> of racial profiling within the police force, this firm </w:t>
      </w:r>
      <w:r w:rsidR="00F4228F" w:rsidRPr="00124DB1">
        <w:t>reprobation</w:t>
      </w:r>
      <w:r w:rsidRPr="00124DB1">
        <w:t xml:space="preserve"> appears preferable to the ultimate and exceptional sanction</w:t>
      </w:r>
      <w:r w:rsidR="00AD32E1" w:rsidRPr="00124DB1">
        <w:rPr>
          <w:rStyle w:val="Appelnotedebasdep"/>
        </w:rPr>
        <w:footnoteReference w:id="97"/>
      </w:r>
      <w:r w:rsidRPr="00124DB1">
        <w:t xml:space="preserve"> that is dismissing the application without deciding it on the merits.</w:t>
      </w:r>
    </w:p>
    <w:p w14:paraId="7B94CF08" w14:textId="66AA0EC0" w:rsidR="00507A20" w:rsidRPr="00124DB1" w:rsidRDefault="00F4228F" w:rsidP="00507A20">
      <w:pPr>
        <w:pStyle w:val="Paragraphe"/>
        <w:tabs>
          <w:tab w:val="clear" w:pos="567"/>
          <w:tab w:val="num" w:pos="709"/>
        </w:tabs>
      </w:pPr>
      <w:r w:rsidRPr="00124DB1">
        <w:t>[</w:t>
      </w:r>
      <w:r w:rsidRPr="00124DB1">
        <w:rPr>
          <w:smallCaps/>
        </w:rPr>
        <w:t>translation</w:t>
      </w:r>
      <w:r w:rsidRPr="00124DB1">
        <w:t xml:space="preserve">] </w:t>
      </w:r>
      <w:r w:rsidR="009D57A0" w:rsidRPr="00124DB1">
        <w:t>“Administrative ineffectiveness”</w:t>
      </w:r>
      <w:r w:rsidR="00AD32E1" w:rsidRPr="00124DB1">
        <w:rPr>
          <w:rStyle w:val="Appelnotedebasdep"/>
        </w:rPr>
        <w:footnoteReference w:id="98"/>
      </w:r>
      <w:r w:rsidR="009D57A0" w:rsidRPr="00124DB1">
        <w:t xml:space="preserve"> and the </w:t>
      </w:r>
      <w:r w:rsidR="00FA7605" w:rsidRPr="00124DB1">
        <w:t xml:space="preserve">Commission’s </w:t>
      </w:r>
      <w:r w:rsidR="009D57A0" w:rsidRPr="00124DB1">
        <w:t xml:space="preserve">flagrant lack of diligence must not have the collateral and prejudicial effect of denying Mr. </w:t>
      </w:r>
      <w:proofErr w:type="spellStart"/>
      <w:r w:rsidR="009D57A0" w:rsidRPr="00124DB1">
        <w:t>Bazelais</w:t>
      </w:r>
      <w:proofErr w:type="spellEnd"/>
      <w:r w:rsidR="009D57A0" w:rsidRPr="00124DB1">
        <w:t xml:space="preserve"> his right to access justice:</w:t>
      </w:r>
      <w:r w:rsidR="00AD32E1" w:rsidRPr="00124DB1">
        <w:rPr>
          <w:rStyle w:val="Appelnotedebasdep"/>
        </w:rPr>
        <w:footnoteReference w:id="99"/>
      </w:r>
    </w:p>
    <w:p w14:paraId="16D75567" w14:textId="77777777" w:rsidR="00507A20" w:rsidRPr="00124DB1" w:rsidRDefault="009D57A0" w:rsidP="00507A20">
      <w:pPr>
        <w:pStyle w:val="Citationenretrait"/>
        <w:rPr>
          <w:lang w:val="en-CA"/>
        </w:rPr>
      </w:pPr>
      <w:r w:rsidRPr="00124DB1">
        <w:rPr>
          <w:lang w:val="en-CA"/>
        </w:rPr>
        <w:t xml:space="preserve">[96] ... the dismissal of an application on the ground that the Commission took more time than desirable to process the complaint would amount to sanctioning the </w:t>
      </w:r>
      <w:r w:rsidRPr="00124DB1">
        <w:rPr>
          <w:lang w:val="en-CA"/>
        </w:rPr>
        <w:lastRenderedPageBreak/>
        <w:t>alleged victim of discrimination or the complainant even though they are not responsible for the slowness in processing the file.</w:t>
      </w:r>
      <w:r w:rsidR="00AD32E1" w:rsidRPr="00124DB1">
        <w:rPr>
          <w:lang w:val="en-CA"/>
        </w:rPr>
        <w:t xml:space="preserve"> </w:t>
      </w:r>
      <w:r w:rsidRPr="00124DB1">
        <w:rPr>
          <w:lang w:val="en-CA"/>
        </w:rPr>
        <w:t>In such case, a second injustice risks aggravating the first.</w:t>
      </w:r>
      <w:r w:rsidR="00AD32E1" w:rsidRPr="00124DB1">
        <w:rPr>
          <w:rStyle w:val="Appelnotedebasdep"/>
          <w:szCs w:val="22"/>
          <w:lang w:val="en-CA"/>
        </w:rPr>
        <w:footnoteReference w:id="100"/>
      </w:r>
      <w:r w:rsidR="00AD32E1" w:rsidRPr="00124DB1">
        <w:rPr>
          <w:lang w:val="en-CA"/>
        </w:rPr>
        <w:t xml:space="preserve"> </w:t>
      </w:r>
    </w:p>
    <w:p w14:paraId="5DF40EAF" w14:textId="4A4650A8" w:rsidR="00507A20" w:rsidRPr="00124DB1" w:rsidRDefault="009D57A0" w:rsidP="00507A20">
      <w:pPr>
        <w:pStyle w:val="Paragraphe"/>
        <w:tabs>
          <w:tab w:val="clear" w:pos="567"/>
          <w:tab w:val="num" w:pos="709"/>
        </w:tabs>
      </w:pPr>
      <w:r w:rsidRPr="00124DB1">
        <w:t xml:space="preserve">The </w:t>
      </w:r>
      <w:r w:rsidR="00DD0C6B">
        <w:t>City</w:t>
      </w:r>
      <w:r w:rsidRPr="00124DB1">
        <w:t xml:space="preserve">’s application to dismiss </w:t>
      </w:r>
      <w:proofErr w:type="gramStart"/>
      <w:r w:rsidRPr="00124DB1">
        <w:t>is therefore dismissed</w:t>
      </w:r>
      <w:proofErr w:type="gramEnd"/>
      <w:r w:rsidRPr="00124DB1">
        <w:t>.</w:t>
      </w:r>
    </w:p>
    <w:p w14:paraId="76E4273D" w14:textId="185EE0D9" w:rsidR="00507A20" w:rsidRPr="00124DB1" w:rsidRDefault="009D57A0" w:rsidP="00507A20">
      <w:pPr>
        <w:pStyle w:val="Paragraphe"/>
        <w:tabs>
          <w:tab w:val="clear" w:pos="567"/>
          <w:tab w:val="num" w:pos="709"/>
        </w:tabs>
      </w:pPr>
      <w:r w:rsidRPr="00124DB1">
        <w:t xml:space="preserve">However, given the lengthy delays, which are largely attributable to the Commission, the Tribunal grants </w:t>
      </w:r>
      <w:r w:rsidR="00B46899" w:rsidRPr="00124DB1">
        <w:t xml:space="preserve">all legal costs to </w:t>
      </w:r>
      <w:r w:rsidRPr="00124DB1">
        <w:t xml:space="preserve">the </w:t>
      </w:r>
      <w:r w:rsidR="00DD0C6B">
        <w:t>City</w:t>
      </w:r>
      <w:r w:rsidRPr="00124DB1">
        <w:t>, whatever the outcome of the claim.</w:t>
      </w:r>
    </w:p>
    <w:p w14:paraId="29C23CEF" w14:textId="77777777" w:rsidR="00507A20" w:rsidRPr="00124DB1" w:rsidRDefault="009D57A0" w:rsidP="00507A20">
      <w:pPr>
        <w:pStyle w:val="Titre2"/>
        <w:rPr>
          <w:lang w:val="en-CA"/>
        </w:rPr>
      </w:pPr>
      <w:r w:rsidRPr="00124DB1">
        <w:rPr>
          <w:lang w:val="en-CA"/>
        </w:rPr>
        <w:t>Jurisdiction of the Tribunal</w:t>
      </w:r>
    </w:p>
    <w:p w14:paraId="1BA85459" w14:textId="1B073215" w:rsidR="00507A20" w:rsidRPr="00124DB1" w:rsidRDefault="00A7388A" w:rsidP="00507A20">
      <w:pPr>
        <w:pStyle w:val="Paragraphe"/>
        <w:tabs>
          <w:tab w:val="clear" w:pos="567"/>
        </w:tabs>
      </w:pPr>
      <w:r w:rsidRPr="00124DB1">
        <w:t xml:space="preserve">According to the </w:t>
      </w:r>
      <w:r w:rsidR="00DD0C6B">
        <w:t>City</w:t>
      </w:r>
      <w:r w:rsidRPr="00124DB1">
        <w:t>, the Tribunal does not have jurisdiction to rule on the overall police operation led by the SPVM.</w:t>
      </w:r>
      <w:r w:rsidR="00AD32E1" w:rsidRPr="00124DB1">
        <w:t xml:space="preserve"> </w:t>
      </w:r>
      <w:r w:rsidRPr="00124DB1">
        <w:t xml:space="preserve">It </w:t>
      </w:r>
      <w:r w:rsidR="00CC29C8" w:rsidRPr="00124DB1">
        <w:t>notes</w:t>
      </w:r>
      <w:r w:rsidRPr="00124DB1">
        <w:t xml:space="preserve"> that</w:t>
      </w:r>
      <w:r w:rsidR="00F61025" w:rsidRPr="00124DB1">
        <w:t xml:space="preserve"> </w:t>
      </w:r>
      <w:r w:rsidRPr="00124DB1">
        <w:t xml:space="preserve">the discrimination complaint made by </w:t>
      </w:r>
      <w:r w:rsidR="00F61025" w:rsidRPr="00124DB1">
        <w:t>the</w:t>
      </w:r>
      <w:r w:rsidRPr="00124DB1">
        <w:t xml:space="preserve"> CRARR on behalf of Mr. </w:t>
      </w:r>
      <w:proofErr w:type="spellStart"/>
      <w:r w:rsidRPr="00124DB1">
        <w:t>Bazelais</w:t>
      </w:r>
      <w:proofErr w:type="spellEnd"/>
      <w:r w:rsidRPr="00124DB1">
        <w:t xml:space="preserve"> targeted two police officers who were unidentified at the time other than as “John Doe” and “Jane Doe”.</w:t>
      </w:r>
    </w:p>
    <w:p w14:paraId="23B8A4AA" w14:textId="3FB717E1" w:rsidR="00507A20" w:rsidRPr="00124DB1" w:rsidRDefault="00A7388A" w:rsidP="00507A20">
      <w:pPr>
        <w:pStyle w:val="Paragraphe"/>
        <w:tabs>
          <w:tab w:val="clear" w:pos="567"/>
        </w:tabs>
      </w:pPr>
      <w:r w:rsidRPr="00124DB1">
        <w:t>Yet, in its statement of facts from August 2017, the Commission’s investigator named only the “</w:t>
      </w:r>
      <w:r w:rsidR="00DD0C6B">
        <w:t>Ville</w:t>
      </w:r>
      <w:r w:rsidRPr="00124DB1">
        <w:t xml:space="preserve"> de Montréal (SPVM)” and “</w:t>
      </w:r>
      <w:r w:rsidR="00F61025" w:rsidRPr="00124DB1">
        <w:t>Sergeant</w:t>
      </w:r>
      <w:r w:rsidRPr="00124DB1">
        <w:t xml:space="preserve"> Stéphane Mathurin” as the impleaded parties.</w:t>
      </w:r>
      <w:r w:rsidR="00AD32E1" w:rsidRPr="00124DB1">
        <w:rPr>
          <w:rStyle w:val="Appelnotedebasdep"/>
        </w:rPr>
        <w:footnoteReference w:id="101"/>
      </w:r>
      <w:r w:rsidR="00AD32E1" w:rsidRPr="00124DB1">
        <w:t xml:space="preserve">  </w:t>
      </w:r>
    </w:p>
    <w:p w14:paraId="7D91C86C" w14:textId="61B8EAD0" w:rsidR="00507A20" w:rsidRPr="00124DB1" w:rsidRDefault="00A7388A" w:rsidP="00507A20">
      <w:pPr>
        <w:pStyle w:val="Paragraphe"/>
        <w:tabs>
          <w:tab w:val="clear" w:pos="567"/>
        </w:tabs>
      </w:pPr>
      <w:r w:rsidRPr="00124DB1">
        <w:t xml:space="preserve">The same is true in the resolution adopted by </w:t>
      </w:r>
      <w:r w:rsidR="00F61025" w:rsidRPr="00124DB1">
        <w:t>the</w:t>
      </w:r>
      <w:r w:rsidRPr="00124DB1">
        <w:t xml:space="preserve"> Commission on May 22, 2019.</w:t>
      </w:r>
      <w:r w:rsidR="00AD32E1" w:rsidRPr="00124DB1">
        <w:rPr>
          <w:rStyle w:val="Appelnotedebasdep"/>
        </w:rPr>
        <w:footnoteReference w:id="102"/>
      </w:r>
    </w:p>
    <w:p w14:paraId="5CC2E00D" w14:textId="24C57686" w:rsidR="00507A20" w:rsidRPr="00124DB1" w:rsidRDefault="00A7388A" w:rsidP="00507A20">
      <w:pPr>
        <w:pStyle w:val="Paragraphe"/>
        <w:tabs>
          <w:tab w:val="clear" w:pos="567"/>
        </w:tabs>
      </w:pPr>
      <w:r w:rsidRPr="00124DB1">
        <w:t xml:space="preserve">Citing </w:t>
      </w:r>
      <w:r w:rsidRPr="00124DB1">
        <w:rPr>
          <w:i/>
        </w:rPr>
        <w:t xml:space="preserve">Coutu c. Québec (Tribunal des droits de la </w:t>
      </w:r>
      <w:proofErr w:type="spellStart"/>
      <w:r w:rsidRPr="00124DB1">
        <w:rPr>
          <w:i/>
        </w:rPr>
        <w:t>personne</w:t>
      </w:r>
      <w:proofErr w:type="spellEnd"/>
      <w:r w:rsidRPr="00124DB1">
        <w:rPr>
          <w:i/>
        </w:rPr>
        <w:t>)</w:t>
      </w:r>
      <w:r w:rsidRPr="00124DB1">
        <w:t>,</w:t>
      </w:r>
      <w:r w:rsidR="00AD32E1" w:rsidRPr="00124DB1">
        <w:rPr>
          <w:rStyle w:val="Appelnotedebasdep"/>
        </w:rPr>
        <w:footnoteReference w:id="103"/>
      </w:r>
      <w:r w:rsidRPr="00124DB1">
        <w:t xml:space="preserve"> the </w:t>
      </w:r>
      <w:r w:rsidR="00DD0C6B">
        <w:t>City</w:t>
      </w:r>
      <w:r w:rsidRPr="00124DB1">
        <w:t xml:space="preserve"> insists on the fact that </w:t>
      </w:r>
      <w:r w:rsidR="00F61025" w:rsidRPr="00124DB1">
        <w:t>[</w:t>
      </w:r>
      <w:r w:rsidR="00F61025" w:rsidRPr="00124DB1">
        <w:rPr>
          <w:smallCaps/>
        </w:rPr>
        <w:t>translation</w:t>
      </w:r>
      <w:r w:rsidR="00F61025" w:rsidRPr="00124DB1">
        <w:t xml:space="preserve">] </w:t>
      </w:r>
      <w:r w:rsidRPr="00124DB1">
        <w:t xml:space="preserve">“the law subjects the </w:t>
      </w:r>
      <w:r w:rsidR="00CC2A55" w:rsidRPr="00124DB1">
        <w:t>denu</w:t>
      </w:r>
      <w:r w:rsidR="00124DB1">
        <w:t>n</w:t>
      </w:r>
      <w:r w:rsidR="00CC2A55" w:rsidRPr="00124DB1">
        <w:t>ciation</w:t>
      </w:r>
      <w:r w:rsidRPr="00124DB1">
        <w:t xml:space="preserve"> of a presumed victim to a full verification process through investigation”.</w:t>
      </w:r>
      <w:r w:rsidR="00AD32E1" w:rsidRPr="00124DB1">
        <w:rPr>
          <w:rStyle w:val="Appelnotedebasdep"/>
        </w:rPr>
        <w:footnoteReference w:id="104"/>
      </w:r>
    </w:p>
    <w:p w14:paraId="3B1A46A3" w14:textId="7D1D0BEF" w:rsidR="00507A20" w:rsidRPr="00124DB1" w:rsidRDefault="00A7388A" w:rsidP="00507A20">
      <w:pPr>
        <w:pStyle w:val="Paragraphe"/>
        <w:tabs>
          <w:tab w:val="clear" w:pos="567"/>
        </w:tabs>
      </w:pPr>
      <w:r w:rsidRPr="00124DB1">
        <w:t>It argues that the investigator removed any reference to the discriminatory or inappropriate conduct of police officers “John Doe” and “Jane D</w:t>
      </w:r>
      <w:r w:rsidR="00F61025" w:rsidRPr="00124DB1">
        <w:t>o</w:t>
      </w:r>
      <w:r w:rsidRPr="00124DB1">
        <w:t>e” from his investigation.</w:t>
      </w:r>
    </w:p>
    <w:p w14:paraId="7A14B4FA" w14:textId="4BDC00AC" w:rsidR="00507A20" w:rsidRPr="00124DB1" w:rsidRDefault="00A7388A" w:rsidP="00507A20">
      <w:pPr>
        <w:pStyle w:val="Paragraphe"/>
        <w:tabs>
          <w:tab w:val="clear" w:pos="567"/>
        </w:tabs>
      </w:pPr>
      <w:r w:rsidRPr="00124DB1">
        <w:t xml:space="preserve">The </w:t>
      </w:r>
      <w:r w:rsidR="00DD0C6B">
        <w:t>City</w:t>
      </w:r>
      <w:r w:rsidRPr="00124DB1">
        <w:t xml:space="preserve"> argues that the Tribunal’s jurisdiction arises from the</w:t>
      </w:r>
      <w:r w:rsidR="00F61025" w:rsidRPr="00124DB1">
        <w:t xml:space="preserve"> [</w:t>
      </w:r>
      <w:r w:rsidR="00F61025" w:rsidRPr="00124DB1">
        <w:rPr>
          <w:smallCaps/>
        </w:rPr>
        <w:t>translation</w:t>
      </w:r>
      <w:r w:rsidR="00F61025" w:rsidRPr="00124DB1">
        <w:t>]</w:t>
      </w:r>
      <w:r w:rsidRPr="00124DB1">
        <w:t xml:space="preserve"> “full verification” inherent to the investigation and the examination by the Commission of the </w:t>
      </w:r>
      <w:r w:rsidR="00F61025" w:rsidRPr="00124DB1">
        <w:t>[</w:t>
      </w:r>
      <w:r w:rsidR="00F61025" w:rsidRPr="00124DB1">
        <w:rPr>
          <w:smallCaps/>
        </w:rPr>
        <w:t>translation</w:t>
      </w:r>
      <w:r w:rsidR="00F61025" w:rsidRPr="00124DB1">
        <w:t xml:space="preserve">] </w:t>
      </w:r>
      <w:r w:rsidRPr="00124DB1">
        <w:t xml:space="preserve">“relevance and accuracy of </w:t>
      </w:r>
      <w:r w:rsidR="00F61025" w:rsidRPr="00124DB1">
        <w:t>the</w:t>
      </w:r>
      <w:r w:rsidRPr="00124DB1">
        <w:t xml:space="preserve"> facts reported by the complainant or that it personally uncovers”:</w:t>
      </w:r>
      <w:r w:rsidR="00AD32E1" w:rsidRPr="00124DB1">
        <w:rPr>
          <w:rStyle w:val="Appelnotedebasdep"/>
        </w:rPr>
        <w:footnoteReference w:id="105"/>
      </w:r>
      <w:r w:rsidR="00AD32E1" w:rsidRPr="00124DB1">
        <w:t xml:space="preserve">   </w:t>
      </w:r>
    </w:p>
    <w:p w14:paraId="076FCBE4" w14:textId="77777777" w:rsidR="00507A20" w:rsidRPr="00124DB1" w:rsidRDefault="00A7388A" w:rsidP="00507A20">
      <w:pPr>
        <w:pStyle w:val="Citationenretrait"/>
        <w:rPr>
          <w:lang w:val="en-CA"/>
        </w:rPr>
      </w:pPr>
      <w:r w:rsidRPr="00124DB1">
        <w:rPr>
          <w:lang w:val="en-CA"/>
        </w:rPr>
        <w:lastRenderedPageBreak/>
        <w:t>[57</w:t>
      </w:r>
      <w:proofErr w:type="gramStart"/>
      <w:r w:rsidRPr="00124DB1">
        <w:rPr>
          <w:lang w:val="en-CA"/>
        </w:rPr>
        <w:t>] ...</w:t>
      </w:r>
      <w:proofErr w:type="gramEnd"/>
      <w:r w:rsidRPr="00124DB1">
        <w:rPr>
          <w:lang w:val="en-CA"/>
        </w:rPr>
        <w:t xml:space="preserve"> The Tribunal’s jurisdiction </w:t>
      </w:r>
      <w:proofErr w:type="gramStart"/>
      <w:r w:rsidRPr="00124DB1">
        <w:rPr>
          <w:lang w:val="en-CA"/>
        </w:rPr>
        <w:t>is circumscribed</w:t>
      </w:r>
      <w:proofErr w:type="gramEnd"/>
      <w:r w:rsidRPr="00124DB1">
        <w:rPr>
          <w:lang w:val="en-CA"/>
        </w:rPr>
        <w:t xml:space="preserve"> by that work.</w:t>
      </w:r>
      <w:r w:rsidR="00AD32E1" w:rsidRPr="00124DB1">
        <w:rPr>
          <w:lang w:val="en-CA"/>
        </w:rPr>
        <w:t xml:space="preserve"> </w:t>
      </w:r>
      <w:r w:rsidRPr="00124DB1">
        <w:rPr>
          <w:lang w:val="en-CA"/>
        </w:rPr>
        <w:t xml:space="preserve">In a discrimination case, the application to the Tribunal </w:t>
      </w:r>
      <w:proofErr w:type="gramStart"/>
      <w:r w:rsidRPr="00124DB1">
        <w:rPr>
          <w:lang w:val="en-CA"/>
        </w:rPr>
        <w:t>is intended</w:t>
      </w:r>
      <w:proofErr w:type="gramEnd"/>
      <w:r w:rsidRPr="00124DB1">
        <w:rPr>
          <w:lang w:val="en-CA"/>
        </w:rPr>
        <w:t xml:space="preserve"> to be an extension of the investigation conducted by the Commission in response to a complaint.</w:t>
      </w:r>
    </w:p>
    <w:p w14:paraId="66EDA10C" w14:textId="1A6BE90D" w:rsidR="00507A20" w:rsidRPr="00124DB1" w:rsidRDefault="00F61025" w:rsidP="00507A20">
      <w:pPr>
        <w:pStyle w:val="Citationenretrait"/>
        <w:rPr>
          <w:lang w:val="en-CA"/>
        </w:rPr>
      </w:pPr>
      <w:r w:rsidRPr="00124DB1">
        <w:rPr>
          <w:lang w:val="en-CA"/>
        </w:rPr>
        <w:t>…</w:t>
      </w:r>
    </w:p>
    <w:p w14:paraId="4548448B" w14:textId="77777777" w:rsidR="00507A20" w:rsidRPr="00124DB1" w:rsidRDefault="00A7388A" w:rsidP="00507A20">
      <w:pPr>
        <w:pStyle w:val="Citationenretrait"/>
        <w:rPr>
          <w:lang w:val="en-CA"/>
        </w:rPr>
      </w:pPr>
      <w:r w:rsidRPr="00124DB1">
        <w:rPr>
          <w:lang w:val="en-CA"/>
        </w:rPr>
        <w:t>[60</w:t>
      </w:r>
      <w:proofErr w:type="gramStart"/>
      <w:r w:rsidRPr="00124DB1">
        <w:rPr>
          <w:lang w:val="en-CA"/>
        </w:rPr>
        <w:t>]  ...</w:t>
      </w:r>
      <w:proofErr w:type="gramEnd"/>
      <w:r w:rsidRPr="00124DB1">
        <w:rPr>
          <w:lang w:val="en-CA"/>
        </w:rPr>
        <w:t xml:space="preserve"> To conclude otherwise would be to unduly curtail the Commission’s function of managing and screening complaints </w:t>
      </w:r>
      <w:proofErr w:type="gramStart"/>
      <w:r w:rsidRPr="00124DB1">
        <w:rPr>
          <w:lang w:val="en-CA"/>
        </w:rPr>
        <w:t>… .</w:t>
      </w:r>
      <w:proofErr w:type="gramEnd"/>
      <w:r w:rsidR="00AD32E1" w:rsidRPr="00124DB1">
        <w:rPr>
          <w:lang w:val="en-CA"/>
        </w:rPr>
        <w:t xml:space="preserve"> </w:t>
      </w:r>
      <w:r w:rsidRPr="00124DB1">
        <w:rPr>
          <w:lang w:val="en-CA"/>
        </w:rPr>
        <w:t>The Tribunal’s jurisdiction in discrimination cases is dependent on the Commission’s having first conducted an investigation.</w:t>
      </w:r>
      <w:r w:rsidR="00AD32E1" w:rsidRPr="00124DB1">
        <w:rPr>
          <w:rStyle w:val="Appelnotedebasdep"/>
          <w:szCs w:val="22"/>
          <w:lang w:val="en-CA"/>
        </w:rPr>
        <w:footnoteReference w:id="106"/>
      </w:r>
    </w:p>
    <w:p w14:paraId="007A53A7" w14:textId="77777777" w:rsidR="00507A20" w:rsidRPr="00124DB1" w:rsidRDefault="00A7388A" w:rsidP="00507A20">
      <w:pPr>
        <w:pStyle w:val="Citationenretrait"/>
        <w:jc w:val="right"/>
        <w:rPr>
          <w:sz w:val="20"/>
          <w:lang w:val="en-CA"/>
        </w:rPr>
      </w:pPr>
      <w:r w:rsidRPr="00124DB1">
        <w:rPr>
          <w:sz w:val="20"/>
          <w:lang w:val="en-CA"/>
        </w:rPr>
        <w:t>[Citations omitted.]</w:t>
      </w:r>
    </w:p>
    <w:p w14:paraId="6FE7E842" w14:textId="2BA3D811" w:rsidR="00507A20" w:rsidRPr="00124DB1" w:rsidRDefault="00A7388A" w:rsidP="00507A20">
      <w:pPr>
        <w:pStyle w:val="Paragraphe"/>
        <w:tabs>
          <w:tab w:val="clear" w:pos="567"/>
        </w:tabs>
      </w:pPr>
      <w:r w:rsidRPr="00124DB1">
        <w:t xml:space="preserve">According to the </w:t>
      </w:r>
      <w:r w:rsidR="00DD0C6B">
        <w:t>City</w:t>
      </w:r>
      <w:r w:rsidRPr="00124DB1">
        <w:t xml:space="preserve">, the Tribunal is therefore without jurisdiction to rule on the conduct of the police officers who did not </w:t>
      </w:r>
      <w:r w:rsidR="009D142E" w:rsidRPr="00124DB1">
        <w:t>attract</w:t>
      </w:r>
      <w:r w:rsidRPr="00124DB1">
        <w:t xml:space="preserve"> the investigator’s attention.</w:t>
      </w:r>
    </w:p>
    <w:p w14:paraId="2EC62DD4" w14:textId="09BB485B" w:rsidR="00507A20" w:rsidRPr="00124DB1" w:rsidRDefault="00A7388A" w:rsidP="00507A20">
      <w:pPr>
        <w:pStyle w:val="Paragraphe"/>
        <w:tabs>
          <w:tab w:val="clear" w:pos="567"/>
        </w:tabs>
      </w:pPr>
      <w:r w:rsidRPr="00124DB1">
        <w:t>The argument has no merit.</w:t>
      </w:r>
      <w:r w:rsidR="00AD32E1" w:rsidRPr="00124DB1">
        <w:t xml:space="preserve"> </w:t>
      </w:r>
      <w:r w:rsidR="00224067" w:rsidRPr="00124DB1">
        <w:t>As a legal person</w:t>
      </w:r>
      <w:r w:rsidR="00AD32E1" w:rsidRPr="00124DB1">
        <w:rPr>
          <w:rStyle w:val="Appelnotedebasdep"/>
        </w:rPr>
        <w:footnoteReference w:id="107"/>
      </w:r>
      <w:r w:rsidR="00224067" w:rsidRPr="00124DB1">
        <w:t xml:space="preserve"> established in the public interest,</w:t>
      </w:r>
      <w:r w:rsidR="00AD32E1" w:rsidRPr="00124DB1">
        <w:rPr>
          <w:rStyle w:val="Appelnotedebasdep"/>
        </w:rPr>
        <w:footnoteReference w:id="108"/>
      </w:r>
      <w:r w:rsidR="00224067" w:rsidRPr="00124DB1">
        <w:t xml:space="preserve"> the </w:t>
      </w:r>
      <w:r w:rsidR="00DD0C6B">
        <w:t>City</w:t>
      </w:r>
      <w:r w:rsidR="00224067" w:rsidRPr="00124DB1">
        <w:t xml:space="preserve"> </w:t>
      </w:r>
      <w:r w:rsidR="009D142E" w:rsidRPr="00124DB1">
        <w:t>ensures</w:t>
      </w:r>
      <w:r w:rsidR="00224067" w:rsidRPr="00124DB1">
        <w:t xml:space="preserve"> public security on its territory through its police department and physical persons – the </w:t>
      </w:r>
      <w:r w:rsidR="00073C6E" w:rsidRPr="00124DB1">
        <w:t>chief of police</w:t>
      </w:r>
      <w:r w:rsidR="00224067" w:rsidRPr="00124DB1">
        <w:t xml:space="preserve">, police officers, </w:t>
      </w:r>
      <w:r w:rsidR="00073C6E" w:rsidRPr="00124DB1">
        <w:t>other officers</w:t>
      </w:r>
      <w:r w:rsidR="00224067" w:rsidRPr="00124DB1">
        <w:t xml:space="preserve">, </w:t>
      </w:r>
      <w:proofErr w:type="gramStart"/>
      <w:r w:rsidR="00224067" w:rsidRPr="00124DB1">
        <w:t>employees</w:t>
      </w:r>
      <w:proofErr w:type="gramEnd"/>
      <w:r w:rsidR="00AD32E1" w:rsidRPr="00124DB1">
        <w:rPr>
          <w:rStyle w:val="Appelnotedebasdep"/>
        </w:rPr>
        <w:footnoteReference w:id="109"/>
      </w:r>
      <w:r w:rsidR="00224067" w:rsidRPr="00124DB1">
        <w:t xml:space="preserve"> – who are part of it and have </w:t>
      </w:r>
      <w:r w:rsidR="00073C6E" w:rsidRPr="00124DB1">
        <w:t>responsibilities</w:t>
      </w:r>
      <w:r w:rsidR="00224067" w:rsidRPr="00124DB1">
        <w:t xml:space="preserve">, under </w:t>
      </w:r>
      <w:r w:rsidR="00073C6E" w:rsidRPr="00124DB1">
        <w:t>the</w:t>
      </w:r>
      <w:r w:rsidR="00224067" w:rsidRPr="00124DB1">
        <w:t xml:space="preserve"> authority of </w:t>
      </w:r>
      <w:r w:rsidR="00073C6E" w:rsidRPr="00124DB1">
        <w:t>the</w:t>
      </w:r>
      <w:r w:rsidR="00224067" w:rsidRPr="00124DB1">
        <w:t xml:space="preserve"> municipal council.</w:t>
      </w:r>
      <w:r w:rsidR="00AD32E1" w:rsidRPr="00124DB1">
        <w:rPr>
          <w:rStyle w:val="Appelnotedebasdep"/>
        </w:rPr>
        <w:footnoteReference w:id="110"/>
      </w:r>
    </w:p>
    <w:p w14:paraId="03D8FB28" w14:textId="0B127EDF" w:rsidR="00507A20" w:rsidRPr="00124DB1" w:rsidRDefault="00224067" w:rsidP="00507A20">
      <w:pPr>
        <w:pStyle w:val="Paragraphe"/>
        <w:tabs>
          <w:tab w:val="clear" w:pos="567"/>
        </w:tabs>
      </w:pPr>
      <w:r w:rsidRPr="00124DB1">
        <w:t>That said</w:t>
      </w:r>
      <w:proofErr w:type="gramStart"/>
      <w:r w:rsidRPr="00124DB1">
        <w:t>,</w:t>
      </w:r>
      <w:proofErr w:type="gramEnd"/>
      <w:r w:rsidRPr="00124DB1">
        <w:t xml:space="preserve"> it is trite law that as an employer, the </w:t>
      </w:r>
      <w:r w:rsidR="00DD0C6B">
        <w:t>City</w:t>
      </w:r>
      <w:r w:rsidRPr="00124DB1">
        <w:t xml:space="preserve"> is liable for injury cause</w:t>
      </w:r>
      <w:r w:rsidR="005F4008" w:rsidRPr="00124DB1">
        <w:t>d</w:t>
      </w:r>
      <w:r w:rsidRPr="00124DB1">
        <w:t xml:space="preserve"> to another by its police officers.</w:t>
      </w:r>
      <w:r w:rsidR="00AD32E1" w:rsidRPr="00124DB1">
        <w:rPr>
          <w:rStyle w:val="Appelnotedebasdep"/>
        </w:rPr>
        <w:footnoteReference w:id="111"/>
      </w:r>
    </w:p>
    <w:p w14:paraId="3627D88B" w14:textId="2369130C" w:rsidR="00507A20" w:rsidRPr="00124DB1" w:rsidRDefault="00224067" w:rsidP="00507A20">
      <w:pPr>
        <w:pStyle w:val="Paragraphe"/>
        <w:tabs>
          <w:tab w:val="clear" w:pos="567"/>
        </w:tabs>
      </w:pPr>
      <w:r w:rsidRPr="00124DB1">
        <w:t xml:space="preserve">It appears clearly </w:t>
      </w:r>
      <w:r w:rsidR="00256F1B">
        <w:t>from</w:t>
      </w:r>
      <w:r w:rsidRPr="00124DB1">
        <w:t xml:space="preserve"> the statement of facts and the wording of the Commission’s </w:t>
      </w:r>
      <w:r w:rsidR="0018409A" w:rsidRPr="00124DB1">
        <w:t>r</w:t>
      </w:r>
      <w:r w:rsidR="005F4008" w:rsidRPr="00124DB1">
        <w:t>esolution</w:t>
      </w:r>
      <w:r w:rsidRPr="00124DB1">
        <w:t xml:space="preserve"> that</w:t>
      </w:r>
      <w:r w:rsidR="00CA46FD" w:rsidRPr="00124DB1">
        <w:t xml:space="preserve">, during his investigation, </w:t>
      </w:r>
      <w:r w:rsidRPr="00124DB1">
        <w:t>the investigator devoted himself to gathering</w:t>
      </w:r>
      <w:r w:rsidR="00CA46FD" w:rsidRPr="00124DB1">
        <w:t xml:space="preserve"> </w:t>
      </w:r>
      <w:r w:rsidRPr="00124DB1">
        <w:t xml:space="preserve">evidence </w:t>
      </w:r>
      <w:r w:rsidR="005F4008" w:rsidRPr="00124DB1">
        <w:t>[</w:t>
      </w:r>
      <w:r w:rsidR="005F4008" w:rsidRPr="00124DB1">
        <w:rPr>
          <w:smallCaps/>
        </w:rPr>
        <w:t>translation</w:t>
      </w:r>
      <w:r w:rsidR="005F4008" w:rsidRPr="00124DB1">
        <w:t xml:space="preserve">] </w:t>
      </w:r>
      <w:r w:rsidRPr="00124DB1">
        <w:t xml:space="preserve">“on the way the [police] intervention unfolded”, which led him to conclude: </w:t>
      </w:r>
    </w:p>
    <w:p w14:paraId="158344B6" w14:textId="771DF92C" w:rsidR="005F4008" w:rsidRPr="00124DB1" w:rsidRDefault="005F4008" w:rsidP="00507A20">
      <w:pPr>
        <w:pStyle w:val="Citationenretrait"/>
        <w:rPr>
          <w:lang w:val="en-CA"/>
        </w:rPr>
      </w:pPr>
      <w:r w:rsidRPr="00124DB1">
        <w:rPr>
          <w:lang w:val="en-CA"/>
        </w:rPr>
        <w:t>[</w:t>
      </w:r>
      <w:r w:rsidRPr="00124DB1">
        <w:rPr>
          <w:smallCaps/>
          <w:lang w:val="en-CA"/>
        </w:rPr>
        <w:t>translation</w:t>
      </w:r>
      <w:r w:rsidRPr="00124DB1">
        <w:rPr>
          <w:lang w:val="en-CA"/>
        </w:rPr>
        <w:t>]</w:t>
      </w:r>
    </w:p>
    <w:p w14:paraId="31AB0A03" w14:textId="2FC4A96C" w:rsidR="00507A20" w:rsidRPr="00124DB1" w:rsidRDefault="00224067" w:rsidP="00507A20">
      <w:pPr>
        <w:pStyle w:val="Citationenretrait"/>
        <w:rPr>
          <w:lang w:val="en-CA"/>
        </w:rPr>
      </w:pPr>
      <w:r w:rsidRPr="00124DB1">
        <w:rPr>
          <w:lang w:val="en-CA"/>
        </w:rPr>
        <w:t xml:space="preserve">In the Commission’s view, there is sufficient evidence to conclude that Mr. </w:t>
      </w:r>
      <w:proofErr w:type="spellStart"/>
      <w:r w:rsidRPr="00124DB1">
        <w:rPr>
          <w:lang w:val="en-CA"/>
        </w:rPr>
        <w:t>Bazelais</w:t>
      </w:r>
      <w:proofErr w:type="spellEnd"/>
      <w:r w:rsidRPr="00124DB1">
        <w:rPr>
          <w:lang w:val="en-CA"/>
        </w:rPr>
        <w:t xml:space="preserve"> was the subject of differential or unusual treatment </w:t>
      </w:r>
      <w:r w:rsidRPr="00124DB1">
        <w:rPr>
          <w:u w:val="single"/>
          <w:lang w:val="en-CA"/>
        </w:rPr>
        <w:t xml:space="preserve">by the </w:t>
      </w:r>
      <w:r w:rsidR="00CA46FD" w:rsidRPr="00124DB1">
        <w:rPr>
          <w:u w:val="single"/>
          <w:lang w:val="en-CA"/>
        </w:rPr>
        <w:t xml:space="preserve">SPVM </w:t>
      </w:r>
      <w:r w:rsidRPr="00124DB1">
        <w:rPr>
          <w:u w:val="single"/>
          <w:lang w:val="en-CA"/>
        </w:rPr>
        <w:t>officers</w:t>
      </w:r>
      <w:r w:rsidRPr="00DF40F2">
        <w:rPr>
          <w:lang w:val="en-CA"/>
        </w:rPr>
        <w:t xml:space="preserve"> </w:t>
      </w:r>
      <w:r w:rsidRPr="00124DB1">
        <w:rPr>
          <w:lang w:val="en-CA"/>
        </w:rPr>
        <w:t xml:space="preserve">and </w:t>
      </w:r>
      <w:r w:rsidR="00CA46FD" w:rsidRPr="00124DB1">
        <w:rPr>
          <w:lang w:val="en-CA"/>
        </w:rPr>
        <w:t xml:space="preserve">by </w:t>
      </w:r>
      <w:r w:rsidR="005F4008" w:rsidRPr="00124DB1">
        <w:rPr>
          <w:lang w:val="en-CA"/>
        </w:rPr>
        <w:t>Sergeant</w:t>
      </w:r>
      <w:r w:rsidRPr="00124DB1">
        <w:rPr>
          <w:lang w:val="en-CA"/>
        </w:rPr>
        <w:t xml:space="preserve"> Stéphane Mathurin, who intervened on August 31, 2014, at Thursday’s due</w:t>
      </w:r>
      <w:r w:rsidR="00CA46FD" w:rsidRPr="00124DB1">
        <w:rPr>
          <w:lang w:val="en-CA"/>
        </w:rPr>
        <w:t>,</w:t>
      </w:r>
      <w:r w:rsidRPr="00124DB1">
        <w:rPr>
          <w:lang w:val="en-CA"/>
        </w:rPr>
        <w:t xml:space="preserve"> in particular</w:t>
      </w:r>
      <w:r w:rsidR="00CA46FD" w:rsidRPr="00124DB1">
        <w:rPr>
          <w:lang w:val="en-CA"/>
        </w:rPr>
        <w:t>,</w:t>
      </w:r>
      <w:r w:rsidRPr="00124DB1">
        <w:rPr>
          <w:lang w:val="en-CA"/>
        </w:rPr>
        <w:t xml:space="preserve"> to his belonging to one of the groups protected by the </w:t>
      </w:r>
      <w:r w:rsidRPr="00124DB1">
        <w:rPr>
          <w:i/>
          <w:lang w:val="en-CA"/>
        </w:rPr>
        <w:t>Charter</w:t>
      </w:r>
      <w:r w:rsidRPr="00124DB1">
        <w:rPr>
          <w:lang w:val="en-CA"/>
        </w:rPr>
        <w:t>.</w:t>
      </w:r>
      <w:r w:rsidR="00AD32E1" w:rsidRPr="00124DB1">
        <w:rPr>
          <w:rStyle w:val="Appelnotedebasdep"/>
          <w:szCs w:val="22"/>
          <w:lang w:val="en-CA"/>
        </w:rPr>
        <w:footnoteReference w:id="112"/>
      </w:r>
    </w:p>
    <w:p w14:paraId="09ABF3CE" w14:textId="77777777" w:rsidR="00507A20" w:rsidRPr="00124DB1" w:rsidRDefault="00BB3A86" w:rsidP="00507A20">
      <w:pPr>
        <w:pStyle w:val="Citationenretrait"/>
        <w:jc w:val="right"/>
        <w:rPr>
          <w:sz w:val="20"/>
          <w:lang w:val="en-CA"/>
        </w:rPr>
      </w:pPr>
      <w:r w:rsidRPr="00124DB1">
        <w:rPr>
          <w:sz w:val="20"/>
          <w:lang w:val="en-CA"/>
        </w:rPr>
        <w:t>[Emphasis added.]</w:t>
      </w:r>
    </w:p>
    <w:p w14:paraId="24B4C9BB" w14:textId="7C83E999" w:rsidR="00507A20" w:rsidRPr="00124DB1" w:rsidRDefault="00224067" w:rsidP="00507A20">
      <w:pPr>
        <w:pStyle w:val="Paragraphe"/>
        <w:tabs>
          <w:tab w:val="clear" w:pos="567"/>
        </w:tabs>
      </w:pPr>
      <w:r w:rsidRPr="00124DB1">
        <w:lastRenderedPageBreak/>
        <w:t xml:space="preserve">The fact that the </w:t>
      </w:r>
      <w:r w:rsidR="005F4008" w:rsidRPr="00124DB1">
        <w:t>Commission’s</w:t>
      </w:r>
      <w:r w:rsidRPr="00124DB1">
        <w:t xml:space="preserve"> judicial </w:t>
      </w:r>
      <w:r w:rsidR="00256F1B">
        <w:t>action</w:t>
      </w:r>
      <w:r w:rsidRPr="00124DB1">
        <w:t xml:space="preserve"> </w:t>
      </w:r>
      <w:proofErr w:type="gramStart"/>
      <w:r w:rsidRPr="00124DB1">
        <w:t>is not directed</w:t>
      </w:r>
      <w:proofErr w:type="gramEnd"/>
      <w:r w:rsidRPr="00124DB1">
        <w:t xml:space="preserve"> at a specific police officer does not confer </w:t>
      </w:r>
      <w:r w:rsidR="001123BD" w:rsidRPr="00124DB1">
        <w:t xml:space="preserve">any form of immunity </w:t>
      </w:r>
      <w:r w:rsidRPr="00124DB1">
        <w:t xml:space="preserve">on the </w:t>
      </w:r>
      <w:r w:rsidR="00DD0C6B">
        <w:t>City</w:t>
      </w:r>
      <w:r w:rsidRPr="00124DB1">
        <w:t xml:space="preserve"> from the discriminatory acts that they might have committed in the exercise of their duties.</w:t>
      </w:r>
      <w:r w:rsidR="00AD32E1" w:rsidRPr="00124DB1">
        <w:rPr>
          <w:rStyle w:val="Appelnotedebasdep"/>
        </w:rPr>
        <w:footnoteReference w:id="113"/>
      </w:r>
    </w:p>
    <w:p w14:paraId="46ABBEA2" w14:textId="77777777" w:rsidR="00507A20" w:rsidRPr="00124DB1" w:rsidRDefault="00224067" w:rsidP="00507A20">
      <w:pPr>
        <w:pStyle w:val="Paragraphe"/>
        <w:tabs>
          <w:tab w:val="clear" w:pos="567"/>
        </w:tabs>
      </w:pPr>
      <w:r w:rsidRPr="00124DB1">
        <w:t>The Tribunal therefore has jurisdiction to rule on the proceeding, as it is.</w:t>
      </w:r>
      <w:r w:rsidR="00AD32E1" w:rsidRPr="00124DB1">
        <w:t xml:space="preserve"> </w:t>
      </w:r>
    </w:p>
    <w:p w14:paraId="45BD336E" w14:textId="24B82611" w:rsidR="00507A20" w:rsidRPr="00124DB1" w:rsidRDefault="00224067" w:rsidP="00507A20">
      <w:pPr>
        <w:pStyle w:val="Titre2"/>
        <w:rPr>
          <w:lang w:val="en-CA"/>
        </w:rPr>
      </w:pPr>
      <w:r w:rsidRPr="00124DB1">
        <w:rPr>
          <w:lang w:val="en-CA"/>
        </w:rPr>
        <w:t>Dis</w:t>
      </w:r>
      <w:r w:rsidR="00256F1B">
        <w:rPr>
          <w:lang w:val="en-CA"/>
        </w:rPr>
        <w:t>crimination by racial profiling</w:t>
      </w:r>
    </w:p>
    <w:p w14:paraId="066ACFFE" w14:textId="140BE473" w:rsidR="00507A20" w:rsidRPr="00124DB1" w:rsidRDefault="0066420C" w:rsidP="00507A20">
      <w:pPr>
        <w:pStyle w:val="Paragraphe"/>
        <w:tabs>
          <w:tab w:val="clear" w:pos="567"/>
        </w:tabs>
      </w:pPr>
      <w:r w:rsidRPr="00DF40F2">
        <w:rPr>
          <w:lang w:val="fr-CA"/>
        </w:rPr>
        <w:t xml:space="preserve">In </w:t>
      </w:r>
      <w:proofErr w:type="spellStart"/>
      <w:r w:rsidRPr="00DF40F2">
        <w:rPr>
          <w:i/>
          <w:lang w:val="fr-CA"/>
        </w:rPr>
        <w:t>Qu</w:t>
      </w:r>
      <w:r w:rsidR="007A5415" w:rsidRPr="00DF40F2">
        <w:rPr>
          <w:i/>
          <w:lang w:val="fr-CA"/>
        </w:rPr>
        <w:t>e</w:t>
      </w:r>
      <w:r w:rsidRPr="00DF40F2">
        <w:rPr>
          <w:i/>
          <w:lang w:val="fr-CA"/>
        </w:rPr>
        <w:t>bec</w:t>
      </w:r>
      <w:proofErr w:type="spellEnd"/>
      <w:r w:rsidRPr="00DF40F2">
        <w:rPr>
          <w:i/>
          <w:lang w:val="fr-CA"/>
        </w:rPr>
        <w:t xml:space="preserve"> (Commission des droits de la personne et des droits de la jeunesse) </w:t>
      </w:r>
      <w:r w:rsidR="007A5415" w:rsidRPr="00DF40F2">
        <w:rPr>
          <w:i/>
          <w:lang w:val="fr-CA"/>
        </w:rPr>
        <w:t>v</w:t>
      </w:r>
      <w:r w:rsidRPr="00DF40F2">
        <w:rPr>
          <w:i/>
          <w:lang w:val="fr-CA"/>
        </w:rPr>
        <w:t>. Bombardier Inc.</w:t>
      </w:r>
      <w:r w:rsidR="00AD32E1" w:rsidRPr="00DF40F2">
        <w:rPr>
          <w:i/>
          <w:lang w:val="fr-CA"/>
        </w:rPr>
        <w:t xml:space="preserve"> </w:t>
      </w:r>
      <w:r w:rsidRPr="00124DB1">
        <w:rPr>
          <w:i/>
        </w:rPr>
        <w:t>(</w:t>
      </w:r>
      <w:r w:rsidR="007A5415" w:rsidRPr="00A34F57">
        <w:rPr>
          <w:i/>
        </w:rPr>
        <w:t>Bombardier Aerospace Training Center</w:t>
      </w:r>
      <w:r w:rsidRPr="00124DB1">
        <w:rPr>
          <w:i/>
        </w:rPr>
        <w:t>)</w:t>
      </w:r>
      <w:r w:rsidRPr="00124DB1">
        <w:t>,</w:t>
      </w:r>
      <w:r w:rsidR="00AD32E1" w:rsidRPr="00124DB1">
        <w:rPr>
          <w:rStyle w:val="Appelnotedebasdep"/>
        </w:rPr>
        <w:footnoteReference w:id="114"/>
      </w:r>
      <w:r w:rsidRPr="00124DB1">
        <w:t xml:space="preserve"> the Supreme Court of Canada accepted the following definition of “racial profiling” proposed by the Commission:</w:t>
      </w:r>
    </w:p>
    <w:p w14:paraId="4AB9EC42" w14:textId="77777777" w:rsidR="00507A20" w:rsidRPr="00124DB1" w:rsidRDefault="0066420C" w:rsidP="00507A20">
      <w:pPr>
        <w:pStyle w:val="Citationenretrait"/>
        <w:rPr>
          <w:lang w:val="en-CA"/>
        </w:rPr>
      </w:pPr>
      <w:proofErr w:type="gramStart"/>
      <w:r w:rsidRPr="00124DB1">
        <w:rPr>
          <w:lang w:val="en-CA"/>
        </w:rPr>
        <w:t xml:space="preserve">Racial profiling is any action taken by one or more people in authority with respect to a person or group of persons, for reasons of safety, security or public order, that is based on actual or presumed membership in a group defined by race, colour, ethnic or national origin or religion, </w:t>
      </w:r>
      <w:r w:rsidRPr="00124DB1">
        <w:rPr>
          <w:u w:val="single"/>
          <w:lang w:val="en-CA"/>
        </w:rPr>
        <w:t>without factual grounds or reasonable suspicion</w:t>
      </w:r>
      <w:r w:rsidRPr="00124DB1">
        <w:rPr>
          <w:lang w:val="en-CA"/>
        </w:rPr>
        <w:t>, that results in the person or group being exposed to differential treatment or scrutiny.</w:t>
      </w:r>
      <w:proofErr w:type="gramEnd"/>
    </w:p>
    <w:p w14:paraId="59A98787" w14:textId="77777777" w:rsidR="00507A20" w:rsidRPr="00124DB1" w:rsidRDefault="0066420C" w:rsidP="00507A20">
      <w:pPr>
        <w:pStyle w:val="Citationenretrait"/>
        <w:rPr>
          <w:lang w:val="en-CA"/>
        </w:rPr>
      </w:pPr>
      <w:r w:rsidRPr="00124DB1">
        <w:rPr>
          <w:lang w:val="en-CA"/>
        </w:rPr>
        <w:t xml:space="preserve">Racial profiling includes any action by a person in a situation of authority who applies a measure </w:t>
      </w:r>
      <w:r w:rsidRPr="00124DB1">
        <w:rPr>
          <w:u w:val="single"/>
          <w:lang w:val="en-CA"/>
        </w:rPr>
        <w:t>in a disproportionate way</w:t>
      </w:r>
      <w:r w:rsidRPr="00124DB1">
        <w:rPr>
          <w:lang w:val="en-CA"/>
        </w:rPr>
        <w:t xml:space="preserve"> to certain segments of the population on the basis, in particular, of their racial, ethnic, national or religious background, whether actual or presumed.</w:t>
      </w:r>
      <w:r w:rsidR="00AD32E1" w:rsidRPr="00124DB1">
        <w:rPr>
          <w:rStyle w:val="Appelnotedebasdep"/>
          <w:szCs w:val="22"/>
          <w:lang w:val="en-CA"/>
        </w:rPr>
        <w:footnoteReference w:id="115"/>
      </w:r>
    </w:p>
    <w:p w14:paraId="57C120EE" w14:textId="2AAF2CC1" w:rsidR="00507A20" w:rsidRPr="00124DB1" w:rsidRDefault="0075555D" w:rsidP="00507A20">
      <w:pPr>
        <w:pStyle w:val="Paragraphe"/>
        <w:numPr>
          <w:ilvl w:val="0"/>
          <w:numId w:val="0"/>
        </w:numPr>
        <w:tabs>
          <w:tab w:val="clear" w:pos="567"/>
        </w:tabs>
        <w:spacing w:before="0" w:after="0" w:line="240" w:lineRule="auto"/>
        <w:ind w:left="709" w:right="431"/>
        <w:jc w:val="right"/>
        <w:rPr>
          <w:sz w:val="20"/>
        </w:rPr>
      </w:pPr>
      <w:r w:rsidRPr="00124DB1">
        <w:rPr>
          <w:sz w:val="20"/>
        </w:rPr>
        <w:t>[Emphasis added</w:t>
      </w:r>
      <w:r w:rsidR="007A5415" w:rsidRPr="00124DB1">
        <w:rPr>
          <w:sz w:val="20"/>
        </w:rPr>
        <w:t>.</w:t>
      </w:r>
      <w:r w:rsidRPr="00124DB1">
        <w:rPr>
          <w:sz w:val="20"/>
        </w:rPr>
        <w:t>]</w:t>
      </w:r>
    </w:p>
    <w:p w14:paraId="271930F7" w14:textId="068DAF5F" w:rsidR="00507A20" w:rsidRPr="00124DB1" w:rsidRDefault="007A5415" w:rsidP="00507A20">
      <w:pPr>
        <w:pStyle w:val="Paragraphe"/>
        <w:numPr>
          <w:ilvl w:val="0"/>
          <w:numId w:val="0"/>
        </w:numPr>
        <w:tabs>
          <w:tab w:val="clear" w:pos="567"/>
        </w:tabs>
        <w:spacing w:before="0" w:after="0" w:line="240" w:lineRule="auto"/>
        <w:ind w:left="709" w:right="431"/>
        <w:jc w:val="right"/>
        <w:rPr>
          <w:sz w:val="20"/>
        </w:rPr>
      </w:pPr>
      <w:r w:rsidRPr="00124DB1">
        <w:rPr>
          <w:sz w:val="20"/>
        </w:rPr>
        <w:t>[</w:t>
      </w:r>
      <w:r w:rsidR="0066420C" w:rsidRPr="00124DB1">
        <w:rPr>
          <w:sz w:val="20"/>
        </w:rPr>
        <w:t>Citation omitted.</w:t>
      </w:r>
      <w:r w:rsidRPr="00124DB1">
        <w:rPr>
          <w:sz w:val="20"/>
        </w:rPr>
        <w:t>]</w:t>
      </w:r>
    </w:p>
    <w:p w14:paraId="0C7839CB" w14:textId="77777777" w:rsidR="00507A20" w:rsidRPr="00124DB1" w:rsidRDefault="0066420C" w:rsidP="00507A20">
      <w:pPr>
        <w:pStyle w:val="Paragraphe"/>
        <w:tabs>
          <w:tab w:val="clear" w:pos="567"/>
        </w:tabs>
      </w:pPr>
      <w:r w:rsidRPr="00124DB1">
        <w:t xml:space="preserve">In </w:t>
      </w:r>
      <w:r w:rsidRPr="00124DB1">
        <w:rPr>
          <w:i/>
        </w:rPr>
        <w:t>R. v. Le</w:t>
      </w:r>
      <w:r w:rsidR="00AD32E1" w:rsidRPr="00124DB1">
        <w:rPr>
          <w:rStyle w:val="Appelnotedebasdep"/>
        </w:rPr>
        <w:footnoteReference w:id="116"/>
      </w:r>
      <w:r w:rsidRPr="00124DB1">
        <w:t xml:space="preserve"> – which concerned a police intervention, as in this case – the Court repeated the definition while adding the following clarifications:</w:t>
      </w:r>
      <w:r w:rsidR="00AD32E1" w:rsidRPr="00124DB1">
        <w:t xml:space="preserve"> </w:t>
      </w:r>
    </w:p>
    <w:p w14:paraId="7B4DCDDA" w14:textId="77777777" w:rsidR="00507A20" w:rsidRPr="00124DB1" w:rsidRDefault="0066420C" w:rsidP="00507A20">
      <w:pPr>
        <w:pStyle w:val="Citationenretrait"/>
        <w:rPr>
          <w:lang w:val="en-CA"/>
        </w:rPr>
      </w:pPr>
      <w:r w:rsidRPr="00124DB1">
        <w:rPr>
          <w:lang w:val="en-CA"/>
        </w:rPr>
        <w:t xml:space="preserve">[76] ... the concept of racial profiling is primarily concerned with </w:t>
      </w:r>
      <w:r w:rsidRPr="00124DB1">
        <w:rPr>
          <w:u w:val="single"/>
          <w:lang w:val="en-CA"/>
        </w:rPr>
        <w:t>the motivation of the police</w:t>
      </w:r>
      <w:r w:rsidRPr="00124DB1">
        <w:rPr>
          <w:lang w:val="en-CA"/>
        </w:rPr>
        <w:t>.</w:t>
      </w:r>
      <w:r w:rsidR="00AD32E1" w:rsidRPr="00124DB1">
        <w:rPr>
          <w:lang w:val="en-CA"/>
        </w:rPr>
        <w:t xml:space="preserve"> </w:t>
      </w:r>
      <w:r w:rsidRPr="00124DB1">
        <w:rPr>
          <w:lang w:val="en-CA"/>
        </w:rPr>
        <w:t xml:space="preserve">It occurs when race or racial stereotypes about offending or dangerousness are used, consciously or unconsciously, </w:t>
      </w:r>
      <w:r w:rsidRPr="00124DB1">
        <w:rPr>
          <w:u w:val="single"/>
          <w:lang w:val="en-CA"/>
        </w:rPr>
        <w:t>to any degree</w:t>
      </w:r>
      <w:r w:rsidRPr="00256F1B">
        <w:rPr>
          <w:u w:val="single"/>
          <w:lang w:val="en-CA"/>
        </w:rPr>
        <w:t xml:space="preserve"> </w:t>
      </w:r>
      <w:r w:rsidRPr="00124DB1">
        <w:rPr>
          <w:u w:val="single"/>
          <w:lang w:val="en-CA"/>
        </w:rPr>
        <w:t xml:space="preserve">in suspect selection or subject </w:t>
      </w:r>
      <w:proofErr w:type="gramStart"/>
      <w:r w:rsidRPr="00124DB1">
        <w:rPr>
          <w:u w:val="single"/>
          <w:lang w:val="en-CA"/>
        </w:rPr>
        <w:t>treatment</w:t>
      </w:r>
      <w:r w:rsidRPr="00124DB1">
        <w:rPr>
          <w:lang w:val="en-CA"/>
        </w:rPr>
        <w:t xml:space="preserve"> ...</w:t>
      </w:r>
      <w:proofErr w:type="gramEnd"/>
      <w:r w:rsidRPr="00124DB1">
        <w:rPr>
          <w:lang w:val="en-CA"/>
        </w:rPr>
        <w:t xml:space="preserve"> .</w:t>
      </w:r>
      <w:r w:rsidR="00AD32E1" w:rsidRPr="00124DB1">
        <w:rPr>
          <w:rStyle w:val="Appelnotedebasdep"/>
          <w:szCs w:val="22"/>
          <w:lang w:val="en-CA"/>
        </w:rPr>
        <w:footnoteReference w:id="117"/>
      </w:r>
    </w:p>
    <w:p w14:paraId="72DF0B5E" w14:textId="243C8799" w:rsidR="00507A20" w:rsidRPr="00124DB1" w:rsidRDefault="0075555D" w:rsidP="00507A20">
      <w:pPr>
        <w:pStyle w:val="Paragraphe"/>
        <w:numPr>
          <w:ilvl w:val="0"/>
          <w:numId w:val="0"/>
        </w:numPr>
        <w:tabs>
          <w:tab w:val="clear" w:pos="567"/>
        </w:tabs>
        <w:spacing w:before="0" w:after="0" w:line="240" w:lineRule="auto"/>
        <w:ind w:left="709" w:right="431"/>
        <w:jc w:val="right"/>
        <w:rPr>
          <w:sz w:val="20"/>
        </w:rPr>
      </w:pPr>
      <w:r w:rsidRPr="00124DB1">
        <w:rPr>
          <w:sz w:val="20"/>
        </w:rPr>
        <w:t>[Emphasis added</w:t>
      </w:r>
      <w:r w:rsidR="007A5415" w:rsidRPr="00124DB1">
        <w:rPr>
          <w:sz w:val="20"/>
        </w:rPr>
        <w:t>.</w:t>
      </w:r>
      <w:r w:rsidRPr="00124DB1">
        <w:rPr>
          <w:sz w:val="20"/>
        </w:rPr>
        <w:t>]</w:t>
      </w:r>
    </w:p>
    <w:p w14:paraId="71C419FE" w14:textId="77777777" w:rsidR="00507A20" w:rsidRPr="00124DB1" w:rsidRDefault="00A7388A" w:rsidP="00507A20">
      <w:pPr>
        <w:pStyle w:val="Paragraphe"/>
        <w:numPr>
          <w:ilvl w:val="0"/>
          <w:numId w:val="0"/>
        </w:numPr>
        <w:tabs>
          <w:tab w:val="clear" w:pos="567"/>
        </w:tabs>
        <w:spacing w:before="0" w:after="0" w:line="240" w:lineRule="auto"/>
        <w:ind w:left="709" w:right="431"/>
        <w:jc w:val="right"/>
        <w:rPr>
          <w:sz w:val="20"/>
        </w:rPr>
      </w:pPr>
      <w:r w:rsidRPr="00124DB1">
        <w:rPr>
          <w:sz w:val="20"/>
        </w:rPr>
        <w:t>[Citations omitted.]</w:t>
      </w:r>
    </w:p>
    <w:p w14:paraId="0B26276D" w14:textId="0E07B593" w:rsidR="00507A20" w:rsidRPr="00124DB1" w:rsidRDefault="0066420C" w:rsidP="00507A20">
      <w:pPr>
        <w:pStyle w:val="Paragraphe"/>
        <w:tabs>
          <w:tab w:val="clear" w:pos="567"/>
        </w:tabs>
      </w:pPr>
      <w:r w:rsidRPr="00124DB1">
        <w:lastRenderedPageBreak/>
        <w:t xml:space="preserve">Thus, in </w:t>
      </w:r>
      <w:proofErr w:type="spellStart"/>
      <w:r w:rsidRPr="00124DB1">
        <w:rPr>
          <w:i/>
        </w:rPr>
        <w:t>Nyembwe</w:t>
      </w:r>
      <w:proofErr w:type="spellEnd"/>
      <w:r w:rsidRPr="00124DB1">
        <w:t xml:space="preserve">, the Tribunal observed that </w:t>
      </w:r>
      <w:r w:rsidR="000271DD" w:rsidRPr="00124DB1">
        <w:t>[</w:t>
      </w:r>
      <w:r w:rsidR="000271DD" w:rsidRPr="00124DB1">
        <w:rPr>
          <w:smallCaps/>
        </w:rPr>
        <w:t>translation</w:t>
      </w:r>
      <w:r w:rsidR="000271DD" w:rsidRPr="00124DB1">
        <w:t>]</w:t>
      </w:r>
      <w:r w:rsidR="000271DD" w:rsidRPr="00124DB1">
        <w:rPr>
          <w:rFonts w:ascii="MS Gothic" w:eastAsia="Malgun Gothic" w:hAnsi="MS Gothic" w:cs="MS Gothic"/>
          <w:lang w:eastAsia="ko-KR"/>
        </w:rPr>
        <w:t xml:space="preserve"> </w:t>
      </w:r>
      <w:r w:rsidRPr="00124DB1">
        <w:t>“</w:t>
      </w:r>
      <w:r w:rsidR="00DF1005" w:rsidRPr="00124DB1">
        <w:t>[r]</w:t>
      </w:r>
      <w:proofErr w:type="spellStart"/>
      <w:r w:rsidR="00DF1005" w:rsidRPr="00124DB1">
        <w:t>acial</w:t>
      </w:r>
      <w:proofErr w:type="spellEnd"/>
      <w:r w:rsidR="00DF1005" w:rsidRPr="00124DB1">
        <w:t xml:space="preserve"> </w:t>
      </w:r>
      <w:r w:rsidRPr="00124DB1">
        <w:t xml:space="preserve">profiling is anchored </w:t>
      </w:r>
      <w:r w:rsidR="00DF1005" w:rsidRPr="00124DB1">
        <w:rPr>
          <w:rFonts w:cs="Arial"/>
          <w:color w:val="000000"/>
        </w:rPr>
        <w:t>to an internal mental process that is held by a person in authority</w:t>
      </w:r>
      <w:r w:rsidRPr="00124DB1">
        <w:t>”.</w:t>
      </w:r>
      <w:r w:rsidR="00AD32E1" w:rsidRPr="00124DB1">
        <w:rPr>
          <w:rStyle w:val="Appelnotedebasdep"/>
        </w:rPr>
        <w:footnoteReference w:id="118"/>
      </w:r>
      <w:r w:rsidR="00AD32E1" w:rsidRPr="00124DB1">
        <w:t xml:space="preserve"> </w:t>
      </w:r>
      <w:r w:rsidRPr="00124DB1">
        <w:t xml:space="preserve">These processes may be influenced by unconscious racial stereotypes or prejudices, which requires increased vigilance when </w:t>
      </w:r>
      <w:r w:rsidR="000271DD" w:rsidRPr="00124DB1">
        <w:t>assessing</w:t>
      </w:r>
      <w:r w:rsidRPr="00124DB1">
        <w:t xml:space="preserve"> the evidence: </w:t>
      </w:r>
      <w:r w:rsidR="00AD32E1" w:rsidRPr="00124DB1">
        <w:t xml:space="preserve"> </w:t>
      </w:r>
    </w:p>
    <w:p w14:paraId="2BA190BC" w14:textId="5C05CF31" w:rsidR="000271DD" w:rsidRPr="00124DB1" w:rsidRDefault="000271DD" w:rsidP="00507A20">
      <w:pPr>
        <w:pStyle w:val="Citationenretrait"/>
        <w:rPr>
          <w:lang w:val="en-CA"/>
        </w:rPr>
      </w:pPr>
      <w:r w:rsidRPr="00124DB1">
        <w:rPr>
          <w:lang w:val="en-CA"/>
        </w:rPr>
        <w:t>[</w:t>
      </w:r>
      <w:r w:rsidRPr="00124DB1">
        <w:rPr>
          <w:smallCaps/>
          <w:lang w:val="en-CA"/>
        </w:rPr>
        <w:t>translation</w:t>
      </w:r>
      <w:r w:rsidRPr="00124DB1">
        <w:rPr>
          <w:lang w:val="en-CA"/>
        </w:rPr>
        <w:t>]</w:t>
      </w:r>
    </w:p>
    <w:p w14:paraId="51C347B4" w14:textId="261C3254" w:rsidR="00507A20" w:rsidRPr="00124DB1" w:rsidRDefault="0066420C" w:rsidP="00507A20">
      <w:pPr>
        <w:pStyle w:val="Citationenretrait"/>
        <w:rPr>
          <w:lang w:val="en-CA"/>
        </w:rPr>
      </w:pPr>
      <w:r w:rsidRPr="00124DB1">
        <w:rPr>
          <w:lang w:val="en-CA"/>
        </w:rPr>
        <w:t xml:space="preserve">[196] ... because the treatment used by a person in a position of authority may also be the result of unconscious </w:t>
      </w:r>
      <w:r w:rsidR="00D95D28" w:rsidRPr="00124DB1">
        <w:rPr>
          <w:lang w:val="en-CA"/>
        </w:rPr>
        <w:t>prejudice</w:t>
      </w:r>
      <w:r w:rsidRPr="00124DB1">
        <w:rPr>
          <w:lang w:val="en-CA"/>
        </w:rPr>
        <w:t>, the connection between the differential treatment and a prohibited ground of discrimination is rarely proven by direct evidence but is generally established by inference drawn from circumstantial evidence.</w:t>
      </w:r>
      <w:r w:rsidR="00AD32E1" w:rsidRPr="00124DB1">
        <w:rPr>
          <w:lang w:val="en-CA"/>
        </w:rPr>
        <w:t xml:space="preserve"> </w:t>
      </w:r>
      <w:r w:rsidRPr="00124DB1">
        <w:rPr>
          <w:lang w:val="en-CA"/>
        </w:rPr>
        <w:t xml:space="preserve">Such unconscious prejudice must be capable of </w:t>
      </w:r>
      <w:proofErr w:type="gramStart"/>
      <w:r w:rsidRPr="00124DB1">
        <w:rPr>
          <w:u w:val="single"/>
          <w:lang w:val="en-CA"/>
        </w:rPr>
        <w:t>being inferred</w:t>
      </w:r>
      <w:proofErr w:type="gramEnd"/>
      <w:r w:rsidRPr="00124DB1">
        <w:rPr>
          <w:u w:val="single"/>
          <w:lang w:val="en-CA"/>
        </w:rPr>
        <w:t xml:space="preserve"> from the evidence as a whole and not solely from the victim’s perception</w:t>
      </w:r>
      <w:r w:rsidRPr="00124DB1">
        <w:rPr>
          <w:lang w:val="en-CA"/>
        </w:rPr>
        <w:t>.</w:t>
      </w:r>
      <w:r w:rsidR="00AD32E1" w:rsidRPr="00124DB1">
        <w:rPr>
          <w:rStyle w:val="Appelnotedebasdep"/>
          <w:szCs w:val="22"/>
          <w:lang w:val="en-CA"/>
        </w:rPr>
        <w:footnoteReference w:id="119"/>
      </w:r>
    </w:p>
    <w:p w14:paraId="4BA2ACB1" w14:textId="77777777" w:rsidR="00507A20" w:rsidRPr="00124DB1" w:rsidRDefault="00BB3A86" w:rsidP="00507A20">
      <w:pPr>
        <w:pStyle w:val="Citationenretrait"/>
        <w:spacing w:after="0" w:line="240" w:lineRule="auto"/>
        <w:jc w:val="right"/>
        <w:rPr>
          <w:sz w:val="20"/>
          <w:lang w:val="en-CA"/>
        </w:rPr>
      </w:pPr>
      <w:r w:rsidRPr="00124DB1">
        <w:rPr>
          <w:sz w:val="20"/>
          <w:lang w:val="en-CA"/>
        </w:rPr>
        <w:t>[Emphasis added.]</w:t>
      </w:r>
    </w:p>
    <w:p w14:paraId="3AC7D625" w14:textId="77777777" w:rsidR="00507A20" w:rsidRPr="00124DB1" w:rsidRDefault="00A7388A" w:rsidP="00507A20">
      <w:pPr>
        <w:pStyle w:val="Citationenretrait"/>
        <w:spacing w:after="0" w:line="240" w:lineRule="auto"/>
        <w:jc w:val="right"/>
        <w:rPr>
          <w:sz w:val="20"/>
          <w:lang w:val="en-CA"/>
        </w:rPr>
      </w:pPr>
      <w:r w:rsidRPr="00124DB1">
        <w:rPr>
          <w:sz w:val="20"/>
          <w:lang w:val="en-CA"/>
        </w:rPr>
        <w:t>[Citations omitted.]</w:t>
      </w:r>
    </w:p>
    <w:p w14:paraId="1F6F2D19" w14:textId="77777777" w:rsidR="00507A20" w:rsidRPr="00124DB1" w:rsidRDefault="00507A20" w:rsidP="00507A20">
      <w:pPr>
        <w:pStyle w:val="Citationenretrait"/>
        <w:spacing w:after="0" w:line="240" w:lineRule="auto"/>
        <w:jc w:val="right"/>
        <w:rPr>
          <w:sz w:val="20"/>
          <w:lang w:val="en-CA"/>
        </w:rPr>
      </w:pPr>
    </w:p>
    <w:p w14:paraId="0721E1E4" w14:textId="77777777" w:rsidR="00507A20" w:rsidRPr="00124DB1" w:rsidRDefault="0066420C" w:rsidP="00507A20">
      <w:pPr>
        <w:pStyle w:val="Paragraphe"/>
        <w:tabs>
          <w:tab w:val="clear" w:pos="567"/>
        </w:tabs>
      </w:pPr>
      <w:r w:rsidRPr="00124DB1">
        <w:t>In racial profiling matters, maybe even more than with any other matter, analyzing the overall context in which the police intervention took place appears fundamental:</w:t>
      </w:r>
    </w:p>
    <w:p w14:paraId="7D26E1C6" w14:textId="7E49C08E" w:rsidR="00D17066" w:rsidRPr="00124DB1" w:rsidRDefault="00D17066" w:rsidP="00507A20">
      <w:pPr>
        <w:pStyle w:val="Citationenretrait"/>
        <w:rPr>
          <w:lang w:val="en-CA"/>
        </w:rPr>
      </w:pPr>
      <w:r w:rsidRPr="00124DB1">
        <w:rPr>
          <w:lang w:val="en-CA"/>
        </w:rPr>
        <w:t>[</w:t>
      </w:r>
      <w:r w:rsidRPr="00124DB1">
        <w:rPr>
          <w:smallCaps/>
          <w:lang w:val="en-CA"/>
        </w:rPr>
        <w:t>translation</w:t>
      </w:r>
      <w:r w:rsidRPr="00124DB1">
        <w:rPr>
          <w:lang w:val="en-CA"/>
        </w:rPr>
        <w:t>]</w:t>
      </w:r>
    </w:p>
    <w:p w14:paraId="39E39815" w14:textId="4AF1E211" w:rsidR="00507A20" w:rsidRPr="00124DB1" w:rsidRDefault="0066420C" w:rsidP="00507A20">
      <w:pPr>
        <w:pStyle w:val="Citationenretrait"/>
        <w:rPr>
          <w:lang w:val="en-CA"/>
        </w:rPr>
      </w:pPr>
      <w:r w:rsidRPr="00124DB1">
        <w:rPr>
          <w:lang w:val="en-CA"/>
        </w:rPr>
        <w:t>[148] ... evidence of racial profiling, that is, of the connection between the alleged treatment and race, is generally indirect.</w:t>
      </w:r>
      <w:r w:rsidR="00AD32E1" w:rsidRPr="00124DB1">
        <w:rPr>
          <w:lang w:val="en-CA"/>
        </w:rPr>
        <w:t xml:space="preserve"> </w:t>
      </w:r>
      <w:r w:rsidRPr="00124DB1">
        <w:rPr>
          <w:lang w:val="en-CA"/>
        </w:rPr>
        <w:t xml:space="preserve">It </w:t>
      </w:r>
      <w:proofErr w:type="gramStart"/>
      <w:r w:rsidRPr="00124DB1">
        <w:rPr>
          <w:lang w:val="en-CA"/>
        </w:rPr>
        <w:t>is established</w:t>
      </w:r>
      <w:proofErr w:type="gramEnd"/>
      <w:r w:rsidRPr="00124DB1">
        <w:rPr>
          <w:lang w:val="en-CA"/>
        </w:rPr>
        <w:t xml:space="preserve"> by taking into account </w:t>
      </w:r>
      <w:r w:rsidR="00AD01CB" w:rsidRPr="00124DB1">
        <w:rPr>
          <w:lang w:val="en-CA"/>
        </w:rPr>
        <w:t>various</w:t>
      </w:r>
      <w:r w:rsidRPr="00124DB1">
        <w:rPr>
          <w:lang w:val="en-CA"/>
        </w:rPr>
        <w:t xml:space="preserve"> circumstantial evidence.</w:t>
      </w:r>
      <w:r w:rsidR="00AD32E1" w:rsidRPr="00124DB1">
        <w:rPr>
          <w:lang w:val="en-CA"/>
        </w:rPr>
        <w:t xml:space="preserve"> </w:t>
      </w:r>
      <w:r w:rsidRPr="00124DB1">
        <w:rPr>
          <w:u w:val="single"/>
          <w:lang w:val="en-CA"/>
        </w:rPr>
        <w:t>Because such evidence is very difficult to establish</w:t>
      </w:r>
      <w:r w:rsidRPr="00124DB1">
        <w:rPr>
          <w:lang w:val="en-CA"/>
        </w:rPr>
        <w:t xml:space="preserve">, the </w:t>
      </w:r>
      <w:r w:rsidRPr="00C303AC">
        <w:rPr>
          <w:lang w:val="en-CA"/>
        </w:rPr>
        <w:t>courts must</w:t>
      </w:r>
      <w:r w:rsidRPr="00124DB1">
        <w:rPr>
          <w:lang w:val="en-CA"/>
        </w:rPr>
        <w:t xml:space="preserve">, while respecting the standard of the balance of probabilities, </w:t>
      </w:r>
      <w:r w:rsidRPr="00124DB1">
        <w:rPr>
          <w:u w:val="single"/>
          <w:lang w:val="en-CA"/>
        </w:rPr>
        <w:t>be sensitive to the circumstances as a whole and the context</w:t>
      </w:r>
      <w:r w:rsidRPr="00124DB1">
        <w:rPr>
          <w:lang w:val="en-CA"/>
        </w:rPr>
        <w:t xml:space="preserve"> to determine whether race or colour, consciously or unconsciously, played a role in the police </w:t>
      </w:r>
      <w:proofErr w:type="gramStart"/>
      <w:r w:rsidRPr="00124DB1">
        <w:rPr>
          <w:lang w:val="en-CA"/>
        </w:rPr>
        <w:t>officer’s</w:t>
      </w:r>
      <w:proofErr w:type="gramEnd"/>
      <w:r w:rsidRPr="00124DB1">
        <w:rPr>
          <w:lang w:val="en-CA"/>
        </w:rPr>
        <w:t xml:space="preserve"> alleged behaviour.</w:t>
      </w:r>
      <w:r w:rsidR="00AD32E1" w:rsidRPr="00124DB1">
        <w:rPr>
          <w:rStyle w:val="Appelnotedebasdep"/>
          <w:szCs w:val="22"/>
          <w:lang w:val="en-CA"/>
        </w:rPr>
        <w:footnoteReference w:id="120"/>
      </w:r>
    </w:p>
    <w:p w14:paraId="6B4E3691" w14:textId="77777777" w:rsidR="00507A20" w:rsidRPr="00124DB1" w:rsidRDefault="00AD32E1" w:rsidP="00507A20">
      <w:pPr>
        <w:pStyle w:val="Paragraphe"/>
        <w:numPr>
          <w:ilvl w:val="0"/>
          <w:numId w:val="0"/>
        </w:numPr>
        <w:tabs>
          <w:tab w:val="clear" w:pos="567"/>
        </w:tabs>
        <w:ind w:right="431"/>
        <w:jc w:val="center"/>
        <w:rPr>
          <w:sz w:val="22"/>
          <w:szCs w:val="22"/>
        </w:rPr>
      </w:pPr>
      <w:r w:rsidRPr="00124DB1">
        <w:rPr>
          <w:sz w:val="22"/>
          <w:szCs w:val="22"/>
        </w:rPr>
        <w:t>* * *</w:t>
      </w:r>
    </w:p>
    <w:p w14:paraId="329049D2" w14:textId="0EFF8275" w:rsidR="00507A20" w:rsidRPr="00124DB1" w:rsidRDefault="0066420C" w:rsidP="00507A20">
      <w:pPr>
        <w:pStyle w:val="Paragraphe"/>
        <w:tabs>
          <w:tab w:val="clear" w:pos="567"/>
        </w:tabs>
      </w:pPr>
      <w:r w:rsidRPr="00124DB1">
        <w:t>That said</w:t>
      </w:r>
      <w:proofErr w:type="gramStart"/>
      <w:r w:rsidRPr="00124DB1">
        <w:t>,</w:t>
      </w:r>
      <w:proofErr w:type="gramEnd"/>
      <w:r w:rsidRPr="00124DB1">
        <w:t xml:space="preserve"> two significant contextual elements appear </w:t>
      </w:r>
      <w:r w:rsidR="00D17066" w:rsidRPr="00124DB1">
        <w:t>from</w:t>
      </w:r>
      <w:r w:rsidRPr="00124DB1">
        <w:t xml:space="preserve"> the facts in dispute.</w:t>
      </w:r>
    </w:p>
    <w:p w14:paraId="646CBB8D" w14:textId="0ABC3AA3" w:rsidR="00507A20" w:rsidRPr="00124DB1" w:rsidRDefault="0066420C" w:rsidP="00507A20">
      <w:pPr>
        <w:pStyle w:val="Paragraphe"/>
        <w:tabs>
          <w:tab w:val="clear" w:pos="567"/>
        </w:tabs>
      </w:pPr>
      <w:r w:rsidRPr="00124DB1">
        <w:t xml:space="preserve">The first </w:t>
      </w:r>
      <w:proofErr w:type="gramStart"/>
      <w:r w:rsidRPr="00124DB1">
        <w:t>is related</w:t>
      </w:r>
      <w:proofErr w:type="gramEnd"/>
      <w:r w:rsidRPr="00124DB1">
        <w:t xml:space="preserve"> to “suspect selection”.</w:t>
      </w:r>
      <w:r w:rsidR="00AD32E1" w:rsidRPr="00124DB1">
        <w:t xml:space="preserve"> </w:t>
      </w:r>
      <w:r w:rsidR="006E75BF" w:rsidRPr="00124DB1">
        <w:t xml:space="preserve">The police intervention carried out by </w:t>
      </w:r>
      <w:r w:rsidR="00D17066" w:rsidRPr="00124DB1">
        <w:t>Sergeant</w:t>
      </w:r>
      <w:r w:rsidR="006E75BF" w:rsidRPr="00124DB1">
        <w:t xml:space="preserve"> Mathurin and the members of his unit at Thursday’s is not the fruit of a random or intuitive verification, security screening</w:t>
      </w:r>
      <w:r w:rsidR="00F706CC" w:rsidRPr="00124DB1">
        <w:t>,</w:t>
      </w:r>
      <w:r w:rsidR="006E75BF" w:rsidRPr="00124DB1">
        <w:t xml:space="preserve"> or </w:t>
      </w:r>
      <w:r w:rsidR="00F706CC" w:rsidRPr="00124DB1">
        <w:t xml:space="preserve">a </w:t>
      </w:r>
      <w:r w:rsidR="006E75BF" w:rsidRPr="00124DB1">
        <w:t>skilfully planned operation arising from their own initiative.</w:t>
      </w:r>
    </w:p>
    <w:p w14:paraId="3A640E41" w14:textId="20EBC788" w:rsidR="00507A20" w:rsidRPr="00124DB1" w:rsidRDefault="006E75BF" w:rsidP="00507A20">
      <w:pPr>
        <w:pStyle w:val="Paragraphe"/>
        <w:tabs>
          <w:tab w:val="clear" w:pos="567"/>
        </w:tabs>
      </w:pPr>
      <w:r w:rsidRPr="00124DB1">
        <w:t xml:space="preserve">It was instead at the specific request of a bar </w:t>
      </w:r>
      <w:proofErr w:type="gramStart"/>
      <w:r w:rsidRPr="00124DB1">
        <w:t>doorman</w:t>
      </w:r>
      <w:proofErr w:type="gramEnd"/>
      <w:r w:rsidRPr="00124DB1">
        <w:t xml:space="preserve">, who claimed to fear for his life, that the </w:t>
      </w:r>
      <w:proofErr w:type="spellStart"/>
      <w:r w:rsidR="00F706CC" w:rsidRPr="00124DB1">
        <w:t>É</w:t>
      </w:r>
      <w:r w:rsidRPr="00124DB1">
        <w:t>clipse</w:t>
      </w:r>
      <w:proofErr w:type="spellEnd"/>
      <w:r w:rsidRPr="00124DB1">
        <w:t xml:space="preserve"> unit went to the premises.</w:t>
      </w:r>
      <w:r w:rsidR="00AD32E1" w:rsidRPr="00124DB1">
        <w:t xml:space="preserve"> </w:t>
      </w:r>
      <w:r w:rsidRPr="00124DB1">
        <w:t xml:space="preserve">It was this </w:t>
      </w:r>
      <w:proofErr w:type="gramStart"/>
      <w:r w:rsidRPr="00124DB1">
        <w:t>doorman</w:t>
      </w:r>
      <w:proofErr w:type="gramEnd"/>
      <w:r w:rsidRPr="00124DB1">
        <w:t>, a black man</w:t>
      </w:r>
      <w:r w:rsidR="00F706CC" w:rsidRPr="00124DB1">
        <w:t xml:space="preserve"> himself</w:t>
      </w:r>
      <w:r w:rsidRPr="00124DB1">
        <w:t xml:space="preserve">, </w:t>
      </w:r>
      <w:r w:rsidRPr="00124DB1">
        <w:lastRenderedPageBreak/>
        <w:t xml:space="preserve">who gave a brief description of the black men he feared </w:t>
      </w:r>
      <w:r w:rsidR="00D17066" w:rsidRPr="00124DB1">
        <w:t>and</w:t>
      </w:r>
      <w:r w:rsidRPr="00124DB1">
        <w:t xml:space="preserve"> who </w:t>
      </w:r>
      <w:r w:rsidR="00F706CC" w:rsidRPr="00124DB1">
        <w:t>told</w:t>
      </w:r>
      <w:r w:rsidRPr="00124DB1">
        <w:t xml:space="preserve"> the officers where they were inside the establishment.</w:t>
      </w:r>
      <w:r w:rsidR="00AD32E1" w:rsidRPr="00124DB1">
        <w:t xml:space="preserve"> </w:t>
      </w:r>
      <w:r w:rsidRPr="00124DB1">
        <w:t xml:space="preserve">That is a </w:t>
      </w:r>
      <w:r w:rsidR="00D17066" w:rsidRPr="00124DB1">
        <w:t>[</w:t>
      </w:r>
      <w:r w:rsidR="00D17066" w:rsidRPr="00124DB1">
        <w:rPr>
          <w:smallCaps/>
        </w:rPr>
        <w:t>translation</w:t>
      </w:r>
      <w:r w:rsidR="00D17066" w:rsidRPr="00124DB1">
        <w:t xml:space="preserve">] </w:t>
      </w:r>
      <w:r w:rsidRPr="00124DB1">
        <w:t>“</w:t>
      </w:r>
      <w:r w:rsidR="00F706CC" w:rsidRPr="00124DB1">
        <w:t>basic</w:t>
      </w:r>
      <w:r w:rsidRPr="00124DB1">
        <w:t>, neutral</w:t>
      </w:r>
      <w:r w:rsidR="00F706CC" w:rsidRPr="00124DB1">
        <w:t>,</w:t>
      </w:r>
      <w:r w:rsidRPr="00124DB1">
        <w:t xml:space="preserve"> </w:t>
      </w:r>
      <w:r w:rsidR="00D17066" w:rsidRPr="00124DB1">
        <w:t>and</w:t>
      </w:r>
      <w:r w:rsidRPr="00124DB1">
        <w:t xml:space="preserve"> objective fact”.</w:t>
      </w:r>
      <w:r w:rsidR="00AD32E1" w:rsidRPr="00124DB1">
        <w:rPr>
          <w:rStyle w:val="Appelnotedebasdep"/>
        </w:rPr>
        <w:footnoteReference w:id="121"/>
      </w:r>
    </w:p>
    <w:p w14:paraId="2B839B06" w14:textId="03BF98CC" w:rsidR="00507A20" w:rsidRPr="00124DB1" w:rsidRDefault="006E75BF" w:rsidP="00507A20">
      <w:pPr>
        <w:pStyle w:val="Paragraphe"/>
        <w:tabs>
          <w:tab w:val="clear" w:pos="567"/>
        </w:tabs>
      </w:pPr>
      <w:r w:rsidRPr="00124DB1">
        <w:t xml:space="preserve">In a statement he signed on July 16, 2015, </w:t>
      </w:r>
      <w:r w:rsidR="00F706CC" w:rsidRPr="00124DB1">
        <w:t>the</w:t>
      </w:r>
      <w:r w:rsidRPr="00124DB1">
        <w:t xml:space="preserve"> doorman claimed:</w:t>
      </w:r>
    </w:p>
    <w:p w14:paraId="1F06E174" w14:textId="7CE5247D" w:rsidR="00D17066" w:rsidRPr="00124DB1" w:rsidRDefault="00D17066" w:rsidP="00507A20">
      <w:pPr>
        <w:pStyle w:val="Citationenretrait"/>
        <w:rPr>
          <w:lang w:val="en-CA"/>
        </w:rPr>
      </w:pPr>
      <w:r w:rsidRPr="00124DB1">
        <w:rPr>
          <w:lang w:val="en-CA"/>
        </w:rPr>
        <w:t>[</w:t>
      </w:r>
      <w:r w:rsidRPr="00124DB1">
        <w:rPr>
          <w:smallCaps/>
          <w:lang w:val="en-CA"/>
        </w:rPr>
        <w:t>translation</w:t>
      </w:r>
      <w:r w:rsidRPr="00124DB1">
        <w:rPr>
          <w:lang w:val="en-CA"/>
        </w:rPr>
        <w:t>]</w:t>
      </w:r>
    </w:p>
    <w:p w14:paraId="72DEECA0" w14:textId="531737FD" w:rsidR="00507A20" w:rsidRPr="00124DB1" w:rsidRDefault="006E75BF" w:rsidP="00507A20">
      <w:pPr>
        <w:pStyle w:val="Citationenretrait"/>
        <w:rPr>
          <w:lang w:val="en-CA"/>
        </w:rPr>
      </w:pPr>
      <w:r w:rsidRPr="00124DB1">
        <w:rPr>
          <w:lang w:val="en-CA"/>
        </w:rPr>
        <w:t xml:space="preserve">In connection with the complaint filed with the Commission des droits de la </w:t>
      </w:r>
      <w:proofErr w:type="spellStart"/>
      <w:r w:rsidRPr="00124DB1">
        <w:rPr>
          <w:lang w:val="en-CA"/>
        </w:rPr>
        <w:t>personne</w:t>
      </w:r>
      <w:proofErr w:type="spellEnd"/>
      <w:r w:rsidRPr="00124DB1">
        <w:rPr>
          <w:lang w:val="en-CA"/>
        </w:rPr>
        <w:t xml:space="preserve"> against </w:t>
      </w:r>
      <w:r w:rsidR="00D17066" w:rsidRPr="00124DB1">
        <w:rPr>
          <w:lang w:val="en-CA"/>
        </w:rPr>
        <w:t>the</w:t>
      </w:r>
      <w:r w:rsidRPr="00124DB1">
        <w:rPr>
          <w:lang w:val="en-CA"/>
        </w:rPr>
        <w:t xml:space="preserve"> police, I, [D. B.] attest that</w:t>
      </w:r>
      <w:r w:rsidR="00AD32E1" w:rsidRPr="00124DB1">
        <w:rPr>
          <w:lang w:val="en-CA"/>
        </w:rPr>
        <w:t xml:space="preserve"> </w:t>
      </w:r>
      <w:r w:rsidRPr="00124DB1">
        <w:rPr>
          <w:lang w:val="en-CA"/>
        </w:rPr>
        <w:t xml:space="preserve">I made an urgent call to the </w:t>
      </w:r>
      <w:proofErr w:type="spellStart"/>
      <w:r w:rsidR="0073588D" w:rsidRPr="00124DB1">
        <w:rPr>
          <w:lang w:val="en-CA"/>
        </w:rPr>
        <w:t>É</w:t>
      </w:r>
      <w:r w:rsidRPr="00124DB1">
        <w:rPr>
          <w:lang w:val="en-CA"/>
        </w:rPr>
        <w:t>clipse</w:t>
      </w:r>
      <w:proofErr w:type="spellEnd"/>
      <w:r w:rsidRPr="00124DB1">
        <w:rPr>
          <w:lang w:val="en-CA"/>
        </w:rPr>
        <w:t xml:space="preserve"> police department </w:t>
      </w:r>
      <w:r w:rsidR="00D3042C" w:rsidRPr="00124DB1">
        <w:rPr>
          <w:lang w:val="en-CA"/>
        </w:rPr>
        <w:t>o</w:t>
      </w:r>
      <w:r w:rsidR="0073588D" w:rsidRPr="00124DB1">
        <w:rPr>
          <w:lang w:val="en-CA"/>
        </w:rPr>
        <w:t>n</w:t>
      </w:r>
      <w:r w:rsidRPr="00124DB1">
        <w:rPr>
          <w:lang w:val="en-CA"/>
        </w:rPr>
        <w:t xml:space="preserve"> the evening of August 3</w:t>
      </w:r>
      <w:r w:rsidR="0073588D" w:rsidRPr="00124DB1">
        <w:rPr>
          <w:lang w:val="en-CA"/>
        </w:rPr>
        <w:t>0</w:t>
      </w:r>
      <w:r w:rsidRPr="00124DB1">
        <w:rPr>
          <w:lang w:val="en-CA"/>
        </w:rPr>
        <w:t>, 2014, from Thursday’s, where I worked.</w:t>
      </w:r>
      <w:r w:rsidR="00AD32E1" w:rsidRPr="00124DB1">
        <w:rPr>
          <w:lang w:val="en-CA"/>
        </w:rPr>
        <w:t xml:space="preserve"> </w:t>
      </w:r>
      <w:r w:rsidRPr="00124DB1">
        <w:rPr>
          <w:lang w:val="en-CA"/>
        </w:rPr>
        <w:t>Individuals had chased me the previous evening after my work shift.</w:t>
      </w:r>
      <w:r w:rsidR="00AD32E1" w:rsidRPr="00124DB1">
        <w:rPr>
          <w:lang w:val="en-CA"/>
        </w:rPr>
        <w:t xml:space="preserve"> </w:t>
      </w:r>
      <w:r w:rsidRPr="00124DB1">
        <w:rPr>
          <w:lang w:val="en-CA"/>
        </w:rPr>
        <w:t xml:space="preserve">The evening I called </w:t>
      </w:r>
      <w:proofErr w:type="spellStart"/>
      <w:r w:rsidR="0073588D" w:rsidRPr="00124DB1">
        <w:rPr>
          <w:lang w:val="en-CA"/>
        </w:rPr>
        <w:t>É</w:t>
      </w:r>
      <w:r w:rsidRPr="00124DB1">
        <w:rPr>
          <w:lang w:val="en-CA"/>
        </w:rPr>
        <w:t>clipse</w:t>
      </w:r>
      <w:proofErr w:type="spellEnd"/>
      <w:r w:rsidRPr="00124DB1">
        <w:rPr>
          <w:lang w:val="en-CA"/>
        </w:rPr>
        <w:t>, I felt watched</w:t>
      </w:r>
      <w:r w:rsidR="0073588D" w:rsidRPr="00124DB1">
        <w:rPr>
          <w:lang w:val="en-CA"/>
        </w:rPr>
        <w:t>,</w:t>
      </w:r>
      <w:r w:rsidRPr="00124DB1">
        <w:rPr>
          <w:lang w:val="en-CA"/>
        </w:rPr>
        <w:t xml:space="preserve"> and I feared for my life.</w:t>
      </w:r>
      <w:r w:rsidR="00AD32E1" w:rsidRPr="00124DB1">
        <w:rPr>
          <w:lang w:val="en-CA"/>
        </w:rPr>
        <w:t xml:space="preserve"> </w:t>
      </w:r>
      <w:r w:rsidRPr="00124DB1">
        <w:rPr>
          <w:lang w:val="en-CA"/>
        </w:rPr>
        <w:t xml:space="preserve">I want to inform the Commission des droits de la </w:t>
      </w:r>
      <w:proofErr w:type="spellStart"/>
      <w:r w:rsidRPr="00124DB1">
        <w:rPr>
          <w:lang w:val="en-CA"/>
        </w:rPr>
        <w:t>personne</w:t>
      </w:r>
      <w:proofErr w:type="spellEnd"/>
      <w:r w:rsidRPr="00124DB1">
        <w:rPr>
          <w:lang w:val="en-CA"/>
        </w:rPr>
        <w:t xml:space="preserve"> that the officers acted at my request and following my instructions </w:t>
      </w:r>
      <w:r w:rsidR="00D17066" w:rsidRPr="00124DB1">
        <w:rPr>
          <w:lang w:val="en-CA"/>
        </w:rPr>
        <w:t>about</w:t>
      </w:r>
      <w:r w:rsidRPr="00124DB1">
        <w:rPr>
          <w:lang w:val="en-CA"/>
        </w:rPr>
        <w:t xml:space="preserve"> the look of the individuals who were in Thursday’s </w:t>
      </w:r>
      <w:r w:rsidR="00D17066" w:rsidRPr="00124DB1">
        <w:rPr>
          <w:lang w:val="en-CA"/>
        </w:rPr>
        <w:t>and</w:t>
      </w:r>
      <w:r w:rsidRPr="00124DB1">
        <w:rPr>
          <w:lang w:val="en-CA"/>
        </w:rPr>
        <w:t xml:space="preserve"> the descriptions I had given them.</w:t>
      </w:r>
      <w:r w:rsidR="00AD32E1" w:rsidRPr="00124DB1">
        <w:rPr>
          <w:rStyle w:val="Appelnotedebasdep"/>
          <w:szCs w:val="22"/>
          <w:lang w:val="en-CA"/>
        </w:rPr>
        <w:footnoteReference w:id="122"/>
      </w:r>
    </w:p>
    <w:p w14:paraId="6D289FD9" w14:textId="52563FE2" w:rsidR="00507A20" w:rsidRPr="00124DB1" w:rsidRDefault="006E75BF" w:rsidP="00507A20">
      <w:pPr>
        <w:pStyle w:val="Paragraphe"/>
        <w:tabs>
          <w:tab w:val="clear" w:pos="567"/>
        </w:tabs>
      </w:pPr>
      <w:r w:rsidRPr="00124DB1">
        <w:t xml:space="preserve">Incidentally, on August 1, 2016, the CRARR also filed a complaint on behalf of Mr. </w:t>
      </w:r>
      <w:proofErr w:type="spellStart"/>
      <w:r w:rsidRPr="00124DB1">
        <w:t>Bazelais</w:t>
      </w:r>
      <w:proofErr w:type="spellEnd"/>
      <w:r w:rsidRPr="00124DB1">
        <w:t xml:space="preserve">, Mr. Bernard, and Mr. </w:t>
      </w:r>
      <w:proofErr w:type="spellStart"/>
      <w:r w:rsidRPr="00124DB1">
        <w:t>Milien</w:t>
      </w:r>
      <w:proofErr w:type="spellEnd"/>
      <w:r w:rsidRPr="00124DB1">
        <w:t xml:space="preserve"> again</w:t>
      </w:r>
      <w:r w:rsidR="00D17066" w:rsidRPr="00124DB1">
        <w:t>s</w:t>
      </w:r>
      <w:r w:rsidRPr="00124DB1">
        <w:t xml:space="preserve">t </w:t>
      </w:r>
      <w:r w:rsidR="00D17066" w:rsidRPr="00124DB1">
        <w:t>Thursday’s</w:t>
      </w:r>
      <w:r w:rsidRPr="00124DB1">
        <w:t xml:space="preserve"> Restaurant and Bar </w:t>
      </w:r>
      <w:r w:rsidR="0073588D" w:rsidRPr="00124DB1">
        <w:t>I</w:t>
      </w:r>
      <w:r w:rsidRPr="00124DB1">
        <w:t>nc., nearly two years after the events.</w:t>
      </w:r>
      <w:r w:rsidR="00AD32E1" w:rsidRPr="00124DB1">
        <w:rPr>
          <w:rStyle w:val="Appelnotedebasdep"/>
        </w:rPr>
        <w:footnoteReference w:id="123"/>
      </w:r>
    </w:p>
    <w:p w14:paraId="4A892D0F" w14:textId="79D39964" w:rsidR="00507A20" w:rsidRPr="00124DB1" w:rsidRDefault="006E75BF" w:rsidP="00507A20">
      <w:pPr>
        <w:pStyle w:val="Paragraphe"/>
        <w:tabs>
          <w:tab w:val="clear" w:pos="567"/>
        </w:tabs>
      </w:pPr>
      <w:r w:rsidRPr="00124DB1">
        <w:t xml:space="preserve">After investigating, the </w:t>
      </w:r>
      <w:r w:rsidR="00D17066" w:rsidRPr="00124DB1">
        <w:t>Commission</w:t>
      </w:r>
      <w:r w:rsidRPr="00124DB1">
        <w:t xml:space="preserve"> ceased any action and closed the file</w:t>
      </w:r>
      <w:r w:rsidR="00D17066" w:rsidRPr="00124DB1">
        <w:t>, explaining it</w:t>
      </w:r>
      <w:r w:rsidRPr="00124DB1">
        <w:t xml:space="preserve"> as follows:</w:t>
      </w:r>
    </w:p>
    <w:p w14:paraId="579B4CB1" w14:textId="10035AC7" w:rsidR="00273464" w:rsidRPr="00124DB1" w:rsidRDefault="00273464">
      <w:pPr>
        <w:rPr>
          <w:kern w:val="24"/>
          <w:sz w:val="22"/>
          <w:lang w:val="en-CA"/>
        </w:rPr>
      </w:pPr>
    </w:p>
    <w:p w14:paraId="392174E4" w14:textId="4507CEF4" w:rsidR="00D17066" w:rsidRPr="00124DB1" w:rsidRDefault="00D17066" w:rsidP="00507A20">
      <w:pPr>
        <w:pStyle w:val="Citationenretrait"/>
        <w:rPr>
          <w:lang w:val="en-CA"/>
        </w:rPr>
      </w:pPr>
      <w:r w:rsidRPr="00124DB1">
        <w:rPr>
          <w:lang w:val="en-CA"/>
        </w:rPr>
        <w:t>[</w:t>
      </w:r>
      <w:r w:rsidRPr="00124DB1">
        <w:rPr>
          <w:smallCaps/>
          <w:lang w:val="en-CA"/>
        </w:rPr>
        <w:t>translation</w:t>
      </w:r>
      <w:r w:rsidRPr="00124DB1">
        <w:rPr>
          <w:lang w:val="en-CA"/>
        </w:rPr>
        <w:t>]</w:t>
      </w:r>
    </w:p>
    <w:p w14:paraId="0B928194" w14:textId="2D72FC0F" w:rsidR="00507A20" w:rsidRPr="00124DB1" w:rsidRDefault="006E75BF" w:rsidP="00507A20">
      <w:pPr>
        <w:pStyle w:val="Citationenretrait"/>
        <w:rPr>
          <w:lang w:val="en-CA"/>
        </w:rPr>
      </w:pPr>
      <w:r w:rsidRPr="00124DB1">
        <w:rPr>
          <w:lang w:val="en-CA"/>
        </w:rPr>
        <w:t xml:space="preserve">It appears </w:t>
      </w:r>
      <w:r w:rsidR="00A60798" w:rsidRPr="00124DB1">
        <w:rPr>
          <w:lang w:val="en-CA"/>
        </w:rPr>
        <w:t xml:space="preserve">… </w:t>
      </w:r>
      <w:r w:rsidRPr="00124DB1">
        <w:rPr>
          <w:lang w:val="en-CA"/>
        </w:rPr>
        <w:t>from the evidence that the doorman at Thursday’s had real reasons to request the intervention of the police on the evening of August 31, 2014, fearing that the [three customers concerned] were on the premises to assault him.</w:t>
      </w:r>
      <w:r w:rsidR="00AD32E1" w:rsidRPr="00124DB1">
        <w:rPr>
          <w:lang w:val="en-CA"/>
        </w:rPr>
        <w:t xml:space="preserve"> </w:t>
      </w:r>
      <w:r w:rsidRPr="00124DB1">
        <w:rPr>
          <w:lang w:val="en-CA"/>
        </w:rPr>
        <w:t xml:space="preserve">According to the Commission, the </w:t>
      </w:r>
      <w:proofErr w:type="gramStart"/>
      <w:r w:rsidRPr="00124DB1">
        <w:rPr>
          <w:lang w:val="en-CA"/>
        </w:rPr>
        <w:t>doormen’s</w:t>
      </w:r>
      <w:proofErr w:type="gramEnd"/>
      <w:r w:rsidRPr="00124DB1">
        <w:rPr>
          <w:lang w:val="en-CA"/>
        </w:rPr>
        <w:t xml:space="preserve"> decision to refuse to let them back into the bar </w:t>
      </w:r>
      <w:r w:rsidR="00D17066" w:rsidRPr="00124DB1">
        <w:rPr>
          <w:lang w:val="en-CA"/>
        </w:rPr>
        <w:lastRenderedPageBreak/>
        <w:t>following</w:t>
      </w:r>
      <w:r w:rsidRPr="00124DB1">
        <w:rPr>
          <w:lang w:val="en-CA"/>
        </w:rPr>
        <w:t xml:space="preserve"> the intervention </w:t>
      </w:r>
      <w:r w:rsidR="00D17066" w:rsidRPr="00124DB1">
        <w:rPr>
          <w:lang w:val="en-CA"/>
        </w:rPr>
        <w:t>of</w:t>
      </w:r>
      <w:r w:rsidRPr="00124DB1">
        <w:rPr>
          <w:lang w:val="en-CA"/>
        </w:rPr>
        <w:t xml:space="preserve"> the SPVM officers appeared justified in the context and </w:t>
      </w:r>
      <w:r w:rsidR="002836B9" w:rsidRPr="00124DB1">
        <w:rPr>
          <w:lang w:val="en-CA"/>
        </w:rPr>
        <w:t xml:space="preserve">the </w:t>
      </w:r>
      <w:r w:rsidRPr="00124DB1">
        <w:rPr>
          <w:lang w:val="en-CA"/>
        </w:rPr>
        <w:t>circumstances revealed by the evidence.</w:t>
      </w:r>
      <w:r w:rsidR="00AD32E1" w:rsidRPr="00124DB1">
        <w:rPr>
          <w:rStyle w:val="Appelnotedebasdep"/>
          <w:szCs w:val="22"/>
          <w:lang w:val="en-CA"/>
        </w:rPr>
        <w:footnoteReference w:id="124"/>
      </w:r>
    </w:p>
    <w:p w14:paraId="0E81B82D" w14:textId="1B8BAB5C" w:rsidR="00507A20" w:rsidRPr="00124DB1" w:rsidRDefault="006E75BF" w:rsidP="00507A20">
      <w:pPr>
        <w:pStyle w:val="Paragraphe"/>
        <w:tabs>
          <w:tab w:val="clear" w:pos="567"/>
        </w:tabs>
      </w:pPr>
      <w:r w:rsidRPr="00124DB1">
        <w:t xml:space="preserve">To date, in every case where the Tribunal concluded </w:t>
      </w:r>
      <w:r w:rsidR="005A2CEA" w:rsidRPr="00124DB1">
        <w:t>that</w:t>
      </w:r>
      <w:r w:rsidRPr="00124DB1">
        <w:t xml:space="preserve"> there was “racial profiling” by the police forces, “the suspect selection”, as it were, was up to the police itself.</w:t>
      </w:r>
      <w:r w:rsidR="00AD32E1" w:rsidRPr="00124DB1">
        <w:rPr>
          <w:rStyle w:val="Appelnotedebasdep"/>
        </w:rPr>
        <w:footnoteReference w:id="125"/>
      </w:r>
      <w:r w:rsidRPr="00124DB1">
        <w:t xml:space="preserve"> </w:t>
      </w:r>
      <w:r w:rsidR="00AD32E1" w:rsidRPr="00124DB1">
        <w:t xml:space="preserve"> </w:t>
      </w:r>
    </w:p>
    <w:p w14:paraId="21834CAC" w14:textId="4E838420" w:rsidR="00507A20" w:rsidRPr="00124DB1" w:rsidRDefault="006E75BF" w:rsidP="00507A20">
      <w:pPr>
        <w:pStyle w:val="Paragraphe"/>
        <w:tabs>
          <w:tab w:val="clear" w:pos="567"/>
        </w:tabs>
      </w:pPr>
      <w:r w:rsidRPr="00124DB1">
        <w:t xml:space="preserve">Admittedly, in </w:t>
      </w:r>
      <w:proofErr w:type="spellStart"/>
      <w:r w:rsidRPr="00124DB1">
        <w:rPr>
          <w:i/>
        </w:rPr>
        <w:t>Nyembwe</w:t>
      </w:r>
      <w:proofErr w:type="spellEnd"/>
      <w:r w:rsidRPr="00124DB1">
        <w:t>, the officers involved had first received a call from the 9</w:t>
      </w:r>
      <w:r w:rsidR="00B04E78" w:rsidRPr="00124DB1">
        <w:noBreakHyphen/>
        <w:t>1</w:t>
      </w:r>
      <w:r w:rsidR="00B04E78" w:rsidRPr="00124DB1">
        <w:noBreakHyphen/>
      </w:r>
      <w:r w:rsidRPr="00124DB1">
        <w:t xml:space="preserve">1 emergency service </w:t>
      </w:r>
      <w:r w:rsidR="00B04E78" w:rsidRPr="00124DB1">
        <w:t xml:space="preserve">informing them </w:t>
      </w:r>
      <w:r w:rsidRPr="00124DB1">
        <w:t xml:space="preserve">that the spouse of a woman had just left her </w:t>
      </w:r>
      <w:r w:rsidR="00B04E78" w:rsidRPr="00124DB1">
        <w:t>home</w:t>
      </w:r>
      <w:r w:rsidRPr="00124DB1">
        <w:t xml:space="preserve"> on foot after assaulting her.</w:t>
      </w:r>
      <w:r w:rsidR="00AD32E1" w:rsidRPr="00124DB1">
        <w:rPr>
          <w:rFonts w:cs="Arial"/>
          <w:color w:val="000000"/>
        </w:rPr>
        <w:t xml:space="preserve"> </w:t>
      </w:r>
      <w:r w:rsidRPr="00124DB1">
        <w:rPr>
          <w:rFonts w:cs="Arial"/>
          <w:color w:val="000000"/>
        </w:rPr>
        <w:t xml:space="preserve">The person working dispatch told them that the man they were looking for was black, 6’1”, had long black hair that </w:t>
      </w:r>
      <w:proofErr w:type="gramStart"/>
      <w:r w:rsidRPr="00124DB1">
        <w:rPr>
          <w:rFonts w:cs="Arial"/>
          <w:color w:val="000000"/>
        </w:rPr>
        <w:t>was tied up</w:t>
      </w:r>
      <w:r w:rsidR="00B04E78" w:rsidRPr="00124DB1">
        <w:rPr>
          <w:rFonts w:cs="Arial"/>
          <w:color w:val="000000"/>
        </w:rPr>
        <w:t>,</w:t>
      </w:r>
      <w:proofErr w:type="gramEnd"/>
      <w:r w:rsidRPr="00124DB1">
        <w:rPr>
          <w:rFonts w:cs="Arial"/>
          <w:color w:val="000000"/>
        </w:rPr>
        <w:t xml:space="preserve"> </w:t>
      </w:r>
      <w:r w:rsidR="005A2CEA" w:rsidRPr="00124DB1">
        <w:rPr>
          <w:rFonts w:cs="Arial"/>
          <w:color w:val="000000"/>
        </w:rPr>
        <w:t>and</w:t>
      </w:r>
      <w:r w:rsidRPr="00124DB1">
        <w:rPr>
          <w:rFonts w:cs="Arial"/>
          <w:color w:val="000000"/>
        </w:rPr>
        <w:t xml:space="preserve"> was wearing a black coat and gray pants.</w:t>
      </w:r>
      <w:r w:rsidR="00AD32E1" w:rsidRPr="00124DB1">
        <w:rPr>
          <w:rFonts w:cs="Arial"/>
          <w:color w:val="000000"/>
        </w:rPr>
        <w:t xml:space="preserve"> </w:t>
      </w:r>
    </w:p>
    <w:p w14:paraId="45213069" w14:textId="3992E4B2" w:rsidR="00507A20" w:rsidRPr="00124DB1" w:rsidRDefault="005A2CEA" w:rsidP="00507A20">
      <w:pPr>
        <w:pStyle w:val="Paragraphe"/>
        <w:tabs>
          <w:tab w:val="clear" w:pos="567"/>
        </w:tabs>
      </w:pPr>
      <w:r w:rsidRPr="00124DB1">
        <w:t>However</w:t>
      </w:r>
      <w:r w:rsidR="006E75BF" w:rsidRPr="00124DB1">
        <w:t>, the “suspect selection” was in fact that of the police, the officers on duty omitt</w:t>
      </w:r>
      <w:r w:rsidR="00B04E78" w:rsidRPr="00124DB1">
        <w:t>ed</w:t>
      </w:r>
      <w:r w:rsidR="006E75BF" w:rsidRPr="00124DB1">
        <w:t xml:space="preserve"> the distinctive element of long hair </w:t>
      </w:r>
      <w:r w:rsidR="00B04E78" w:rsidRPr="00124DB1">
        <w:t>and</w:t>
      </w:r>
      <w:r w:rsidR="006E75BF" w:rsidRPr="00124DB1">
        <w:t xml:space="preserve"> stop</w:t>
      </w:r>
      <w:r w:rsidR="00B04E78" w:rsidRPr="00124DB1">
        <w:t>ped</w:t>
      </w:r>
      <w:r w:rsidR="006E75BF" w:rsidRPr="00124DB1">
        <w:t xml:space="preserve"> the first black man they encountered instead.</w:t>
      </w:r>
      <w:r w:rsidR="00AD32E1" w:rsidRPr="00124DB1">
        <w:rPr>
          <w:rStyle w:val="Appelnotedebasdep"/>
        </w:rPr>
        <w:footnoteReference w:id="126"/>
      </w:r>
    </w:p>
    <w:p w14:paraId="254B0264" w14:textId="0632924A" w:rsidR="00507A20" w:rsidRPr="00124DB1" w:rsidRDefault="006E75BF" w:rsidP="00507A20">
      <w:pPr>
        <w:pStyle w:val="Paragraphe"/>
        <w:tabs>
          <w:tab w:val="clear" w:pos="567"/>
        </w:tabs>
      </w:pPr>
      <w:r w:rsidRPr="00124DB1">
        <w:t xml:space="preserve">The second significant contextual element refers to the nature of </w:t>
      </w:r>
      <w:r w:rsidR="005A2CEA" w:rsidRPr="00124DB1">
        <w:t>the</w:t>
      </w:r>
      <w:r w:rsidRPr="00124DB1">
        <w:t xml:space="preserve"> </w:t>
      </w:r>
      <w:proofErr w:type="spellStart"/>
      <w:r w:rsidR="00B04E78" w:rsidRPr="00124DB1">
        <w:t>É</w:t>
      </w:r>
      <w:r w:rsidRPr="00124DB1">
        <w:t>clipse</w:t>
      </w:r>
      <w:proofErr w:type="spellEnd"/>
      <w:r w:rsidRPr="00124DB1">
        <w:t xml:space="preserve"> unit. </w:t>
      </w:r>
    </w:p>
    <w:p w14:paraId="49A76C6D" w14:textId="52A3D35E" w:rsidR="00507A20" w:rsidRPr="00124DB1" w:rsidRDefault="005A2CEA" w:rsidP="00507A20">
      <w:pPr>
        <w:pStyle w:val="Paragraphe"/>
        <w:tabs>
          <w:tab w:val="clear" w:pos="567"/>
        </w:tabs>
      </w:pPr>
      <w:r w:rsidRPr="00124DB1">
        <w:t>Sergeant</w:t>
      </w:r>
      <w:r w:rsidR="006E75BF" w:rsidRPr="00124DB1">
        <w:t xml:space="preserve"> Mathurin received the </w:t>
      </w:r>
      <w:proofErr w:type="gramStart"/>
      <w:r w:rsidR="006E75BF" w:rsidRPr="00124DB1">
        <w:t>doorman’s</w:t>
      </w:r>
      <w:proofErr w:type="gramEnd"/>
      <w:r w:rsidR="006E75BF" w:rsidRPr="00124DB1">
        <w:t xml:space="preserve"> call on his personal emergency line.</w:t>
      </w:r>
      <w:r w:rsidR="00AD32E1" w:rsidRPr="00124DB1">
        <w:t xml:space="preserve"> </w:t>
      </w:r>
      <w:r w:rsidR="006E75BF" w:rsidRPr="00124DB1">
        <w:t xml:space="preserve">He did not obtain the relevant information through </w:t>
      </w:r>
      <w:r w:rsidRPr="00124DB1">
        <w:t>the</w:t>
      </w:r>
      <w:r w:rsidR="006E75BF" w:rsidRPr="00124DB1">
        <w:t xml:space="preserve"> usual dispatch service for 9-1-1 emergency calls.</w:t>
      </w:r>
      <w:r w:rsidRPr="00124DB1">
        <w:t xml:space="preserve"> </w:t>
      </w:r>
      <w:r w:rsidR="006E75BF" w:rsidRPr="00124DB1">
        <w:t xml:space="preserve">Instead, he had a telephone conversation directly with the </w:t>
      </w:r>
      <w:proofErr w:type="gramStart"/>
      <w:r w:rsidR="006E75BF" w:rsidRPr="00124DB1">
        <w:t>doorman</w:t>
      </w:r>
      <w:proofErr w:type="gramEnd"/>
      <w:r w:rsidR="006E75BF" w:rsidRPr="00124DB1">
        <w:t>.</w:t>
      </w:r>
    </w:p>
    <w:p w14:paraId="36F770FB" w14:textId="47360B0A" w:rsidR="00507A20" w:rsidRPr="00124DB1" w:rsidRDefault="006E75BF" w:rsidP="00507A20">
      <w:pPr>
        <w:pStyle w:val="Paragraphe"/>
        <w:tabs>
          <w:tab w:val="clear" w:pos="567"/>
        </w:tabs>
      </w:pPr>
      <w:r w:rsidRPr="00124DB1">
        <w:t>In his pre-trial examination, he stated</w:t>
      </w:r>
      <w:r w:rsidR="00B04E78" w:rsidRPr="00124DB1">
        <w:t>,</w:t>
      </w:r>
      <w:r w:rsidRPr="00124DB1">
        <w:t xml:space="preserve"> </w:t>
      </w:r>
      <w:r w:rsidR="005A2CEA" w:rsidRPr="00124DB1">
        <w:t>[</w:t>
      </w:r>
      <w:r w:rsidR="005A2CEA" w:rsidRPr="00124DB1">
        <w:rPr>
          <w:smallCaps/>
        </w:rPr>
        <w:t>translation</w:t>
      </w:r>
      <w:r w:rsidR="005A2CEA" w:rsidRPr="00124DB1">
        <w:t>] “A</w:t>
      </w:r>
      <w:r w:rsidRPr="00124DB1">
        <w:t xml:space="preserve">t </w:t>
      </w:r>
      <w:proofErr w:type="spellStart"/>
      <w:r w:rsidR="00B04E78" w:rsidRPr="00124DB1">
        <w:t>É</w:t>
      </w:r>
      <w:r w:rsidRPr="00124DB1">
        <w:t>clipse</w:t>
      </w:r>
      <w:proofErr w:type="spellEnd"/>
      <w:r w:rsidRPr="00124DB1">
        <w:t xml:space="preserve">, we are trained for </w:t>
      </w:r>
      <w:r w:rsidR="005A2CEA" w:rsidRPr="00124DB1">
        <w:t>that</w:t>
      </w:r>
      <w:r w:rsidRPr="00124DB1">
        <w:t xml:space="preserve"> type of intervention inside bars”.</w:t>
      </w:r>
      <w:r w:rsidR="00AD32E1" w:rsidRPr="00124DB1">
        <w:rPr>
          <w:rStyle w:val="Appelnotedebasdep"/>
        </w:rPr>
        <w:footnoteReference w:id="127"/>
      </w:r>
    </w:p>
    <w:p w14:paraId="4DB62FCA" w14:textId="21830BC3" w:rsidR="00507A20" w:rsidRPr="00124DB1" w:rsidRDefault="006E75BF" w:rsidP="00507A20">
      <w:pPr>
        <w:pStyle w:val="Paragraphe"/>
        <w:tabs>
          <w:tab w:val="clear" w:pos="567"/>
        </w:tabs>
      </w:pPr>
      <w:r w:rsidRPr="00124DB1">
        <w:t>In this respect, the Tribunal also heard Commander François H</w:t>
      </w:r>
      <w:r w:rsidR="005A2CEA" w:rsidRPr="00124DB1">
        <w:t>a</w:t>
      </w:r>
      <w:r w:rsidRPr="00124DB1">
        <w:t>rrison-</w:t>
      </w:r>
      <w:proofErr w:type="spellStart"/>
      <w:r w:rsidRPr="00124DB1">
        <w:t>Gaudreault</w:t>
      </w:r>
      <w:proofErr w:type="spellEnd"/>
      <w:r w:rsidRPr="00124DB1">
        <w:t xml:space="preserve">, who was a </w:t>
      </w:r>
      <w:r w:rsidR="005A2CEA" w:rsidRPr="00124DB1">
        <w:t>sergeant</w:t>
      </w:r>
      <w:r w:rsidRPr="00124DB1">
        <w:t xml:space="preserve"> for the SPVM when </w:t>
      </w:r>
      <w:r w:rsidR="00D12510" w:rsidRPr="00124DB1">
        <w:t xml:space="preserve">he joined </w:t>
      </w:r>
      <w:r w:rsidRPr="00124DB1">
        <w:t>the new “</w:t>
      </w:r>
      <w:proofErr w:type="spellStart"/>
      <w:r w:rsidR="00911397" w:rsidRPr="00124DB1">
        <w:t>É</w:t>
      </w:r>
      <w:r w:rsidRPr="00124DB1">
        <w:t>clipse</w:t>
      </w:r>
      <w:proofErr w:type="spellEnd"/>
      <w:r w:rsidRPr="00124DB1">
        <w:t xml:space="preserve"> unit” in the summer of 2008.</w:t>
      </w:r>
      <w:r w:rsidR="00AD32E1" w:rsidRPr="00124DB1">
        <w:t xml:space="preserve"> </w:t>
      </w:r>
    </w:p>
    <w:p w14:paraId="615433B8" w14:textId="4CD45E03" w:rsidR="00507A20" w:rsidRPr="00124DB1" w:rsidRDefault="00D12510" w:rsidP="00507A20">
      <w:pPr>
        <w:pStyle w:val="Paragraphe"/>
        <w:tabs>
          <w:tab w:val="clear" w:pos="567"/>
        </w:tabs>
      </w:pPr>
      <w:r w:rsidRPr="00124DB1">
        <w:t>Co</w:t>
      </w:r>
      <w:r w:rsidR="006E75BF" w:rsidRPr="00124DB1">
        <w:t xml:space="preserve">ncerned by the increase </w:t>
      </w:r>
      <w:r w:rsidR="00BA4216" w:rsidRPr="00124DB1">
        <w:t>in</w:t>
      </w:r>
      <w:r w:rsidR="006E75BF" w:rsidRPr="00124DB1">
        <w:t xml:space="preserve"> </w:t>
      </w:r>
      <w:r w:rsidR="00BA4216" w:rsidRPr="00124DB1">
        <w:t xml:space="preserve">street gang </w:t>
      </w:r>
      <w:r w:rsidR="006E75BF" w:rsidRPr="00124DB1">
        <w:t xml:space="preserve">violence, the </w:t>
      </w:r>
      <w:r w:rsidR="00BA4216" w:rsidRPr="00124DB1">
        <w:t>f</w:t>
      </w:r>
      <w:r w:rsidR="006E75BF" w:rsidRPr="00124DB1">
        <w:t xml:space="preserve">ederal government distributed </w:t>
      </w:r>
      <w:r w:rsidRPr="00124DB1">
        <w:t>public</w:t>
      </w:r>
      <w:r w:rsidR="006E75BF" w:rsidRPr="00124DB1">
        <w:t xml:space="preserve"> funds to </w:t>
      </w:r>
      <w:r w:rsidR="007941A7" w:rsidRPr="00124DB1">
        <w:t>large cities</w:t>
      </w:r>
      <w:r w:rsidR="006E75BF" w:rsidRPr="00124DB1">
        <w:t xml:space="preserve"> to fight this phenomenon more effectively.</w:t>
      </w:r>
      <w:r w:rsidR="00AD32E1" w:rsidRPr="00124DB1">
        <w:t xml:space="preserve"> </w:t>
      </w:r>
    </w:p>
    <w:p w14:paraId="765103CA" w14:textId="50EFA4BC" w:rsidR="00507A20" w:rsidRPr="00124DB1" w:rsidRDefault="006E75BF" w:rsidP="00507A20">
      <w:pPr>
        <w:pStyle w:val="Paragraphe"/>
        <w:tabs>
          <w:tab w:val="clear" w:pos="567"/>
        </w:tabs>
      </w:pPr>
      <w:r w:rsidRPr="00124DB1">
        <w:lastRenderedPageBreak/>
        <w:t>It was in that context that the specialized unit</w:t>
      </w:r>
      <w:r w:rsidR="00AF586F" w:rsidRPr="00124DB1">
        <w:t>,</w:t>
      </w:r>
      <w:r w:rsidRPr="00124DB1">
        <w:t xml:space="preserve"> </w:t>
      </w:r>
      <w:proofErr w:type="spellStart"/>
      <w:r w:rsidR="00AF586F" w:rsidRPr="00124DB1">
        <w:t>Éclipse</w:t>
      </w:r>
      <w:proofErr w:type="spellEnd"/>
      <w:r w:rsidR="00AF586F" w:rsidRPr="00124DB1">
        <w:t xml:space="preserve">, </w:t>
      </w:r>
      <w:proofErr w:type="gramStart"/>
      <w:r w:rsidRPr="00124DB1">
        <w:t>was created</w:t>
      </w:r>
      <w:proofErr w:type="gramEnd"/>
      <w:r w:rsidRPr="00124DB1">
        <w:t>.</w:t>
      </w:r>
      <w:r w:rsidR="00AD32E1" w:rsidRPr="00124DB1">
        <w:t xml:space="preserve"> </w:t>
      </w:r>
      <w:r w:rsidRPr="00124DB1">
        <w:t>Its mandate, as described by Commander Harrison-</w:t>
      </w:r>
      <w:proofErr w:type="spellStart"/>
      <w:r w:rsidRPr="00124DB1">
        <w:t>Gaudrea</w:t>
      </w:r>
      <w:r w:rsidR="0033484F" w:rsidRPr="00124DB1">
        <w:t>u</w:t>
      </w:r>
      <w:r w:rsidRPr="00124DB1">
        <w:t>lt</w:t>
      </w:r>
      <w:proofErr w:type="spellEnd"/>
      <w:r w:rsidRPr="00124DB1">
        <w:t xml:space="preserve"> </w:t>
      </w:r>
      <w:r w:rsidR="00AF586F" w:rsidRPr="00124DB1">
        <w:t>is</w:t>
      </w:r>
      <w:r w:rsidRPr="00124DB1">
        <w:t xml:space="preserve"> to:</w:t>
      </w:r>
    </w:p>
    <w:p w14:paraId="1D0B5672" w14:textId="7994C5F9" w:rsidR="00507A20" w:rsidRPr="00124DB1" w:rsidRDefault="006E75BF" w:rsidP="00507A20">
      <w:pPr>
        <w:pStyle w:val="Paragraphe"/>
        <w:numPr>
          <w:ilvl w:val="0"/>
          <w:numId w:val="5"/>
        </w:numPr>
        <w:tabs>
          <w:tab w:val="clear" w:pos="567"/>
        </w:tabs>
      </w:pPr>
      <w:r w:rsidRPr="00124DB1">
        <w:t xml:space="preserve">ensure increased police presence in the </w:t>
      </w:r>
      <w:r w:rsidR="00DD0C6B">
        <w:t>City</w:t>
      </w:r>
      <w:r w:rsidRPr="00124DB1">
        <w:t xml:space="preserve"> (</w:t>
      </w:r>
      <w:r w:rsidR="00AF586F" w:rsidRPr="00124DB1">
        <w:t>e.g.,</w:t>
      </w:r>
      <w:r w:rsidRPr="00124DB1">
        <w:t xml:space="preserve"> bars, cafés, schools, metro, etc.) for </w:t>
      </w:r>
      <w:r w:rsidR="0033484F" w:rsidRPr="00124DB1">
        <w:t>the</w:t>
      </w:r>
      <w:r w:rsidRPr="00124DB1">
        <w:t xml:space="preserve"> purpose of preventing crime;</w:t>
      </w:r>
    </w:p>
    <w:p w14:paraId="570002D8" w14:textId="289A01EB" w:rsidR="00507A20" w:rsidRPr="00124DB1" w:rsidRDefault="006E75BF" w:rsidP="00507A20">
      <w:pPr>
        <w:pStyle w:val="Paragraphe"/>
        <w:numPr>
          <w:ilvl w:val="0"/>
          <w:numId w:val="5"/>
        </w:numPr>
        <w:tabs>
          <w:tab w:val="clear" w:pos="567"/>
        </w:tabs>
      </w:pPr>
      <w:r w:rsidRPr="00124DB1">
        <w:t xml:space="preserve">develop a network of </w:t>
      </w:r>
      <w:r w:rsidR="0033484F" w:rsidRPr="00124DB1">
        <w:t>collaborators</w:t>
      </w:r>
      <w:r w:rsidRPr="00124DB1">
        <w:t xml:space="preserve"> (</w:t>
      </w:r>
      <w:r w:rsidR="00237F1E" w:rsidRPr="00124DB1">
        <w:t>e.g.,</w:t>
      </w:r>
      <w:r w:rsidRPr="00124DB1">
        <w:t xml:space="preserve"> valets, doormen, regula</w:t>
      </w:r>
      <w:r w:rsidR="0033484F" w:rsidRPr="00124DB1">
        <w:t xml:space="preserve">r </w:t>
      </w:r>
      <w:r w:rsidR="00237F1E" w:rsidRPr="00124DB1">
        <w:t xml:space="preserve">clients </w:t>
      </w:r>
      <w:r w:rsidR="0033484F" w:rsidRPr="00124DB1">
        <w:t>in bars, etc.) and collect</w:t>
      </w:r>
      <w:r w:rsidRPr="00124DB1">
        <w:t xml:space="preserve"> information to better target the places frequented by criminal organizations </w:t>
      </w:r>
      <w:r w:rsidR="0033484F" w:rsidRPr="00124DB1">
        <w:t>and</w:t>
      </w:r>
      <w:r w:rsidRPr="00124DB1">
        <w:t xml:space="preserve"> street gangs;</w:t>
      </w:r>
    </w:p>
    <w:p w14:paraId="3679F17C" w14:textId="7D7BA207" w:rsidR="00507A20" w:rsidRPr="00124DB1" w:rsidRDefault="006E75BF" w:rsidP="00507A20">
      <w:pPr>
        <w:pStyle w:val="Paragraphe"/>
        <w:numPr>
          <w:ilvl w:val="0"/>
          <w:numId w:val="5"/>
        </w:numPr>
        <w:tabs>
          <w:tab w:val="clear" w:pos="567"/>
        </w:tabs>
      </w:pPr>
      <w:r w:rsidRPr="00124DB1">
        <w:t>intervene to prevent or repress criminal act</w:t>
      </w:r>
      <w:r w:rsidR="00237F1E" w:rsidRPr="00124DB1">
        <w:t>s</w:t>
      </w:r>
      <w:r w:rsidRPr="00124DB1">
        <w:t xml:space="preserve"> to destabilize the targeted groups and reduce their influence;</w:t>
      </w:r>
    </w:p>
    <w:p w14:paraId="7F31F3CA" w14:textId="77777777" w:rsidR="00507A20" w:rsidRPr="00124DB1" w:rsidRDefault="006E75BF" w:rsidP="00507A20">
      <w:pPr>
        <w:pStyle w:val="Paragraphe"/>
        <w:numPr>
          <w:ilvl w:val="0"/>
          <w:numId w:val="5"/>
        </w:numPr>
        <w:tabs>
          <w:tab w:val="clear" w:pos="567"/>
        </w:tabs>
      </w:pPr>
      <w:proofErr w:type="gramStart"/>
      <w:r w:rsidRPr="00124DB1">
        <w:t>support</w:t>
      </w:r>
      <w:proofErr w:type="gramEnd"/>
      <w:r w:rsidRPr="00124DB1">
        <w:t xml:space="preserve"> the other SPVM units.</w:t>
      </w:r>
      <w:r w:rsidR="00AD32E1" w:rsidRPr="00124DB1">
        <w:t xml:space="preserve">   </w:t>
      </w:r>
    </w:p>
    <w:p w14:paraId="3A62931B" w14:textId="774D70A7" w:rsidR="00507A20" w:rsidRPr="00124DB1" w:rsidRDefault="006E75BF" w:rsidP="00507A20">
      <w:pPr>
        <w:pStyle w:val="Paragraphe"/>
        <w:tabs>
          <w:tab w:val="clear" w:pos="567"/>
        </w:tabs>
      </w:pPr>
      <w:r w:rsidRPr="00124DB1">
        <w:t xml:space="preserve">Thus, the commander explained that the </w:t>
      </w:r>
      <w:proofErr w:type="spellStart"/>
      <w:r w:rsidR="00C83D70" w:rsidRPr="00124DB1">
        <w:t>É</w:t>
      </w:r>
      <w:r w:rsidRPr="00124DB1">
        <w:t>clipse</w:t>
      </w:r>
      <w:proofErr w:type="spellEnd"/>
      <w:r w:rsidRPr="00124DB1">
        <w:t xml:space="preserve"> unit’s mission was not to respond to calls from 9-1-1.</w:t>
      </w:r>
      <w:r w:rsidR="00AD32E1" w:rsidRPr="00124DB1">
        <w:t xml:space="preserve"> </w:t>
      </w:r>
    </w:p>
    <w:p w14:paraId="72B23D0F" w14:textId="2979772A" w:rsidR="00507A20" w:rsidRPr="00124DB1" w:rsidRDefault="006E75BF" w:rsidP="00507A20">
      <w:pPr>
        <w:pStyle w:val="Paragraphe"/>
        <w:tabs>
          <w:tab w:val="clear" w:pos="567"/>
        </w:tabs>
      </w:pPr>
      <w:r w:rsidRPr="00124DB1">
        <w:t xml:space="preserve">With respect to street </w:t>
      </w:r>
      <w:r w:rsidR="0033484F" w:rsidRPr="00124DB1">
        <w:t>gangs, he confirmed the rivalry that existed in 2014</w:t>
      </w:r>
      <w:r w:rsidRPr="00124DB1">
        <w:t xml:space="preserve"> between the Bloods (in Montreal North) and the Crips (</w:t>
      </w:r>
      <w:r w:rsidR="00C83D70" w:rsidRPr="00124DB1">
        <w:t xml:space="preserve">in the </w:t>
      </w:r>
      <w:r w:rsidRPr="00124DB1">
        <w:t xml:space="preserve">St-Michel-Rosemont </w:t>
      </w:r>
      <w:r w:rsidR="00C83D70" w:rsidRPr="00124DB1">
        <w:t>area</w:t>
      </w:r>
      <w:r w:rsidRPr="00124DB1">
        <w:t>), which used violence to monopolize the profits from the sale of narcotics, prostitution, and other fraudulent activities.</w:t>
      </w:r>
    </w:p>
    <w:p w14:paraId="3ADD68E1" w14:textId="4C90C88E" w:rsidR="00507A20" w:rsidRPr="00124DB1" w:rsidRDefault="006E75BF" w:rsidP="00507A20">
      <w:pPr>
        <w:pStyle w:val="Paragraphe"/>
        <w:tabs>
          <w:tab w:val="clear" w:pos="567"/>
        </w:tabs>
      </w:pPr>
      <w:r w:rsidRPr="00124DB1">
        <w:t xml:space="preserve">He </w:t>
      </w:r>
      <w:r w:rsidR="0033484F" w:rsidRPr="00124DB1">
        <w:t>spoke of</w:t>
      </w:r>
      <w:r w:rsidRPr="00124DB1">
        <w:t xml:space="preserve"> </w:t>
      </w:r>
      <w:r w:rsidR="0033484F" w:rsidRPr="00124DB1">
        <w:t>[</w:t>
      </w:r>
      <w:r w:rsidR="0033484F" w:rsidRPr="00124DB1">
        <w:rPr>
          <w:smallCaps/>
        </w:rPr>
        <w:t>translation</w:t>
      </w:r>
      <w:r w:rsidR="0033484F" w:rsidRPr="00124DB1">
        <w:t xml:space="preserve">] </w:t>
      </w:r>
      <w:r w:rsidRPr="00124DB1">
        <w:t>“disorganized” criminal behaviour that was marked by the impulsiveness of those involved</w:t>
      </w:r>
      <w:r w:rsidR="00C83D70" w:rsidRPr="00124DB1">
        <w:t>,</w:t>
      </w:r>
      <w:r w:rsidRPr="00124DB1">
        <w:t xml:space="preserve"> whose violent acts were sometimes committed </w:t>
      </w:r>
      <w:r w:rsidR="0033484F" w:rsidRPr="00124DB1">
        <w:t>[</w:t>
      </w:r>
      <w:r w:rsidR="0033484F" w:rsidRPr="00124DB1">
        <w:rPr>
          <w:smallCaps/>
        </w:rPr>
        <w:t>translation</w:t>
      </w:r>
      <w:r w:rsidR="0033484F" w:rsidRPr="00124DB1">
        <w:t xml:space="preserve">] </w:t>
      </w:r>
      <w:r w:rsidRPr="00124DB1">
        <w:t>“openly and publicly” without the risk of having to serve a prison sentence deterring them from acting.</w:t>
      </w:r>
      <w:r w:rsidR="00AD32E1" w:rsidRPr="00124DB1">
        <w:t xml:space="preserve">  </w:t>
      </w:r>
    </w:p>
    <w:p w14:paraId="5B0D401A" w14:textId="60912D10" w:rsidR="00507A20" w:rsidRPr="00124DB1" w:rsidRDefault="006E75BF" w:rsidP="00507A20">
      <w:pPr>
        <w:pStyle w:val="Paragraphe"/>
        <w:tabs>
          <w:tab w:val="clear" w:pos="567"/>
        </w:tabs>
      </w:pPr>
      <w:r w:rsidRPr="00124DB1">
        <w:t>Therein lay the importan</w:t>
      </w:r>
      <w:r w:rsidR="00C83D70" w:rsidRPr="00124DB1">
        <w:t>ce</w:t>
      </w:r>
      <w:r w:rsidRPr="00124DB1">
        <w:t xml:space="preserve"> of </w:t>
      </w:r>
      <w:r w:rsidR="0033484F" w:rsidRPr="00124DB1">
        <w:t>[</w:t>
      </w:r>
      <w:r w:rsidR="0033484F" w:rsidRPr="00124DB1">
        <w:rPr>
          <w:smallCaps/>
        </w:rPr>
        <w:t>translation</w:t>
      </w:r>
      <w:r w:rsidR="0033484F" w:rsidRPr="00124DB1">
        <w:t xml:space="preserve">] </w:t>
      </w:r>
      <w:r w:rsidRPr="00124DB1">
        <w:t xml:space="preserve">“taking the pulse of what was happening”, </w:t>
      </w:r>
      <w:r w:rsidR="0033484F" w:rsidRPr="00124DB1">
        <w:t>[</w:t>
      </w:r>
      <w:r w:rsidR="0033484F" w:rsidRPr="00124DB1">
        <w:rPr>
          <w:smallCaps/>
        </w:rPr>
        <w:t>translation</w:t>
      </w:r>
      <w:r w:rsidR="0033484F" w:rsidRPr="00124DB1">
        <w:t xml:space="preserve">] </w:t>
      </w:r>
      <w:r w:rsidRPr="00124DB1">
        <w:t>“taking the temperature”</w:t>
      </w:r>
      <w:r w:rsidR="00D3042C" w:rsidRPr="00124DB1">
        <w:t>,</w:t>
      </w:r>
      <w:r w:rsidRPr="00124DB1">
        <w:t xml:space="preserve"> </w:t>
      </w:r>
      <w:r w:rsidR="00D3042C" w:rsidRPr="00124DB1">
        <w:t xml:space="preserve">as he put it, </w:t>
      </w:r>
      <w:r w:rsidRPr="00124DB1">
        <w:t xml:space="preserve">and creating relationships with individuals like bar </w:t>
      </w:r>
      <w:proofErr w:type="gramStart"/>
      <w:r w:rsidRPr="00124DB1">
        <w:t>doormen</w:t>
      </w:r>
      <w:proofErr w:type="gramEnd"/>
      <w:r w:rsidR="00D3042C" w:rsidRPr="00124DB1">
        <w:t>.</w:t>
      </w:r>
      <w:r w:rsidRPr="00124DB1">
        <w:t xml:space="preserve"> </w:t>
      </w:r>
      <w:r w:rsidR="0033484F" w:rsidRPr="00124DB1">
        <w:t>[</w:t>
      </w:r>
      <w:r w:rsidR="0033484F" w:rsidRPr="00124DB1">
        <w:rPr>
          <w:smallCaps/>
        </w:rPr>
        <w:t>translation</w:t>
      </w:r>
      <w:r w:rsidR="0033484F" w:rsidRPr="00124DB1">
        <w:t xml:space="preserve">] </w:t>
      </w:r>
      <w:r w:rsidRPr="00124DB1">
        <w:t>“We built ourselves a network”</w:t>
      </w:r>
      <w:r w:rsidR="00D3042C" w:rsidRPr="00124DB1">
        <w:t>, he said</w:t>
      </w:r>
      <w:r w:rsidRPr="00124DB1">
        <w:t>.</w:t>
      </w:r>
    </w:p>
    <w:p w14:paraId="26610069" w14:textId="5026E1BD" w:rsidR="00507A20" w:rsidRPr="00124DB1" w:rsidRDefault="006E75BF" w:rsidP="00507A20">
      <w:pPr>
        <w:pStyle w:val="Paragraphe"/>
        <w:tabs>
          <w:tab w:val="clear" w:pos="567"/>
        </w:tabs>
      </w:pPr>
      <w:r w:rsidRPr="00124DB1">
        <w:t xml:space="preserve">It was specifically this type of </w:t>
      </w:r>
      <w:r w:rsidR="0033484F" w:rsidRPr="00124DB1">
        <w:t>[</w:t>
      </w:r>
      <w:r w:rsidR="0033484F" w:rsidRPr="00124DB1">
        <w:rPr>
          <w:smallCaps/>
        </w:rPr>
        <w:t>translation</w:t>
      </w:r>
      <w:r w:rsidR="0033484F" w:rsidRPr="00124DB1">
        <w:t xml:space="preserve">] </w:t>
      </w:r>
      <w:r w:rsidRPr="00124DB1">
        <w:t xml:space="preserve">“diplomatic relationship” that </w:t>
      </w:r>
      <w:r w:rsidR="0033484F" w:rsidRPr="00124DB1">
        <w:t>Sergeant</w:t>
      </w:r>
      <w:r w:rsidRPr="00124DB1">
        <w:t xml:space="preserve"> Mathurin had been able to build with the </w:t>
      </w:r>
      <w:proofErr w:type="gramStart"/>
      <w:r w:rsidRPr="00124DB1">
        <w:t>doorman</w:t>
      </w:r>
      <w:proofErr w:type="gramEnd"/>
      <w:r w:rsidRPr="00124DB1">
        <w:t xml:space="preserve">, who called him directly on his </w:t>
      </w:r>
      <w:r w:rsidR="0033484F" w:rsidRPr="00124DB1">
        <w:t>[</w:t>
      </w:r>
      <w:r w:rsidR="0033484F" w:rsidRPr="00124DB1">
        <w:rPr>
          <w:smallCaps/>
        </w:rPr>
        <w:t>translation</w:t>
      </w:r>
      <w:r w:rsidR="0033484F" w:rsidRPr="00124DB1">
        <w:t xml:space="preserve">] </w:t>
      </w:r>
      <w:r w:rsidRPr="00124DB1">
        <w:t>“professional cell phone” on the evening of August 31, 2014.</w:t>
      </w:r>
    </w:p>
    <w:p w14:paraId="72598340" w14:textId="63C6F14B" w:rsidR="00507A20" w:rsidRPr="00124DB1" w:rsidRDefault="006E75BF" w:rsidP="00507A20">
      <w:pPr>
        <w:pStyle w:val="Paragraphe"/>
        <w:tabs>
          <w:tab w:val="clear" w:pos="567"/>
        </w:tabs>
      </w:pPr>
      <w:r w:rsidRPr="00124DB1">
        <w:t xml:space="preserve">The </w:t>
      </w:r>
      <w:r w:rsidR="0033484F" w:rsidRPr="00124DB1">
        <w:t>sergeant</w:t>
      </w:r>
      <w:r w:rsidRPr="00124DB1">
        <w:t xml:space="preserve"> then felt the doorman’s panic and believed him:</w:t>
      </w:r>
    </w:p>
    <w:p w14:paraId="3082E662" w14:textId="3663FEF0" w:rsidR="0033484F" w:rsidRPr="00BC5A3D" w:rsidRDefault="0033484F" w:rsidP="00507A20">
      <w:pPr>
        <w:pStyle w:val="Citationenretrait"/>
        <w:rPr>
          <w:lang w:val="en-CA"/>
        </w:rPr>
      </w:pPr>
      <w:r w:rsidRPr="00BC5A3D">
        <w:rPr>
          <w:lang w:val="en-CA"/>
        </w:rPr>
        <w:t>[</w:t>
      </w:r>
      <w:r w:rsidRPr="00BC5A3D">
        <w:rPr>
          <w:smallCaps/>
          <w:lang w:val="en-CA"/>
        </w:rPr>
        <w:t>translation</w:t>
      </w:r>
      <w:r w:rsidRPr="00BC5A3D">
        <w:rPr>
          <w:lang w:val="en-CA"/>
        </w:rPr>
        <w:t>]</w:t>
      </w:r>
    </w:p>
    <w:p w14:paraId="6F0D168C" w14:textId="2FF7ED54" w:rsidR="00507A20" w:rsidRPr="00124DB1" w:rsidRDefault="006E75BF" w:rsidP="00507A20">
      <w:pPr>
        <w:pStyle w:val="Citationenretrait"/>
        <w:rPr>
          <w:lang w:val="en-CA"/>
        </w:rPr>
      </w:pPr>
      <w:r w:rsidRPr="00124DB1">
        <w:rPr>
          <w:u w:val="single"/>
          <w:lang w:val="en-CA"/>
        </w:rPr>
        <w:t xml:space="preserve">I </w:t>
      </w:r>
      <w:r w:rsidR="00D3042C" w:rsidRPr="00124DB1">
        <w:rPr>
          <w:u w:val="single"/>
          <w:lang w:val="en-CA"/>
        </w:rPr>
        <w:t>gave</w:t>
      </w:r>
      <w:r w:rsidRPr="00124DB1">
        <w:rPr>
          <w:u w:val="single"/>
          <w:lang w:val="en-CA"/>
        </w:rPr>
        <w:t xml:space="preserve"> considerable </w:t>
      </w:r>
      <w:r w:rsidR="0033484F" w:rsidRPr="00124DB1">
        <w:rPr>
          <w:u w:val="single"/>
          <w:lang w:val="en-CA"/>
        </w:rPr>
        <w:t>credence</w:t>
      </w:r>
      <w:r w:rsidRPr="00124DB1">
        <w:rPr>
          <w:u w:val="single"/>
          <w:lang w:val="en-CA"/>
        </w:rPr>
        <w:t xml:space="preserve"> to the </w:t>
      </w:r>
      <w:proofErr w:type="gramStart"/>
      <w:r w:rsidRPr="00124DB1">
        <w:rPr>
          <w:u w:val="single"/>
          <w:lang w:val="en-CA"/>
        </w:rPr>
        <w:t>doorman’s</w:t>
      </w:r>
      <w:proofErr w:type="gramEnd"/>
      <w:r w:rsidRPr="00124DB1">
        <w:rPr>
          <w:u w:val="single"/>
          <w:lang w:val="en-CA"/>
        </w:rPr>
        <w:t xml:space="preserve"> information because, for me, he is a credible and reliable </w:t>
      </w:r>
      <w:r w:rsidR="0033484F" w:rsidRPr="00124DB1">
        <w:rPr>
          <w:u w:val="single"/>
          <w:lang w:val="en-CA"/>
        </w:rPr>
        <w:t>person</w:t>
      </w:r>
      <w:r w:rsidRPr="00124DB1">
        <w:rPr>
          <w:u w:val="single"/>
          <w:lang w:val="en-CA"/>
        </w:rPr>
        <w:t>.</w:t>
      </w:r>
      <w:r w:rsidR="00AD32E1" w:rsidRPr="00124DB1">
        <w:rPr>
          <w:u w:val="single"/>
          <w:lang w:val="en-CA"/>
        </w:rPr>
        <w:t xml:space="preserve"> </w:t>
      </w:r>
      <w:r w:rsidRPr="00124DB1">
        <w:rPr>
          <w:u w:val="single"/>
          <w:lang w:val="en-CA"/>
        </w:rPr>
        <w:t>He knows things</w:t>
      </w:r>
      <w:r w:rsidR="00D3042C" w:rsidRPr="00124DB1">
        <w:rPr>
          <w:u w:val="single"/>
          <w:lang w:val="en-CA"/>
        </w:rPr>
        <w:t>,</w:t>
      </w:r>
      <w:r w:rsidRPr="00124DB1">
        <w:rPr>
          <w:u w:val="single"/>
          <w:lang w:val="en-CA"/>
        </w:rPr>
        <w:t xml:space="preserve"> and he is an experienced </w:t>
      </w:r>
      <w:proofErr w:type="gramStart"/>
      <w:r w:rsidRPr="00124DB1">
        <w:rPr>
          <w:u w:val="single"/>
          <w:lang w:val="en-CA"/>
        </w:rPr>
        <w:t>doorman</w:t>
      </w:r>
      <w:proofErr w:type="gramEnd"/>
      <w:r w:rsidRPr="00124DB1">
        <w:rPr>
          <w:lang w:val="en-CA"/>
        </w:rPr>
        <w:t>.</w:t>
      </w:r>
      <w:r w:rsidR="00AD32E1" w:rsidRPr="00124DB1">
        <w:rPr>
          <w:lang w:val="en-CA"/>
        </w:rPr>
        <w:t xml:space="preserve"> </w:t>
      </w:r>
      <w:r w:rsidRPr="00124DB1">
        <w:rPr>
          <w:lang w:val="en-CA"/>
        </w:rPr>
        <w:lastRenderedPageBreak/>
        <w:t xml:space="preserve">I know, however, that even me, as an officer, I did not </w:t>
      </w:r>
      <w:r w:rsidR="0033484F" w:rsidRPr="00124DB1">
        <w:rPr>
          <w:lang w:val="en-CA"/>
        </w:rPr>
        <w:t>confirm</w:t>
      </w:r>
      <w:r w:rsidRPr="00124DB1">
        <w:rPr>
          <w:lang w:val="en-CA"/>
        </w:rPr>
        <w:t xml:space="preserve"> all the information.</w:t>
      </w:r>
      <w:r w:rsidR="00AD32E1" w:rsidRPr="00124DB1">
        <w:rPr>
          <w:lang w:val="en-CA"/>
        </w:rPr>
        <w:t xml:space="preserve"> </w:t>
      </w:r>
      <w:r w:rsidRPr="00124DB1">
        <w:rPr>
          <w:lang w:val="en-CA"/>
        </w:rPr>
        <w:t xml:space="preserve">He did not </w:t>
      </w:r>
      <w:r w:rsidR="0033484F" w:rsidRPr="00124DB1">
        <w:rPr>
          <w:lang w:val="en-CA"/>
        </w:rPr>
        <w:t>tell me</w:t>
      </w:r>
      <w:r w:rsidR="00D3042C" w:rsidRPr="00124DB1">
        <w:rPr>
          <w:lang w:val="en-CA"/>
        </w:rPr>
        <w:t>,</w:t>
      </w:r>
      <w:r w:rsidRPr="00124DB1">
        <w:rPr>
          <w:lang w:val="en-CA"/>
        </w:rPr>
        <w:t xml:space="preserve"> </w:t>
      </w:r>
      <w:r w:rsidR="0033484F" w:rsidRPr="00124DB1">
        <w:rPr>
          <w:lang w:val="en-CA"/>
        </w:rPr>
        <w:t>[</w:t>
      </w:r>
      <w:r w:rsidR="0033484F" w:rsidRPr="00124DB1">
        <w:rPr>
          <w:smallCaps/>
          <w:lang w:val="en-CA"/>
        </w:rPr>
        <w:t>translation</w:t>
      </w:r>
      <w:r w:rsidR="0033484F" w:rsidRPr="00124DB1">
        <w:rPr>
          <w:lang w:val="en-CA"/>
        </w:rPr>
        <w:t xml:space="preserve">] </w:t>
      </w:r>
      <w:r w:rsidRPr="00124DB1">
        <w:rPr>
          <w:lang w:val="en-CA"/>
        </w:rPr>
        <w:t xml:space="preserve">“That’s J-P. </w:t>
      </w:r>
      <w:proofErr w:type="spellStart"/>
      <w:r w:rsidRPr="00124DB1">
        <w:rPr>
          <w:lang w:val="en-CA"/>
        </w:rPr>
        <w:t>Célestin</w:t>
      </w:r>
      <w:proofErr w:type="spellEnd"/>
      <w:r w:rsidRPr="00124DB1">
        <w:rPr>
          <w:lang w:val="en-CA"/>
        </w:rPr>
        <w:t xml:space="preserve"> over there”.</w:t>
      </w:r>
      <w:r w:rsidR="00AD32E1" w:rsidRPr="00124DB1">
        <w:rPr>
          <w:lang w:val="en-CA"/>
        </w:rPr>
        <w:t xml:space="preserve"> </w:t>
      </w:r>
      <w:r w:rsidRPr="00124DB1">
        <w:rPr>
          <w:lang w:val="en-CA"/>
        </w:rPr>
        <w:t>That would have been a different story.</w:t>
      </w:r>
      <w:r w:rsidR="00AD32E1" w:rsidRPr="00124DB1">
        <w:rPr>
          <w:lang w:val="en-CA"/>
        </w:rPr>
        <w:t xml:space="preserve"> </w:t>
      </w:r>
      <w:proofErr w:type="gramStart"/>
      <w:r w:rsidRPr="00124DB1">
        <w:rPr>
          <w:lang w:val="en-CA"/>
        </w:rPr>
        <w:t>But</w:t>
      </w:r>
      <w:proofErr w:type="gramEnd"/>
      <w:r w:rsidRPr="00124DB1">
        <w:rPr>
          <w:lang w:val="en-CA"/>
        </w:rPr>
        <w:t xml:space="preserve"> he told me</w:t>
      </w:r>
      <w:r w:rsidR="00D3042C" w:rsidRPr="00124DB1">
        <w:rPr>
          <w:lang w:val="en-CA"/>
        </w:rPr>
        <w:t>,</w:t>
      </w:r>
      <w:r w:rsidRPr="00124DB1">
        <w:rPr>
          <w:lang w:val="en-CA"/>
        </w:rPr>
        <w:t xml:space="preserve"> </w:t>
      </w:r>
      <w:r w:rsidR="00D3042C" w:rsidRPr="00124DB1">
        <w:rPr>
          <w:lang w:val="en-CA"/>
        </w:rPr>
        <w:t>[</w:t>
      </w:r>
      <w:r w:rsidR="003B6C66" w:rsidRPr="00124DB1">
        <w:rPr>
          <w:smallCaps/>
          <w:lang w:val="en-CA"/>
        </w:rPr>
        <w:t>translation</w:t>
      </w:r>
      <w:r w:rsidR="003B6C66" w:rsidRPr="00124DB1">
        <w:rPr>
          <w:lang w:val="en-CA"/>
        </w:rPr>
        <w:t>]</w:t>
      </w:r>
      <w:r w:rsidR="00D3042C" w:rsidRPr="00124DB1">
        <w:rPr>
          <w:lang w:val="en-CA"/>
        </w:rPr>
        <w:t xml:space="preserve"> </w:t>
      </w:r>
      <w:r w:rsidRPr="00124DB1">
        <w:rPr>
          <w:lang w:val="en-CA"/>
        </w:rPr>
        <w:t xml:space="preserve">“I’m not sure about these people. Obviously, </w:t>
      </w:r>
      <w:proofErr w:type="gramStart"/>
      <w:r w:rsidRPr="00124DB1">
        <w:rPr>
          <w:lang w:val="en-CA"/>
        </w:rPr>
        <w:t>I’m</w:t>
      </w:r>
      <w:proofErr w:type="gramEnd"/>
      <w:r w:rsidRPr="00124DB1">
        <w:rPr>
          <w:lang w:val="en-CA"/>
        </w:rPr>
        <w:t xml:space="preserve"> stuck between</w:t>
      </w:r>
      <w:r w:rsidR="003B6C66" w:rsidRPr="00124DB1">
        <w:rPr>
          <w:lang w:val="en-CA"/>
        </w:rPr>
        <w:t xml:space="preserve"> </w:t>
      </w:r>
      <w:r w:rsidRPr="00124DB1">
        <w:rPr>
          <w:lang w:val="en-CA"/>
        </w:rPr>
        <w:t>...</w:t>
      </w:r>
      <w:r w:rsidR="00AD32E1" w:rsidRPr="00124DB1">
        <w:rPr>
          <w:lang w:val="en-CA"/>
        </w:rPr>
        <w:t xml:space="preserve"> </w:t>
      </w:r>
      <w:r w:rsidRPr="00124DB1">
        <w:rPr>
          <w:u w:val="single"/>
          <w:lang w:val="en-CA"/>
        </w:rPr>
        <w:t>I have information that appears very credible from the doorman because I respect him</w:t>
      </w:r>
      <w:r w:rsidRPr="00124DB1">
        <w:rPr>
          <w:lang w:val="en-CA"/>
        </w:rPr>
        <w:t>.</w:t>
      </w:r>
      <w:r w:rsidR="00AD32E1" w:rsidRPr="00124DB1">
        <w:rPr>
          <w:lang w:val="en-CA"/>
        </w:rPr>
        <w:t xml:space="preserve"> </w:t>
      </w:r>
      <w:proofErr w:type="gramStart"/>
      <w:r w:rsidRPr="00124DB1">
        <w:rPr>
          <w:lang w:val="en-CA"/>
        </w:rPr>
        <w:t>And</w:t>
      </w:r>
      <w:proofErr w:type="gramEnd"/>
      <w:r w:rsidRPr="00124DB1">
        <w:rPr>
          <w:lang w:val="en-CA"/>
        </w:rPr>
        <w:t xml:space="preserve"> I didn’t mention it, but the doorman is also a black man, so, it’s</w:t>
      </w:r>
      <w:r w:rsidR="003B6C66" w:rsidRPr="00124DB1">
        <w:rPr>
          <w:lang w:val="en-CA"/>
        </w:rPr>
        <w:t xml:space="preserve"> </w:t>
      </w:r>
      <w:r w:rsidRPr="00124DB1">
        <w:rPr>
          <w:lang w:val="en-CA"/>
        </w:rPr>
        <w:t xml:space="preserve">... both doormen </w:t>
      </w:r>
      <w:r w:rsidR="003B6C66" w:rsidRPr="00124DB1">
        <w:rPr>
          <w:lang w:val="en-CA"/>
        </w:rPr>
        <w:t>are</w:t>
      </w:r>
      <w:r w:rsidRPr="00124DB1">
        <w:rPr>
          <w:lang w:val="en-CA"/>
        </w:rPr>
        <w:t xml:space="preserve"> black, so I didn’t even see any connection, personally, to </w:t>
      </w:r>
      <w:r w:rsidR="0033484F" w:rsidRPr="00124DB1">
        <w:rPr>
          <w:lang w:val="en-CA"/>
        </w:rPr>
        <w:t>[</w:t>
      </w:r>
      <w:r w:rsidR="0033484F" w:rsidRPr="00124DB1">
        <w:rPr>
          <w:smallCaps/>
          <w:lang w:val="en-CA"/>
        </w:rPr>
        <w:t>translation</w:t>
      </w:r>
      <w:r w:rsidR="0033484F" w:rsidRPr="00124DB1">
        <w:rPr>
          <w:lang w:val="en-CA"/>
        </w:rPr>
        <w:t xml:space="preserve">] </w:t>
      </w:r>
      <w:r w:rsidRPr="00124DB1">
        <w:rPr>
          <w:lang w:val="en-CA"/>
        </w:rPr>
        <w:t>“Um, I don’t want to see you in the club” or anything like that.</w:t>
      </w:r>
      <w:r w:rsidR="00AD32E1" w:rsidRPr="00124DB1">
        <w:rPr>
          <w:lang w:val="en-CA"/>
        </w:rPr>
        <w:t xml:space="preserve"> </w:t>
      </w:r>
      <w:r w:rsidRPr="00124DB1">
        <w:rPr>
          <w:lang w:val="en-CA"/>
        </w:rPr>
        <w:t xml:space="preserve">It </w:t>
      </w:r>
      <w:proofErr w:type="gramStart"/>
      <w:r w:rsidRPr="00124DB1">
        <w:rPr>
          <w:lang w:val="en-CA"/>
        </w:rPr>
        <w:t>wasn’t</w:t>
      </w:r>
      <w:proofErr w:type="gramEnd"/>
      <w:r w:rsidRPr="00124DB1">
        <w:rPr>
          <w:lang w:val="en-CA"/>
        </w:rPr>
        <w:t xml:space="preserve"> even that.</w:t>
      </w:r>
      <w:r w:rsidR="00AD32E1" w:rsidRPr="00124DB1">
        <w:rPr>
          <w:lang w:val="en-CA"/>
        </w:rPr>
        <w:t xml:space="preserve"> </w:t>
      </w:r>
      <w:r w:rsidRPr="00124DB1">
        <w:rPr>
          <w:lang w:val="en-CA"/>
        </w:rPr>
        <w:t xml:space="preserve">That </w:t>
      </w:r>
      <w:proofErr w:type="gramStart"/>
      <w:r w:rsidRPr="00124DB1">
        <w:rPr>
          <w:lang w:val="en-CA"/>
        </w:rPr>
        <w:t>isn’t</w:t>
      </w:r>
      <w:proofErr w:type="gramEnd"/>
      <w:r w:rsidRPr="00124DB1">
        <w:rPr>
          <w:lang w:val="en-CA"/>
        </w:rPr>
        <w:t xml:space="preserve"> even close to the issue.</w:t>
      </w:r>
      <w:r w:rsidR="00AD32E1" w:rsidRPr="00124DB1">
        <w:rPr>
          <w:lang w:val="en-CA"/>
        </w:rPr>
        <w:t xml:space="preserve"> </w:t>
      </w:r>
      <w:r w:rsidRPr="00124DB1">
        <w:rPr>
          <w:u w:val="single"/>
          <w:lang w:val="en-CA"/>
        </w:rPr>
        <w:t xml:space="preserve">I really took it to be reliable </w:t>
      </w:r>
      <w:r w:rsidR="0033484F" w:rsidRPr="00124DB1">
        <w:rPr>
          <w:u w:val="single"/>
          <w:lang w:val="en-CA"/>
        </w:rPr>
        <w:t>information</w:t>
      </w:r>
      <w:r w:rsidRPr="00124DB1">
        <w:rPr>
          <w:lang w:val="en-CA"/>
        </w:rPr>
        <w:t xml:space="preserve">, but at the same time, we </w:t>
      </w:r>
      <w:proofErr w:type="gramStart"/>
      <w:r w:rsidRPr="00124DB1">
        <w:rPr>
          <w:lang w:val="en-CA"/>
        </w:rPr>
        <w:t>didn’t</w:t>
      </w:r>
      <w:proofErr w:type="gramEnd"/>
      <w:r w:rsidRPr="00124DB1">
        <w:rPr>
          <w:lang w:val="en-CA"/>
        </w:rPr>
        <w:t xml:space="preserve"> know who these people were.</w:t>
      </w:r>
      <w:r w:rsidR="00AD32E1" w:rsidRPr="00124DB1">
        <w:rPr>
          <w:lang w:val="en-CA"/>
        </w:rPr>
        <w:t xml:space="preserve"> </w:t>
      </w:r>
      <w:proofErr w:type="gramStart"/>
      <w:r w:rsidRPr="00124DB1">
        <w:rPr>
          <w:lang w:val="en-CA"/>
        </w:rPr>
        <w:t>So</w:t>
      </w:r>
      <w:proofErr w:type="gramEnd"/>
      <w:r w:rsidRPr="00124DB1">
        <w:rPr>
          <w:lang w:val="en-CA"/>
        </w:rPr>
        <w:t>, it could be</w:t>
      </w:r>
      <w:r w:rsidR="00E52AF6" w:rsidRPr="00124DB1">
        <w:rPr>
          <w:lang w:val="en-CA"/>
        </w:rPr>
        <w:t>,</w:t>
      </w:r>
      <w:r w:rsidRPr="00124DB1">
        <w:rPr>
          <w:lang w:val="en-CA"/>
        </w:rPr>
        <w:t xml:space="preserve"> like in this case, ultimately that’s not what it was.</w:t>
      </w:r>
      <w:r w:rsidR="00AD32E1" w:rsidRPr="00124DB1">
        <w:rPr>
          <w:rStyle w:val="Appelnotedebasdep"/>
          <w:szCs w:val="22"/>
          <w:lang w:val="en-CA"/>
        </w:rPr>
        <w:footnoteReference w:id="128"/>
      </w:r>
    </w:p>
    <w:p w14:paraId="6426F311" w14:textId="6EF2F7FC" w:rsidR="00507A20" w:rsidRPr="00124DB1" w:rsidRDefault="0075555D" w:rsidP="00507A20">
      <w:pPr>
        <w:pStyle w:val="Citationenretrait"/>
        <w:jc w:val="right"/>
        <w:rPr>
          <w:sz w:val="20"/>
          <w:lang w:val="en-CA"/>
        </w:rPr>
      </w:pPr>
      <w:r w:rsidRPr="00124DB1">
        <w:rPr>
          <w:sz w:val="20"/>
          <w:lang w:val="en-CA"/>
        </w:rPr>
        <w:t>[Emphasis added</w:t>
      </w:r>
      <w:r w:rsidR="00E52AF6" w:rsidRPr="00124DB1">
        <w:rPr>
          <w:sz w:val="20"/>
          <w:lang w:val="en-CA"/>
        </w:rPr>
        <w:t>.</w:t>
      </w:r>
      <w:r w:rsidRPr="00124DB1">
        <w:rPr>
          <w:sz w:val="20"/>
          <w:lang w:val="en-CA"/>
        </w:rPr>
        <w:t>]</w:t>
      </w:r>
    </w:p>
    <w:p w14:paraId="4547B6E8" w14:textId="77777777" w:rsidR="00507A20" w:rsidRPr="00124DB1" w:rsidRDefault="00AD32E1" w:rsidP="00507A20">
      <w:pPr>
        <w:pStyle w:val="Paragraphe"/>
        <w:numPr>
          <w:ilvl w:val="0"/>
          <w:numId w:val="0"/>
        </w:numPr>
        <w:tabs>
          <w:tab w:val="clear" w:pos="567"/>
        </w:tabs>
        <w:jc w:val="center"/>
      </w:pPr>
      <w:r w:rsidRPr="00124DB1">
        <w:rPr>
          <w:sz w:val="22"/>
          <w:szCs w:val="22"/>
        </w:rPr>
        <w:t>* * *</w:t>
      </w:r>
    </w:p>
    <w:p w14:paraId="6B40B30D" w14:textId="2A796DB3" w:rsidR="00507A20" w:rsidRPr="00124DB1" w:rsidRDefault="00E52AF6" w:rsidP="00507A20">
      <w:pPr>
        <w:pStyle w:val="Paragraphe"/>
        <w:tabs>
          <w:tab w:val="clear" w:pos="567"/>
        </w:tabs>
      </w:pPr>
      <w:r w:rsidRPr="00124DB1">
        <w:t>According to</w:t>
      </w:r>
      <w:r w:rsidR="00F4488F" w:rsidRPr="00124DB1">
        <w:t xml:space="preserve"> the Supreme Court of Canada, “the fact that racial profiling is recognized as a prohibited form of discrimination </w:t>
      </w:r>
      <w:r w:rsidR="00587B4E" w:rsidRPr="00124DB1">
        <w:t>[does]</w:t>
      </w:r>
      <w:r w:rsidR="00F4488F" w:rsidRPr="00124DB1">
        <w:t xml:space="preserve"> not change the two</w:t>
      </w:r>
      <w:r w:rsidR="00F4488F" w:rsidRPr="00124DB1">
        <w:rPr>
          <w:rFonts w:ascii="Cambria Math" w:hAnsi="Cambria Math" w:cs="Cambria Math"/>
        </w:rPr>
        <w:t>‑</w:t>
      </w:r>
      <w:r w:rsidR="00F4488F" w:rsidRPr="00124DB1">
        <w:t xml:space="preserve">step process that applies in the context of a complaint under the </w:t>
      </w:r>
      <w:r w:rsidR="00F4488F" w:rsidRPr="00124DB1">
        <w:rPr>
          <w:i/>
        </w:rPr>
        <w:t>Charter</w:t>
      </w:r>
      <w:r w:rsidR="00F4488F" w:rsidRPr="00124DB1">
        <w:rPr>
          <w:rFonts w:cs="Arial"/>
        </w:rPr>
        <w:t>”</w:t>
      </w:r>
      <w:r w:rsidR="00F4488F" w:rsidRPr="00124DB1">
        <w:t>.</w:t>
      </w:r>
      <w:r w:rsidR="00AD32E1" w:rsidRPr="00124DB1">
        <w:rPr>
          <w:rStyle w:val="Appelnotedebasdep"/>
        </w:rPr>
        <w:footnoteReference w:id="129"/>
      </w:r>
      <w:r w:rsidR="00AD32E1" w:rsidRPr="00124DB1">
        <w:t xml:space="preserve"> </w:t>
      </w:r>
    </w:p>
    <w:p w14:paraId="2C21F295" w14:textId="77777777" w:rsidR="00507A20" w:rsidRPr="00124DB1" w:rsidRDefault="00F4488F" w:rsidP="00507A20">
      <w:pPr>
        <w:pStyle w:val="Paragraphe"/>
        <w:tabs>
          <w:tab w:val="clear" w:pos="567"/>
        </w:tabs>
      </w:pPr>
      <w:r w:rsidRPr="00124DB1">
        <w:t>In other words, “whatever form discrimination takes, the two</w:t>
      </w:r>
      <w:r w:rsidRPr="00124DB1">
        <w:rPr>
          <w:rFonts w:ascii="Cambria Math" w:hAnsi="Cambria Math" w:cs="Cambria Math"/>
        </w:rPr>
        <w:t>‑</w:t>
      </w:r>
      <w:r w:rsidRPr="00124DB1">
        <w:t xml:space="preserve">step analysis applicable to a complaint under the </w:t>
      </w:r>
      <w:r w:rsidRPr="00124DB1">
        <w:rPr>
          <w:i/>
        </w:rPr>
        <w:t>Charter</w:t>
      </w:r>
      <w:r w:rsidRPr="00124DB1">
        <w:t xml:space="preserve"> does not change</w:t>
      </w:r>
      <w:r w:rsidRPr="00124DB1">
        <w:rPr>
          <w:rFonts w:cs="Arial"/>
        </w:rPr>
        <w:t>”</w:t>
      </w:r>
      <w:r w:rsidRPr="00124DB1">
        <w:t>.</w:t>
      </w:r>
      <w:r w:rsidR="00AD32E1" w:rsidRPr="00124DB1">
        <w:rPr>
          <w:rStyle w:val="Appelnotedebasdep"/>
        </w:rPr>
        <w:footnoteReference w:id="130"/>
      </w:r>
    </w:p>
    <w:p w14:paraId="2D641785" w14:textId="77777777" w:rsidR="00507A20" w:rsidRPr="00124DB1" w:rsidRDefault="00F4488F" w:rsidP="00507A20">
      <w:pPr>
        <w:pStyle w:val="Paragraphe"/>
        <w:tabs>
          <w:tab w:val="clear" w:pos="567"/>
        </w:tabs>
      </w:pPr>
      <w:r w:rsidRPr="00124DB1">
        <w:t>The Court recalls the “two-step analysis” that should be followed in these words:</w:t>
      </w:r>
    </w:p>
    <w:p w14:paraId="73E7178A" w14:textId="77777777" w:rsidR="00507A20" w:rsidRPr="00124DB1" w:rsidRDefault="00F4488F" w:rsidP="00507A20">
      <w:pPr>
        <w:pStyle w:val="Citationenretrait"/>
        <w:rPr>
          <w:lang w:val="en-CA"/>
        </w:rPr>
      </w:pPr>
      <w:r w:rsidRPr="00124DB1">
        <w:rPr>
          <w:lang w:val="en-CA"/>
        </w:rPr>
        <w:t>[35] First, s. 10 requires that the plaintiff prove three elements: “(1) a ‘distinction, exclusion or preference’, (2) based on one of the grounds listed in the first paragraph, and (3) which ‘has the effect of nullifying or impairing’ the right to full and equal recognition and exercise of a human right or freedom” ...  .</w:t>
      </w:r>
    </w:p>
    <w:p w14:paraId="037EFB41" w14:textId="77777777" w:rsidR="00507A20" w:rsidRPr="00124DB1" w:rsidRDefault="00F4488F" w:rsidP="00507A20">
      <w:pPr>
        <w:pStyle w:val="Citationenretrait"/>
        <w:rPr>
          <w:lang w:val="en-CA"/>
        </w:rPr>
      </w:pPr>
      <w:r w:rsidRPr="00124DB1">
        <w:rPr>
          <w:lang w:val="en-CA"/>
        </w:rPr>
        <w:t xml:space="preserve">[36] If these three elements </w:t>
      </w:r>
      <w:proofErr w:type="gramStart"/>
      <w:r w:rsidRPr="00124DB1">
        <w:rPr>
          <w:lang w:val="en-CA"/>
        </w:rPr>
        <w:t>are established</w:t>
      </w:r>
      <w:proofErr w:type="gramEnd"/>
      <w:r w:rsidRPr="00124DB1">
        <w:rPr>
          <w:lang w:val="en-CA"/>
        </w:rPr>
        <w:t xml:space="preserve"> ... there is “</w:t>
      </w:r>
      <w:r w:rsidRPr="00555D53">
        <w:rPr>
          <w:i/>
          <w:lang w:val="en-CA"/>
        </w:rPr>
        <w:t>prima facie</w:t>
      </w:r>
      <w:r w:rsidRPr="00124DB1">
        <w:rPr>
          <w:lang w:val="en-CA"/>
        </w:rPr>
        <w:t xml:space="preserve"> discrimination”. </w:t>
      </w:r>
      <w:r w:rsidR="00AD32E1" w:rsidRPr="00124DB1">
        <w:rPr>
          <w:lang w:val="en-CA"/>
        </w:rPr>
        <w:t xml:space="preserve"> </w:t>
      </w:r>
      <w:r w:rsidRPr="00124DB1">
        <w:rPr>
          <w:lang w:val="en-CA"/>
        </w:rPr>
        <w:t>This is the first step of the analysis.</w:t>
      </w:r>
    </w:p>
    <w:p w14:paraId="3979924E" w14:textId="77777777" w:rsidR="00507A20" w:rsidRPr="00124DB1" w:rsidRDefault="00F4488F" w:rsidP="00507A20">
      <w:pPr>
        <w:pStyle w:val="Citationenretrait"/>
        <w:rPr>
          <w:lang w:val="en-CA"/>
        </w:rPr>
      </w:pPr>
      <w:r w:rsidRPr="00124DB1">
        <w:rPr>
          <w:lang w:val="en-CA"/>
        </w:rPr>
        <w:t xml:space="preserve">[37] Second, the defendant can then ... justify his or her decision or conduct </w:t>
      </w:r>
      <w:proofErr w:type="gramStart"/>
      <w:r w:rsidRPr="00124DB1">
        <w:rPr>
          <w:lang w:val="en-CA"/>
        </w:rPr>
        <w:t>on the basis of</w:t>
      </w:r>
      <w:proofErr w:type="gramEnd"/>
      <w:r w:rsidRPr="00124DB1">
        <w:rPr>
          <w:lang w:val="en-CA"/>
        </w:rPr>
        <w:t xml:space="preserve"> the exemptions provided for in the applicable human rights legislation or those developed by the courts.</w:t>
      </w:r>
      <w:r w:rsidR="00AD32E1" w:rsidRPr="00124DB1">
        <w:rPr>
          <w:lang w:val="en-CA"/>
        </w:rPr>
        <w:t xml:space="preserve"> </w:t>
      </w:r>
      <w:r w:rsidRPr="00124DB1">
        <w:rPr>
          <w:lang w:val="en-CA"/>
        </w:rPr>
        <w:t xml:space="preserve">If the defendant fails to do so, discrimination </w:t>
      </w:r>
      <w:proofErr w:type="gramStart"/>
      <w:r w:rsidRPr="00124DB1">
        <w:rPr>
          <w:lang w:val="en-CA"/>
        </w:rPr>
        <w:t>will then be found</w:t>
      </w:r>
      <w:proofErr w:type="gramEnd"/>
      <w:r w:rsidRPr="00124DB1">
        <w:rPr>
          <w:lang w:val="en-CA"/>
        </w:rPr>
        <w:t xml:space="preserve"> to have occurred.</w:t>
      </w:r>
      <w:r w:rsidR="00AD32E1" w:rsidRPr="00124DB1">
        <w:rPr>
          <w:rStyle w:val="Appelnotedebasdep"/>
          <w:szCs w:val="22"/>
          <w:lang w:val="en-CA"/>
        </w:rPr>
        <w:footnoteReference w:id="131"/>
      </w:r>
    </w:p>
    <w:p w14:paraId="07EE7BD4" w14:textId="77777777" w:rsidR="00507A20" w:rsidRPr="00124DB1" w:rsidRDefault="00F4488F" w:rsidP="00507A20">
      <w:pPr>
        <w:pStyle w:val="Paragraphe"/>
        <w:tabs>
          <w:tab w:val="clear" w:pos="567"/>
        </w:tabs>
      </w:pPr>
      <w:r w:rsidRPr="00124DB1">
        <w:lastRenderedPageBreak/>
        <w:t>Thus, this “two-step process ... successively imposes separate burdens of proof on the plaintiff and the defendant”.</w:t>
      </w:r>
      <w:r w:rsidR="00AD32E1" w:rsidRPr="00124DB1">
        <w:rPr>
          <w:rStyle w:val="Appelnotedebasdep"/>
        </w:rPr>
        <w:footnoteReference w:id="132"/>
      </w:r>
    </w:p>
    <w:p w14:paraId="63111E0C" w14:textId="5C18B245" w:rsidR="00507A20" w:rsidRPr="00124DB1" w:rsidRDefault="00F4488F" w:rsidP="00507A20">
      <w:pPr>
        <w:pStyle w:val="Paragraphe"/>
        <w:tabs>
          <w:tab w:val="clear" w:pos="567"/>
        </w:tabs>
      </w:pPr>
      <w:r w:rsidRPr="00124DB1">
        <w:t xml:space="preserve">As to the degree of </w:t>
      </w:r>
      <w:r w:rsidR="00F23542" w:rsidRPr="00124DB1">
        <w:t>proof required</w:t>
      </w:r>
      <w:r w:rsidRPr="00124DB1">
        <w:t>, it is “the standard of proof that normally applies in the civil law, namely that of proof on a balance of probabilities”.</w:t>
      </w:r>
      <w:r w:rsidR="00AD32E1" w:rsidRPr="00124DB1">
        <w:rPr>
          <w:rStyle w:val="Appelnotedebasdep"/>
          <w:color w:val="000000"/>
        </w:rPr>
        <w:footnoteReference w:id="133"/>
      </w:r>
      <w:r w:rsidR="00AD32E1" w:rsidRPr="00124DB1">
        <w:rPr>
          <w:color w:val="000000"/>
        </w:rPr>
        <w:t> </w:t>
      </w:r>
    </w:p>
    <w:p w14:paraId="22BAAEBE" w14:textId="6303256A" w:rsidR="00507A20" w:rsidRPr="00124DB1" w:rsidRDefault="00F4488F" w:rsidP="00507A20">
      <w:pPr>
        <w:pStyle w:val="Paragraphe"/>
        <w:tabs>
          <w:tab w:val="clear" w:pos="567"/>
        </w:tabs>
      </w:pPr>
      <w:r w:rsidRPr="00124DB1">
        <w:rPr>
          <w:color w:val="000000"/>
        </w:rPr>
        <w:t xml:space="preserve">That said, the Tribunal – inspired by the case law of other specialized </w:t>
      </w:r>
      <w:r w:rsidR="00A0071A" w:rsidRPr="00124DB1">
        <w:rPr>
          <w:color w:val="000000"/>
        </w:rPr>
        <w:t xml:space="preserve">human rights tribunals </w:t>
      </w:r>
      <w:r w:rsidRPr="00124DB1">
        <w:rPr>
          <w:color w:val="000000"/>
        </w:rPr>
        <w:t xml:space="preserve">elsewhere in Canada – draws these three </w:t>
      </w:r>
      <w:r w:rsidR="008D3A5F" w:rsidRPr="00124DB1">
        <w:t>[</w:t>
      </w:r>
      <w:r w:rsidR="008D3A5F" w:rsidRPr="00124DB1">
        <w:rPr>
          <w:smallCaps/>
        </w:rPr>
        <w:t>translation</w:t>
      </w:r>
      <w:r w:rsidR="008D3A5F" w:rsidRPr="00124DB1">
        <w:t>]</w:t>
      </w:r>
      <w:r w:rsidR="008D3A5F" w:rsidRPr="00124DB1">
        <w:rPr>
          <w:color w:val="000000"/>
        </w:rPr>
        <w:t xml:space="preserve"> </w:t>
      </w:r>
      <w:r w:rsidRPr="00124DB1">
        <w:rPr>
          <w:color w:val="000000"/>
        </w:rPr>
        <w:t>“specific elements that a plaintiff must demonstrate, more particularly, in order to establish racial profiling on a balance of probabilities”:</w:t>
      </w:r>
    </w:p>
    <w:p w14:paraId="6ECE7694" w14:textId="77777777" w:rsidR="00507A20" w:rsidRPr="00124DB1" w:rsidRDefault="00F4488F" w:rsidP="00507A20">
      <w:pPr>
        <w:pStyle w:val="Citationenretrait"/>
        <w:rPr>
          <w:lang w:val="en-CA"/>
        </w:rPr>
      </w:pPr>
      <w:r w:rsidRPr="00124DB1">
        <w:rPr>
          <w:lang w:val="en-CA"/>
        </w:rPr>
        <w:t xml:space="preserve">(1) </w:t>
      </w:r>
      <w:proofErr w:type="gramStart"/>
      <w:r w:rsidRPr="00124DB1">
        <w:rPr>
          <w:lang w:val="en-CA"/>
        </w:rPr>
        <w:t>he</w:t>
      </w:r>
      <w:proofErr w:type="gramEnd"/>
      <w:r w:rsidRPr="00124DB1">
        <w:rPr>
          <w:lang w:val="en-CA"/>
        </w:rPr>
        <w:t xml:space="preserve"> or she is (or is perceived as) a member of a group that is characterized on the basis of a prohibited ground of discrimination;</w:t>
      </w:r>
    </w:p>
    <w:p w14:paraId="01A7F784" w14:textId="77777777" w:rsidR="00507A20" w:rsidRPr="00124DB1" w:rsidRDefault="00F4488F" w:rsidP="00507A20">
      <w:pPr>
        <w:pStyle w:val="Citationenretrait"/>
        <w:rPr>
          <w:lang w:val="en-CA"/>
        </w:rPr>
      </w:pPr>
      <w:r w:rsidRPr="00124DB1">
        <w:rPr>
          <w:lang w:val="en-CA"/>
        </w:rPr>
        <w:t xml:space="preserve">(2) </w:t>
      </w:r>
      <w:proofErr w:type="gramStart"/>
      <w:r w:rsidRPr="00124DB1">
        <w:rPr>
          <w:lang w:val="en-CA"/>
        </w:rPr>
        <w:t>while</w:t>
      </w:r>
      <w:proofErr w:type="gramEnd"/>
      <w:r w:rsidRPr="00124DB1">
        <w:rPr>
          <w:lang w:val="en-CA"/>
        </w:rPr>
        <w:t xml:space="preserve"> exercising a right protected by law, he or she was subjected to differential or unusual treatment by a person in authority;</w:t>
      </w:r>
    </w:p>
    <w:p w14:paraId="23CF3E39" w14:textId="77777777" w:rsidR="00507A20" w:rsidRPr="00124DB1" w:rsidRDefault="00F4488F" w:rsidP="00507A20">
      <w:pPr>
        <w:pStyle w:val="Citationenretrait"/>
        <w:rPr>
          <w:lang w:val="en-CA"/>
        </w:rPr>
      </w:pPr>
      <w:r w:rsidRPr="00124DB1">
        <w:rPr>
          <w:lang w:val="en-CA"/>
        </w:rPr>
        <w:t xml:space="preserve">(3) </w:t>
      </w:r>
      <w:proofErr w:type="gramStart"/>
      <w:r w:rsidRPr="00124DB1">
        <w:rPr>
          <w:lang w:val="en-CA"/>
        </w:rPr>
        <w:t>a</w:t>
      </w:r>
      <w:proofErr w:type="gramEnd"/>
      <w:r w:rsidRPr="00124DB1">
        <w:rPr>
          <w:lang w:val="en-CA"/>
        </w:rPr>
        <w:t xml:space="preserve"> prohibited ground of discrimination was one of the factors that led the person in authority to apply the treatment in question.</w:t>
      </w:r>
      <w:r w:rsidR="00AD32E1" w:rsidRPr="00124DB1">
        <w:rPr>
          <w:rStyle w:val="Appelnotedebasdep"/>
          <w:rFonts w:cs="Arial"/>
          <w:color w:val="000000"/>
          <w:szCs w:val="22"/>
          <w:lang w:val="en-CA"/>
        </w:rPr>
        <w:footnoteReference w:id="134"/>
      </w:r>
    </w:p>
    <w:p w14:paraId="6092DE2F" w14:textId="3C78194B" w:rsidR="00507A20" w:rsidRPr="00124DB1" w:rsidRDefault="008D3A5F" w:rsidP="00507A20">
      <w:pPr>
        <w:pStyle w:val="Paragraphe"/>
        <w:tabs>
          <w:tab w:val="clear" w:pos="360"/>
          <w:tab w:val="clear" w:pos="567"/>
        </w:tabs>
      </w:pPr>
      <w:r w:rsidRPr="00124DB1">
        <w:t>Thus</w:t>
      </w:r>
      <w:r w:rsidR="00F4488F" w:rsidRPr="00124DB1">
        <w:t>,</w:t>
      </w:r>
      <w:r w:rsidRPr="00124DB1">
        <w:t xml:space="preserve"> [</w:t>
      </w:r>
      <w:r w:rsidRPr="00124DB1">
        <w:rPr>
          <w:smallCaps/>
        </w:rPr>
        <w:t>translation</w:t>
      </w:r>
      <w:r w:rsidRPr="00124DB1">
        <w:t>]</w:t>
      </w:r>
      <w:r w:rsidR="00F4488F" w:rsidRPr="00124DB1">
        <w:t xml:space="preserve"> “[t]he Tribunal’s assessment of the evidence must allow it to conclude that the most rational or likely explanation for the person in authority’s conduct is related to one or several of the prohibited grounds of discrimination set out in section 10 of the </w:t>
      </w:r>
      <w:r w:rsidR="00F4488F" w:rsidRPr="00124DB1">
        <w:rPr>
          <w:i/>
        </w:rPr>
        <w:t>Charter</w:t>
      </w:r>
      <w:r w:rsidR="00F4488F" w:rsidRPr="00124DB1">
        <w:t>”.</w:t>
      </w:r>
      <w:r w:rsidR="00AD32E1" w:rsidRPr="00124DB1">
        <w:rPr>
          <w:rStyle w:val="Appelnotedebasdep"/>
        </w:rPr>
        <w:footnoteReference w:id="135"/>
      </w:r>
    </w:p>
    <w:p w14:paraId="7D628F5E" w14:textId="3F3CD4A7" w:rsidR="00507A20" w:rsidRPr="00124DB1" w:rsidRDefault="00F4488F" w:rsidP="00507A20">
      <w:pPr>
        <w:pStyle w:val="Paragraphe"/>
        <w:tabs>
          <w:tab w:val="clear" w:pos="567"/>
        </w:tabs>
      </w:pPr>
      <w:r w:rsidRPr="00124DB1">
        <w:t xml:space="preserve">If the evidence of discriminatory profiling is established </w:t>
      </w:r>
      <w:r w:rsidRPr="00124DB1">
        <w:rPr>
          <w:i/>
        </w:rPr>
        <w:t>prima facie</w:t>
      </w:r>
      <w:r w:rsidRPr="00124DB1">
        <w:t xml:space="preserve"> by the </w:t>
      </w:r>
      <w:r w:rsidR="008D3A5F" w:rsidRPr="00124DB1">
        <w:t>Commission</w:t>
      </w:r>
      <w:r w:rsidRPr="00124DB1">
        <w:t xml:space="preserve">, the defendant must be able to show, based on </w:t>
      </w:r>
      <w:r w:rsidR="008D3A5F" w:rsidRPr="00124DB1">
        <w:t>[</w:t>
      </w:r>
      <w:r w:rsidR="008D3A5F" w:rsidRPr="00124DB1">
        <w:rPr>
          <w:smallCaps/>
        </w:rPr>
        <w:t>translation</w:t>
      </w:r>
      <w:r w:rsidR="008D3A5F" w:rsidRPr="00124DB1">
        <w:t xml:space="preserve">] </w:t>
      </w:r>
      <w:r w:rsidRPr="00124DB1">
        <w:t>“</w:t>
      </w:r>
      <w:r w:rsidR="00D246FB" w:rsidRPr="00124DB1">
        <w:rPr>
          <w:rFonts w:cs="Arial"/>
          <w:color w:val="000000"/>
        </w:rPr>
        <w:t>objectively</w:t>
      </w:r>
      <w:r w:rsidR="00D246FB" w:rsidRPr="00124DB1">
        <w:t xml:space="preserve"> </w:t>
      </w:r>
      <w:r w:rsidRPr="00124DB1">
        <w:t>significant elements”,</w:t>
      </w:r>
      <w:r w:rsidR="00AD32E1" w:rsidRPr="00124DB1">
        <w:rPr>
          <w:rStyle w:val="Appelnotedebasdep"/>
        </w:rPr>
        <w:footnoteReference w:id="136"/>
      </w:r>
      <w:r w:rsidRPr="00124DB1">
        <w:t xml:space="preserve"> that are </w:t>
      </w:r>
      <w:r w:rsidR="008D3A5F" w:rsidRPr="00124DB1">
        <w:t>[</w:t>
      </w:r>
      <w:r w:rsidR="008D3A5F" w:rsidRPr="00124DB1">
        <w:rPr>
          <w:smallCaps/>
        </w:rPr>
        <w:t>translation</w:t>
      </w:r>
      <w:r w:rsidR="008D3A5F" w:rsidRPr="00124DB1">
        <w:t xml:space="preserve">] </w:t>
      </w:r>
      <w:r w:rsidRPr="00124DB1">
        <w:t>“credible and lawful”,</w:t>
      </w:r>
      <w:r w:rsidR="00AD32E1" w:rsidRPr="00124DB1">
        <w:rPr>
          <w:rStyle w:val="Appelnotedebasdep"/>
        </w:rPr>
        <w:footnoteReference w:id="137"/>
      </w:r>
      <w:r w:rsidRPr="00124DB1">
        <w:t xml:space="preserve"> that the action was based on “factual grounds or reasonable suspicion”.</w:t>
      </w:r>
      <w:r w:rsidR="00AD32E1" w:rsidRPr="00124DB1">
        <w:rPr>
          <w:rStyle w:val="Appelnotedebasdep"/>
        </w:rPr>
        <w:footnoteReference w:id="138"/>
      </w:r>
    </w:p>
    <w:p w14:paraId="49230D06" w14:textId="101CFCF6" w:rsidR="00507A20" w:rsidRPr="00124DB1" w:rsidRDefault="00F4488F" w:rsidP="00507A20">
      <w:pPr>
        <w:pStyle w:val="Paragraphe"/>
        <w:tabs>
          <w:tab w:val="clear" w:pos="567"/>
        </w:tabs>
      </w:pPr>
      <w:r w:rsidRPr="00124DB1">
        <w:lastRenderedPageBreak/>
        <w:t xml:space="preserve">That will be the case where there is an intervention based on </w:t>
      </w:r>
      <w:r w:rsidR="00042096" w:rsidRPr="00124DB1">
        <w:t>[</w:t>
      </w:r>
      <w:r w:rsidR="00042096" w:rsidRPr="00124DB1">
        <w:rPr>
          <w:smallCaps/>
        </w:rPr>
        <w:t>translation</w:t>
      </w:r>
      <w:r w:rsidR="00042096" w:rsidRPr="00124DB1">
        <w:t xml:space="preserve">] </w:t>
      </w:r>
      <w:r w:rsidRPr="00124DB1">
        <w:t>“the receipt of information causing the police officer to reasonably believe that the plaintiff broke the law”.</w:t>
      </w:r>
      <w:r w:rsidR="00AD32E1" w:rsidRPr="00124DB1">
        <w:rPr>
          <w:rStyle w:val="Appelnotedebasdep"/>
          <w:rFonts w:cs="Arial"/>
          <w:color w:val="000000"/>
        </w:rPr>
        <w:footnoteReference w:id="139"/>
      </w:r>
      <w:r w:rsidR="00AD32E1" w:rsidRPr="00124DB1">
        <w:t xml:space="preserve"> </w:t>
      </w:r>
    </w:p>
    <w:p w14:paraId="60B76D07" w14:textId="77777777" w:rsidR="00507A20" w:rsidRPr="00124DB1" w:rsidRDefault="00AD32E1" w:rsidP="00507A20">
      <w:pPr>
        <w:pStyle w:val="Paragraphe"/>
        <w:numPr>
          <w:ilvl w:val="0"/>
          <w:numId w:val="0"/>
        </w:numPr>
        <w:tabs>
          <w:tab w:val="clear" w:pos="567"/>
        </w:tabs>
        <w:jc w:val="center"/>
      </w:pPr>
      <w:r w:rsidRPr="00124DB1">
        <w:t>* * *</w:t>
      </w:r>
    </w:p>
    <w:p w14:paraId="77DE9B2D" w14:textId="755CE1BC" w:rsidR="00507A20" w:rsidRPr="00124DB1" w:rsidRDefault="00F4488F" w:rsidP="00507A20">
      <w:pPr>
        <w:pStyle w:val="Paragraphe"/>
        <w:tabs>
          <w:tab w:val="clear" w:pos="567"/>
        </w:tabs>
      </w:pPr>
      <w:r w:rsidRPr="00124DB1">
        <w:t xml:space="preserve">The fact that Mr. </w:t>
      </w:r>
      <w:proofErr w:type="spellStart"/>
      <w:r w:rsidRPr="00124DB1">
        <w:t>Bazelais</w:t>
      </w:r>
      <w:proofErr w:type="spellEnd"/>
      <w:r w:rsidRPr="00124DB1">
        <w:t xml:space="preserve"> belongs to a </w:t>
      </w:r>
      <w:r w:rsidR="00042096" w:rsidRPr="00124DB1">
        <w:t>[</w:t>
      </w:r>
      <w:r w:rsidR="00042096" w:rsidRPr="00124DB1">
        <w:rPr>
          <w:smallCaps/>
        </w:rPr>
        <w:t>translation</w:t>
      </w:r>
      <w:r w:rsidR="00042096" w:rsidRPr="00124DB1">
        <w:t xml:space="preserve">] </w:t>
      </w:r>
      <w:r w:rsidRPr="00124DB1">
        <w:t>“group that is characterized on the basis of a prohibited ground of discrimination” is not in question.</w:t>
      </w:r>
      <w:r w:rsidR="00AD32E1" w:rsidRPr="00124DB1">
        <w:t xml:space="preserve"> </w:t>
      </w:r>
    </w:p>
    <w:p w14:paraId="31F4144B" w14:textId="5ECD2367" w:rsidR="00507A20" w:rsidRPr="00124DB1" w:rsidRDefault="00F4488F" w:rsidP="00507A20">
      <w:pPr>
        <w:pStyle w:val="Paragraphe"/>
        <w:tabs>
          <w:tab w:val="clear" w:pos="567"/>
        </w:tabs>
      </w:pPr>
      <w:r w:rsidRPr="00124DB1">
        <w:t xml:space="preserve">In its originating application, the Commission alleges the grounds related to “race, colour, </w:t>
      </w:r>
      <w:r w:rsidR="00042096" w:rsidRPr="00124DB1">
        <w:t>ethnic</w:t>
      </w:r>
      <w:r w:rsidRPr="00124DB1">
        <w:t xml:space="preserve"> origin, and sex”.</w:t>
      </w:r>
      <w:r w:rsidR="00AD32E1" w:rsidRPr="00124DB1">
        <w:t xml:space="preserve"> </w:t>
      </w:r>
      <w:r w:rsidRPr="00124DB1">
        <w:t>In fact, it never spent any time on the ground of “sex” during its submissions before the Tribunal.</w:t>
      </w:r>
      <w:r w:rsidR="00AD32E1" w:rsidRPr="00124DB1">
        <w:t xml:space="preserve"> </w:t>
      </w:r>
    </w:p>
    <w:p w14:paraId="7BBB6054" w14:textId="409256A2" w:rsidR="00507A20" w:rsidRPr="00124DB1" w:rsidRDefault="00F4488F" w:rsidP="00507A20">
      <w:pPr>
        <w:pStyle w:val="Paragraphe"/>
        <w:tabs>
          <w:tab w:val="clear" w:pos="567"/>
        </w:tabs>
      </w:pPr>
      <w:r w:rsidRPr="00124DB1">
        <w:t xml:space="preserve">It is undeniable that Mr. </w:t>
      </w:r>
      <w:proofErr w:type="spellStart"/>
      <w:r w:rsidRPr="00124DB1">
        <w:t>Bazelais</w:t>
      </w:r>
      <w:proofErr w:type="spellEnd"/>
      <w:r w:rsidRPr="00124DB1">
        <w:t xml:space="preserve"> has black skin </w:t>
      </w:r>
      <w:r w:rsidR="00042096" w:rsidRPr="00124DB1">
        <w:t>and</w:t>
      </w:r>
      <w:r w:rsidRPr="00124DB1">
        <w:t xml:space="preserve"> is African-American.</w:t>
      </w:r>
    </w:p>
    <w:p w14:paraId="5E6B639C" w14:textId="67355B6F" w:rsidR="00507A20" w:rsidRPr="00124DB1" w:rsidRDefault="00F4488F" w:rsidP="00507A20">
      <w:pPr>
        <w:pStyle w:val="Paragraphe"/>
        <w:tabs>
          <w:tab w:val="clear" w:pos="567"/>
        </w:tabs>
      </w:pPr>
      <w:r w:rsidRPr="00124DB1">
        <w:t xml:space="preserve">That said, </w:t>
      </w:r>
      <w:r w:rsidR="00042096" w:rsidRPr="00124DB1">
        <w:t>[</w:t>
      </w:r>
      <w:r w:rsidR="00042096" w:rsidRPr="00124DB1">
        <w:rPr>
          <w:smallCaps/>
        </w:rPr>
        <w:t>translation</w:t>
      </w:r>
      <w:r w:rsidR="00042096" w:rsidRPr="00124DB1">
        <w:t xml:space="preserve">] </w:t>
      </w:r>
      <w:r w:rsidRPr="00124DB1">
        <w:t>“the right to equality or non-discrimination is, in its very essence, comparative”:</w:t>
      </w:r>
      <w:r w:rsidR="00AD32E1" w:rsidRPr="00124DB1">
        <w:rPr>
          <w:rStyle w:val="Appelnotedebasdep"/>
        </w:rPr>
        <w:footnoteReference w:id="140"/>
      </w:r>
    </w:p>
    <w:p w14:paraId="58D9437E" w14:textId="77777777" w:rsidR="00507A20" w:rsidRPr="00124DB1" w:rsidRDefault="00F4488F" w:rsidP="00507A20">
      <w:pPr>
        <w:pStyle w:val="Citationenretrait"/>
        <w:rPr>
          <w:lang w:val="en-CA"/>
        </w:rPr>
      </w:pPr>
      <w:r w:rsidRPr="00124DB1">
        <w:rPr>
          <w:lang w:val="en-CA"/>
        </w:rPr>
        <w:t xml:space="preserve">[141] </w:t>
      </w:r>
      <w:proofErr w:type="gramStart"/>
      <w:r w:rsidRPr="00124DB1">
        <w:rPr>
          <w:lang w:val="en-CA"/>
        </w:rPr>
        <w:t>The</w:t>
      </w:r>
      <w:proofErr w:type="gramEnd"/>
      <w:r w:rsidRPr="00124DB1">
        <w:rPr>
          <w:lang w:val="en-CA"/>
        </w:rPr>
        <w:t xml:space="preserve"> first element to establish in discrimination cases is </w:t>
      </w:r>
      <w:r w:rsidRPr="00124DB1">
        <w:rPr>
          <w:b/>
          <w:lang w:val="en-CA"/>
        </w:rPr>
        <w:t>differential treatment</w:t>
      </w:r>
      <w:r w:rsidRPr="00124DB1">
        <w:rPr>
          <w:lang w:val="en-CA"/>
        </w:rPr>
        <w:t>.</w:t>
      </w:r>
      <w:r w:rsidR="00AD32E1" w:rsidRPr="00124DB1">
        <w:rPr>
          <w:lang w:val="en-CA"/>
        </w:rPr>
        <w:t xml:space="preserve"> </w:t>
      </w:r>
      <w:r w:rsidRPr="00124DB1">
        <w:rPr>
          <w:lang w:val="en-CA"/>
        </w:rPr>
        <w:t xml:space="preserve">With respect to racial profiling, the plaintiff must prove that the treatment to which </w:t>
      </w:r>
      <w:proofErr w:type="gramStart"/>
      <w:r w:rsidRPr="00124DB1">
        <w:rPr>
          <w:lang w:val="en-CA"/>
        </w:rPr>
        <w:t>they were subjected by a person in authority</w:t>
      </w:r>
      <w:proofErr w:type="gramEnd"/>
      <w:r w:rsidRPr="00124DB1">
        <w:rPr>
          <w:lang w:val="en-CA"/>
        </w:rPr>
        <w:t xml:space="preserve"> is unusual.</w:t>
      </w:r>
      <w:r w:rsidR="00AD32E1" w:rsidRPr="00124DB1">
        <w:rPr>
          <w:lang w:val="en-CA"/>
        </w:rPr>
        <w:t xml:space="preserve"> </w:t>
      </w:r>
      <w:r w:rsidRPr="00124DB1">
        <w:rPr>
          <w:lang w:val="en-CA"/>
        </w:rPr>
        <w:t xml:space="preserve">In other words, was there, </w:t>
      </w:r>
      <w:proofErr w:type="gramStart"/>
      <w:r w:rsidRPr="00124DB1">
        <w:rPr>
          <w:lang w:val="en-CA"/>
        </w:rPr>
        <w:t>according to the – generally circumstantial – evidence available, improper behaviour by a police officer as compared with usual practices in similar circumstances</w:t>
      </w:r>
      <w:proofErr w:type="gramEnd"/>
      <w:r w:rsidRPr="00124DB1">
        <w:rPr>
          <w:lang w:val="en-CA"/>
        </w:rPr>
        <w:t>?</w:t>
      </w:r>
      <w:r w:rsidR="00AD32E1" w:rsidRPr="00124DB1">
        <w:rPr>
          <w:lang w:val="en-CA"/>
        </w:rPr>
        <w:t xml:space="preserve"> </w:t>
      </w:r>
      <w:r w:rsidRPr="00124DB1">
        <w:rPr>
          <w:lang w:val="en-CA"/>
        </w:rPr>
        <w:t>Would the officer have acted differently if the complainant had not been a member, or a presumed member, or a group protected by the Charter”?</w:t>
      </w:r>
      <w:r w:rsidR="00AD32E1" w:rsidRPr="00124DB1">
        <w:rPr>
          <w:rStyle w:val="Appelnotedebasdep"/>
          <w:szCs w:val="22"/>
          <w:lang w:val="en-CA"/>
        </w:rPr>
        <w:footnoteReference w:id="141"/>
      </w:r>
      <w:r w:rsidR="00AD32E1" w:rsidRPr="00124DB1">
        <w:rPr>
          <w:lang w:val="en-CA"/>
        </w:rPr>
        <w:t xml:space="preserve"> </w:t>
      </w:r>
    </w:p>
    <w:p w14:paraId="21FF213A" w14:textId="77777777" w:rsidR="00507A20" w:rsidRPr="00124DB1" w:rsidRDefault="00A7388A" w:rsidP="00507A20">
      <w:pPr>
        <w:pStyle w:val="Citationenretrait"/>
        <w:jc w:val="right"/>
        <w:rPr>
          <w:sz w:val="20"/>
          <w:lang w:val="en-CA"/>
        </w:rPr>
      </w:pPr>
      <w:r w:rsidRPr="00124DB1">
        <w:rPr>
          <w:sz w:val="20"/>
          <w:lang w:val="en-CA"/>
        </w:rPr>
        <w:t>[Citations omitted.]</w:t>
      </w:r>
    </w:p>
    <w:p w14:paraId="53AA697D" w14:textId="77777777" w:rsidR="00507A20" w:rsidRPr="00124DB1" w:rsidRDefault="00507A20" w:rsidP="00507A20">
      <w:pPr>
        <w:pStyle w:val="Paragraphe"/>
        <w:numPr>
          <w:ilvl w:val="0"/>
          <w:numId w:val="0"/>
        </w:numPr>
        <w:tabs>
          <w:tab w:val="clear" w:pos="567"/>
        </w:tabs>
        <w:spacing w:before="0" w:after="0" w:line="240" w:lineRule="auto"/>
        <w:ind w:left="709" w:right="714"/>
        <w:jc w:val="right"/>
        <w:rPr>
          <w:sz w:val="20"/>
        </w:rPr>
      </w:pPr>
    </w:p>
    <w:p w14:paraId="4B9DBBD3" w14:textId="1DD9CF64" w:rsidR="00507A20" w:rsidRPr="00124DB1" w:rsidRDefault="00F4488F" w:rsidP="00507A20">
      <w:pPr>
        <w:pStyle w:val="Paragraphe"/>
        <w:tabs>
          <w:tab w:val="clear" w:pos="567"/>
        </w:tabs>
      </w:pPr>
      <w:r w:rsidRPr="00124DB1">
        <w:t xml:space="preserve">To be clear, to determine whether Mr. </w:t>
      </w:r>
      <w:proofErr w:type="spellStart"/>
      <w:r w:rsidRPr="00124DB1">
        <w:t>Bazelais</w:t>
      </w:r>
      <w:proofErr w:type="spellEnd"/>
      <w:r w:rsidRPr="00124DB1">
        <w:t xml:space="preserve"> was the subject of differential treatment by the officers of the </w:t>
      </w:r>
      <w:proofErr w:type="spellStart"/>
      <w:r w:rsidR="00452447" w:rsidRPr="00124DB1">
        <w:t>É</w:t>
      </w:r>
      <w:r w:rsidRPr="00124DB1">
        <w:t>clipse</w:t>
      </w:r>
      <w:proofErr w:type="spellEnd"/>
      <w:r w:rsidRPr="00124DB1">
        <w:t xml:space="preserve"> unit, it is necessary to ask them </w:t>
      </w:r>
      <w:r w:rsidR="00364DE9" w:rsidRPr="00124DB1">
        <w:t>whether</w:t>
      </w:r>
      <w:r w:rsidRPr="00124DB1">
        <w:t xml:space="preserve"> they would have acted differently </w:t>
      </w:r>
      <w:r w:rsidR="00364DE9" w:rsidRPr="00124DB1">
        <w:t>toward</w:t>
      </w:r>
      <w:r w:rsidRPr="00124DB1">
        <w:t xml:space="preserve"> him had he been a white man.</w:t>
      </w:r>
    </w:p>
    <w:p w14:paraId="7D3B5834" w14:textId="1F786714" w:rsidR="00507A20" w:rsidRPr="00124DB1" w:rsidRDefault="00F4488F" w:rsidP="00507A20">
      <w:pPr>
        <w:pStyle w:val="Paragraphe"/>
        <w:tabs>
          <w:tab w:val="clear" w:pos="567"/>
        </w:tabs>
      </w:pPr>
      <w:r w:rsidRPr="00124DB1">
        <w:t xml:space="preserve">As the Tribunal pointed out in </w:t>
      </w:r>
      <w:proofErr w:type="spellStart"/>
      <w:r w:rsidRPr="00124DB1">
        <w:rPr>
          <w:i/>
        </w:rPr>
        <w:t>DeBellefeuille</w:t>
      </w:r>
      <w:proofErr w:type="spellEnd"/>
      <w:r w:rsidRPr="00124DB1">
        <w:t>,</w:t>
      </w:r>
      <w:r w:rsidR="006C3F2A" w:rsidRPr="00124DB1">
        <w:t xml:space="preserve"> [</w:t>
      </w:r>
      <w:r w:rsidR="006C3F2A" w:rsidRPr="00124DB1">
        <w:rPr>
          <w:smallCaps/>
        </w:rPr>
        <w:t>translation</w:t>
      </w:r>
      <w:r w:rsidR="006C3F2A" w:rsidRPr="00124DB1">
        <w:t>]</w:t>
      </w:r>
      <w:r w:rsidRPr="00124DB1">
        <w:t xml:space="preserve"> “the question is not whether the police officers’ actions were reasonable, but rather whether they were unusual and discriminatory within the meaning of section 10 of the </w:t>
      </w:r>
      <w:r w:rsidRPr="00555D53">
        <w:rPr>
          <w:i/>
        </w:rPr>
        <w:t>Charter</w:t>
      </w:r>
      <w:r w:rsidRPr="00124DB1">
        <w:t>”.</w:t>
      </w:r>
      <w:r w:rsidR="00AD32E1" w:rsidRPr="00124DB1">
        <w:rPr>
          <w:rStyle w:val="Appelnotedebasdep"/>
        </w:rPr>
        <w:footnoteReference w:id="142"/>
      </w:r>
      <w:r w:rsidR="00AD32E1" w:rsidRPr="00124DB1">
        <w:t xml:space="preserve"> </w:t>
      </w:r>
      <w:r w:rsidRPr="00124DB1">
        <w:t xml:space="preserve">The overall </w:t>
      </w:r>
      <w:r w:rsidRPr="00124DB1">
        <w:lastRenderedPageBreak/>
        <w:t xml:space="preserve">police intervention </w:t>
      </w:r>
      <w:proofErr w:type="gramStart"/>
      <w:r w:rsidRPr="00124DB1">
        <w:t>must be analyzed</w:t>
      </w:r>
      <w:proofErr w:type="gramEnd"/>
      <w:r w:rsidRPr="00124DB1">
        <w:t xml:space="preserve"> because</w:t>
      </w:r>
      <w:r w:rsidR="006C3F2A" w:rsidRPr="00124DB1">
        <w:t xml:space="preserve"> even</w:t>
      </w:r>
      <w:r w:rsidRPr="00124DB1">
        <w:t xml:space="preserve"> the </w:t>
      </w:r>
      <w:r w:rsidR="00452447" w:rsidRPr="00124DB1">
        <w:t>slightest</w:t>
      </w:r>
      <w:r w:rsidRPr="00124DB1">
        <w:t xml:space="preserve"> discriminatory consideration is likely to tarnish the intervention irremediably.</w:t>
      </w:r>
      <w:r w:rsidR="00AD32E1" w:rsidRPr="00124DB1">
        <w:rPr>
          <w:rStyle w:val="Appelnotedebasdep"/>
        </w:rPr>
        <w:footnoteReference w:id="143"/>
      </w:r>
    </w:p>
    <w:p w14:paraId="68B3B8D3" w14:textId="256868CF" w:rsidR="00507A20" w:rsidRPr="00124DB1" w:rsidRDefault="00F4488F" w:rsidP="00507A20">
      <w:pPr>
        <w:pStyle w:val="Paragraphe"/>
        <w:tabs>
          <w:tab w:val="clear" w:pos="567"/>
        </w:tabs>
      </w:pPr>
      <w:r w:rsidRPr="00124DB1">
        <w:t>The factual and circumstantial evidence in this case lead</w:t>
      </w:r>
      <w:r w:rsidR="006C3F2A" w:rsidRPr="00124DB1">
        <w:t>s</w:t>
      </w:r>
      <w:r w:rsidRPr="00124DB1">
        <w:t xml:space="preserve"> the Tribunal to conclude that Mr. </w:t>
      </w:r>
      <w:proofErr w:type="spellStart"/>
      <w:r w:rsidRPr="00124DB1">
        <w:t>Bazelais</w:t>
      </w:r>
      <w:proofErr w:type="spellEnd"/>
      <w:r w:rsidRPr="00124DB1">
        <w:t xml:space="preserve"> was not the subject of discriminatory treatment.</w:t>
      </w:r>
    </w:p>
    <w:p w14:paraId="51C67342" w14:textId="77777777" w:rsidR="00507A20" w:rsidRPr="00124DB1" w:rsidRDefault="00F4488F" w:rsidP="00507A20">
      <w:pPr>
        <w:pStyle w:val="Titre3"/>
        <w:rPr>
          <w:lang w:val="en-CA"/>
        </w:rPr>
      </w:pPr>
      <w:r w:rsidRPr="00124DB1">
        <w:rPr>
          <w:lang w:val="en-CA"/>
        </w:rPr>
        <w:t>Report and questioning</w:t>
      </w:r>
    </w:p>
    <w:p w14:paraId="45408770" w14:textId="130F6AEE" w:rsidR="00507A20" w:rsidRPr="00124DB1" w:rsidRDefault="00F4488F" w:rsidP="00507A20">
      <w:pPr>
        <w:pStyle w:val="Paragraphe"/>
        <w:tabs>
          <w:tab w:val="clear" w:pos="567"/>
        </w:tabs>
      </w:pPr>
      <w:r w:rsidRPr="00124DB1">
        <w:t xml:space="preserve">It was based on a report made by the </w:t>
      </w:r>
      <w:proofErr w:type="gramStart"/>
      <w:r w:rsidRPr="00124DB1">
        <w:t>doorman</w:t>
      </w:r>
      <w:proofErr w:type="gramEnd"/>
      <w:r w:rsidRPr="00124DB1">
        <w:t xml:space="preserve"> of Thursday’s that </w:t>
      </w:r>
      <w:r w:rsidR="006C3F2A" w:rsidRPr="00124DB1">
        <w:t>Sergeant</w:t>
      </w:r>
      <w:r w:rsidRPr="00124DB1">
        <w:t xml:space="preserve"> Mathurin mobilized the members of the </w:t>
      </w:r>
      <w:proofErr w:type="spellStart"/>
      <w:r w:rsidR="000974A6" w:rsidRPr="00124DB1">
        <w:t>É</w:t>
      </w:r>
      <w:r w:rsidRPr="00124DB1">
        <w:t>clipse</w:t>
      </w:r>
      <w:proofErr w:type="spellEnd"/>
      <w:r w:rsidRPr="00124DB1">
        <w:t xml:space="preserve"> unit.</w:t>
      </w:r>
      <w:r w:rsidR="00AD32E1" w:rsidRPr="00124DB1">
        <w:t xml:space="preserve"> </w:t>
      </w:r>
    </w:p>
    <w:p w14:paraId="5798B312" w14:textId="77777777" w:rsidR="00507A20" w:rsidRPr="00124DB1" w:rsidRDefault="00F4488F" w:rsidP="00507A20">
      <w:pPr>
        <w:pStyle w:val="Paragraphe"/>
        <w:tabs>
          <w:tab w:val="clear" w:pos="567"/>
        </w:tabs>
      </w:pPr>
      <w:r w:rsidRPr="00124DB1">
        <w:t xml:space="preserve">He knows this </w:t>
      </w:r>
      <w:proofErr w:type="gramStart"/>
      <w:r w:rsidRPr="00124DB1">
        <w:t>doorman</w:t>
      </w:r>
      <w:proofErr w:type="gramEnd"/>
      <w:r w:rsidRPr="00124DB1">
        <w:t xml:space="preserve"> and considers him to be a credible person.</w:t>
      </w:r>
      <w:r w:rsidR="00AD32E1" w:rsidRPr="00124DB1">
        <w:t xml:space="preserve"> </w:t>
      </w:r>
      <w:r w:rsidRPr="00124DB1">
        <w:t xml:space="preserve">There is a relationship of trust between the two men, such that the </w:t>
      </w:r>
      <w:proofErr w:type="gramStart"/>
      <w:r w:rsidRPr="00124DB1">
        <w:t>doorman</w:t>
      </w:r>
      <w:proofErr w:type="gramEnd"/>
      <w:r w:rsidRPr="00124DB1">
        <w:t xml:space="preserve"> has his direct number in case of emergency.</w:t>
      </w:r>
    </w:p>
    <w:p w14:paraId="181A9C26" w14:textId="048281EE" w:rsidR="00507A20" w:rsidRPr="00124DB1" w:rsidRDefault="006C3F2A" w:rsidP="00507A20">
      <w:pPr>
        <w:pStyle w:val="Paragraphe"/>
        <w:tabs>
          <w:tab w:val="clear" w:pos="567"/>
        </w:tabs>
      </w:pPr>
      <w:r w:rsidRPr="00124DB1">
        <w:t>Sergeant</w:t>
      </w:r>
      <w:r w:rsidR="00F4488F" w:rsidRPr="00124DB1">
        <w:t xml:space="preserve"> Mathurin heard the fear in the </w:t>
      </w:r>
      <w:proofErr w:type="gramStart"/>
      <w:r w:rsidR="00F4488F" w:rsidRPr="00124DB1">
        <w:t>doorman’s</w:t>
      </w:r>
      <w:proofErr w:type="gramEnd"/>
      <w:r w:rsidR="00F4488F" w:rsidRPr="00124DB1">
        <w:t xml:space="preserve"> voice.</w:t>
      </w:r>
      <w:r w:rsidR="00AD32E1" w:rsidRPr="00124DB1">
        <w:t xml:space="preserve"> </w:t>
      </w:r>
    </w:p>
    <w:p w14:paraId="4FE512C7" w14:textId="439044C6" w:rsidR="00507A20" w:rsidRPr="00124DB1" w:rsidRDefault="006C3F2A" w:rsidP="00507A20">
      <w:pPr>
        <w:pStyle w:val="Paragraphe"/>
        <w:tabs>
          <w:tab w:val="clear" w:pos="567"/>
        </w:tabs>
      </w:pPr>
      <w:r w:rsidRPr="00124DB1">
        <w:t>A few months earlier, t</w:t>
      </w:r>
      <w:r w:rsidR="00F4488F" w:rsidRPr="00124DB1">
        <w:t xml:space="preserve">he </w:t>
      </w:r>
      <w:proofErr w:type="gramStart"/>
      <w:r w:rsidR="00F4488F" w:rsidRPr="00124DB1">
        <w:t>doorman</w:t>
      </w:r>
      <w:proofErr w:type="gramEnd"/>
      <w:r w:rsidR="00F4488F" w:rsidRPr="00124DB1">
        <w:t xml:space="preserve"> </w:t>
      </w:r>
      <w:r w:rsidRPr="00124DB1">
        <w:t>had been</w:t>
      </w:r>
      <w:r w:rsidR="00F4488F" w:rsidRPr="00124DB1">
        <w:t xml:space="preserve"> the victim of a knife attack in which he was seriously injured</w:t>
      </w:r>
      <w:r w:rsidR="00930795" w:rsidRPr="00124DB1">
        <w:t>,</w:t>
      </w:r>
      <w:r w:rsidR="00F4488F" w:rsidRPr="00124DB1">
        <w:t xml:space="preserve"> and </w:t>
      </w:r>
      <w:r w:rsidR="00930795" w:rsidRPr="00124DB1">
        <w:t xml:space="preserve">he </w:t>
      </w:r>
      <w:r w:rsidR="00F4488F" w:rsidRPr="00124DB1">
        <w:t>was under the impression that three men who had just entered the bar had come to finish him off.</w:t>
      </w:r>
    </w:p>
    <w:p w14:paraId="220E463E" w14:textId="28441DAF" w:rsidR="00507A20" w:rsidRPr="00124DB1" w:rsidRDefault="00F4488F" w:rsidP="00507A20">
      <w:pPr>
        <w:pStyle w:val="Paragraphe"/>
        <w:tabs>
          <w:tab w:val="clear" w:pos="567"/>
        </w:tabs>
      </w:pPr>
      <w:r w:rsidRPr="00124DB1">
        <w:t xml:space="preserve">When he got there with his team, </w:t>
      </w:r>
      <w:r w:rsidR="006C3F2A" w:rsidRPr="00124DB1">
        <w:t>Sergeant</w:t>
      </w:r>
      <w:r w:rsidRPr="00124DB1">
        <w:t xml:space="preserve"> Mathurin </w:t>
      </w:r>
      <w:r w:rsidR="006C3F2A" w:rsidRPr="00124DB1">
        <w:t>took</w:t>
      </w:r>
      <w:r w:rsidRPr="00124DB1">
        <w:t xml:space="preserve"> the </w:t>
      </w:r>
      <w:proofErr w:type="gramStart"/>
      <w:r w:rsidRPr="00124DB1">
        <w:t>doorman</w:t>
      </w:r>
      <w:proofErr w:type="gramEnd"/>
      <w:r w:rsidRPr="00124DB1">
        <w:t xml:space="preserve"> </w:t>
      </w:r>
      <w:r w:rsidR="00930795" w:rsidRPr="00124DB1">
        <w:t>a</w:t>
      </w:r>
      <w:r w:rsidRPr="00124DB1">
        <w:t xml:space="preserve">side </w:t>
      </w:r>
      <w:r w:rsidR="006C3F2A" w:rsidRPr="00124DB1">
        <w:t>and</w:t>
      </w:r>
      <w:r w:rsidRPr="00124DB1">
        <w:t xml:space="preserve"> saw that he was almost in tears, afraid</w:t>
      </w:r>
      <w:r w:rsidR="00930795" w:rsidRPr="00124DB1">
        <w:t>,</w:t>
      </w:r>
      <w:r w:rsidRPr="00124DB1">
        <w:t xml:space="preserve"> and shaking.</w:t>
      </w:r>
      <w:r w:rsidR="00AD32E1" w:rsidRPr="00124DB1">
        <w:t xml:space="preserve"> </w:t>
      </w:r>
      <w:r w:rsidRPr="00124DB1">
        <w:t xml:space="preserve">He </w:t>
      </w:r>
      <w:r w:rsidR="00930795" w:rsidRPr="00124DB1">
        <w:t>obtained</w:t>
      </w:r>
      <w:r w:rsidRPr="00124DB1">
        <w:t xml:space="preserve"> a brief description of the individuals and directions on exactly </w:t>
      </w:r>
      <w:r w:rsidR="00930795" w:rsidRPr="00124DB1">
        <w:t xml:space="preserve">where </w:t>
      </w:r>
      <w:r w:rsidRPr="00124DB1">
        <w:t>they were sitting in the establishment.</w:t>
      </w:r>
      <w:r w:rsidR="00AD32E1" w:rsidRPr="00124DB1">
        <w:t xml:space="preserve"> </w:t>
      </w:r>
      <w:r w:rsidRPr="00124DB1">
        <w:t xml:space="preserve">From the bar’s entry hallway, he glimpsed Mr. </w:t>
      </w:r>
      <w:proofErr w:type="spellStart"/>
      <w:r w:rsidRPr="00124DB1">
        <w:t>Bazelais</w:t>
      </w:r>
      <w:proofErr w:type="spellEnd"/>
      <w:r w:rsidRPr="00124DB1">
        <w:t>.</w:t>
      </w:r>
      <w:r w:rsidR="00AD32E1" w:rsidRPr="00124DB1">
        <w:rPr>
          <w:rStyle w:val="Appelnotedebasdep"/>
        </w:rPr>
        <w:footnoteReference w:id="144"/>
      </w:r>
      <w:r w:rsidRPr="00124DB1">
        <w:t xml:space="preserve"> </w:t>
      </w:r>
    </w:p>
    <w:p w14:paraId="18A98C39" w14:textId="77777777" w:rsidR="00507A20" w:rsidRPr="00124DB1" w:rsidRDefault="00F4488F" w:rsidP="00507A20">
      <w:pPr>
        <w:pStyle w:val="Paragraphe"/>
        <w:tabs>
          <w:tab w:val="clear" w:pos="567"/>
        </w:tabs>
      </w:pPr>
      <w:r w:rsidRPr="00124DB1">
        <w:t xml:space="preserve">The order </w:t>
      </w:r>
      <w:proofErr w:type="gramStart"/>
      <w:r w:rsidRPr="00124DB1">
        <w:t>was given</w:t>
      </w:r>
      <w:proofErr w:type="gramEnd"/>
      <w:r w:rsidRPr="00124DB1">
        <w:t xml:space="preserve"> to four police officers to go inside to intervene with Mr. </w:t>
      </w:r>
      <w:proofErr w:type="spellStart"/>
      <w:r w:rsidRPr="00124DB1">
        <w:t>Bazelais</w:t>
      </w:r>
      <w:proofErr w:type="spellEnd"/>
      <w:r w:rsidRPr="00124DB1">
        <w:t xml:space="preserve"> and his brother-in-law, Mr. Bernard.</w:t>
      </w:r>
    </w:p>
    <w:p w14:paraId="3B751610" w14:textId="72EA8092" w:rsidR="00507A20" w:rsidRPr="00124DB1" w:rsidRDefault="00F4488F" w:rsidP="00507A20">
      <w:pPr>
        <w:pStyle w:val="Paragraphe"/>
        <w:tabs>
          <w:tab w:val="clear" w:pos="567"/>
        </w:tabs>
      </w:pPr>
      <w:r w:rsidRPr="00124DB1">
        <w:t xml:space="preserve">According to the very definition of “racial profiling”, </w:t>
      </w:r>
      <w:r w:rsidR="001D26CE" w:rsidRPr="00124DB1">
        <w:t>it occurs</w:t>
      </w:r>
      <w:r w:rsidRPr="00124DB1">
        <w:t xml:space="preserve"> when police officers intervene with a black person “without </w:t>
      </w:r>
      <w:r w:rsidR="001D26CE" w:rsidRPr="00124DB1">
        <w:t>factual grounds</w:t>
      </w:r>
      <w:r w:rsidRPr="00124DB1">
        <w:t xml:space="preserve"> or reasonable suspicion”, thereby exposing him “to differential treatment or scrutiny”.</w:t>
      </w:r>
      <w:r w:rsidR="00AD32E1" w:rsidRPr="00124DB1">
        <w:rPr>
          <w:rStyle w:val="Appelnotedebasdep"/>
        </w:rPr>
        <w:footnoteReference w:id="145"/>
      </w:r>
      <w:r w:rsidRPr="00124DB1">
        <w:t xml:space="preserve"> </w:t>
      </w:r>
    </w:p>
    <w:p w14:paraId="15DC35DD" w14:textId="1381E8DF" w:rsidR="00507A20" w:rsidRPr="00124DB1" w:rsidRDefault="00F4488F" w:rsidP="00507A20">
      <w:pPr>
        <w:pStyle w:val="Paragraphe"/>
      </w:pPr>
      <w:r w:rsidRPr="00124DB1">
        <w:rPr>
          <w:szCs w:val="24"/>
        </w:rPr>
        <w:t>Yet, “</w:t>
      </w:r>
      <w:r w:rsidR="00BF74C9" w:rsidRPr="00124DB1">
        <w:rPr>
          <w:szCs w:val="24"/>
        </w:rPr>
        <w:t>‘[s]</w:t>
      </w:r>
      <w:proofErr w:type="spellStart"/>
      <w:r w:rsidRPr="00124DB1">
        <w:rPr>
          <w:szCs w:val="24"/>
        </w:rPr>
        <w:t>uspicion</w:t>
      </w:r>
      <w:proofErr w:type="spellEnd"/>
      <w:r w:rsidRPr="00124DB1">
        <w:rPr>
          <w:szCs w:val="24"/>
        </w:rPr>
        <w:t xml:space="preserve">’ is an </w:t>
      </w:r>
      <w:r w:rsidRPr="00555D53">
        <w:rPr>
          <w:i/>
          <w:szCs w:val="24"/>
        </w:rPr>
        <w:t>expectation</w:t>
      </w:r>
      <w:r w:rsidRPr="00124DB1">
        <w:rPr>
          <w:szCs w:val="24"/>
        </w:rPr>
        <w:t xml:space="preserve"> that the targeted individual is possibly engaged in some criminal activity.”</w:t>
      </w:r>
      <w:r w:rsidR="00AD32E1" w:rsidRPr="00124DB1">
        <w:rPr>
          <w:rStyle w:val="Appelnotedebasdep"/>
        </w:rPr>
        <w:footnoteReference w:id="146"/>
      </w:r>
      <w:r w:rsidR="00AD32E1" w:rsidRPr="00124DB1">
        <w:t xml:space="preserve"> </w:t>
      </w:r>
      <w:r w:rsidR="00302E26" w:rsidRPr="00124DB1">
        <w:t xml:space="preserve">If </w:t>
      </w:r>
      <w:r w:rsidR="00BF74C9" w:rsidRPr="00124DB1">
        <w:t>there</w:t>
      </w:r>
      <w:r w:rsidR="00302E26" w:rsidRPr="00124DB1">
        <w:t xml:space="preserve"> </w:t>
      </w:r>
      <w:r w:rsidR="006C3F2A" w:rsidRPr="00124DB1">
        <w:t>is</w:t>
      </w:r>
      <w:r w:rsidR="00302E26" w:rsidRPr="00124DB1">
        <w:t xml:space="preserve"> more than “mere suspicion”, the “reasonable </w:t>
      </w:r>
      <w:r w:rsidR="00302E26" w:rsidRPr="00124DB1">
        <w:lastRenderedPageBreak/>
        <w:t>suspicion” does not correspond to a “belief based upon reasonable and probable grounds”.</w:t>
      </w:r>
      <w:r w:rsidR="00AD32E1" w:rsidRPr="00124DB1">
        <w:rPr>
          <w:rStyle w:val="Appelnotedebasdep"/>
        </w:rPr>
        <w:footnoteReference w:id="147"/>
      </w:r>
      <w:r w:rsidR="00AD32E1" w:rsidRPr="00124DB1">
        <w:t xml:space="preserve"> </w:t>
      </w:r>
    </w:p>
    <w:p w14:paraId="3C0B0ECA" w14:textId="25F65272" w:rsidR="00507A20" w:rsidRPr="00124DB1" w:rsidRDefault="00E43508" w:rsidP="00507A20">
      <w:pPr>
        <w:pStyle w:val="Paragraphe"/>
        <w:tabs>
          <w:tab w:val="clear" w:pos="567"/>
        </w:tabs>
      </w:pPr>
      <w:r w:rsidRPr="00124DB1">
        <w:t xml:space="preserve">The “reasonable suspicion” may indeed rest on a mere possibility </w:t>
      </w:r>
      <w:r w:rsidR="00B01D0A" w:rsidRPr="00124DB1">
        <w:t>of criminal acts.</w:t>
      </w:r>
      <w:r w:rsidRPr="00124DB1">
        <w:t xml:space="preserve"> “</w:t>
      </w:r>
      <w:r w:rsidR="00B01D0A" w:rsidRPr="00124DB1">
        <w:t>[T]</w:t>
      </w:r>
      <w:r w:rsidRPr="00124DB1">
        <w:t>he reasonable suspicion standard requires only the possibility, rather than probability, of criminal activity”.</w:t>
      </w:r>
      <w:r w:rsidR="00AD32E1" w:rsidRPr="00124DB1">
        <w:rPr>
          <w:rStyle w:val="Appelnotedebasdep"/>
        </w:rPr>
        <w:footnoteReference w:id="148"/>
      </w:r>
      <w:r w:rsidR="00AD32E1" w:rsidRPr="00124DB1">
        <w:t xml:space="preserve"> </w:t>
      </w:r>
      <w:r w:rsidRPr="00124DB1">
        <w:t xml:space="preserve">That is </w:t>
      </w:r>
      <w:r w:rsidR="006C3F2A" w:rsidRPr="00124DB1">
        <w:t>why</w:t>
      </w:r>
      <w:r w:rsidRPr="00124DB1">
        <w:t xml:space="preserve"> the expression </w:t>
      </w:r>
      <w:r w:rsidR="006C3F2A" w:rsidRPr="00124DB1">
        <w:t>[</w:t>
      </w:r>
      <w:r w:rsidR="006C3F2A" w:rsidRPr="00124DB1">
        <w:rPr>
          <w:smallCaps/>
        </w:rPr>
        <w:t>translation</w:t>
      </w:r>
      <w:r w:rsidR="006C3F2A" w:rsidRPr="00124DB1">
        <w:t xml:space="preserve">] </w:t>
      </w:r>
      <w:r w:rsidRPr="00124DB1">
        <w:t xml:space="preserve">“reasonable cause to suspect”, in comparison </w:t>
      </w:r>
      <w:r w:rsidR="00315F9F" w:rsidRPr="00124DB1">
        <w:t>with</w:t>
      </w:r>
      <w:r w:rsidRPr="00124DB1">
        <w:t xml:space="preserve"> </w:t>
      </w:r>
      <w:r w:rsidR="006C3F2A" w:rsidRPr="00124DB1">
        <w:t>[</w:t>
      </w:r>
      <w:r w:rsidR="006C3F2A" w:rsidRPr="00124DB1">
        <w:rPr>
          <w:smallCaps/>
        </w:rPr>
        <w:t>translation</w:t>
      </w:r>
      <w:r w:rsidR="006C3F2A" w:rsidRPr="00124DB1">
        <w:t xml:space="preserve">] </w:t>
      </w:r>
      <w:r w:rsidRPr="00124DB1">
        <w:t xml:space="preserve">“reasonable grounds to believe”, is a </w:t>
      </w:r>
      <w:r w:rsidR="006C3F2A" w:rsidRPr="00124DB1">
        <w:t>[</w:t>
      </w:r>
      <w:r w:rsidR="006C3F2A" w:rsidRPr="00124DB1">
        <w:rPr>
          <w:smallCaps/>
        </w:rPr>
        <w:t>translation</w:t>
      </w:r>
      <w:r w:rsidR="006C3F2A" w:rsidRPr="00124DB1">
        <w:t xml:space="preserve">] </w:t>
      </w:r>
      <w:r w:rsidRPr="00124DB1">
        <w:t>“less exacting legal standard”.</w:t>
      </w:r>
      <w:r w:rsidR="00AD32E1" w:rsidRPr="00124DB1">
        <w:rPr>
          <w:rStyle w:val="Appelnotedebasdep"/>
        </w:rPr>
        <w:footnoteReference w:id="149"/>
      </w:r>
    </w:p>
    <w:p w14:paraId="0F433B5F" w14:textId="0473344C" w:rsidR="00507A20" w:rsidRPr="00124DB1" w:rsidRDefault="00E43508" w:rsidP="00507A20">
      <w:pPr>
        <w:pStyle w:val="Paragraphe"/>
        <w:tabs>
          <w:tab w:val="clear" w:pos="567"/>
        </w:tabs>
      </w:pPr>
      <w:r w:rsidRPr="00124DB1">
        <w:t xml:space="preserve">For the Tribunal, the decision to </w:t>
      </w:r>
      <w:r w:rsidR="006C3F2A" w:rsidRPr="00124DB1">
        <w:t>question</w:t>
      </w:r>
      <w:r w:rsidRPr="00124DB1">
        <w:t xml:space="preserve"> Mr. </w:t>
      </w:r>
      <w:proofErr w:type="spellStart"/>
      <w:r w:rsidRPr="00124DB1">
        <w:t>Bazelais</w:t>
      </w:r>
      <w:proofErr w:type="spellEnd"/>
      <w:r w:rsidRPr="00124DB1">
        <w:t xml:space="preserve"> </w:t>
      </w:r>
      <w:proofErr w:type="gramStart"/>
      <w:r w:rsidRPr="00124DB1">
        <w:t>was based</w:t>
      </w:r>
      <w:proofErr w:type="gramEnd"/>
      <w:r w:rsidRPr="00124DB1">
        <w:t xml:space="preserve"> at least on a “reasonable suspicion” in the circumstances.</w:t>
      </w:r>
    </w:p>
    <w:p w14:paraId="214952C7" w14:textId="77777777" w:rsidR="00507A20" w:rsidRPr="00124DB1" w:rsidRDefault="00E43508" w:rsidP="00507A20">
      <w:pPr>
        <w:pStyle w:val="Titre3"/>
        <w:rPr>
          <w:lang w:val="en-CA"/>
        </w:rPr>
      </w:pPr>
      <w:r w:rsidRPr="00124DB1">
        <w:rPr>
          <w:lang w:val="en-CA"/>
        </w:rPr>
        <w:t>Identification and summary pat-down search</w:t>
      </w:r>
    </w:p>
    <w:p w14:paraId="14F956AA" w14:textId="56B77863" w:rsidR="00507A20" w:rsidRPr="00124DB1" w:rsidRDefault="0080483D" w:rsidP="00507A20">
      <w:pPr>
        <w:pStyle w:val="Paragraphe"/>
        <w:tabs>
          <w:tab w:val="clear" w:pos="567"/>
        </w:tabs>
      </w:pPr>
      <w:r w:rsidRPr="00124DB1">
        <w:t xml:space="preserve">When they reached Mr. </w:t>
      </w:r>
      <w:proofErr w:type="spellStart"/>
      <w:r w:rsidRPr="00124DB1">
        <w:t>Bazelais</w:t>
      </w:r>
      <w:proofErr w:type="spellEnd"/>
      <w:r w:rsidRPr="00124DB1">
        <w:t>, the officers asked him to identify himself.</w:t>
      </w:r>
      <w:r w:rsidR="00AD32E1" w:rsidRPr="00124DB1">
        <w:t xml:space="preserve"> </w:t>
      </w:r>
      <w:r w:rsidRPr="00124DB1">
        <w:t>He got up to take his wallet from his back pant</w:t>
      </w:r>
      <w:r w:rsidR="00AA1B88" w:rsidRPr="00124DB1">
        <w:t>s</w:t>
      </w:r>
      <w:r w:rsidRPr="00124DB1">
        <w:t xml:space="preserve"> pocket.</w:t>
      </w:r>
      <w:r w:rsidR="00AD32E1" w:rsidRPr="00124DB1">
        <w:t xml:space="preserve"> </w:t>
      </w:r>
      <w:r w:rsidRPr="00124DB1">
        <w:t>A police officer quickly took it.</w:t>
      </w:r>
    </w:p>
    <w:p w14:paraId="3C7E7E57" w14:textId="7DB0ABAE" w:rsidR="00507A20" w:rsidRPr="00124DB1" w:rsidRDefault="0080483D" w:rsidP="00507A20">
      <w:pPr>
        <w:pStyle w:val="Paragraphe"/>
        <w:tabs>
          <w:tab w:val="clear" w:pos="567"/>
        </w:tabs>
      </w:pPr>
      <w:r w:rsidRPr="00124DB1">
        <w:t xml:space="preserve">At the hearing, </w:t>
      </w:r>
      <w:r w:rsidR="00AA1B88" w:rsidRPr="00124DB1">
        <w:t>Sergeant M</w:t>
      </w:r>
      <w:r w:rsidRPr="00124DB1">
        <w:t xml:space="preserve">athurin explained that it is possible for an ill-intentioned individual to hide, among </w:t>
      </w:r>
      <w:r w:rsidR="00862FC3" w:rsidRPr="00124DB1">
        <w:t>his or her</w:t>
      </w:r>
      <w:r w:rsidRPr="00124DB1">
        <w:t xml:space="preserve"> </w:t>
      </w:r>
      <w:r w:rsidR="00AA1B88" w:rsidRPr="00124DB1">
        <w:t>personal</w:t>
      </w:r>
      <w:r w:rsidRPr="00124DB1">
        <w:t xml:space="preserve"> cards, a piece of metal the same size as the cards with sharpened edges that can be used as a weapon, which justifies the speed with which the wallet was taken.</w:t>
      </w:r>
    </w:p>
    <w:p w14:paraId="5BC1AD7D" w14:textId="3A99A9E1" w:rsidR="00507A20" w:rsidRPr="00124DB1" w:rsidRDefault="0080483D" w:rsidP="00507A20">
      <w:pPr>
        <w:pStyle w:val="Paragraphe"/>
        <w:tabs>
          <w:tab w:val="clear" w:pos="567"/>
        </w:tabs>
      </w:pPr>
      <w:r w:rsidRPr="00124DB1">
        <w:t xml:space="preserve">Mr. </w:t>
      </w:r>
      <w:proofErr w:type="spellStart"/>
      <w:r w:rsidRPr="00124DB1">
        <w:t>Bazelais</w:t>
      </w:r>
      <w:proofErr w:type="spellEnd"/>
      <w:r w:rsidRPr="00124DB1">
        <w:t xml:space="preserve"> </w:t>
      </w:r>
      <w:r w:rsidR="00862FC3" w:rsidRPr="00124DB1">
        <w:t>complains</w:t>
      </w:r>
      <w:r w:rsidR="001A4A3F" w:rsidRPr="00124DB1">
        <w:t xml:space="preserve"> about the fact</w:t>
      </w:r>
      <w:r w:rsidRPr="00124DB1">
        <w:t xml:space="preserve"> that the officer then asked why his wallet contained several </w:t>
      </w:r>
      <w:proofErr w:type="gramStart"/>
      <w:r w:rsidRPr="00124DB1">
        <w:t>bank cards</w:t>
      </w:r>
      <w:proofErr w:type="gramEnd"/>
      <w:r w:rsidRPr="00124DB1">
        <w:t>.</w:t>
      </w:r>
      <w:r w:rsidR="00AD32E1" w:rsidRPr="00124DB1">
        <w:t xml:space="preserve"> </w:t>
      </w:r>
      <w:r w:rsidRPr="00124DB1">
        <w:t>When asked abou</w:t>
      </w:r>
      <w:r w:rsidR="00AA1B88" w:rsidRPr="00124DB1">
        <w:t>t</w:t>
      </w:r>
      <w:r w:rsidRPr="00124DB1">
        <w:t xml:space="preserve"> this, he claimed:</w:t>
      </w:r>
    </w:p>
    <w:p w14:paraId="3029851B" w14:textId="77777777" w:rsidR="00507A20" w:rsidRPr="00124DB1" w:rsidRDefault="0080483D" w:rsidP="00507A20">
      <w:pPr>
        <w:pStyle w:val="Citationenretrait"/>
        <w:rPr>
          <w:lang w:val="en-CA"/>
        </w:rPr>
      </w:pPr>
      <w:r w:rsidRPr="00124DB1">
        <w:rPr>
          <w:lang w:val="en-CA"/>
        </w:rPr>
        <w:t>Q</w:t>
      </w:r>
      <w:r w:rsidR="00AD32E1" w:rsidRPr="00124DB1">
        <w:rPr>
          <w:lang w:val="en-CA"/>
        </w:rPr>
        <w:tab/>
      </w:r>
      <w:r w:rsidRPr="00124DB1">
        <w:rPr>
          <w:lang w:val="en-CA"/>
        </w:rPr>
        <w:t xml:space="preserve">So he [the </w:t>
      </w:r>
      <w:proofErr w:type="gramStart"/>
      <w:r w:rsidRPr="00124DB1">
        <w:rPr>
          <w:lang w:val="en-CA"/>
        </w:rPr>
        <w:t>policeman</w:t>
      </w:r>
      <w:proofErr w:type="gramEnd"/>
      <w:r w:rsidRPr="00124DB1">
        <w:rPr>
          <w:lang w:val="en-CA"/>
        </w:rPr>
        <w:t>] took it [the wallet] from you?</w:t>
      </w:r>
    </w:p>
    <w:p w14:paraId="43E4177A" w14:textId="77777777" w:rsidR="00507A20" w:rsidRPr="00124DB1" w:rsidRDefault="0080483D" w:rsidP="00507A20">
      <w:pPr>
        <w:pStyle w:val="Citationenretrait"/>
        <w:ind w:left="1467" w:hanging="900"/>
        <w:rPr>
          <w:lang w:val="en-CA"/>
        </w:rPr>
      </w:pPr>
      <w:r w:rsidRPr="00124DB1">
        <w:rPr>
          <w:lang w:val="en-CA"/>
        </w:rPr>
        <w:t>A</w:t>
      </w:r>
      <w:r w:rsidR="00AD32E1" w:rsidRPr="00124DB1">
        <w:rPr>
          <w:lang w:val="en-CA"/>
        </w:rPr>
        <w:tab/>
      </w:r>
      <w:r w:rsidR="00AD32E1" w:rsidRPr="00124DB1">
        <w:rPr>
          <w:lang w:val="en-CA"/>
        </w:rPr>
        <w:tab/>
      </w:r>
      <w:r w:rsidRPr="00124DB1">
        <w:rPr>
          <w:lang w:val="en-CA"/>
        </w:rPr>
        <w:t>He took it from me, yes, without my permission and he started going through the content of my wallet.</w:t>
      </w:r>
      <w:r w:rsidR="00AD32E1" w:rsidRPr="00124DB1">
        <w:rPr>
          <w:lang w:val="en-CA"/>
        </w:rPr>
        <w:t xml:space="preserve"> </w:t>
      </w:r>
      <w:r w:rsidRPr="00124DB1">
        <w:rPr>
          <w:lang w:val="en-CA"/>
        </w:rPr>
        <w:t xml:space="preserve">Then he said: “What are you doing with all these credits cards?” implying </w:t>
      </w:r>
      <w:proofErr w:type="gramStart"/>
      <w:r w:rsidRPr="00124DB1">
        <w:rPr>
          <w:lang w:val="en-CA"/>
        </w:rPr>
        <w:t>like</w:t>
      </w:r>
      <w:proofErr w:type="gramEnd"/>
      <w:r w:rsidRPr="00124DB1">
        <w:rPr>
          <w:lang w:val="en-CA"/>
        </w:rPr>
        <w:t xml:space="preserve"> they were stolen.</w:t>
      </w:r>
    </w:p>
    <w:p w14:paraId="206585C7" w14:textId="77777777" w:rsidR="00507A20" w:rsidRPr="00124DB1" w:rsidRDefault="0080483D" w:rsidP="00507A20">
      <w:pPr>
        <w:pStyle w:val="Citationenretrait"/>
        <w:rPr>
          <w:lang w:val="en-CA"/>
        </w:rPr>
      </w:pPr>
      <w:r w:rsidRPr="00124DB1">
        <w:rPr>
          <w:lang w:val="en-CA"/>
        </w:rPr>
        <w:t>Q</w:t>
      </w:r>
      <w:r w:rsidR="00AD32E1" w:rsidRPr="00124DB1">
        <w:rPr>
          <w:lang w:val="en-CA"/>
        </w:rPr>
        <w:tab/>
      </w:r>
      <w:proofErr w:type="gramStart"/>
      <w:r w:rsidRPr="00124DB1">
        <w:rPr>
          <w:lang w:val="en-CA"/>
        </w:rPr>
        <w:t>That’s</w:t>
      </w:r>
      <w:proofErr w:type="gramEnd"/>
      <w:r w:rsidRPr="00124DB1">
        <w:rPr>
          <w:lang w:val="en-CA"/>
        </w:rPr>
        <w:t xml:space="preserve"> what you thought?</w:t>
      </w:r>
    </w:p>
    <w:p w14:paraId="71C9F0B1" w14:textId="021FEB1C" w:rsidR="00507A20" w:rsidRPr="00124DB1" w:rsidRDefault="0080483D" w:rsidP="00507A20">
      <w:pPr>
        <w:pStyle w:val="Citationenretrait"/>
        <w:rPr>
          <w:lang w:val="en-CA"/>
        </w:rPr>
      </w:pPr>
      <w:r w:rsidRPr="00124DB1">
        <w:rPr>
          <w:lang w:val="en-CA"/>
        </w:rPr>
        <w:t>A</w:t>
      </w:r>
      <w:r w:rsidR="00AD32E1" w:rsidRPr="00124DB1">
        <w:rPr>
          <w:lang w:val="en-CA"/>
        </w:rPr>
        <w:tab/>
      </w:r>
      <w:r w:rsidR="00AD32E1" w:rsidRPr="00124DB1">
        <w:rPr>
          <w:lang w:val="en-CA"/>
        </w:rPr>
        <w:tab/>
      </w:r>
      <w:r w:rsidRPr="00124DB1">
        <w:rPr>
          <w:lang w:val="en-CA"/>
        </w:rPr>
        <w:t>Yes, with his tone of voice and the way he said it.</w:t>
      </w:r>
      <w:r w:rsidR="00AD32E1" w:rsidRPr="00124DB1">
        <w:rPr>
          <w:rStyle w:val="Appelnotedebasdep"/>
          <w:szCs w:val="22"/>
          <w:lang w:val="en-CA"/>
        </w:rPr>
        <w:footnoteReference w:id="150"/>
      </w:r>
    </w:p>
    <w:p w14:paraId="6B23A87D" w14:textId="77777777" w:rsidR="00507A20" w:rsidRPr="00124DB1" w:rsidRDefault="0080483D" w:rsidP="00507A20">
      <w:pPr>
        <w:pStyle w:val="Paragraphe"/>
        <w:tabs>
          <w:tab w:val="clear" w:pos="567"/>
        </w:tabs>
      </w:pPr>
      <w:r w:rsidRPr="00124DB1">
        <w:t xml:space="preserve">It is important to remember that at that specific moment, the police officers thought Mr. </w:t>
      </w:r>
      <w:proofErr w:type="spellStart"/>
      <w:r w:rsidRPr="00124DB1">
        <w:t>Bazelais</w:t>
      </w:r>
      <w:proofErr w:type="spellEnd"/>
      <w:r w:rsidRPr="00124DB1">
        <w:t xml:space="preserve"> could be a street gang member who had come to assault the </w:t>
      </w:r>
      <w:proofErr w:type="gramStart"/>
      <w:r w:rsidRPr="00124DB1">
        <w:t>doorman</w:t>
      </w:r>
      <w:proofErr w:type="gramEnd"/>
      <w:r w:rsidRPr="00124DB1">
        <w:t>.</w:t>
      </w:r>
    </w:p>
    <w:p w14:paraId="5203BCB8" w14:textId="438A83D5" w:rsidR="00507A20" w:rsidRPr="00124DB1" w:rsidRDefault="0080483D" w:rsidP="00507A20">
      <w:pPr>
        <w:pStyle w:val="Paragraphe"/>
        <w:tabs>
          <w:tab w:val="clear" w:pos="567"/>
        </w:tabs>
      </w:pPr>
      <w:r w:rsidRPr="00124DB1">
        <w:lastRenderedPageBreak/>
        <w:t>Commander Harrison-</w:t>
      </w:r>
      <w:proofErr w:type="spellStart"/>
      <w:r w:rsidRPr="00124DB1">
        <w:t>Gaudreault</w:t>
      </w:r>
      <w:proofErr w:type="spellEnd"/>
      <w:r w:rsidRPr="00124DB1">
        <w:t xml:space="preserve"> testified that one of the illegal activities in which street gangs are involved is bank fraud (</w:t>
      </w:r>
      <w:r w:rsidR="001A4A3F" w:rsidRPr="00124DB1">
        <w:t>e.g.,</w:t>
      </w:r>
      <w:r w:rsidRPr="00124DB1">
        <w:t xml:space="preserve"> us</w:t>
      </w:r>
      <w:r w:rsidR="001A4A3F" w:rsidRPr="00124DB1">
        <w:t>ing</w:t>
      </w:r>
      <w:r w:rsidRPr="00124DB1">
        <w:t xml:space="preserve"> stolen or “cloned” credit cards).</w:t>
      </w:r>
    </w:p>
    <w:p w14:paraId="746BBBAD" w14:textId="1AEE6CD7" w:rsidR="00507A20" w:rsidRPr="00124DB1" w:rsidRDefault="0080483D" w:rsidP="00507A20">
      <w:pPr>
        <w:pStyle w:val="Paragraphe"/>
        <w:tabs>
          <w:tab w:val="clear" w:pos="567"/>
        </w:tabs>
      </w:pPr>
      <w:r w:rsidRPr="00124DB1">
        <w:t xml:space="preserve">While it does appear that the question is not directly connected </w:t>
      </w:r>
      <w:r w:rsidR="001A4A3F" w:rsidRPr="00124DB1">
        <w:t>to</w:t>
      </w:r>
      <w:r w:rsidRPr="00124DB1">
        <w:t xml:space="preserve"> the fear of being assaulted expressed by the </w:t>
      </w:r>
      <w:proofErr w:type="gramStart"/>
      <w:r w:rsidRPr="00124DB1">
        <w:t>doorman</w:t>
      </w:r>
      <w:proofErr w:type="gramEnd"/>
      <w:r w:rsidRPr="00124DB1">
        <w:t>, it is closer to “criminal profiling”</w:t>
      </w:r>
      <w:r w:rsidR="00AD32E1" w:rsidRPr="00124DB1">
        <w:rPr>
          <w:rStyle w:val="Appelnotedebasdep"/>
        </w:rPr>
        <w:footnoteReference w:id="151"/>
      </w:r>
      <w:r w:rsidRPr="00124DB1">
        <w:t xml:space="preserve"> than “racial profiling”.</w:t>
      </w:r>
      <w:r w:rsidR="00AD32E1" w:rsidRPr="00124DB1">
        <w:t xml:space="preserve"> </w:t>
      </w:r>
      <w:r w:rsidRPr="00124DB1">
        <w:t xml:space="preserve">It does not appear to be “unusual” but </w:t>
      </w:r>
      <w:r w:rsidR="001A4A3F" w:rsidRPr="00124DB1">
        <w:t xml:space="preserve">rather </w:t>
      </w:r>
      <w:r w:rsidRPr="00124DB1">
        <w:t xml:space="preserve">consistent with the fact that the </w:t>
      </w:r>
      <w:proofErr w:type="spellStart"/>
      <w:r w:rsidR="001A4A3F" w:rsidRPr="00124DB1">
        <w:t>É</w:t>
      </w:r>
      <w:r w:rsidRPr="00124DB1">
        <w:t>clipse</w:t>
      </w:r>
      <w:proofErr w:type="spellEnd"/>
      <w:r w:rsidRPr="00124DB1">
        <w:t xml:space="preserve"> unit is specialized </w:t>
      </w:r>
      <w:r w:rsidR="004A206C" w:rsidRPr="00124DB1">
        <w:t>in</w:t>
      </w:r>
      <w:r w:rsidRPr="00124DB1">
        <w:t xml:space="preserve"> fight</w:t>
      </w:r>
      <w:r w:rsidR="004A206C" w:rsidRPr="00124DB1">
        <w:t>ing</w:t>
      </w:r>
      <w:r w:rsidRPr="00124DB1">
        <w:t xml:space="preserve"> </w:t>
      </w:r>
      <w:r w:rsidR="001A4A3F" w:rsidRPr="00124DB1">
        <w:t xml:space="preserve">against </w:t>
      </w:r>
      <w:r w:rsidRPr="00124DB1">
        <w:t>the criminal activities of street gangs.</w:t>
      </w:r>
    </w:p>
    <w:p w14:paraId="640BDE12" w14:textId="65F66D8D" w:rsidR="00507A20" w:rsidRPr="00124DB1" w:rsidRDefault="0080483D" w:rsidP="00507A20">
      <w:pPr>
        <w:pStyle w:val="Paragraphe"/>
        <w:tabs>
          <w:tab w:val="clear" w:pos="567"/>
        </w:tabs>
      </w:pPr>
      <w:r w:rsidRPr="00124DB1">
        <w:t xml:space="preserve">The police officer then informed Mr. </w:t>
      </w:r>
      <w:proofErr w:type="spellStart"/>
      <w:r w:rsidRPr="00124DB1">
        <w:t>Bazelais</w:t>
      </w:r>
      <w:proofErr w:type="spellEnd"/>
      <w:r w:rsidRPr="00124DB1">
        <w:t xml:space="preserve"> that he would perform a pat-down search </w:t>
      </w:r>
      <w:r w:rsidR="004A206C" w:rsidRPr="00124DB1">
        <w:t>on</w:t>
      </w:r>
      <w:r w:rsidRPr="00124DB1">
        <w:t xml:space="preserve"> him. Mr. </w:t>
      </w:r>
      <w:proofErr w:type="spellStart"/>
      <w:r w:rsidRPr="00124DB1">
        <w:t>Bazelais</w:t>
      </w:r>
      <w:proofErr w:type="spellEnd"/>
      <w:r w:rsidRPr="00124DB1">
        <w:t xml:space="preserve"> asked to know the reason for this but did not receive an answer.</w:t>
      </w:r>
    </w:p>
    <w:p w14:paraId="36534D0E" w14:textId="53224352" w:rsidR="00507A20" w:rsidRPr="00124DB1" w:rsidRDefault="0080483D" w:rsidP="00507A20">
      <w:pPr>
        <w:pStyle w:val="Paragraphe"/>
        <w:tabs>
          <w:tab w:val="clear" w:pos="567"/>
        </w:tabs>
      </w:pPr>
      <w:r w:rsidRPr="00124DB1">
        <w:t>He maintains that the officer put his hands inside his front pant</w:t>
      </w:r>
      <w:r w:rsidR="004A206C" w:rsidRPr="00124DB1">
        <w:t>s</w:t>
      </w:r>
      <w:r w:rsidRPr="00124DB1">
        <w:t xml:space="preserve"> pockets, despite his </w:t>
      </w:r>
      <w:r w:rsidR="001A4A3F" w:rsidRPr="00124DB1">
        <w:t>objection.</w:t>
      </w:r>
      <w:r w:rsidRPr="00124DB1">
        <w:t xml:space="preserve"> </w:t>
      </w:r>
      <w:r w:rsidR="001A4A3F" w:rsidRPr="00124DB1">
        <w:t xml:space="preserve">He said, </w:t>
      </w:r>
      <w:r w:rsidRPr="00124DB1">
        <w:t>“You can’t do this, I have rights and you can’t search me without my permission”.</w:t>
      </w:r>
      <w:r w:rsidR="00AD32E1" w:rsidRPr="00124DB1">
        <w:rPr>
          <w:rStyle w:val="Appelnotedebasdep"/>
        </w:rPr>
        <w:footnoteReference w:id="152"/>
      </w:r>
    </w:p>
    <w:p w14:paraId="34BFD6DF" w14:textId="364E4211" w:rsidR="00507A20" w:rsidRPr="00124DB1" w:rsidRDefault="004A206C" w:rsidP="00507A20">
      <w:pPr>
        <w:pStyle w:val="Paragraphe"/>
        <w:tabs>
          <w:tab w:val="clear" w:pos="567"/>
        </w:tabs>
      </w:pPr>
      <w:r w:rsidRPr="00124DB1">
        <w:t>Sergeant</w:t>
      </w:r>
      <w:r w:rsidR="0080483D" w:rsidRPr="00124DB1">
        <w:t xml:space="preserve"> Mathurin did not witness this search.</w:t>
      </w:r>
      <w:r w:rsidR="00AD32E1" w:rsidRPr="00124DB1">
        <w:t xml:space="preserve"> </w:t>
      </w:r>
      <w:r w:rsidR="0080483D" w:rsidRPr="00124DB1">
        <w:t xml:space="preserve">At the hearing, he expressed doubt, however, about </w:t>
      </w:r>
      <w:r w:rsidRPr="00124DB1">
        <w:t>the</w:t>
      </w:r>
      <w:r w:rsidR="0080483D" w:rsidRPr="00124DB1">
        <w:t xml:space="preserve"> fact that the officer slipped his hands inside Mr. </w:t>
      </w:r>
      <w:proofErr w:type="spellStart"/>
      <w:r w:rsidR="0080483D" w:rsidRPr="00124DB1">
        <w:t>Bazelais’s</w:t>
      </w:r>
      <w:proofErr w:type="spellEnd"/>
      <w:r w:rsidR="0080483D" w:rsidRPr="00124DB1">
        <w:t xml:space="preserve"> pockets.</w:t>
      </w:r>
      <w:r w:rsidR="00AD32E1" w:rsidRPr="00124DB1">
        <w:t xml:space="preserve"> </w:t>
      </w:r>
      <w:r w:rsidR="0080483D" w:rsidRPr="00124DB1">
        <w:t>He raised the risk</w:t>
      </w:r>
      <w:r w:rsidRPr="00124DB1">
        <w:t xml:space="preserve"> </w:t>
      </w:r>
      <w:r w:rsidR="00980517" w:rsidRPr="00124DB1">
        <w:t>an</w:t>
      </w:r>
      <w:r w:rsidRPr="00124DB1">
        <w:t xml:space="preserve"> officer would run</w:t>
      </w:r>
      <w:r w:rsidR="0080483D" w:rsidRPr="00124DB1">
        <w:t xml:space="preserve"> of injuring his</w:t>
      </w:r>
      <w:r w:rsidRPr="00124DB1">
        <w:t xml:space="preserve"> or her</w:t>
      </w:r>
      <w:r w:rsidR="0080483D" w:rsidRPr="00124DB1">
        <w:t xml:space="preserve"> hand </w:t>
      </w:r>
      <w:r w:rsidRPr="00124DB1">
        <w:t>if, for example, there was</w:t>
      </w:r>
      <w:r w:rsidR="0080483D" w:rsidRPr="00124DB1">
        <w:t xml:space="preserve"> a blunt or sharp object in the pocket.</w:t>
      </w:r>
    </w:p>
    <w:p w14:paraId="3EA2F91C" w14:textId="5E615F46" w:rsidR="00507A20" w:rsidRPr="00124DB1" w:rsidRDefault="0080483D" w:rsidP="00507A20">
      <w:pPr>
        <w:pStyle w:val="Paragraphe"/>
        <w:tabs>
          <w:tab w:val="clear" w:pos="567"/>
        </w:tabs>
      </w:pPr>
      <w:r w:rsidRPr="00124DB1">
        <w:t xml:space="preserve">Officer </w:t>
      </w:r>
      <w:proofErr w:type="spellStart"/>
      <w:r w:rsidRPr="00124DB1">
        <w:t>Jérôme</w:t>
      </w:r>
      <w:proofErr w:type="spellEnd"/>
      <w:r w:rsidRPr="00124DB1">
        <w:t xml:space="preserve"> Tremblay was part of the group that intervened that night at </w:t>
      </w:r>
      <w:proofErr w:type="gramStart"/>
      <w:r w:rsidRPr="00124DB1">
        <w:t>Thursday’s</w:t>
      </w:r>
      <w:proofErr w:type="gramEnd"/>
      <w:r w:rsidRPr="00124DB1">
        <w:t>.</w:t>
      </w:r>
      <w:r w:rsidR="00AD32E1" w:rsidRPr="00124DB1">
        <w:t xml:space="preserve"> </w:t>
      </w:r>
      <w:r w:rsidRPr="00124DB1">
        <w:t xml:space="preserve">He and his colleague, Alexandre </w:t>
      </w:r>
      <w:proofErr w:type="spellStart"/>
      <w:r w:rsidRPr="00124DB1">
        <w:t>Leroux</w:t>
      </w:r>
      <w:proofErr w:type="spellEnd"/>
      <w:r w:rsidRPr="00124DB1">
        <w:t>, were on the second floor of the building to question</w:t>
      </w:r>
      <w:r w:rsidR="00AD32E1" w:rsidRPr="00124DB1">
        <w:rPr>
          <w:rStyle w:val="Appelnotedebasdep"/>
        </w:rPr>
        <w:footnoteReference w:id="153"/>
      </w:r>
      <w:r w:rsidRPr="00124DB1">
        <w:t xml:space="preserve"> and secure </w:t>
      </w:r>
      <w:r w:rsidR="004A206C" w:rsidRPr="00124DB1">
        <w:t>the</w:t>
      </w:r>
      <w:r w:rsidRPr="00124DB1">
        <w:t xml:space="preserve"> </w:t>
      </w:r>
      <w:proofErr w:type="gramStart"/>
      <w:r w:rsidRPr="00124DB1">
        <w:t>doorman</w:t>
      </w:r>
      <w:proofErr w:type="gramEnd"/>
      <w:r w:rsidR="004A206C" w:rsidRPr="00124DB1">
        <w:t>,</w:t>
      </w:r>
      <w:r w:rsidRPr="00124DB1">
        <w:t xml:space="preserve"> who had taken refuge there</w:t>
      </w:r>
      <w:r w:rsidR="00980517" w:rsidRPr="00124DB1">
        <w:t>.</w:t>
      </w:r>
      <w:r w:rsidRPr="00124DB1">
        <w:t xml:space="preserve"> </w:t>
      </w:r>
      <w:r w:rsidR="004A206C" w:rsidRPr="00124DB1">
        <w:t>[</w:t>
      </w:r>
      <w:r w:rsidR="004A206C" w:rsidRPr="00124DB1">
        <w:rPr>
          <w:smallCaps/>
        </w:rPr>
        <w:t>translation</w:t>
      </w:r>
      <w:r w:rsidR="004A206C" w:rsidRPr="00124DB1">
        <w:t xml:space="preserve">] </w:t>
      </w:r>
      <w:r w:rsidRPr="00124DB1">
        <w:t xml:space="preserve">“He </w:t>
      </w:r>
      <w:r w:rsidR="00980517" w:rsidRPr="00124DB1">
        <w:t>w</w:t>
      </w:r>
      <w:r w:rsidRPr="00124DB1">
        <w:t xml:space="preserve">as afraid </w:t>
      </w:r>
      <w:r w:rsidR="004A206C" w:rsidRPr="00124DB1">
        <w:t>of</w:t>
      </w:r>
      <w:r w:rsidRPr="00124DB1">
        <w:t xml:space="preserve"> the people he thought he had recognized”, he said, </w:t>
      </w:r>
      <w:r w:rsidR="00980517" w:rsidRPr="00124DB1">
        <w:t>[</w:t>
      </w:r>
      <w:r w:rsidR="00980517" w:rsidRPr="00124DB1">
        <w:rPr>
          <w:smallCaps/>
        </w:rPr>
        <w:t>translation</w:t>
      </w:r>
      <w:r w:rsidR="00980517" w:rsidRPr="00124DB1">
        <w:t xml:space="preserve">] </w:t>
      </w:r>
      <w:r w:rsidRPr="00124DB1">
        <w:t>“He was terrified. He was really, really scared”.</w:t>
      </w:r>
      <w:r w:rsidR="00AD32E1" w:rsidRPr="00124DB1">
        <w:t xml:space="preserve"> </w:t>
      </w:r>
    </w:p>
    <w:p w14:paraId="0D3B87AF" w14:textId="77777777" w:rsidR="00507A20" w:rsidRPr="00124DB1" w:rsidRDefault="0080483D" w:rsidP="00507A20">
      <w:pPr>
        <w:pStyle w:val="Paragraphe"/>
        <w:tabs>
          <w:tab w:val="clear" w:pos="567"/>
        </w:tabs>
      </w:pPr>
      <w:r w:rsidRPr="00124DB1">
        <w:t>Examined by counsel for the Commission, Officer Tremblay stated:</w:t>
      </w:r>
    </w:p>
    <w:p w14:paraId="1DAEA50B" w14:textId="2AD3CF6F" w:rsidR="004A206C" w:rsidRPr="00124DB1" w:rsidRDefault="004A206C" w:rsidP="00507A20">
      <w:pPr>
        <w:pStyle w:val="Citationenretrait"/>
        <w:rPr>
          <w:lang w:val="en-CA"/>
        </w:rPr>
      </w:pPr>
      <w:r w:rsidRPr="00124DB1">
        <w:rPr>
          <w:lang w:val="en-CA"/>
        </w:rPr>
        <w:t>[</w:t>
      </w:r>
      <w:r w:rsidRPr="00124DB1">
        <w:rPr>
          <w:smallCaps/>
          <w:lang w:val="en-CA"/>
        </w:rPr>
        <w:t>translation</w:t>
      </w:r>
      <w:r w:rsidRPr="00124DB1">
        <w:rPr>
          <w:lang w:val="en-CA"/>
        </w:rPr>
        <w:t>]</w:t>
      </w:r>
    </w:p>
    <w:p w14:paraId="3FD0F641" w14:textId="55145D6F" w:rsidR="00507A20" w:rsidRPr="00124DB1" w:rsidRDefault="0080483D" w:rsidP="00507A20">
      <w:pPr>
        <w:pStyle w:val="Citationenretrait"/>
        <w:rPr>
          <w:lang w:val="en-CA"/>
        </w:rPr>
      </w:pPr>
      <w:r w:rsidRPr="00124DB1">
        <w:rPr>
          <w:lang w:val="en-CA"/>
        </w:rPr>
        <w:t>I know that the people were identified and searched, because it was</w:t>
      </w:r>
      <w:r w:rsidR="00980517" w:rsidRPr="00124DB1">
        <w:rPr>
          <w:lang w:val="en-CA"/>
        </w:rPr>
        <w:t xml:space="preserve"> </w:t>
      </w:r>
      <w:r w:rsidRPr="00124DB1">
        <w:rPr>
          <w:lang w:val="en-CA"/>
        </w:rPr>
        <w:t>... it is</w:t>
      </w:r>
      <w:r w:rsidR="00980517" w:rsidRPr="00124DB1">
        <w:rPr>
          <w:lang w:val="en-CA"/>
        </w:rPr>
        <w:t xml:space="preserve"> </w:t>
      </w:r>
      <w:r w:rsidRPr="00124DB1">
        <w:rPr>
          <w:lang w:val="en-CA"/>
        </w:rPr>
        <w:t xml:space="preserve">... </w:t>
      </w:r>
      <w:r w:rsidRPr="00124DB1">
        <w:rPr>
          <w:u w:val="single"/>
          <w:lang w:val="en-CA"/>
        </w:rPr>
        <w:t xml:space="preserve">we were looking for a weapon, a knife, if </w:t>
      </w:r>
      <w:proofErr w:type="gramStart"/>
      <w:r w:rsidRPr="00124DB1">
        <w:rPr>
          <w:u w:val="single"/>
          <w:lang w:val="en-CA"/>
        </w:rPr>
        <w:t>I’m</w:t>
      </w:r>
      <w:proofErr w:type="gramEnd"/>
      <w:r w:rsidRPr="00124DB1">
        <w:rPr>
          <w:u w:val="single"/>
          <w:lang w:val="en-CA"/>
        </w:rPr>
        <w:t xml:space="preserve"> not mistaken</w:t>
      </w:r>
      <w:r w:rsidR="00AD32E1" w:rsidRPr="00124DB1">
        <w:rPr>
          <w:rStyle w:val="Appelnotedebasdep"/>
          <w:szCs w:val="22"/>
          <w:lang w:val="en-CA"/>
        </w:rPr>
        <w:footnoteReference w:id="154"/>
      </w:r>
    </w:p>
    <w:p w14:paraId="4E83DF7F" w14:textId="77777777" w:rsidR="00507A20" w:rsidRPr="00124DB1" w:rsidRDefault="00BB3A86" w:rsidP="00507A20">
      <w:pPr>
        <w:pStyle w:val="Citationenretrait"/>
        <w:jc w:val="right"/>
        <w:rPr>
          <w:sz w:val="20"/>
          <w:lang w:val="en-CA"/>
        </w:rPr>
      </w:pPr>
      <w:r w:rsidRPr="00124DB1">
        <w:rPr>
          <w:sz w:val="20"/>
          <w:lang w:val="en-CA"/>
        </w:rPr>
        <w:t>[Emphasis added.]</w:t>
      </w:r>
    </w:p>
    <w:p w14:paraId="3421FAB5" w14:textId="0F909EB0" w:rsidR="00507A20" w:rsidRPr="00124DB1" w:rsidRDefault="0080483D" w:rsidP="00507A20">
      <w:pPr>
        <w:pStyle w:val="Paragraphe"/>
        <w:tabs>
          <w:tab w:val="clear" w:pos="567"/>
        </w:tabs>
      </w:pPr>
      <w:r w:rsidRPr="00124DB1">
        <w:t xml:space="preserve">At the hearing, Officer Tremblay stated that </w:t>
      </w:r>
      <w:r w:rsidR="00025047" w:rsidRPr="00124DB1">
        <w:t xml:space="preserve">street gang </w:t>
      </w:r>
      <w:r w:rsidRPr="00124DB1">
        <w:t xml:space="preserve">members </w:t>
      </w:r>
      <w:proofErr w:type="gramStart"/>
      <w:r w:rsidRPr="00124DB1">
        <w:t>can</w:t>
      </w:r>
      <w:proofErr w:type="gramEnd"/>
      <w:r w:rsidRPr="00124DB1">
        <w:t xml:space="preserve"> be unpredictable</w:t>
      </w:r>
      <w:r w:rsidR="00025047" w:rsidRPr="00124DB1">
        <w:t>.</w:t>
      </w:r>
      <w:r w:rsidRPr="00124DB1">
        <w:t xml:space="preserve"> </w:t>
      </w:r>
      <w:r w:rsidR="004A206C" w:rsidRPr="00124DB1">
        <w:t>[</w:t>
      </w:r>
      <w:r w:rsidR="004A206C" w:rsidRPr="00124DB1">
        <w:rPr>
          <w:smallCaps/>
        </w:rPr>
        <w:t>translation</w:t>
      </w:r>
      <w:r w:rsidR="004A206C" w:rsidRPr="00124DB1">
        <w:t xml:space="preserve">] </w:t>
      </w:r>
      <w:r w:rsidRPr="00124DB1">
        <w:t>“They could be armed”</w:t>
      </w:r>
      <w:r w:rsidR="00025047" w:rsidRPr="00124DB1">
        <w:t>, he said</w:t>
      </w:r>
      <w:r w:rsidRPr="00124DB1">
        <w:t>.</w:t>
      </w:r>
    </w:p>
    <w:p w14:paraId="169BB6FE" w14:textId="78CB9C86" w:rsidR="00507A20" w:rsidRPr="00124DB1" w:rsidRDefault="0080483D" w:rsidP="00507A20">
      <w:pPr>
        <w:pStyle w:val="Paragraphe"/>
        <w:tabs>
          <w:tab w:val="clear" w:pos="567"/>
        </w:tabs>
      </w:pPr>
      <w:r w:rsidRPr="00124DB1">
        <w:lastRenderedPageBreak/>
        <w:t xml:space="preserve">Thus, given the doorman’s information, which was </w:t>
      </w:r>
      <w:r w:rsidRPr="00555D53">
        <w:rPr>
          <w:i/>
        </w:rPr>
        <w:t>a priori</w:t>
      </w:r>
      <w:r w:rsidRPr="00124DB1">
        <w:t xml:space="preserve"> credible, the </w:t>
      </w:r>
      <w:proofErr w:type="spellStart"/>
      <w:r w:rsidR="001E2FEE" w:rsidRPr="00124DB1">
        <w:t>É</w:t>
      </w:r>
      <w:r w:rsidRPr="00124DB1">
        <w:t>clipse</w:t>
      </w:r>
      <w:proofErr w:type="spellEnd"/>
      <w:r w:rsidRPr="00124DB1">
        <w:t xml:space="preserve"> unit had individualized reasonable </w:t>
      </w:r>
      <w:r w:rsidR="004A206C" w:rsidRPr="00124DB1">
        <w:t>suspicion</w:t>
      </w:r>
      <w:r w:rsidR="00AD32E1" w:rsidRPr="00124DB1">
        <w:rPr>
          <w:rStyle w:val="Appelnotedebasdep"/>
        </w:rPr>
        <w:footnoteReference w:id="155"/>
      </w:r>
      <w:r w:rsidRPr="00124DB1">
        <w:t xml:space="preserve"> to detain Mr. </w:t>
      </w:r>
      <w:proofErr w:type="spellStart"/>
      <w:r w:rsidRPr="00124DB1">
        <w:t>Bazelais</w:t>
      </w:r>
      <w:proofErr w:type="spellEnd"/>
      <w:r w:rsidRPr="00124DB1">
        <w:t xml:space="preserve"> to investigate </w:t>
      </w:r>
      <w:r w:rsidR="004A206C" w:rsidRPr="00124DB1">
        <w:t>and</w:t>
      </w:r>
      <w:r w:rsidRPr="00124DB1">
        <w:t xml:space="preserve"> perform a search of his person:</w:t>
      </w:r>
      <w:r w:rsidR="00AD32E1" w:rsidRPr="00124DB1">
        <w:t xml:space="preserve"> </w:t>
      </w:r>
    </w:p>
    <w:p w14:paraId="6EC7DB74" w14:textId="77777777" w:rsidR="00507A20" w:rsidRPr="00124DB1" w:rsidRDefault="0080483D" w:rsidP="00507A20">
      <w:pPr>
        <w:pStyle w:val="Citationenretrait"/>
        <w:rPr>
          <w:lang w:val="en-CA"/>
        </w:rPr>
      </w:pPr>
      <w:r w:rsidRPr="00124DB1">
        <w:rPr>
          <w:lang w:val="en-CA"/>
        </w:rPr>
        <w:t>[45] ... reasonable suspicion is not “unduly onerous</w:t>
      </w:r>
      <w:proofErr w:type="gramStart"/>
      <w:r w:rsidRPr="00124DB1">
        <w:rPr>
          <w:lang w:val="en-CA"/>
        </w:rPr>
        <w:t>” ...</w:t>
      </w:r>
      <w:proofErr w:type="gramEnd"/>
      <w:r w:rsidRPr="00124DB1">
        <w:rPr>
          <w:lang w:val="en-CA"/>
        </w:rPr>
        <w:t xml:space="preserve"> .</w:t>
      </w:r>
      <w:r w:rsidR="00AD32E1" w:rsidRPr="00124DB1">
        <w:rPr>
          <w:lang w:val="en-CA"/>
        </w:rPr>
        <w:t xml:space="preserve"> </w:t>
      </w:r>
      <w:r w:rsidRPr="00124DB1">
        <w:rPr>
          <w:lang w:val="en-CA"/>
        </w:rPr>
        <w:t>As a lower standard than reasonable grounds, it allows police additional flexibility in enforcing the law and preventing crime.</w:t>
      </w:r>
    </w:p>
    <w:p w14:paraId="043ADF4A" w14:textId="3B697705" w:rsidR="00507A20" w:rsidRPr="00124DB1" w:rsidRDefault="004A206C" w:rsidP="00507A20">
      <w:pPr>
        <w:pStyle w:val="Citationenretrait"/>
        <w:rPr>
          <w:lang w:val="en-CA"/>
        </w:rPr>
      </w:pPr>
      <w:r w:rsidRPr="00124DB1">
        <w:rPr>
          <w:lang w:val="en-CA"/>
        </w:rPr>
        <w:t>…</w:t>
      </w:r>
    </w:p>
    <w:p w14:paraId="6194CDF5" w14:textId="3F628B12" w:rsidR="00507A20" w:rsidRPr="00124DB1" w:rsidRDefault="0080483D" w:rsidP="00507A20">
      <w:pPr>
        <w:pStyle w:val="Citationenretrait"/>
        <w:rPr>
          <w:lang w:val="en-CA"/>
        </w:rPr>
      </w:pPr>
      <w:r w:rsidRPr="00124DB1">
        <w:rPr>
          <w:lang w:val="en-CA"/>
        </w:rPr>
        <w:t xml:space="preserve">[46] While the reasonable suspicion standard requires only the possibility, rather than probability, of criminal activity </w:t>
      </w:r>
      <w:proofErr w:type="gramStart"/>
      <w:r w:rsidRPr="00124DB1">
        <w:rPr>
          <w:lang w:val="en-CA"/>
        </w:rPr>
        <w:t>... ,</w:t>
      </w:r>
      <w:proofErr w:type="gramEnd"/>
      <w:r w:rsidRPr="00124DB1">
        <w:rPr>
          <w:lang w:val="en-CA"/>
        </w:rPr>
        <w:t xml:space="preserve"> it must also be remembered that it </w:t>
      </w:r>
      <w:r w:rsidRPr="00124DB1">
        <w:rPr>
          <w:u w:val="single"/>
          <w:lang w:val="en-CA"/>
        </w:rPr>
        <w:t>provides police officers with justification to engage in otherwise impermissible, intrusive conduct such as searches and detentions</w:t>
      </w:r>
      <w:r w:rsidRPr="00124DB1">
        <w:rPr>
          <w:lang w:val="en-CA"/>
        </w:rPr>
        <w:t>.</w:t>
      </w:r>
      <w:r w:rsidR="00AD32E1" w:rsidRPr="00124DB1">
        <w:rPr>
          <w:rStyle w:val="Appelnotedebasdep"/>
          <w:szCs w:val="22"/>
          <w:lang w:val="en-CA"/>
        </w:rPr>
        <w:footnoteReference w:id="156"/>
      </w:r>
    </w:p>
    <w:p w14:paraId="24AE1310" w14:textId="77777777" w:rsidR="00507A20" w:rsidRPr="00124DB1" w:rsidRDefault="00BB3A86" w:rsidP="00507A20">
      <w:pPr>
        <w:pStyle w:val="Citationenretrait"/>
        <w:spacing w:after="0"/>
        <w:jc w:val="right"/>
        <w:rPr>
          <w:sz w:val="20"/>
          <w:lang w:val="en-CA"/>
        </w:rPr>
      </w:pPr>
      <w:r w:rsidRPr="00124DB1">
        <w:rPr>
          <w:sz w:val="20"/>
          <w:lang w:val="en-CA"/>
        </w:rPr>
        <w:t>[Emphasis added.]</w:t>
      </w:r>
    </w:p>
    <w:p w14:paraId="451E053C" w14:textId="77777777" w:rsidR="00507A20" w:rsidRPr="00124DB1" w:rsidRDefault="00A7388A" w:rsidP="00507A20">
      <w:pPr>
        <w:pStyle w:val="Citationenretrait"/>
        <w:jc w:val="right"/>
        <w:rPr>
          <w:sz w:val="20"/>
          <w:lang w:val="en-CA"/>
        </w:rPr>
      </w:pPr>
      <w:r w:rsidRPr="00124DB1">
        <w:rPr>
          <w:sz w:val="20"/>
          <w:lang w:val="en-CA"/>
        </w:rPr>
        <w:t>[Citations omitted.]</w:t>
      </w:r>
    </w:p>
    <w:p w14:paraId="2BBBA005" w14:textId="06981F48" w:rsidR="00507A20" w:rsidRPr="00124DB1" w:rsidRDefault="0080483D" w:rsidP="00507A20">
      <w:pPr>
        <w:pStyle w:val="Paragraphe"/>
        <w:tabs>
          <w:tab w:val="clear" w:pos="567"/>
        </w:tabs>
      </w:pPr>
      <w:r w:rsidRPr="00124DB1">
        <w:t>Based on the information the officers had at the time and their duty to protect life and safety</w:t>
      </w:r>
      <w:r w:rsidR="00AD32E1" w:rsidRPr="00124DB1">
        <w:rPr>
          <w:rStyle w:val="Appelnotedebasdep"/>
        </w:rPr>
        <w:footnoteReference w:id="157"/>
      </w:r>
      <w:r w:rsidRPr="00124DB1">
        <w:t xml:space="preserve"> to “eliminate an imminent threat to the safety of the public or the police”, they were justified to carry out a summary pat-down search.</w:t>
      </w:r>
      <w:r w:rsidR="00AD32E1" w:rsidRPr="00124DB1">
        <w:rPr>
          <w:rStyle w:val="Appelnotedebasdep"/>
        </w:rPr>
        <w:footnoteReference w:id="158"/>
      </w:r>
      <w:r w:rsidR="00AD32E1" w:rsidRPr="00124DB1">
        <w:t xml:space="preserve"> </w:t>
      </w:r>
      <w:r w:rsidRPr="00124DB1">
        <w:t xml:space="preserve">That search did not represent </w:t>
      </w:r>
      <w:r w:rsidR="004A206C" w:rsidRPr="00124DB1">
        <w:t>[</w:t>
      </w:r>
      <w:r w:rsidR="004A206C" w:rsidRPr="00124DB1">
        <w:rPr>
          <w:smallCaps/>
        </w:rPr>
        <w:t>translation</w:t>
      </w:r>
      <w:r w:rsidR="004A206C" w:rsidRPr="00124DB1">
        <w:t xml:space="preserve">] </w:t>
      </w:r>
      <w:r w:rsidRPr="00124DB1">
        <w:t>“differential or unusual treatment ... as compared with usual practices in similar circumstances”.</w:t>
      </w:r>
      <w:r w:rsidR="00AD32E1" w:rsidRPr="00124DB1">
        <w:rPr>
          <w:rStyle w:val="Appelnotedebasdep"/>
        </w:rPr>
        <w:footnoteReference w:id="159"/>
      </w:r>
      <w:r w:rsidR="00AD32E1" w:rsidRPr="00124DB1">
        <w:t xml:space="preserve"> </w:t>
      </w:r>
    </w:p>
    <w:p w14:paraId="57F6B5C2" w14:textId="77777777" w:rsidR="00507A20" w:rsidRPr="00124DB1" w:rsidRDefault="0080483D" w:rsidP="00507A20">
      <w:pPr>
        <w:pStyle w:val="Titre3"/>
        <w:rPr>
          <w:lang w:val="en-CA"/>
        </w:rPr>
      </w:pPr>
      <w:r w:rsidRPr="00124DB1">
        <w:rPr>
          <w:lang w:val="en-CA"/>
        </w:rPr>
        <w:t>Handcuffing and security search</w:t>
      </w:r>
      <w:r w:rsidR="00AD32E1" w:rsidRPr="00124DB1">
        <w:rPr>
          <w:lang w:val="en-CA"/>
        </w:rPr>
        <w:t xml:space="preserve"> </w:t>
      </w:r>
    </w:p>
    <w:p w14:paraId="73A7D776" w14:textId="480F301A" w:rsidR="00507A20" w:rsidRPr="00124DB1" w:rsidRDefault="0080483D" w:rsidP="004A206C">
      <w:pPr>
        <w:pStyle w:val="Paragraphe"/>
        <w:tabs>
          <w:tab w:val="clear" w:pos="567"/>
        </w:tabs>
      </w:pPr>
      <w:r w:rsidRPr="00124DB1">
        <w:t xml:space="preserve">Mr. </w:t>
      </w:r>
      <w:proofErr w:type="spellStart"/>
      <w:r w:rsidRPr="00124DB1">
        <w:t>Bazelais’s</w:t>
      </w:r>
      <w:proofErr w:type="spellEnd"/>
      <w:r w:rsidRPr="00124DB1">
        <w:t xml:space="preserve"> </w:t>
      </w:r>
      <w:r w:rsidR="004A206C" w:rsidRPr="00124DB1">
        <w:t>insistence</w:t>
      </w:r>
      <w:r w:rsidRPr="00124DB1">
        <w:t xml:space="preserve"> on knowing the reasons for his being searched, and his refusal for the officers to go ahead without his authorization, led the officers to take him outside the bar:</w:t>
      </w:r>
    </w:p>
    <w:p w14:paraId="0901D157" w14:textId="77777777" w:rsidR="00507A20" w:rsidRPr="00124DB1" w:rsidRDefault="0080483D" w:rsidP="00507A20">
      <w:pPr>
        <w:pStyle w:val="Citationenretrait"/>
        <w:ind w:left="1467" w:hanging="900"/>
        <w:rPr>
          <w:lang w:val="en-CA"/>
        </w:rPr>
      </w:pPr>
      <w:r w:rsidRPr="00124DB1">
        <w:rPr>
          <w:lang w:val="en-CA"/>
        </w:rPr>
        <w:t>A</w:t>
      </w:r>
      <w:r w:rsidR="00AD32E1" w:rsidRPr="00124DB1">
        <w:rPr>
          <w:lang w:val="en-CA"/>
        </w:rPr>
        <w:tab/>
      </w:r>
      <w:r w:rsidR="00AD32E1" w:rsidRPr="00124DB1">
        <w:rPr>
          <w:lang w:val="en-CA"/>
        </w:rPr>
        <w:tab/>
      </w:r>
      <w:r w:rsidRPr="00124DB1">
        <w:rPr>
          <w:lang w:val="en-CA"/>
        </w:rPr>
        <w:t xml:space="preserve">And then [the </w:t>
      </w:r>
      <w:proofErr w:type="gramStart"/>
      <w:r w:rsidRPr="00124DB1">
        <w:rPr>
          <w:lang w:val="en-CA"/>
        </w:rPr>
        <w:t>policeman</w:t>
      </w:r>
      <w:proofErr w:type="gramEnd"/>
      <w:r w:rsidRPr="00124DB1">
        <w:rPr>
          <w:lang w:val="en-CA"/>
        </w:rPr>
        <w:t>] said: “Okay, you don’t comply I am going to arrest you”.</w:t>
      </w:r>
      <w:r w:rsidR="00AD32E1" w:rsidRPr="00124DB1">
        <w:rPr>
          <w:lang w:val="en-CA"/>
        </w:rPr>
        <w:t xml:space="preserve"> </w:t>
      </w:r>
      <w:r w:rsidRPr="00124DB1">
        <w:rPr>
          <w:lang w:val="en-CA"/>
        </w:rPr>
        <w:t>Then he took my hands and put them behind my back.</w:t>
      </w:r>
    </w:p>
    <w:p w14:paraId="25C8B9AB" w14:textId="77777777" w:rsidR="00507A20" w:rsidRPr="00124DB1" w:rsidRDefault="0080483D" w:rsidP="00507A20">
      <w:pPr>
        <w:pStyle w:val="Citationenretrait"/>
        <w:rPr>
          <w:lang w:val="en-CA"/>
        </w:rPr>
      </w:pPr>
      <w:r w:rsidRPr="00124DB1">
        <w:rPr>
          <w:lang w:val="en-CA"/>
        </w:rPr>
        <w:t>Q</w:t>
      </w:r>
      <w:r w:rsidR="00AD32E1" w:rsidRPr="00124DB1">
        <w:rPr>
          <w:lang w:val="en-CA"/>
        </w:rPr>
        <w:tab/>
      </w:r>
      <w:r w:rsidRPr="00124DB1">
        <w:rPr>
          <w:lang w:val="en-CA"/>
        </w:rPr>
        <w:t>Which hand did he take?</w:t>
      </w:r>
    </w:p>
    <w:p w14:paraId="20879E67" w14:textId="77777777" w:rsidR="00507A20" w:rsidRPr="00124DB1" w:rsidRDefault="0080483D" w:rsidP="00507A20">
      <w:pPr>
        <w:pStyle w:val="Citationenretrait"/>
        <w:rPr>
          <w:lang w:val="en-CA"/>
        </w:rPr>
      </w:pPr>
      <w:r w:rsidRPr="00124DB1">
        <w:rPr>
          <w:lang w:val="en-CA"/>
        </w:rPr>
        <w:t>A</w:t>
      </w:r>
      <w:r w:rsidR="00AD32E1" w:rsidRPr="00124DB1">
        <w:rPr>
          <w:lang w:val="en-CA"/>
        </w:rPr>
        <w:tab/>
      </w:r>
      <w:r w:rsidR="00AD32E1" w:rsidRPr="00124DB1">
        <w:rPr>
          <w:lang w:val="en-CA"/>
        </w:rPr>
        <w:tab/>
      </w:r>
      <w:r w:rsidRPr="00124DB1">
        <w:rPr>
          <w:lang w:val="en-CA"/>
        </w:rPr>
        <w:t>Both hands.</w:t>
      </w:r>
    </w:p>
    <w:p w14:paraId="0DD4A1A0" w14:textId="77777777" w:rsidR="00507A20" w:rsidRPr="00124DB1" w:rsidRDefault="0080483D" w:rsidP="00507A20">
      <w:pPr>
        <w:pStyle w:val="Citationenretrait"/>
        <w:rPr>
          <w:lang w:val="en-CA"/>
        </w:rPr>
      </w:pPr>
      <w:r w:rsidRPr="00124DB1">
        <w:rPr>
          <w:lang w:val="en-CA"/>
        </w:rPr>
        <w:t>Q</w:t>
      </w:r>
      <w:r w:rsidR="00AD32E1" w:rsidRPr="00124DB1">
        <w:rPr>
          <w:lang w:val="en-CA"/>
        </w:rPr>
        <w:tab/>
      </w:r>
      <w:r w:rsidRPr="00124DB1">
        <w:rPr>
          <w:lang w:val="en-CA"/>
        </w:rPr>
        <w:t>Both hands?</w:t>
      </w:r>
    </w:p>
    <w:p w14:paraId="31492030" w14:textId="77777777" w:rsidR="00507A20" w:rsidRPr="00124DB1" w:rsidRDefault="0080483D" w:rsidP="00507A20">
      <w:pPr>
        <w:pStyle w:val="Citationenretrait"/>
        <w:rPr>
          <w:lang w:val="en-CA"/>
        </w:rPr>
      </w:pPr>
      <w:r w:rsidRPr="00124DB1">
        <w:rPr>
          <w:lang w:val="en-CA"/>
        </w:rPr>
        <w:t>A</w:t>
      </w:r>
      <w:r w:rsidR="00AD32E1" w:rsidRPr="00124DB1">
        <w:rPr>
          <w:lang w:val="en-CA"/>
        </w:rPr>
        <w:tab/>
      </w:r>
      <w:r w:rsidR="00AD32E1" w:rsidRPr="00124DB1">
        <w:rPr>
          <w:lang w:val="en-CA"/>
        </w:rPr>
        <w:tab/>
      </w:r>
      <w:r w:rsidRPr="00124DB1">
        <w:rPr>
          <w:lang w:val="en-CA"/>
        </w:rPr>
        <w:t>Yes.</w:t>
      </w:r>
    </w:p>
    <w:p w14:paraId="5D649998" w14:textId="77777777" w:rsidR="00507A20" w:rsidRPr="00124DB1" w:rsidRDefault="0080483D" w:rsidP="00507A20">
      <w:pPr>
        <w:pStyle w:val="Citationenretrait"/>
        <w:rPr>
          <w:lang w:val="en-CA"/>
        </w:rPr>
      </w:pPr>
      <w:r w:rsidRPr="00124DB1">
        <w:rPr>
          <w:lang w:val="en-CA"/>
        </w:rPr>
        <w:t>Q</w:t>
      </w:r>
      <w:r w:rsidR="00AD32E1" w:rsidRPr="00124DB1">
        <w:rPr>
          <w:lang w:val="en-CA"/>
        </w:rPr>
        <w:tab/>
      </w:r>
      <w:r w:rsidRPr="00124DB1">
        <w:rPr>
          <w:lang w:val="en-CA"/>
        </w:rPr>
        <w:t xml:space="preserve">He put them behind your </w:t>
      </w:r>
      <w:proofErr w:type="gramStart"/>
      <w:r w:rsidRPr="00124DB1">
        <w:rPr>
          <w:lang w:val="en-CA"/>
        </w:rPr>
        <w:t>back?</w:t>
      </w:r>
      <w:proofErr w:type="gramEnd"/>
    </w:p>
    <w:p w14:paraId="776532FC" w14:textId="77777777" w:rsidR="00507A20" w:rsidRPr="00124DB1" w:rsidRDefault="0080483D" w:rsidP="00507A20">
      <w:pPr>
        <w:pStyle w:val="Citationenretrait"/>
        <w:rPr>
          <w:lang w:val="en-CA"/>
        </w:rPr>
      </w:pPr>
      <w:r w:rsidRPr="00124DB1">
        <w:rPr>
          <w:szCs w:val="22"/>
          <w:lang w:val="en-CA"/>
        </w:rPr>
        <w:lastRenderedPageBreak/>
        <w:t>A</w:t>
      </w:r>
      <w:r w:rsidR="00AD32E1" w:rsidRPr="00124DB1">
        <w:rPr>
          <w:szCs w:val="22"/>
          <w:lang w:val="en-CA"/>
        </w:rPr>
        <w:tab/>
      </w:r>
      <w:r w:rsidR="00AD32E1" w:rsidRPr="00124DB1">
        <w:rPr>
          <w:szCs w:val="22"/>
          <w:lang w:val="en-CA"/>
        </w:rPr>
        <w:tab/>
      </w:r>
      <w:r w:rsidRPr="00124DB1">
        <w:rPr>
          <w:szCs w:val="22"/>
          <w:lang w:val="en-CA"/>
        </w:rPr>
        <w:t>Yes, and then he forcefully pushed me outside.</w:t>
      </w:r>
      <w:r w:rsidR="00AD32E1" w:rsidRPr="00124DB1">
        <w:rPr>
          <w:rStyle w:val="Appelnotedebasdep"/>
          <w:szCs w:val="22"/>
          <w:lang w:val="en-CA"/>
        </w:rPr>
        <w:footnoteReference w:id="160"/>
      </w:r>
    </w:p>
    <w:p w14:paraId="0061D46D" w14:textId="4C2E855E" w:rsidR="00507A20" w:rsidRPr="00124DB1" w:rsidRDefault="00AD32E1" w:rsidP="00507A20">
      <w:pPr>
        <w:pStyle w:val="Paragraphe"/>
        <w:tabs>
          <w:tab w:val="clear" w:pos="567"/>
        </w:tabs>
      </w:pPr>
      <w:r w:rsidRPr="00124DB1">
        <w:t xml:space="preserve"> </w:t>
      </w:r>
      <w:r w:rsidR="004A206C" w:rsidRPr="00124DB1">
        <w:t>Sergeant</w:t>
      </w:r>
      <w:r w:rsidR="00E076F9" w:rsidRPr="00124DB1">
        <w:t xml:space="preserve"> Mathurin expl</w:t>
      </w:r>
      <w:r w:rsidR="004A206C" w:rsidRPr="00124DB1">
        <w:t>a</w:t>
      </w:r>
      <w:r w:rsidR="00E076F9" w:rsidRPr="00124DB1">
        <w:t xml:space="preserve">ined that </w:t>
      </w:r>
      <w:r w:rsidR="00380AD7" w:rsidRPr="00124DB1">
        <w:t>it</w:t>
      </w:r>
      <w:r w:rsidR="00E076F9" w:rsidRPr="00124DB1">
        <w:t xml:space="preserve"> is not unusual </w:t>
      </w:r>
      <w:r w:rsidR="008C392C" w:rsidRPr="00124DB1">
        <w:t xml:space="preserve">to act this way </w:t>
      </w:r>
      <w:r w:rsidR="00E076F9" w:rsidRPr="00124DB1">
        <w:t xml:space="preserve">when </w:t>
      </w:r>
      <w:r w:rsidR="008C392C" w:rsidRPr="00124DB1">
        <w:t>a small group of officers is</w:t>
      </w:r>
      <w:r w:rsidR="00E076F9" w:rsidRPr="00124DB1">
        <w:t xml:space="preserve"> questioning </w:t>
      </w:r>
      <w:r w:rsidR="00EA063D" w:rsidRPr="00124DB1">
        <w:t xml:space="preserve">someone </w:t>
      </w:r>
      <w:r w:rsidR="00E076F9" w:rsidRPr="00124DB1">
        <w:t>inside a busy</w:t>
      </w:r>
      <w:r w:rsidR="00EA063D" w:rsidRPr="00124DB1">
        <w:t>,</w:t>
      </w:r>
      <w:r w:rsidR="00E076F9" w:rsidRPr="00124DB1">
        <w:t xml:space="preserve"> noisy bar:</w:t>
      </w:r>
    </w:p>
    <w:p w14:paraId="6D20C3F3" w14:textId="19CB9D56" w:rsidR="008C392C" w:rsidRPr="00124DB1" w:rsidRDefault="008C392C" w:rsidP="00507A20">
      <w:pPr>
        <w:pStyle w:val="Citationenretrait"/>
        <w:rPr>
          <w:lang w:val="en-CA"/>
        </w:rPr>
      </w:pPr>
      <w:r w:rsidRPr="00124DB1">
        <w:rPr>
          <w:lang w:val="en-CA"/>
        </w:rPr>
        <w:t>[</w:t>
      </w:r>
      <w:r w:rsidRPr="00124DB1">
        <w:rPr>
          <w:smallCaps/>
          <w:lang w:val="en-CA"/>
        </w:rPr>
        <w:t>translation</w:t>
      </w:r>
      <w:r w:rsidRPr="00124DB1">
        <w:rPr>
          <w:lang w:val="en-CA"/>
        </w:rPr>
        <w:t>]</w:t>
      </w:r>
    </w:p>
    <w:p w14:paraId="441F1C36" w14:textId="10225F41" w:rsidR="00507A20" w:rsidRPr="00124DB1" w:rsidRDefault="00E076F9" w:rsidP="00507A20">
      <w:pPr>
        <w:pStyle w:val="Citationenretrait"/>
        <w:rPr>
          <w:lang w:val="en-CA"/>
        </w:rPr>
      </w:pPr>
      <w:r w:rsidRPr="00124DB1">
        <w:rPr>
          <w:lang w:val="en-CA"/>
        </w:rPr>
        <w:t xml:space="preserve">We know that </w:t>
      </w:r>
      <w:proofErr w:type="gramStart"/>
      <w:r w:rsidRPr="00124DB1">
        <w:rPr>
          <w:u w:val="single"/>
          <w:lang w:val="en-CA"/>
        </w:rPr>
        <w:t>it’s</w:t>
      </w:r>
      <w:proofErr w:type="gramEnd"/>
      <w:r w:rsidRPr="00124DB1">
        <w:rPr>
          <w:u w:val="single"/>
          <w:lang w:val="en-CA"/>
        </w:rPr>
        <w:t xml:space="preserve"> very dangerous because we do not control the environment</w:t>
      </w:r>
      <w:r w:rsidRPr="00124DB1">
        <w:rPr>
          <w:lang w:val="en-CA"/>
        </w:rPr>
        <w:t>.</w:t>
      </w:r>
      <w:r w:rsidR="00AD32E1" w:rsidRPr="00124DB1">
        <w:rPr>
          <w:lang w:val="en-CA"/>
        </w:rPr>
        <w:t xml:space="preserve"> </w:t>
      </w:r>
      <w:r w:rsidRPr="00124DB1">
        <w:rPr>
          <w:lang w:val="en-CA"/>
        </w:rPr>
        <w:t xml:space="preserve">To control the environment, there needs to be more officers, the music has to stop, people have to lay down on the ground, you know, the main ones, that </w:t>
      </w:r>
      <w:r w:rsidR="008C392C" w:rsidRPr="00124DB1">
        <w:rPr>
          <w:lang w:val="en-CA"/>
        </w:rPr>
        <w:t>[</w:t>
      </w:r>
      <w:r w:rsidR="008C392C" w:rsidRPr="00124DB1">
        <w:rPr>
          <w:smallCaps/>
          <w:lang w:val="en-CA"/>
        </w:rPr>
        <w:t>translation</w:t>
      </w:r>
      <w:r w:rsidR="008C392C" w:rsidRPr="00124DB1">
        <w:rPr>
          <w:lang w:val="en-CA"/>
        </w:rPr>
        <w:t xml:space="preserve">] </w:t>
      </w:r>
      <w:r w:rsidRPr="00124DB1">
        <w:rPr>
          <w:lang w:val="en-CA"/>
        </w:rPr>
        <w:t>“Everyone, stop moving.</w:t>
      </w:r>
      <w:r w:rsidR="00AD32E1" w:rsidRPr="00124DB1">
        <w:rPr>
          <w:lang w:val="en-CA"/>
        </w:rPr>
        <w:t xml:space="preserve"> </w:t>
      </w:r>
      <w:r w:rsidRPr="00124DB1">
        <w:rPr>
          <w:lang w:val="en-CA"/>
        </w:rPr>
        <w:t>Stop moving.”</w:t>
      </w:r>
      <w:r w:rsidR="00AD32E1" w:rsidRPr="00124DB1">
        <w:rPr>
          <w:lang w:val="en-CA"/>
        </w:rPr>
        <w:t> </w:t>
      </w:r>
      <w:proofErr w:type="gramStart"/>
      <w:r w:rsidRPr="00124DB1">
        <w:rPr>
          <w:lang w:val="en-CA"/>
        </w:rPr>
        <w:t>And</w:t>
      </w:r>
      <w:proofErr w:type="gramEnd"/>
      <w:r w:rsidRPr="00124DB1">
        <w:rPr>
          <w:lang w:val="en-CA"/>
        </w:rPr>
        <w:t xml:space="preserve"> that’s not what I want</w:t>
      </w:r>
      <w:r w:rsidR="00EA063D" w:rsidRPr="00124DB1">
        <w:rPr>
          <w:lang w:val="en-CA"/>
        </w:rPr>
        <w:t>ed</w:t>
      </w:r>
      <w:r w:rsidRPr="00124DB1">
        <w:rPr>
          <w:lang w:val="en-CA"/>
        </w:rPr>
        <w:t xml:space="preserve"> to do.</w:t>
      </w:r>
      <w:r w:rsidR="00AD32E1" w:rsidRPr="00124DB1">
        <w:rPr>
          <w:lang w:val="en-CA"/>
        </w:rPr>
        <w:t xml:space="preserve"> </w:t>
      </w:r>
      <w:r w:rsidRPr="00124DB1">
        <w:rPr>
          <w:lang w:val="en-CA"/>
        </w:rPr>
        <w:t xml:space="preserve">I </w:t>
      </w:r>
      <w:proofErr w:type="gramStart"/>
      <w:r w:rsidR="00EA063D" w:rsidRPr="00124DB1">
        <w:rPr>
          <w:lang w:val="en-CA"/>
        </w:rPr>
        <w:t>didn’t</w:t>
      </w:r>
      <w:proofErr w:type="gramEnd"/>
      <w:r w:rsidRPr="00124DB1">
        <w:rPr>
          <w:lang w:val="en-CA"/>
        </w:rPr>
        <w:t xml:space="preserve"> want to cause a riot, well, not a riot, but an incredible commotion because </w:t>
      </w:r>
      <w:r w:rsidRPr="00124DB1">
        <w:rPr>
          <w:u w:val="single"/>
          <w:lang w:val="en-CA"/>
        </w:rPr>
        <w:t xml:space="preserve">my objective </w:t>
      </w:r>
      <w:r w:rsidR="00EA063D" w:rsidRPr="00124DB1">
        <w:rPr>
          <w:u w:val="single"/>
          <w:lang w:val="en-CA"/>
        </w:rPr>
        <w:t>was</w:t>
      </w:r>
      <w:r w:rsidRPr="00124DB1">
        <w:rPr>
          <w:u w:val="single"/>
          <w:lang w:val="en-CA"/>
        </w:rPr>
        <w:t xml:space="preserve"> to validate</w:t>
      </w:r>
      <w:r w:rsidRPr="00124DB1">
        <w:rPr>
          <w:lang w:val="en-CA"/>
        </w:rPr>
        <w:t xml:space="preserve"> ...</w:t>
      </w:r>
      <w:r w:rsidR="00AD32E1" w:rsidRPr="00124DB1">
        <w:rPr>
          <w:lang w:val="en-CA"/>
        </w:rPr>
        <w:t xml:space="preserve"> …</w:t>
      </w:r>
    </w:p>
    <w:p w14:paraId="788A0973" w14:textId="0F21B570" w:rsidR="00507A20" w:rsidRPr="00124DB1" w:rsidRDefault="008C392C" w:rsidP="00507A20">
      <w:pPr>
        <w:pStyle w:val="Citationenretrait"/>
        <w:rPr>
          <w:lang w:val="en-CA"/>
        </w:rPr>
      </w:pPr>
      <w:r w:rsidRPr="00124DB1">
        <w:rPr>
          <w:lang w:val="en-CA"/>
        </w:rPr>
        <w:t>…</w:t>
      </w:r>
    </w:p>
    <w:p w14:paraId="62997417" w14:textId="4C875FE7" w:rsidR="00507A20" w:rsidRPr="00124DB1" w:rsidRDefault="00E076F9" w:rsidP="00507A20">
      <w:pPr>
        <w:pStyle w:val="Citationenretrait"/>
        <w:rPr>
          <w:lang w:val="en-CA"/>
        </w:rPr>
      </w:pPr>
      <w:r w:rsidRPr="00124DB1">
        <w:rPr>
          <w:lang w:val="en-CA"/>
        </w:rPr>
        <w:t xml:space="preserve">The best way, the way, </w:t>
      </w:r>
      <w:proofErr w:type="gramStart"/>
      <w:r w:rsidRPr="00124DB1">
        <w:rPr>
          <w:lang w:val="en-CA"/>
        </w:rPr>
        <w:t>let’s</w:t>
      </w:r>
      <w:proofErr w:type="gramEnd"/>
      <w:r w:rsidRPr="00124DB1">
        <w:rPr>
          <w:lang w:val="en-CA"/>
        </w:rPr>
        <w:t xml:space="preserve"> say, the softe</w:t>
      </w:r>
      <w:r w:rsidR="00EA063D" w:rsidRPr="00124DB1">
        <w:rPr>
          <w:lang w:val="en-CA"/>
        </w:rPr>
        <w:t>r</w:t>
      </w:r>
      <w:r w:rsidRPr="00124DB1">
        <w:rPr>
          <w:lang w:val="en-CA"/>
        </w:rPr>
        <w:t>, the gentlest way to intervene is to take, to tell the people “We are going to take you outside the bar, please, now”.</w:t>
      </w:r>
      <w:r w:rsidR="00AD32E1" w:rsidRPr="00124DB1">
        <w:rPr>
          <w:lang w:val="en-CA"/>
        </w:rPr>
        <w:t xml:space="preserve"> </w:t>
      </w:r>
      <w:r w:rsidRPr="00124DB1">
        <w:rPr>
          <w:lang w:val="en-CA"/>
        </w:rPr>
        <w:t xml:space="preserve">Then, </w:t>
      </w:r>
      <w:r w:rsidRPr="00124DB1">
        <w:rPr>
          <w:u w:val="single"/>
          <w:lang w:val="en-CA"/>
        </w:rPr>
        <w:t xml:space="preserve">once outside, we can control the </w:t>
      </w:r>
      <w:r w:rsidR="008C392C" w:rsidRPr="00124DB1">
        <w:rPr>
          <w:u w:val="single"/>
          <w:lang w:val="en-CA"/>
        </w:rPr>
        <w:t>environment</w:t>
      </w:r>
      <w:r w:rsidR="00EA063D" w:rsidRPr="00124DB1">
        <w:rPr>
          <w:lang w:val="en-CA"/>
        </w:rPr>
        <w:t>,</w:t>
      </w:r>
      <w:r w:rsidRPr="00555D53">
        <w:rPr>
          <w:lang w:val="en-CA"/>
        </w:rPr>
        <w:t xml:space="preserve"> </w:t>
      </w:r>
      <w:r w:rsidR="008C392C" w:rsidRPr="00124DB1">
        <w:rPr>
          <w:lang w:val="en-CA"/>
        </w:rPr>
        <w:t>and</w:t>
      </w:r>
      <w:r w:rsidRPr="00124DB1">
        <w:rPr>
          <w:lang w:val="en-CA"/>
        </w:rPr>
        <w:t xml:space="preserve"> we can speak to them according to their reactions.</w:t>
      </w:r>
      <w:r w:rsidR="00AD32E1" w:rsidRPr="00124DB1">
        <w:rPr>
          <w:rStyle w:val="Appelnotedebasdep"/>
          <w:szCs w:val="22"/>
          <w:lang w:val="en-CA"/>
        </w:rPr>
        <w:footnoteReference w:id="161"/>
      </w:r>
      <w:r w:rsidR="00AD32E1" w:rsidRPr="00124DB1">
        <w:rPr>
          <w:lang w:val="en-CA"/>
        </w:rPr>
        <w:t xml:space="preserve"> </w:t>
      </w:r>
    </w:p>
    <w:p w14:paraId="3407852D" w14:textId="0BFF5624" w:rsidR="00507A20" w:rsidRPr="00124DB1" w:rsidRDefault="0075555D" w:rsidP="00507A20">
      <w:pPr>
        <w:pStyle w:val="Citationenretrait"/>
        <w:jc w:val="right"/>
        <w:rPr>
          <w:sz w:val="20"/>
          <w:lang w:val="en-CA"/>
        </w:rPr>
      </w:pPr>
      <w:r w:rsidRPr="00124DB1">
        <w:rPr>
          <w:sz w:val="20"/>
          <w:lang w:val="en-CA"/>
        </w:rPr>
        <w:t>[Emphasis added</w:t>
      </w:r>
      <w:r w:rsidR="00EA063D" w:rsidRPr="00124DB1">
        <w:rPr>
          <w:sz w:val="20"/>
          <w:lang w:val="en-CA"/>
        </w:rPr>
        <w:t>.</w:t>
      </w:r>
      <w:r w:rsidRPr="00124DB1">
        <w:rPr>
          <w:sz w:val="20"/>
          <w:lang w:val="en-CA"/>
        </w:rPr>
        <w:t>]</w:t>
      </w:r>
    </w:p>
    <w:p w14:paraId="1F8CDBA1" w14:textId="3D0E348B" w:rsidR="00507A20" w:rsidRPr="00124DB1" w:rsidRDefault="00E076F9" w:rsidP="00507A20">
      <w:pPr>
        <w:pStyle w:val="Paragraphe"/>
        <w:tabs>
          <w:tab w:val="clear" w:pos="567"/>
        </w:tabs>
      </w:pPr>
      <w:r w:rsidRPr="00124DB1">
        <w:t xml:space="preserve">Once escorted to the </w:t>
      </w:r>
      <w:r w:rsidR="008C392C" w:rsidRPr="00124DB1">
        <w:t>alley</w:t>
      </w:r>
      <w:r w:rsidRPr="00124DB1">
        <w:t xml:space="preserve"> next to the establishment, Mr. </w:t>
      </w:r>
      <w:proofErr w:type="spellStart"/>
      <w:r w:rsidRPr="00124DB1">
        <w:t>Bazelais</w:t>
      </w:r>
      <w:proofErr w:type="spellEnd"/>
      <w:r w:rsidRPr="00124DB1">
        <w:t xml:space="preserve"> </w:t>
      </w:r>
      <w:proofErr w:type="gramStart"/>
      <w:r w:rsidRPr="00124DB1">
        <w:t>was place</w:t>
      </w:r>
      <w:r w:rsidR="008C392C" w:rsidRPr="00124DB1">
        <w:t>d</w:t>
      </w:r>
      <w:proofErr w:type="gramEnd"/>
      <w:r w:rsidRPr="00124DB1">
        <w:t xml:space="preserve"> facing the wall </w:t>
      </w:r>
      <w:r w:rsidR="008C392C" w:rsidRPr="00124DB1">
        <w:t>and</w:t>
      </w:r>
      <w:r w:rsidRPr="00124DB1">
        <w:t xml:space="preserve"> handcuffed with his hands behind his back.</w:t>
      </w:r>
    </w:p>
    <w:p w14:paraId="79D25F84" w14:textId="0B4B0E57" w:rsidR="00507A20" w:rsidRPr="00124DB1" w:rsidRDefault="00E076F9" w:rsidP="00507A20">
      <w:pPr>
        <w:pStyle w:val="Paragraphe"/>
        <w:tabs>
          <w:tab w:val="clear" w:pos="567"/>
        </w:tabs>
      </w:pPr>
      <w:r w:rsidRPr="00124DB1">
        <w:t xml:space="preserve">He was </w:t>
      </w:r>
      <w:r w:rsidR="00EB5399" w:rsidRPr="00124DB1">
        <w:t>then</w:t>
      </w:r>
      <w:r w:rsidRPr="00124DB1">
        <w:t xml:space="preserve"> the subject of a more thorough security search given the summary nature of the search performed inside the bar.</w:t>
      </w:r>
      <w:r w:rsidR="00AD32E1" w:rsidRPr="00124DB1">
        <w:rPr>
          <w:rStyle w:val="Appelnotedebasdep"/>
        </w:rPr>
        <w:footnoteReference w:id="162"/>
      </w:r>
      <w:r w:rsidR="00AD32E1" w:rsidRPr="00124DB1">
        <w:t xml:space="preserve"> </w:t>
      </w:r>
      <w:r w:rsidRPr="00124DB1">
        <w:t>Th</w:t>
      </w:r>
      <w:r w:rsidR="008C392C" w:rsidRPr="00124DB1">
        <w:t xml:space="preserve">e contents of his pockets </w:t>
      </w:r>
      <w:proofErr w:type="gramStart"/>
      <w:r w:rsidR="008C392C" w:rsidRPr="00124DB1">
        <w:t>were</w:t>
      </w:r>
      <w:r w:rsidRPr="00124DB1">
        <w:t xml:space="preserve"> once again checked</w:t>
      </w:r>
      <w:proofErr w:type="gramEnd"/>
      <w:r w:rsidRPr="00124DB1">
        <w:t>.</w:t>
      </w:r>
      <w:r w:rsidR="00AD32E1" w:rsidRPr="00124DB1">
        <w:t xml:space="preserve"> </w:t>
      </w:r>
      <w:r w:rsidRPr="00124DB1">
        <w:t>Then, his belt was unbuckled so that the officer – who was still looking for a weapon – could sweep the inside of his pants with a flash light.</w:t>
      </w:r>
    </w:p>
    <w:p w14:paraId="16A7355B" w14:textId="58756967" w:rsidR="00507A20" w:rsidRPr="00124DB1" w:rsidRDefault="00E076F9" w:rsidP="00507A20">
      <w:pPr>
        <w:pStyle w:val="Paragraphe"/>
        <w:tabs>
          <w:tab w:val="clear" w:pos="567"/>
        </w:tabs>
      </w:pPr>
      <w:r w:rsidRPr="00124DB1">
        <w:t xml:space="preserve">At that point, Mr. </w:t>
      </w:r>
      <w:proofErr w:type="spellStart"/>
      <w:r w:rsidRPr="00124DB1">
        <w:t>Bazel</w:t>
      </w:r>
      <w:r w:rsidR="008C392C" w:rsidRPr="00124DB1">
        <w:t>ais</w:t>
      </w:r>
      <w:proofErr w:type="spellEnd"/>
      <w:r w:rsidRPr="00124DB1">
        <w:t xml:space="preserve"> knew that a baggie with traces of cocaine </w:t>
      </w:r>
      <w:proofErr w:type="gramStart"/>
      <w:r w:rsidRPr="00124DB1">
        <w:t>had just been found</w:t>
      </w:r>
      <w:proofErr w:type="gramEnd"/>
      <w:r w:rsidRPr="00124DB1">
        <w:t xml:space="preserve"> in possession of his friend </w:t>
      </w:r>
      <w:proofErr w:type="spellStart"/>
      <w:r w:rsidRPr="00124DB1">
        <w:t>Milien</w:t>
      </w:r>
      <w:proofErr w:type="spellEnd"/>
      <w:r w:rsidRPr="00124DB1">
        <w:t>.</w:t>
      </w:r>
      <w:r w:rsidR="00AD32E1" w:rsidRPr="00124DB1">
        <w:rPr>
          <w:rStyle w:val="Appelnotedebasdep"/>
        </w:rPr>
        <w:footnoteReference w:id="163"/>
      </w:r>
      <w:r w:rsidR="00AD32E1" w:rsidRPr="00124DB1">
        <w:t xml:space="preserve"> </w:t>
      </w:r>
    </w:p>
    <w:p w14:paraId="27B694D7" w14:textId="77777777" w:rsidR="00507A20" w:rsidRPr="00124DB1" w:rsidRDefault="00E076F9" w:rsidP="00507A20">
      <w:pPr>
        <w:pStyle w:val="Paragraphe"/>
        <w:tabs>
          <w:tab w:val="clear" w:pos="567"/>
        </w:tabs>
      </w:pPr>
      <w:r w:rsidRPr="00124DB1">
        <w:t xml:space="preserve">The search revealed, however, that neither Mr. </w:t>
      </w:r>
      <w:proofErr w:type="spellStart"/>
      <w:r w:rsidRPr="00124DB1">
        <w:t>Bazelais</w:t>
      </w:r>
      <w:proofErr w:type="spellEnd"/>
      <w:r w:rsidRPr="00124DB1">
        <w:t xml:space="preserve"> nor his friends were in possession of any weapons whatsoever.</w:t>
      </w:r>
      <w:r w:rsidR="00AD32E1" w:rsidRPr="00124DB1">
        <w:t xml:space="preserve"> </w:t>
      </w:r>
    </w:p>
    <w:p w14:paraId="2278B919" w14:textId="0749AEFE" w:rsidR="00507A20" w:rsidRPr="00124DB1" w:rsidRDefault="00E076F9" w:rsidP="00507A20">
      <w:pPr>
        <w:pStyle w:val="Paragraphe"/>
        <w:tabs>
          <w:tab w:val="clear" w:pos="567"/>
        </w:tabs>
      </w:pPr>
      <w:r w:rsidRPr="00124DB1">
        <w:lastRenderedPageBreak/>
        <w:t xml:space="preserve">The verifications made in the police data banks concerning the identity and criminal records of the three men – all American citizens – led </w:t>
      </w:r>
      <w:r w:rsidR="008C392C" w:rsidRPr="00124DB1">
        <w:t>Sergeant</w:t>
      </w:r>
      <w:r w:rsidRPr="00124DB1">
        <w:t xml:space="preserve"> Mathurin and his team to conclude that this was clearly a case of </w:t>
      </w:r>
      <w:r w:rsidR="008C392C" w:rsidRPr="00124DB1">
        <w:t>[</w:t>
      </w:r>
      <w:r w:rsidR="008C392C" w:rsidRPr="00124DB1">
        <w:rPr>
          <w:smallCaps/>
        </w:rPr>
        <w:t>translation</w:t>
      </w:r>
      <w:r w:rsidR="008C392C" w:rsidRPr="00124DB1">
        <w:t xml:space="preserve">] </w:t>
      </w:r>
      <w:r w:rsidRPr="00124DB1">
        <w:t>“mistaken identity”.</w:t>
      </w:r>
    </w:p>
    <w:p w14:paraId="0C61C861" w14:textId="77777777" w:rsidR="00507A20" w:rsidRPr="00124DB1" w:rsidRDefault="00E076F9" w:rsidP="00507A20">
      <w:pPr>
        <w:pStyle w:val="Paragraphe"/>
        <w:tabs>
          <w:tab w:val="clear" w:pos="567"/>
        </w:tabs>
      </w:pPr>
      <w:r w:rsidRPr="00124DB1">
        <w:t xml:space="preserve">First, he found it rather unlikely that a Montreal street gang would hire three Americans to come to Quebec to eliminate a mere bar </w:t>
      </w:r>
      <w:proofErr w:type="gramStart"/>
      <w:r w:rsidRPr="00124DB1">
        <w:t>doorman</w:t>
      </w:r>
      <w:proofErr w:type="gramEnd"/>
      <w:r w:rsidRPr="00124DB1">
        <w:t>.</w:t>
      </w:r>
    </w:p>
    <w:p w14:paraId="1E50F1FB" w14:textId="3CECBD90" w:rsidR="00507A20" w:rsidRPr="00124DB1" w:rsidRDefault="00E076F9" w:rsidP="00507A20">
      <w:pPr>
        <w:pStyle w:val="Paragraphe"/>
        <w:tabs>
          <w:tab w:val="clear" w:pos="567"/>
        </w:tabs>
      </w:pPr>
      <w:r w:rsidRPr="00124DB1">
        <w:t xml:space="preserve">Second, the attitude of the three men was inconsistent with the one generally </w:t>
      </w:r>
      <w:r w:rsidR="008C392C" w:rsidRPr="00124DB1">
        <w:t>observed</w:t>
      </w:r>
      <w:r w:rsidRPr="00124DB1">
        <w:t xml:space="preserve"> in street gang members:</w:t>
      </w:r>
    </w:p>
    <w:p w14:paraId="70ACCEF3" w14:textId="70B41F37" w:rsidR="008C392C" w:rsidRPr="00124DB1" w:rsidRDefault="008C392C" w:rsidP="00507A20">
      <w:pPr>
        <w:pStyle w:val="Citationenretrait"/>
        <w:rPr>
          <w:lang w:val="en-CA"/>
        </w:rPr>
      </w:pPr>
      <w:r w:rsidRPr="00124DB1">
        <w:rPr>
          <w:lang w:val="en-CA"/>
        </w:rPr>
        <w:t>[</w:t>
      </w:r>
      <w:r w:rsidRPr="00124DB1">
        <w:rPr>
          <w:smallCaps/>
          <w:lang w:val="en-CA"/>
        </w:rPr>
        <w:t>translation</w:t>
      </w:r>
      <w:r w:rsidRPr="00124DB1">
        <w:rPr>
          <w:lang w:val="en-CA"/>
        </w:rPr>
        <w:t>]</w:t>
      </w:r>
    </w:p>
    <w:p w14:paraId="225FDB44" w14:textId="0AEB809A" w:rsidR="00507A20" w:rsidRPr="00124DB1" w:rsidRDefault="00E076F9" w:rsidP="00507A20">
      <w:pPr>
        <w:pStyle w:val="Citationenretrait"/>
        <w:rPr>
          <w:lang w:val="en-CA"/>
        </w:rPr>
      </w:pPr>
      <w:r w:rsidRPr="00124DB1">
        <w:rPr>
          <w:lang w:val="en-CA"/>
        </w:rPr>
        <w:t>... the people who exited the bar</w:t>
      </w:r>
      <w:r w:rsidR="0046569D" w:rsidRPr="00124DB1">
        <w:rPr>
          <w:lang w:val="en-CA"/>
        </w:rPr>
        <w:t xml:space="preserve"> </w:t>
      </w:r>
      <w:r w:rsidRPr="00124DB1">
        <w:rPr>
          <w:lang w:val="en-CA"/>
        </w:rPr>
        <w:t>... they were people who did not behave in a way that gave me the impression, you know, that</w:t>
      </w:r>
      <w:r w:rsidR="0046569D" w:rsidRPr="00124DB1">
        <w:rPr>
          <w:lang w:val="en-CA"/>
        </w:rPr>
        <w:t xml:space="preserve"> </w:t>
      </w:r>
      <w:r w:rsidRPr="00124DB1">
        <w:rPr>
          <w:lang w:val="en-CA"/>
        </w:rPr>
        <w:t>...</w:t>
      </w:r>
      <w:r w:rsidR="00AD32E1" w:rsidRPr="00124DB1">
        <w:rPr>
          <w:lang w:val="en-CA"/>
        </w:rPr>
        <w:t xml:space="preserve"> </w:t>
      </w:r>
      <w:r w:rsidRPr="00124DB1">
        <w:rPr>
          <w:lang w:val="en-CA"/>
        </w:rPr>
        <w:t>They were not so aggressive as to say</w:t>
      </w:r>
      <w:r w:rsidR="0046569D" w:rsidRPr="00124DB1">
        <w:rPr>
          <w:lang w:val="en-CA"/>
        </w:rPr>
        <w:t xml:space="preserve"> </w:t>
      </w:r>
      <w:r w:rsidRPr="00124DB1">
        <w:rPr>
          <w:lang w:val="en-CA"/>
        </w:rPr>
        <w:t>...</w:t>
      </w:r>
      <w:r w:rsidR="00AD32E1" w:rsidRPr="00124DB1">
        <w:rPr>
          <w:lang w:val="en-CA"/>
        </w:rPr>
        <w:t xml:space="preserve"> </w:t>
      </w:r>
      <w:r w:rsidRPr="00124DB1">
        <w:rPr>
          <w:lang w:val="en-CA"/>
        </w:rPr>
        <w:t xml:space="preserve">Sometimes, we see </w:t>
      </w:r>
      <w:r w:rsidR="008C392C" w:rsidRPr="00124DB1">
        <w:rPr>
          <w:lang w:val="en-CA"/>
        </w:rPr>
        <w:t>that</w:t>
      </w:r>
      <w:r w:rsidRPr="00124DB1">
        <w:rPr>
          <w:lang w:val="en-CA"/>
        </w:rPr>
        <w:t xml:space="preserve">, </w:t>
      </w:r>
      <w:r w:rsidR="0046569D" w:rsidRPr="00124DB1">
        <w:rPr>
          <w:lang w:val="en-CA"/>
        </w:rPr>
        <w:t xml:space="preserve">the </w:t>
      </w:r>
      <w:r w:rsidRPr="00124DB1">
        <w:rPr>
          <w:lang w:val="en-CA"/>
        </w:rPr>
        <w:t>reactions of armed gangs, they’ll be much more</w:t>
      </w:r>
      <w:r w:rsidR="00FE2FE5" w:rsidRPr="00124DB1">
        <w:rPr>
          <w:lang w:val="en-CA"/>
        </w:rPr>
        <w:t xml:space="preserve"> </w:t>
      </w:r>
      <w:r w:rsidRPr="00124DB1">
        <w:rPr>
          <w:lang w:val="en-CA"/>
        </w:rPr>
        <w:t>...</w:t>
      </w:r>
      <w:r w:rsidR="00AD32E1" w:rsidRPr="00124DB1">
        <w:rPr>
          <w:lang w:val="en-CA"/>
        </w:rPr>
        <w:t xml:space="preserve"> </w:t>
      </w:r>
      <w:r w:rsidRPr="00124DB1">
        <w:rPr>
          <w:lang w:val="en-CA"/>
        </w:rPr>
        <w:t>They’ll yell; they’ll gesticulate; they’ll manoeuvre specifically to avoid being searched.</w:t>
      </w:r>
      <w:r w:rsidR="00AD32E1" w:rsidRPr="00124DB1">
        <w:rPr>
          <w:lang w:val="en-CA"/>
        </w:rPr>
        <w:t xml:space="preserve"> </w:t>
      </w:r>
      <w:r w:rsidRPr="00124DB1">
        <w:rPr>
          <w:lang w:val="en-CA"/>
        </w:rPr>
        <w:t xml:space="preserve">From memory, these </w:t>
      </w:r>
      <w:proofErr w:type="gramStart"/>
      <w:r w:rsidRPr="00124DB1">
        <w:rPr>
          <w:lang w:val="en-CA"/>
        </w:rPr>
        <w:t>guys</w:t>
      </w:r>
      <w:proofErr w:type="gramEnd"/>
      <w:r w:rsidRPr="00124DB1">
        <w:rPr>
          <w:lang w:val="en-CA"/>
        </w:rPr>
        <w:t xml:space="preserve"> did not have that reaction, in the moment.</w:t>
      </w:r>
      <w:r w:rsidR="00AD32E1" w:rsidRPr="00124DB1">
        <w:rPr>
          <w:rStyle w:val="Appelnotedebasdep"/>
          <w:szCs w:val="22"/>
          <w:lang w:val="en-CA"/>
        </w:rPr>
        <w:footnoteReference w:id="164"/>
      </w:r>
    </w:p>
    <w:p w14:paraId="526B7234" w14:textId="77777777" w:rsidR="00507A20" w:rsidRPr="00124DB1" w:rsidRDefault="00E076F9" w:rsidP="00507A20">
      <w:pPr>
        <w:pStyle w:val="Paragraphe"/>
        <w:tabs>
          <w:tab w:val="clear" w:pos="567"/>
        </w:tabs>
      </w:pPr>
      <w:r w:rsidRPr="00124DB1">
        <w:t xml:space="preserve">That said, as the Supreme Court of Canada recalls in </w:t>
      </w:r>
      <w:r w:rsidRPr="00124DB1">
        <w:rPr>
          <w:i/>
        </w:rPr>
        <w:t xml:space="preserve">R. v. </w:t>
      </w:r>
      <w:proofErr w:type="spellStart"/>
      <w:r w:rsidRPr="00124DB1">
        <w:rPr>
          <w:i/>
        </w:rPr>
        <w:t>Chehil</w:t>
      </w:r>
      <w:proofErr w:type="spellEnd"/>
      <w:r w:rsidRPr="00124DB1">
        <w:t>:</w:t>
      </w:r>
      <w:r w:rsidR="00AD32E1" w:rsidRPr="00124DB1">
        <w:rPr>
          <w:rStyle w:val="Appelnotedebasdep"/>
        </w:rPr>
        <w:footnoteReference w:id="165"/>
      </w:r>
    </w:p>
    <w:p w14:paraId="7F091F0F" w14:textId="65A30752" w:rsidR="00507A20" w:rsidRPr="00124DB1" w:rsidRDefault="00E076F9" w:rsidP="00555D53">
      <w:pPr>
        <w:pStyle w:val="Citationenretrait"/>
        <w:keepNext/>
        <w:rPr>
          <w:lang w:val="en-CA"/>
        </w:rPr>
      </w:pPr>
      <w:r w:rsidRPr="00124DB1">
        <w:rPr>
          <w:lang w:val="en-CA"/>
        </w:rPr>
        <w:t xml:space="preserve">[28] The fact that reasonable suspicion deals with possibilities, rather than probabilities, necessarily means that in some cases </w:t>
      </w:r>
      <w:r w:rsidRPr="00124DB1">
        <w:rPr>
          <w:u w:val="single"/>
          <w:lang w:val="en-CA"/>
        </w:rPr>
        <w:t>the police will reasonably suspect that innocent people are involved in crime</w:t>
      </w:r>
      <w:r w:rsidRPr="00124DB1">
        <w:rPr>
          <w:lang w:val="en-CA"/>
        </w:rPr>
        <w:t>.</w:t>
      </w:r>
    </w:p>
    <w:p w14:paraId="1BF9916A" w14:textId="77777777" w:rsidR="00507A20" w:rsidRPr="00124DB1" w:rsidRDefault="00BB3A86" w:rsidP="00555D53">
      <w:pPr>
        <w:pStyle w:val="Citationenretrait"/>
        <w:keepNext/>
        <w:jc w:val="right"/>
        <w:rPr>
          <w:sz w:val="20"/>
          <w:lang w:val="en-CA"/>
        </w:rPr>
      </w:pPr>
      <w:r w:rsidRPr="00124DB1">
        <w:rPr>
          <w:sz w:val="20"/>
          <w:lang w:val="en-CA"/>
        </w:rPr>
        <w:t>[Emphasis added.]</w:t>
      </w:r>
    </w:p>
    <w:p w14:paraId="504C58DD" w14:textId="77777777" w:rsidR="00507A20" w:rsidRPr="00124DB1" w:rsidRDefault="00E076F9" w:rsidP="00507A20">
      <w:pPr>
        <w:pStyle w:val="Paragraphe"/>
        <w:tabs>
          <w:tab w:val="clear" w:pos="567"/>
        </w:tabs>
      </w:pPr>
      <w:r w:rsidRPr="00124DB1">
        <w:t xml:space="preserve">That is </w:t>
      </w:r>
      <w:proofErr w:type="gramStart"/>
      <w:r w:rsidRPr="00124DB1">
        <w:t>unfortunately</w:t>
      </w:r>
      <w:proofErr w:type="gramEnd"/>
      <w:r w:rsidRPr="00124DB1">
        <w:t xml:space="preserve"> what happened here.</w:t>
      </w:r>
      <w:r w:rsidR="00AD32E1" w:rsidRPr="00124DB1">
        <w:t xml:space="preserve"> </w:t>
      </w:r>
    </w:p>
    <w:p w14:paraId="1BF9E975" w14:textId="146AC1A4" w:rsidR="00507A20" w:rsidRPr="00124DB1" w:rsidRDefault="00E076F9" w:rsidP="00507A20">
      <w:pPr>
        <w:pStyle w:val="Titre3"/>
        <w:rPr>
          <w:lang w:val="en-CA"/>
        </w:rPr>
      </w:pPr>
      <w:r w:rsidRPr="00124DB1">
        <w:rPr>
          <w:lang w:val="en-CA"/>
        </w:rPr>
        <w:t xml:space="preserve">End of </w:t>
      </w:r>
      <w:r w:rsidR="00FE2FE5" w:rsidRPr="00124DB1">
        <w:rPr>
          <w:lang w:val="en-CA"/>
        </w:rPr>
        <w:t xml:space="preserve">the </w:t>
      </w:r>
      <w:r w:rsidRPr="00124DB1">
        <w:rPr>
          <w:lang w:val="en-CA"/>
        </w:rPr>
        <w:t>intervention</w:t>
      </w:r>
    </w:p>
    <w:p w14:paraId="5D7DF8CE" w14:textId="5437335C" w:rsidR="00507A20" w:rsidRPr="00124DB1" w:rsidRDefault="00E076F9" w:rsidP="00507A20">
      <w:pPr>
        <w:pStyle w:val="Paragraphe"/>
        <w:tabs>
          <w:tab w:val="clear" w:pos="567"/>
        </w:tabs>
      </w:pPr>
      <w:r w:rsidRPr="00124DB1">
        <w:t xml:space="preserve">Mr. </w:t>
      </w:r>
      <w:proofErr w:type="spellStart"/>
      <w:r w:rsidRPr="00124DB1">
        <w:t>Bazelais</w:t>
      </w:r>
      <w:proofErr w:type="spellEnd"/>
      <w:r w:rsidRPr="00124DB1">
        <w:t xml:space="preserve"> </w:t>
      </w:r>
      <w:proofErr w:type="gramStart"/>
      <w:r w:rsidRPr="00124DB1">
        <w:t>was freed</w:t>
      </w:r>
      <w:proofErr w:type="gramEnd"/>
      <w:r w:rsidRPr="00124DB1">
        <w:t xml:space="preserve"> </w:t>
      </w:r>
      <w:r w:rsidR="00FE2FE5" w:rsidRPr="00124DB1">
        <w:t>from</w:t>
      </w:r>
      <w:r w:rsidRPr="00124DB1">
        <w:t xml:space="preserve"> his handcuffs as soon as the police officers received confirmation that there was a mistake.</w:t>
      </w:r>
      <w:r w:rsidR="00AD32E1" w:rsidRPr="00124DB1">
        <w:rPr>
          <w:rStyle w:val="Appelnotedebasdep"/>
        </w:rPr>
        <w:footnoteReference w:id="166"/>
      </w:r>
    </w:p>
    <w:p w14:paraId="44BEE5BB" w14:textId="23C2E69A" w:rsidR="00507A20" w:rsidRPr="00124DB1" w:rsidRDefault="00E076F9" w:rsidP="00507A20">
      <w:pPr>
        <w:pStyle w:val="Paragraphe"/>
        <w:tabs>
          <w:tab w:val="clear" w:pos="567"/>
        </w:tabs>
      </w:pPr>
      <w:r w:rsidRPr="00124DB1">
        <w:t>What he had just experienced caused him to feel anxious, humiliated, and baffled</w:t>
      </w:r>
      <w:r w:rsidR="0095674F" w:rsidRPr="00124DB1">
        <w:t>.</w:t>
      </w:r>
      <w:r w:rsidRPr="00124DB1">
        <w:t xml:space="preserve"> “I was shocked for what happened”</w:t>
      </w:r>
      <w:r w:rsidR="0095674F" w:rsidRPr="00124DB1">
        <w:t>, he said</w:t>
      </w:r>
      <w:r w:rsidRPr="00124DB1">
        <w:t>. </w:t>
      </w:r>
      <w:r w:rsidR="00AD32E1" w:rsidRPr="00124DB1">
        <w:t xml:space="preserve"> </w:t>
      </w:r>
      <w:r w:rsidRPr="00124DB1">
        <w:t xml:space="preserve">He </w:t>
      </w:r>
      <w:r w:rsidR="00E27489" w:rsidRPr="00124DB1">
        <w:t>desperately</w:t>
      </w:r>
      <w:r w:rsidRPr="00124DB1">
        <w:t xml:space="preserve"> sought to know the reasons why he and his friends had been the target of this intervention.</w:t>
      </w:r>
    </w:p>
    <w:p w14:paraId="6A800A2D" w14:textId="5B2A40AF" w:rsidR="00507A20" w:rsidRPr="00124DB1" w:rsidRDefault="00E076F9" w:rsidP="00507A20">
      <w:pPr>
        <w:pStyle w:val="Paragraphe"/>
        <w:tabs>
          <w:tab w:val="clear" w:pos="567"/>
        </w:tabs>
      </w:pPr>
      <w:r w:rsidRPr="00124DB1">
        <w:t xml:space="preserve">In light of his </w:t>
      </w:r>
      <w:r w:rsidR="00E27489" w:rsidRPr="00124DB1">
        <w:t>insistence</w:t>
      </w:r>
      <w:r w:rsidRPr="00124DB1">
        <w:t xml:space="preserve">, </w:t>
      </w:r>
      <w:r w:rsidR="00E27489" w:rsidRPr="00124DB1">
        <w:t>Sergeant</w:t>
      </w:r>
      <w:r w:rsidRPr="00124DB1">
        <w:t xml:space="preserve"> Mathurin began a conversation with him</w:t>
      </w:r>
      <w:r w:rsidR="00256F1B">
        <w:t>.</w:t>
      </w:r>
    </w:p>
    <w:p w14:paraId="4D1358FB" w14:textId="77777777" w:rsidR="00507A20" w:rsidRPr="00124DB1" w:rsidRDefault="00E076F9" w:rsidP="00507A20">
      <w:pPr>
        <w:pStyle w:val="Paragraphe"/>
        <w:tabs>
          <w:tab w:val="clear" w:pos="567"/>
        </w:tabs>
      </w:pPr>
      <w:r w:rsidRPr="00124DB1">
        <w:lastRenderedPageBreak/>
        <w:t xml:space="preserve">In this respect, the CRARR wrote the following in the discrimination complaint it filed on behalf of Mr. </w:t>
      </w:r>
      <w:proofErr w:type="spellStart"/>
      <w:r w:rsidRPr="00124DB1">
        <w:t>Bazelais</w:t>
      </w:r>
      <w:proofErr w:type="spellEnd"/>
      <w:r w:rsidRPr="00124DB1">
        <w:t>:</w:t>
      </w:r>
      <w:r w:rsidR="00AD32E1" w:rsidRPr="00124DB1">
        <w:rPr>
          <w:rStyle w:val="Appelnotedebasdep"/>
        </w:rPr>
        <w:footnoteReference w:id="167"/>
      </w:r>
      <w:r w:rsidR="00AD32E1" w:rsidRPr="00124DB1">
        <w:t xml:space="preserve"> </w:t>
      </w:r>
    </w:p>
    <w:p w14:paraId="70BEAD9F" w14:textId="77777777" w:rsidR="00507A20" w:rsidRPr="00124DB1" w:rsidRDefault="00AD32E1" w:rsidP="00507A20">
      <w:pPr>
        <w:pStyle w:val="Citationenretrait"/>
        <w:ind w:left="1467" w:hanging="900"/>
        <w:rPr>
          <w:lang w:val="en-CA"/>
        </w:rPr>
      </w:pPr>
      <w:r w:rsidRPr="00124DB1">
        <w:rPr>
          <w:lang w:val="en-CA"/>
        </w:rPr>
        <w:t>28.</w:t>
      </w:r>
      <w:r w:rsidRPr="00124DB1">
        <w:rPr>
          <w:lang w:val="en-CA"/>
        </w:rPr>
        <w:tab/>
      </w:r>
      <w:r w:rsidR="00E076F9" w:rsidRPr="00124DB1">
        <w:rPr>
          <w:lang w:val="en-CA"/>
        </w:rPr>
        <w:t xml:space="preserve">Another officer whose nametag read “Mathurin S.” approached Victim </w:t>
      </w:r>
      <w:proofErr w:type="spellStart"/>
      <w:r w:rsidR="00E076F9" w:rsidRPr="00124DB1">
        <w:rPr>
          <w:lang w:val="en-CA"/>
        </w:rPr>
        <w:t>Bazelais</w:t>
      </w:r>
      <w:proofErr w:type="spellEnd"/>
      <w:r w:rsidR="00E076F9" w:rsidRPr="00124DB1">
        <w:rPr>
          <w:lang w:val="en-CA"/>
        </w:rPr>
        <w:t xml:space="preserve"> and identified himself as the supervisor.</w:t>
      </w:r>
    </w:p>
    <w:p w14:paraId="5E17A1E0" w14:textId="77777777" w:rsidR="00507A20" w:rsidRPr="00124DB1" w:rsidRDefault="00AD32E1" w:rsidP="00507A20">
      <w:pPr>
        <w:pStyle w:val="Citationenretrait"/>
        <w:ind w:left="1467" w:hanging="900"/>
        <w:rPr>
          <w:lang w:val="en-CA"/>
        </w:rPr>
      </w:pPr>
      <w:r w:rsidRPr="00124DB1">
        <w:rPr>
          <w:lang w:val="en-CA"/>
        </w:rPr>
        <w:t>29.</w:t>
      </w:r>
      <w:r w:rsidRPr="00124DB1">
        <w:rPr>
          <w:lang w:val="en-CA"/>
        </w:rPr>
        <w:tab/>
      </w:r>
      <w:r w:rsidR="00E076F9" w:rsidRPr="00124DB1">
        <w:rPr>
          <w:lang w:val="en-CA"/>
        </w:rPr>
        <w:t xml:space="preserve">Respondent Mathurin asked whether Victim </w:t>
      </w:r>
      <w:proofErr w:type="spellStart"/>
      <w:r w:rsidR="00E076F9" w:rsidRPr="00124DB1">
        <w:rPr>
          <w:lang w:val="en-CA"/>
        </w:rPr>
        <w:t>Bazelais</w:t>
      </w:r>
      <w:proofErr w:type="spellEnd"/>
      <w:r w:rsidR="00E076F9" w:rsidRPr="00124DB1">
        <w:rPr>
          <w:lang w:val="en-CA"/>
        </w:rPr>
        <w:t xml:space="preserve"> and his companions were from the United States, which Victim </w:t>
      </w:r>
      <w:proofErr w:type="spellStart"/>
      <w:r w:rsidR="00E076F9" w:rsidRPr="00124DB1">
        <w:rPr>
          <w:lang w:val="en-CA"/>
        </w:rPr>
        <w:t>Bazelais</w:t>
      </w:r>
      <w:proofErr w:type="spellEnd"/>
      <w:r w:rsidR="00E076F9" w:rsidRPr="00124DB1">
        <w:rPr>
          <w:lang w:val="en-CA"/>
        </w:rPr>
        <w:t xml:space="preserve"> confirmed.</w:t>
      </w:r>
      <w:r w:rsidRPr="00124DB1">
        <w:rPr>
          <w:lang w:val="en-CA"/>
        </w:rPr>
        <w:t xml:space="preserve"> </w:t>
      </w:r>
      <w:r w:rsidR="00E076F9" w:rsidRPr="00124DB1">
        <w:rPr>
          <w:lang w:val="en-CA"/>
        </w:rPr>
        <w:t>Respondent Mathurin stated that the laws in Canada were very different and that the police “could do whatever we want.”</w:t>
      </w:r>
      <w:r w:rsidRPr="00124DB1">
        <w:rPr>
          <w:lang w:val="en-CA"/>
        </w:rPr>
        <w:t xml:space="preserve"> </w:t>
      </w:r>
    </w:p>
    <w:p w14:paraId="4BA9E49E" w14:textId="77777777" w:rsidR="00507A20" w:rsidRPr="00124DB1" w:rsidRDefault="00AD32E1" w:rsidP="00507A20">
      <w:pPr>
        <w:pStyle w:val="Citationenretrait"/>
        <w:ind w:left="1467" w:hanging="900"/>
        <w:rPr>
          <w:lang w:val="en-CA"/>
        </w:rPr>
      </w:pPr>
      <w:r w:rsidRPr="00124DB1">
        <w:rPr>
          <w:lang w:val="en-CA"/>
        </w:rPr>
        <w:t>30.</w:t>
      </w:r>
      <w:r w:rsidRPr="00124DB1">
        <w:rPr>
          <w:lang w:val="en-CA"/>
        </w:rPr>
        <w:tab/>
      </w:r>
      <w:r w:rsidR="00E076F9" w:rsidRPr="00124DB1">
        <w:rPr>
          <w:lang w:val="en-CA"/>
        </w:rPr>
        <w:t xml:space="preserve">Respondent Mathurin stated that if Victim </w:t>
      </w:r>
      <w:proofErr w:type="spellStart"/>
      <w:r w:rsidR="00E076F9" w:rsidRPr="00124DB1">
        <w:rPr>
          <w:lang w:val="en-CA"/>
        </w:rPr>
        <w:t>Bazelais</w:t>
      </w:r>
      <w:proofErr w:type="spellEnd"/>
      <w:r w:rsidR="00E076F9" w:rsidRPr="00124DB1">
        <w:rPr>
          <w:lang w:val="en-CA"/>
        </w:rPr>
        <w:t xml:space="preserve"> wanted to file a complaint, that he was the supervisor and therefore responsible.</w:t>
      </w:r>
      <w:r w:rsidRPr="00124DB1">
        <w:rPr>
          <w:lang w:val="en-CA"/>
        </w:rPr>
        <w:t xml:space="preserve"> </w:t>
      </w:r>
      <w:r w:rsidR="00E076F9" w:rsidRPr="00124DB1">
        <w:rPr>
          <w:lang w:val="en-CA"/>
        </w:rPr>
        <w:t xml:space="preserve">That </w:t>
      </w:r>
      <w:proofErr w:type="gramStart"/>
      <w:r w:rsidR="00E076F9" w:rsidRPr="00124DB1">
        <w:rPr>
          <w:lang w:val="en-CA"/>
        </w:rPr>
        <w:t>was said</w:t>
      </w:r>
      <w:proofErr w:type="gramEnd"/>
      <w:r w:rsidR="00E076F9" w:rsidRPr="00124DB1">
        <w:rPr>
          <w:lang w:val="en-CA"/>
        </w:rPr>
        <w:t xml:space="preserve"> in a manner that suggested Respondent Mathurin was being sarcastic.</w:t>
      </w:r>
    </w:p>
    <w:p w14:paraId="4FB45DDC" w14:textId="77777777" w:rsidR="00507A20" w:rsidRPr="00124DB1" w:rsidRDefault="00AD32E1" w:rsidP="00507A20">
      <w:pPr>
        <w:pStyle w:val="Citationenretrait"/>
        <w:ind w:left="1467" w:hanging="900"/>
        <w:rPr>
          <w:lang w:val="en-CA"/>
        </w:rPr>
      </w:pPr>
      <w:r w:rsidRPr="00124DB1">
        <w:rPr>
          <w:lang w:val="en-CA"/>
        </w:rPr>
        <w:t>31.</w:t>
      </w:r>
      <w:r w:rsidRPr="00124DB1">
        <w:rPr>
          <w:lang w:val="en-CA"/>
        </w:rPr>
        <w:tab/>
      </w:r>
      <w:r w:rsidR="00E076F9" w:rsidRPr="00124DB1">
        <w:rPr>
          <w:lang w:val="en-CA"/>
        </w:rPr>
        <w:t xml:space="preserve">Victim </w:t>
      </w:r>
      <w:proofErr w:type="spellStart"/>
      <w:r w:rsidR="00E076F9" w:rsidRPr="00124DB1">
        <w:rPr>
          <w:lang w:val="en-CA"/>
        </w:rPr>
        <w:t>Bazelais</w:t>
      </w:r>
      <w:proofErr w:type="spellEnd"/>
      <w:r w:rsidR="00E076F9" w:rsidRPr="00124DB1">
        <w:rPr>
          <w:lang w:val="en-CA"/>
        </w:rPr>
        <w:t xml:space="preserve"> asked Respondent Mathurin for his badge number.</w:t>
      </w:r>
      <w:r w:rsidRPr="00124DB1">
        <w:rPr>
          <w:lang w:val="en-CA"/>
        </w:rPr>
        <w:t xml:space="preserve"> </w:t>
      </w:r>
      <w:r w:rsidR="00E076F9" w:rsidRPr="00124DB1">
        <w:rPr>
          <w:lang w:val="en-CA"/>
        </w:rPr>
        <w:t xml:space="preserve">Respondent Mathurin responded by making fun of Victim </w:t>
      </w:r>
      <w:proofErr w:type="spellStart"/>
      <w:r w:rsidR="00E076F9" w:rsidRPr="00124DB1">
        <w:rPr>
          <w:lang w:val="en-CA"/>
        </w:rPr>
        <w:t>Bazelais</w:t>
      </w:r>
      <w:proofErr w:type="spellEnd"/>
      <w:r w:rsidR="00E076F9" w:rsidRPr="00124DB1">
        <w:rPr>
          <w:lang w:val="en-CA"/>
        </w:rPr>
        <w:t xml:space="preserve"> in front of the other officers and bystanders, including a sarcastic offer to write it on Victim </w:t>
      </w:r>
      <w:proofErr w:type="spellStart"/>
      <w:r w:rsidR="00E076F9" w:rsidRPr="00124DB1">
        <w:rPr>
          <w:lang w:val="en-CA"/>
        </w:rPr>
        <w:t>Bazelais</w:t>
      </w:r>
      <w:proofErr w:type="spellEnd"/>
      <w:r w:rsidR="00E076F9" w:rsidRPr="00124DB1">
        <w:rPr>
          <w:lang w:val="en-CA"/>
        </w:rPr>
        <w:t>’ skin if a pen was available.</w:t>
      </w:r>
      <w:r w:rsidRPr="00124DB1">
        <w:rPr>
          <w:lang w:val="en-CA"/>
        </w:rPr>
        <w:t xml:space="preserve"> </w:t>
      </w:r>
      <w:r w:rsidR="00E076F9" w:rsidRPr="00124DB1">
        <w:rPr>
          <w:lang w:val="en-CA"/>
        </w:rPr>
        <w:t>Respondent Mathurin mocked the request for his badge number and make jokes about the shooting of Michael Brown in Ferguson, Missouri.</w:t>
      </w:r>
    </w:p>
    <w:p w14:paraId="5581A04E" w14:textId="77777777" w:rsidR="00507A20" w:rsidRPr="00124DB1" w:rsidRDefault="00AD32E1" w:rsidP="00507A20">
      <w:pPr>
        <w:pStyle w:val="Citationenretrait"/>
        <w:ind w:left="1467" w:hanging="900"/>
        <w:rPr>
          <w:lang w:val="en-CA"/>
        </w:rPr>
      </w:pPr>
      <w:r w:rsidRPr="00124DB1">
        <w:rPr>
          <w:lang w:val="en-CA"/>
        </w:rPr>
        <w:t>32.</w:t>
      </w:r>
      <w:r w:rsidRPr="00124DB1">
        <w:rPr>
          <w:lang w:val="en-CA"/>
        </w:rPr>
        <w:tab/>
      </w:r>
      <w:r w:rsidR="00E076F9" w:rsidRPr="00124DB1">
        <w:rPr>
          <w:lang w:val="en-CA"/>
        </w:rPr>
        <w:t xml:space="preserve">Respondent Mathurin never provided Victim </w:t>
      </w:r>
      <w:proofErr w:type="spellStart"/>
      <w:r w:rsidR="00E076F9" w:rsidRPr="00124DB1">
        <w:rPr>
          <w:lang w:val="en-CA"/>
        </w:rPr>
        <w:t>Bazelais</w:t>
      </w:r>
      <w:proofErr w:type="spellEnd"/>
      <w:r w:rsidR="00E076F9" w:rsidRPr="00124DB1">
        <w:rPr>
          <w:lang w:val="en-CA"/>
        </w:rPr>
        <w:t xml:space="preserve"> with his badge number.</w:t>
      </w:r>
    </w:p>
    <w:p w14:paraId="68EFB2F0" w14:textId="77777777" w:rsidR="00507A20" w:rsidRPr="00124DB1" w:rsidRDefault="00AD32E1" w:rsidP="00507A20">
      <w:pPr>
        <w:pStyle w:val="Citationenretrait"/>
        <w:ind w:left="1467" w:hanging="900"/>
        <w:rPr>
          <w:lang w:val="en-CA"/>
        </w:rPr>
      </w:pPr>
      <w:r w:rsidRPr="00124DB1">
        <w:rPr>
          <w:lang w:val="en-CA"/>
        </w:rPr>
        <w:t>33.</w:t>
      </w:r>
      <w:r w:rsidRPr="00124DB1">
        <w:rPr>
          <w:lang w:val="en-CA"/>
        </w:rPr>
        <w:tab/>
      </w:r>
      <w:r w:rsidR="00E076F9" w:rsidRPr="00124DB1">
        <w:rPr>
          <w:lang w:val="en-CA"/>
        </w:rPr>
        <w:t xml:space="preserve">At around 11:50 pm, the officers told Victim </w:t>
      </w:r>
      <w:proofErr w:type="spellStart"/>
      <w:r w:rsidR="00E076F9" w:rsidRPr="00124DB1">
        <w:rPr>
          <w:lang w:val="en-CA"/>
        </w:rPr>
        <w:t>Bazelais</w:t>
      </w:r>
      <w:proofErr w:type="spellEnd"/>
      <w:r w:rsidR="00E076F9" w:rsidRPr="00124DB1">
        <w:rPr>
          <w:lang w:val="en-CA"/>
        </w:rPr>
        <w:t xml:space="preserve"> and his companions to leave and that they did not have the right to go back to </w:t>
      </w:r>
      <w:proofErr w:type="gramStart"/>
      <w:r w:rsidR="00E076F9" w:rsidRPr="00124DB1">
        <w:rPr>
          <w:lang w:val="en-CA"/>
        </w:rPr>
        <w:t>Thursday’s</w:t>
      </w:r>
      <w:proofErr w:type="gramEnd"/>
      <w:r w:rsidR="00E076F9" w:rsidRPr="00124DB1">
        <w:rPr>
          <w:lang w:val="en-CA"/>
        </w:rPr>
        <w:t xml:space="preserve"> to finish the drinks they had paid for.</w:t>
      </w:r>
      <w:r w:rsidRPr="00124DB1">
        <w:rPr>
          <w:lang w:val="en-CA"/>
        </w:rPr>
        <w:t xml:space="preserve"> </w:t>
      </w:r>
      <w:r w:rsidR="00E076F9" w:rsidRPr="00124DB1">
        <w:rPr>
          <w:lang w:val="en-CA"/>
        </w:rPr>
        <w:t xml:space="preserve">The officers told them that if they did not leave they </w:t>
      </w:r>
      <w:proofErr w:type="gramStart"/>
      <w:r w:rsidR="00E076F9" w:rsidRPr="00124DB1">
        <w:rPr>
          <w:lang w:val="en-CA"/>
        </w:rPr>
        <w:t>would be arrested</w:t>
      </w:r>
      <w:proofErr w:type="gramEnd"/>
      <w:r w:rsidR="00E076F9" w:rsidRPr="00124DB1">
        <w:rPr>
          <w:lang w:val="en-CA"/>
        </w:rPr>
        <w:t>.</w:t>
      </w:r>
      <w:r w:rsidRPr="00124DB1">
        <w:rPr>
          <w:lang w:val="en-CA"/>
        </w:rPr>
        <w:t xml:space="preserve"> </w:t>
      </w:r>
      <w:r w:rsidR="00E076F9" w:rsidRPr="00124DB1">
        <w:rPr>
          <w:lang w:val="en-CA"/>
        </w:rPr>
        <w:t xml:space="preserve">Victim </w:t>
      </w:r>
      <w:proofErr w:type="spellStart"/>
      <w:r w:rsidR="00E076F9" w:rsidRPr="00124DB1">
        <w:rPr>
          <w:lang w:val="en-CA"/>
        </w:rPr>
        <w:t>Bazelais</w:t>
      </w:r>
      <w:proofErr w:type="spellEnd"/>
      <w:r w:rsidR="00E076F9" w:rsidRPr="00124DB1">
        <w:rPr>
          <w:lang w:val="en-CA"/>
        </w:rPr>
        <w:t xml:space="preserve"> and his companions walked to their car and left.</w:t>
      </w:r>
    </w:p>
    <w:p w14:paraId="4EB0A2E3" w14:textId="77777777" w:rsidR="00507A20" w:rsidRPr="00124DB1" w:rsidRDefault="00AD32E1" w:rsidP="00507A20">
      <w:pPr>
        <w:pStyle w:val="Citationenretrait"/>
        <w:ind w:left="1467" w:hanging="900"/>
        <w:rPr>
          <w:lang w:val="en-CA"/>
        </w:rPr>
      </w:pPr>
      <w:r w:rsidRPr="00124DB1">
        <w:rPr>
          <w:lang w:val="en-CA"/>
        </w:rPr>
        <w:t>34.</w:t>
      </w:r>
      <w:r w:rsidRPr="00124DB1">
        <w:rPr>
          <w:lang w:val="en-CA"/>
        </w:rPr>
        <w:tab/>
      </w:r>
      <w:r w:rsidR="00E076F9" w:rsidRPr="00124DB1">
        <w:rPr>
          <w:lang w:val="en-CA"/>
        </w:rPr>
        <w:t xml:space="preserve">The officers never informed Victim </w:t>
      </w:r>
      <w:proofErr w:type="spellStart"/>
      <w:r w:rsidR="00E076F9" w:rsidRPr="00124DB1">
        <w:rPr>
          <w:lang w:val="en-CA"/>
        </w:rPr>
        <w:t>Bazelais</w:t>
      </w:r>
      <w:proofErr w:type="spellEnd"/>
      <w:r w:rsidR="00E076F9" w:rsidRPr="00124DB1">
        <w:rPr>
          <w:lang w:val="en-CA"/>
        </w:rPr>
        <w:t xml:space="preserve"> or his companions of why they </w:t>
      </w:r>
      <w:proofErr w:type="gramStart"/>
      <w:r w:rsidR="00E076F9" w:rsidRPr="00124DB1">
        <w:rPr>
          <w:lang w:val="en-CA"/>
        </w:rPr>
        <w:t>were originally suspected</w:t>
      </w:r>
      <w:proofErr w:type="gramEnd"/>
      <w:r w:rsidR="00E076F9" w:rsidRPr="00124DB1">
        <w:rPr>
          <w:lang w:val="en-CA"/>
        </w:rPr>
        <w:t xml:space="preserve"> of having done anything wrong.</w:t>
      </w:r>
      <w:r w:rsidRPr="00124DB1">
        <w:rPr>
          <w:lang w:val="en-CA"/>
        </w:rPr>
        <w:t xml:space="preserve"> </w:t>
      </w:r>
      <w:r w:rsidR="00E076F9" w:rsidRPr="00124DB1">
        <w:rPr>
          <w:lang w:val="en-CA"/>
        </w:rPr>
        <w:t xml:space="preserve">No explanation of why Victim </w:t>
      </w:r>
      <w:proofErr w:type="spellStart"/>
      <w:r w:rsidR="00E076F9" w:rsidRPr="00124DB1">
        <w:rPr>
          <w:lang w:val="en-CA"/>
        </w:rPr>
        <w:t>Bazelais</w:t>
      </w:r>
      <w:proofErr w:type="spellEnd"/>
      <w:r w:rsidR="00E076F9" w:rsidRPr="00124DB1">
        <w:rPr>
          <w:lang w:val="en-CA"/>
        </w:rPr>
        <w:t xml:space="preserve"> and Mr.</w:t>
      </w:r>
      <w:r w:rsidRPr="00124DB1">
        <w:rPr>
          <w:lang w:val="en-CA"/>
        </w:rPr>
        <w:t xml:space="preserve"> </w:t>
      </w:r>
      <w:r w:rsidR="00E076F9" w:rsidRPr="00124DB1">
        <w:rPr>
          <w:lang w:val="en-CA"/>
        </w:rPr>
        <w:t>Bernard were associated with Mr.</w:t>
      </w:r>
      <w:r w:rsidRPr="00124DB1">
        <w:rPr>
          <w:lang w:val="en-CA"/>
        </w:rPr>
        <w:t xml:space="preserve"> </w:t>
      </w:r>
      <w:proofErr w:type="spellStart"/>
      <w:r w:rsidR="00E076F9" w:rsidRPr="00124DB1">
        <w:rPr>
          <w:lang w:val="en-CA"/>
        </w:rPr>
        <w:t>Milien</w:t>
      </w:r>
      <w:proofErr w:type="spellEnd"/>
      <w:r w:rsidR="00E076F9" w:rsidRPr="00124DB1">
        <w:rPr>
          <w:lang w:val="en-CA"/>
        </w:rPr>
        <w:t xml:space="preserve">, who </w:t>
      </w:r>
      <w:proofErr w:type="gramStart"/>
      <w:r w:rsidR="00E076F9" w:rsidRPr="00124DB1">
        <w:rPr>
          <w:lang w:val="en-CA"/>
        </w:rPr>
        <w:t>was detained</w:t>
      </w:r>
      <w:proofErr w:type="gramEnd"/>
      <w:r w:rsidR="00E076F9" w:rsidRPr="00124DB1">
        <w:rPr>
          <w:lang w:val="en-CA"/>
        </w:rPr>
        <w:t xml:space="preserve"> outside the bar.</w:t>
      </w:r>
      <w:r w:rsidRPr="00124DB1">
        <w:rPr>
          <w:lang w:val="en-CA"/>
        </w:rPr>
        <w:t xml:space="preserve"> </w:t>
      </w:r>
      <w:r w:rsidR="00E076F9" w:rsidRPr="00124DB1">
        <w:rPr>
          <w:lang w:val="en-CA"/>
        </w:rPr>
        <w:t xml:space="preserve">No charges </w:t>
      </w:r>
      <w:proofErr w:type="gramStart"/>
      <w:r w:rsidR="00E076F9" w:rsidRPr="00124DB1">
        <w:rPr>
          <w:lang w:val="en-CA"/>
        </w:rPr>
        <w:t>were laid</w:t>
      </w:r>
      <w:proofErr w:type="gramEnd"/>
      <w:r w:rsidR="00E076F9" w:rsidRPr="00124DB1">
        <w:rPr>
          <w:lang w:val="en-CA"/>
        </w:rPr>
        <w:t xml:space="preserve">, and no statements of offence issued, against either Victim </w:t>
      </w:r>
      <w:proofErr w:type="spellStart"/>
      <w:r w:rsidR="00E076F9" w:rsidRPr="00124DB1">
        <w:rPr>
          <w:lang w:val="en-CA"/>
        </w:rPr>
        <w:t>Bazelais</w:t>
      </w:r>
      <w:proofErr w:type="spellEnd"/>
      <w:r w:rsidR="00E076F9" w:rsidRPr="00124DB1">
        <w:rPr>
          <w:lang w:val="en-CA"/>
        </w:rPr>
        <w:t xml:space="preserve"> or his companions.</w:t>
      </w:r>
      <w:r w:rsidRPr="00124DB1">
        <w:rPr>
          <w:lang w:val="en-CA"/>
        </w:rPr>
        <w:t xml:space="preserve"> </w:t>
      </w:r>
      <w:r w:rsidR="00E076F9" w:rsidRPr="00124DB1">
        <w:rPr>
          <w:lang w:val="en-CA"/>
        </w:rPr>
        <w:t xml:space="preserve">The officer did not apologize to Victim </w:t>
      </w:r>
      <w:proofErr w:type="spellStart"/>
      <w:r w:rsidR="00E076F9" w:rsidRPr="00124DB1">
        <w:rPr>
          <w:lang w:val="en-CA"/>
        </w:rPr>
        <w:t>Bazelais</w:t>
      </w:r>
      <w:proofErr w:type="spellEnd"/>
      <w:r w:rsidR="00E076F9" w:rsidRPr="00124DB1">
        <w:rPr>
          <w:lang w:val="en-CA"/>
        </w:rPr>
        <w:t xml:space="preserve"> and to his friends for their conduct or provide any explanation.</w:t>
      </w:r>
    </w:p>
    <w:p w14:paraId="6965C869" w14:textId="1ADBE66F" w:rsidR="00507A20" w:rsidRPr="00124DB1" w:rsidRDefault="00507A20" w:rsidP="00E27489">
      <w:pPr>
        <w:pStyle w:val="Citationenretrait"/>
        <w:ind w:left="0"/>
        <w:rPr>
          <w:lang w:val="en-CA"/>
        </w:rPr>
      </w:pPr>
    </w:p>
    <w:p w14:paraId="00C65E35" w14:textId="5C0F877D" w:rsidR="00507A20" w:rsidRPr="00124DB1" w:rsidRDefault="00E076F9" w:rsidP="00507A20">
      <w:pPr>
        <w:pStyle w:val="Paragraphe"/>
        <w:tabs>
          <w:tab w:val="clear" w:pos="567"/>
        </w:tabs>
      </w:pPr>
      <w:r w:rsidRPr="00124DB1">
        <w:t xml:space="preserve">At the hearing, Mr. </w:t>
      </w:r>
      <w:proofErr w:type="spellStart"/>
      <w:r w:rsidRPr="00124DB1">
        <w:t>Bazelais</w:t>
      </w:r>
      <w:proofErr w:type="spellEnd"/>
      <w:r w:rsidRPr="00124DB1">
        <w:t xml:space="preserve"> testified in English.</w:t>
      </w:r>
      <w:r w:rsidR="00AD32E1" w:rsidRPr="00124DB1">
        <w:t xml:space="preserve"> </w:t>
      </w:r>
      <w:r w:rsidRPr="00124DB1">
        <w:t xml:space="preserve">Mr. Bernard </w:t>
      </w:r>
      <w:r w:rsidR="00E27489" w:rsidRPr="00124DB1">
        <w:t>and</w:t>
      </w:r>
      <w:r w:rsidRPr="00124DB1">
        <w:t xml:space="preserve"> Mr. </w:t>
      </w:r>
      <w:proofErr w:type="spellStart"/>
      <w:r w:rsidR="00E27489" w:rsidRPr="00124DB1">
        <w:t>Milien</w:t>
      </w:r>
      <w:proofErr w:type="spellEnd"/>
      <w:r w:rsidRPr="00124DB1">
        <w:t xml:space="preserve"> </w:t>
      </w:r>
      <w:r w:rsidR="00E27489" w:rsidRPr="00124DB1">
        <w:t>did as well</w:t>
      </w:r>
      <w:r w:rsidRPr="00124DB1">
        <w:t>.</w:t>
      </w:r>
      <w:r w:rsidR="00AD32E1" w:rsidRPr="00124DB1">
        <w:t xml:space="preserve"> </w:t>
      </w:r>
      <w:r w:rsidRPr="00124DB1">
        <w:t>It is difficult to find that they are fluent in French.</w:t>
      </w:r>
      <w:r w:rsidR="00AD32E1" w:rsidRPr="00124DB1">
        <w:t xml:space="preserve">  </w:t>
      </w:r>
    </w:p>
    <w:p w14:paraId="5518C69C" w14:textId="3AB0F4B0" w:rsidR="00507A20" w:rsidRPr="00124DB1" w:rsidRDefault="00E076F9" w:rsidP="00507A20">
      <w:pPr>
        <w:pStyle w:val="Paragraphe"/>
        <w:tabs>
          <w:tab w:val="clear" w:pos="567"/>
        </w:tabs>
      </w:pPr>
      <w:r w:rsidRPr="00124DB1">
        <w:lastRenderedPageBreak/>
        <w:t xml:space="preserve">For his part, </w:t>
      </w:r>
      <w:r w:rsidR="00E27489" w:rsidRPr="00124DB1">
        <w:t>Sergeant Mathurin spoke</w:t>
      </w:r>
      <w:r w:rsidRPr="00124DB1">
        <w:t xml:space="preserve"> French before the Tribunal.</w:t>
      </w:r>
      <w:r w:rsidR="00AD32E1" w:rsidRPr="00124DB1">
        <w:t xml:space="preserve"> </w:t>
      </w:r>
      <w:r w:rsidRPr="00124DB1">
        <w:t>The two other police officers called to testify</w:t>
      </w:r>
      <w:r w:rsidR="00E27489" w:rsidRPr="00124DB1">
        <w:t>,</w:t>
      </w:r>
      <w:r w:rsidRPr="00124DB1">
        <w:t xml:space="preserve"> who were on duty in the </w:t>
      </w:r>
      <w:proofErr w:type="spellStart"/>
      <w:r w:rsidR="0021173D" w:rsidRPr="00124DB1">
        <w:t>É</w:t>
      </w:r>
      <w:r w:rsidRPr="00124DB1">
        <w:t>clipse</w:t>
      </w:r>
      <w:proofErr w:type="spellEnd"/>
      <w:r w:rsidRPr="00124DB1">
        <w:t xml:space="preserve"> unit on the night of the </w:t>
      </w:r>
      <w:r w:rsidR="0021173D" w:rsidRPr="00124DB1">
        <w:t>incident</w:t>
      </w:r>
      <w:r w:rsidR="00E27489" w:rsidRPr="00124DB1">
        <w:t>,</w:t>
      </w:r>
      <w:r w:rsidRPr="00124DB1">
        <w:t xml:space="preserve"> also testified in French.</w:t>
      </w:r>
      <w:r w:rsidR="00AD32E1" w:rsidRPr="00124DB1">
        <w:t xml:space="preserve"> </w:t>
      </w:r>
      <w:r w:rsidR="00E27489" w:rsidRPr="00124DB1">
        <w:t>Furthermore</w:t>
      </w:r>
      <w:r w:rsidRPr="00124DB1">
        <w:t xml:space="preserve">, the list of all the other members of </w:t>
      </w:r>
      <w:r w:rsidR="00E27489" w:rsidRPr="00124DB1">
        <w:t>the</w:t>
      </w:r>
      <w:r w:rsidRPr="00124DB1">
        <w:t xml:space="preserve"> unit that may have intervened at the time </w:t>
      </w:r>
      <w:proofErr w:type="gramStart"/>
      <w:r w:rsidRPr="00124DB1">
        <w:t>was entirely made up</w:t>
      </w:r>
      <w:proofErr w:type="gramEnd"/>
      <w:r w:rsidRPr="00124DB1">
        <w:t xml:space="preserve"> of names that sound</w:t>
      </w:r>
      <w:r w:rsidR="00E27489" w:rsidRPr="00124DB1">
        <w:t xml:space="preserve"> like those of</w:t>
      </w:r>
      <w:r w:rsidRPr="00124DB1">
        <w:t xml:space="preserve"> French-</w:t>
      </w:r>
      <w:r w:rsidR="00E27489" w:rsidRPr="00124DB1">
        <w:t>speaking Quebeckers</w:t>
      </w:r>
      <w:r w:rsidRPr="00124DB1">
        <w:t>.</w:t>
      </w:r>
      <w:r w:rsidR="00AD32E1" w:rsidRPr="00124DB1">
        <w:rPr>
          <w:rStyle w:val="Appelnotedebasdep"/>
        </w:rPr>
        <w:footnoteReference w:id="168"/>
      </w:r>
      <w:r w:rsidR="00AD32E1" w:rsidRPr="00124DB1">
        <w:t xml:space="preserve"> </w:t>
      </w:r>
      <w:r w:rsidRPr="00124DB1">
        <w:t xml:space="preserve">It is reasonable to think that communication between them </w:t>
      </w:r>
      <w:r w:rsidR="00E27489" w:rsidRPr="00124DB1">
        <w:t>took place</w:t>
      </w:r>
      <w:r w:rsidRPr="00124DB1">
        <w:t xml:space="preserve"> essentially in French.</w:t>
      </w:r>
      <w:r w:rsidR="00AD32E1" w:rsidRPr="00124DB1">
        <w:t xml:space="preserve"> </w:t>
      </w:r>
    </w:p>
    <w:p w14:paraId="328820B8" w14:textId="24784D8C" w:rsidR="00507A20" w:rsidRPr="00124DB1" w:rsidRDefault="00E076F9" w:rsidP="00507A20">
      <w:pPr>
        <w:pStyle w:val="Paragraphe"/>
        <w:tabs>
          <w:tab w:val="clear" w:pos="567"/>
        </w:tabs>
      </w:pPr>
      <w:r w:rsidRPr="00124DB1">
        <w:t xml:space="preserve">Thus, it </w:t>
      </w:r>
      <w:proofErr w:type="gramStart"/>
      <w:r w:rsidRPr="00124DB1">
        <w:t>cannot be excluded</w:t>
      </w:r>
      <w:proofErr w:type="gramEnd"/>
      <w:r w:rsidRPr="00124DB1">
        <w:t xml:space="preserve"> that the subjective perception that the remarks were marked by sarcasm or mockery was in part skewed by </w:t>
      </w:r>
      <w:r w:rsidR="00E27489" w:rsidRPr="00124DB1">
        <w:t>linguistic</w:t>
      </w:r>
      <w:r w:rsidRPr="00124DB1">
        <w:t xml:space="preserve"> misunderstandings.</w:t>
      </w:r>
    </w:p>
    <w:p w14:paraId="2B5C142D" w14:textId="77777777" w:rsidR="00507A20" w:rsidRPr="00124DB1" w:rsidRDefault="00AD32E1" w:rsidP="00507A20">
      <w:pPr>
        <w:pStyle w:val="Paragraphe"/>
        <w:numPr>
          <w:ilvl w:val="0"/>
          <w:numId w:val="0"/>
        </w:numPr>
        <w:tabs>
          <w:tab w:val="clear" w:pos="567"/>
        </w:tabs>
        <w:spacing w:line="240" w:lineRule="auto"/>
        <w:jc w:val="center"/>
      </w:pPr>
      <w:r w:rsidRPr="00124DB1">
        <w:t>* * *</w:t>
      </w:r>
    </w:p>
    <w:p w14:paraId="067EDA51" w14:textId="55DAFA08" w:rsidR="00507A20" w:rsidRPr="00124DB1" w:rsidRDefault="00E076F9" w:rsidP="00507A20">
      <w:pPr>
        <w:pStyle w:val="Paragraphe"/>
        <w:tabs>
          <w:tab w:val="clear" w:pos="567"/>
        </w:tabs>
      </w:pPr>
      <w:r w:rsidRPr="00124DB1">
        <w:t xml:space="preserve">It is common ground that Mr. </w:t>
      </w:r>
      <w:proofErr w:type="spellStart"/>
      <w:r w:rsidRPr="00124DB1">
        <w:t>Bazelais</w:t>
      </w:r>
      <w:proofErr w:type="spellEnd"/>
      <w:r w:rsidRPr="00124DB1">
        <w:t xml:space="preserve"> insisted on being told the badge number of </w:t>
      </w:r>
      <w:r w:rsidR="00E27489" w:rsidRPr="00124DB1">
        <w:t>Sergeant</w:t>
      </w:r>
      <w:r w:rsidRPr="00124DB1">
        <w:t xml:space="preserve"> Mathurin, who declared:</w:t>
      </w:r>
    </w:p>
    <w:p w14:paraId="26B9862A" w14:textId="796C8630" w:rsidR="00E27489" w:rsidRPr="00124DB1" w:rsidRDefault="00E27489" w:rsidP="00507A20">
      <w:pPr>
        <w:pStyle w:val="Citationenretrait"/>
        <w:rPr>
          <w:lang w:val="en-CA"/>
        </w:rPr>
      </w:pPr>
      <w:r w:rsidRPr="00124DB1">
        <w:rPr>
          <w:lang w:val="en-CA"/>
        </w:rPr>
        <w:t>[</w:t>
      </w:r>
      <w:r w:rsidRPr="00124DB1">
        <w:rPr>
          <w:smallCaps/>
          <w:lang w:val="en-CA"/>
        </w:rPr>
        <w:t>translation</w:t>
      </w:r>
      <w:r w:rsidRPr="00124DB1">
        <w:rPr>
          <w:lang w:val="en-CA"/>
        </w:rPr>
        <w:t>]</w:t>
      </w:r>
    </w:p>
    <w:p w14:paraId="4B8A1258" w14:textId="6301D835" w:rsidR="00507A20" w:rsidRPr="00124DB1" w:rsidRDefault="00E076F9" w:rsidP="00507A20">
      <w:pPr>
        <w:pStyle w:val="Citationenretrait"/>
        <w:rPr>
          <w:lang w:val="en-CA"/>
        </w:rPr>
      </w:pPr>
      <w:r w:rsidRPr="00124DB1">
        <w:rPr>
          <w:lang w:val="en-CA"/>
        </w:rPr>
        <w:t xml:space="preserve">So then, [Mr. </w:t>
      </w:r>
      <w:proofErr w:type="spellStart"/>
      <w:r w:rsidRPr="00124DB1">
        <w:rPr>
          <w:lang w:val="en-CA"/>
        </w:rPr>
        <w:t>Bazelais</w:t>
      </w:r>
      <w:proofErr w:type="spellEnd"/>
      <w:r w:rsidRPr="00124DB1">
        <w:rPr>
          <w:lang w:val="en-CA"/>
        </w:rPr>
        <w:t>] said</w:t>
      </w:r>
      <w:r w:rsidR="00F711FB" w:rsidRPr="00124DB1">
        <w:rPr>
          <w:lang w:val="en-CA"/>
        </w:rPr>
        <w:t>,</w:t>
      </w:r>
      <w:r w:rsidRPr="00124DB1">
        <w:rPr>
          <w:lang w:val="en-CA"/>
        </w:rPr>
        <w:t xml:space="preserve"> </w:t>
      </w:r>
      <w:r w:rsidR="00F711FB" w:rsidRPr="00124DB1">
        <w:rPr>
          <w:lang w:val="en-CA"/>
        </w:rPr>
        <w:t>[</w:t>
      </w:r>
      <w:r w:rsidR="00F711FB" w:rsidRPr="00124DB1">
        <w:rPr>
          <w:smallCaps/>
          <w:lang w:val="en-CA"/>
        </w:rPr>
        <w:t>translation</w:t>
      </w:r>
      <w:r w:rsidR="00F711FB" w:rsidRPr="00124DB1">
        <w:rPr>
          <w:lang w:val="en-CA"/>
        </w:rPr>
        <w:t xml:space="preserve">] </w:t>
      </w:r>
      <w:r w:rsidRPr="00124DB1">
        <w:rPr>
          <w:lang w:val="en-CA"/>
        </w:rPr>
        <w:t>“I want the badge number”.</w:t>
      </w:r>
      <w:r w:rsidR="00AD32E1" w:rsidRPr="00124DB1">
        <w:rPr>
          <w:lang w:val="en-CA"/>
        </w:rPr>
        <w:t> </w:t>
      </w:r>
      <w:r w:rsidRPr="00124DB1">
        <w:rPr>
          <w:lang w:val="en-CA"/>
        </w:rPr>
        <w:t>So then, I gave him my badge number.</w:t>
      </w:r>
      <w:r w:rsidR="00AD32E1" w:rsidRPr="00124DB1">
        <w:rPr>
          <w:lang w:val="en-CA"/>
        </w:rPr>
        <w:t xml:space="preserve"> </w:t>
      </w:r>
      <w:r w:rsidRPr="00124DB1">
        <w:rPr>
          <w:lang w:val="en-CA"/>
        </w:rPr>
        <w:t>Then.</w:t>
      </w:r>
      <w:r w:rsidR="00AD32E1" w:rsidRPr="00124DB1">
        <w:rPr>
          <w:lang w:val="en-CA"/>
        </w:rPr>
        <w:t xml:space="preserve"> </w:t>
      </w:r>
      <w:r w:rsidRPr="00124DB1">
        <w:rPr>
          <w:lang w:val="en-CA"/>
        </w:rPr>
        <w:t>He said</w:t>
      </w:r>
      <w:r w:rsidR="00F711FB" w:rsidRPr="00124DB1">
        <w:rPr>
          <w:lang w:val="en-CA"/>
        </w:rPr>
        <w:t>,</w:t>
      </w:r>
      <w:r w:rsidRPr="00124DB1">
        <w:rPr>
          <w:lang w:val="en-CA"/>
        </w:rPr>
        <w:t xml:space="preserve"> </w:t>
      </w:r>
      <w:r w:rsidR="00F711FB" w:rsidRPr="00124DB1">
        <w:rPr>
          <w:lang w:val="en-CA"/>
        </w:rPr>
        <w:t>[</w:t>
      </w:r>
      <w:r w:rsidR="00F711FB" w:rsidRPr="00124DB1">
        <w:rPr>
          <w:smallCaps/>
          <w:lang w:val="en-CA"/>
        </w:rPr>
        <w:t>translation</w:t>
      </w:r>
      <w:r w:rsidR="00F711FB" w:rsidRPr="00124DB1">
        <w:rPr>
          <w:lang w:val="en-CA"/>
        </w:rPr>
        <w:t xml:space="preserve">] </w:t>
      </w:r>
      <w:r w:rsidRPr="00124DB1">
        <w:rPr>
          <w:lang w:val="en-CA"/>
        </w:rPr>
        <w:t>“I want it in writing”.</w:t>
      </w:r>
      <w:r w:rsidR="00AD32E1" w:rsidRPr="00124DB1">
        <w:rPr>
          <w:lang w:val="en-CA"/>
        </w:rPr>
        <w:t> </w:t>
      </w:r>
      <w:r w:rsidRPr="00124DB1">
        <w:rPr>
          <w:lang w:val="en-CA"/>
        </w:rPr>
        <w:t>At that point, when he asked for it in writing, I had nothing.</w:t>
      </w:r>
      <w:r w:rsidR="00AD32E1" w:rsidRPr="00124DB1">
        <w:rPr>
          <w:lang w:val="en-CA"/>
        </w:rPr>
        <w:t xml:space="preserve"> </w:t>
      </w:r>
      <w:r w:rsidRPr="00124DB1">
        <w:rPr>
          <w:lang w:val="en-CA"/>
        </w:rPr>
        <w:t xml:space="preserve">Because I don’t have business cards – I do that because </w:t>
      </w:r>
      <w:r w:rsidR="00F711FB" w:rsidRPr="00124DB1">
        <w:rPr>
          <w:lang w:val="en-CA"/>
        </w:rPr>
        <w:t xml:space="preserve"> … </w:t>
      </w:r>
      <w:r w:rsidRPr="00124DB1">
        <w:rPr>
          <w:lang w:val="en-CA"/>
        </w:rPr>
        <w:t>excuse me, it’s my bullet proof vest that’s there, the pocket for business cards that</w:t>
      </w:r>
      <w:r w:rsidR="00F711FB" w:rsidRPr="00124DB1">
        <w:rPr>
          <w:lang w:val="en-CA"/>
        </w:rPr>
        <w:t>’s</w:t>
      </w:r>
      <w:r w:rsidRPr="00124DB1">
        <w:rPr>
          <w:lang w:val="en-CA"/>
        </w:rPr>
        <w:t xml:space="preserve"> there – I don’t have any.</w:t>
      </w:r>
      <w:r w:rsidR="00AD32E1" w:rsidRPr="00124DB1">
        <w:rPr>
          <w:lang w:val="en-CA"/>
        </w:rPr>
        <w:t xml:space="preserve"> </w:t>
      </w:r>
      <w:r w:rsidRPr="00124DB1">
        <w:rPr>
          <w:lang w:val="en-CA"/>
        </w:rPr>
        <w:t xml:space="preserve">I have a notebook, but we </w:t>
      </w:r>
      <w:proofErr w:type="gramStart"/>
      <w:r w:rsidRPr="00124DB1">
        <w:rPr>
          <w:lang w:val="en-CA"/>
        </w:rPr>
        <w:t>are not allowed</w:t>
      </w:r>
      <w:proofErr w:type="gramEnd"/>
      <w:r w:rsidRPr="00124DB1">
        <w:rPr>
          <w:lang w:val="en-CA"/>
        </w:rPr>
        <w:t xml:space="preserve">, </w:t>
      </w:r>
      <w:r w:rsidR="00F711FB" w:rsidRPr="00124DB1">
        <w:rPr>
          <w:lang w:val="en-CA"/>
        </w:rPr>
        <w:t>according to our</w:t>
      </w:r>
      <w:r w:rsidRPr="00124DB1">
        <w:rPr>
          <w:lang w:val="en-CA"/>
        </w:rPr>
        <w:t xml:space="preserve"> instruction</w:t>
      </w:r>
      <w:r w:rsidR="00F711FB" w:rsidRPr="00124DB1">
        <w:rPr>
          <w:lang w:val="en-CA"/>
        </w:rPr>
        <w:t>s</w:t>
      </w:r>
      <w:r w:rsidRPr="00124DB1">
        <w:rPr>
          <w:lang w:val="en-CA"/>
        </w:rPr>
        <w:t>, to remove a page from the notebook.</w:t>
      </w:r>
      <w:r w:rsidR="00AD32E1" w:rsidRPr="00124DB1">
        <w:rPr>
          <w:lang w:val="en-CA"/>
        </w:rPr>
        <w:t xml:space="preserve"> </w:t>
      </w:r>
      <w:r w:rsidRPr="00124DB1">
        <w:rPr>
          <w:lang w:val="en-CA"/>
        </w:rPr>
        <w:t xml:space="preserve">In fact, </w:t>
      </w:r>
      <w:proofErr w:type="gramStart"/>
      <w:r w:rsidRPr="00124DB1">
        <w:rPr>
          <w:lang w:val="en-CA"/>
        </w:rPr>
        <w:t>it’s</w:t>
      </w:r>
      <w:proofErr w:type="gramEnd"/>
      <w:r w:rsidRPr="00124DB1">
        <w:rPr>
          <w:lang w:val="en-CA"/>
        </w:rPr>
        <w:t xml:space="preserve"> now the law, we have...</w:t>
      </w:r>
    </w:p>
    <w:p w14:paraId="0AEE874C" w14:textId="0F8657FC" w:rsidR="00507A20" w:rsidRPr="00124DB1" w:rsidRDefault="00E27489" w:rsidP="00507A20">
      <w:pPr>
        <w:pStyle w:val="Citationenretrait"/>
        <w:rPr>
          <w:lang w:val="en-CA"/>
        </w:rPr>
      </w:pPr>
      <w:r w:rsidRPr="00124DB1">
        <w:rPr>
          <w:lang w:val="en-CA"/>
        </w:rPr>
        <w:t>…</w:t>
      </w:r>
    </w:p>
    <w:p w14:paraId="7BC93377" w14:textId="1C40F245" w:rsidR="00507A20" w:rsidRPr="00124DB1" w:rsidRDefault="00E27489" w:rsidP="00507A20">
      <w:pPr>
        <w:pStyle w:val="Citationenretrait"/>
        <w:rPr>
          <w:lang w:val="en-CA"/>
        </w:rPr>
      </w:pPr>
      <w:r w:rsidRPr="00124DB1">
        <w:rPr>
          <w:lang w:val="en-CA"/>
        </w:rPr>
        <w:t>In criminal matters</w:t>
      </w:r>
      <w:r w:rsidR="00E076F9" w:rsidRPr="00124DB1">
        <w:rPr>
          <w:lang w:val="en-CA"/>
        </w:rPr>
        <w:t>, we have to hand over our notebooks when we arrest someone, when there are criminal charges.</w:t>
      </w:r>
      <w:r w:rsidR="00AD32E1" w:rsidRPr="00124DB1">
        <w:rPr>
          <w:lang w:val="en-CA"/>
        </w:rPr>
        <w:t xml:space="preserve"> </w:t>
      </w:r>
      <w:r w:rsidR="00E076F9" w:rsidRPr="00124DB1">
        <w:rPr>
          <w:lang w:val="en-CA"/>
        </w:rPr>
        <w:t xml:space="preserve">Then, when they take our notebook, well, there </w:t>
      </w:r>
      <w:proofErr w:type="gramStart"/>
      <w:r w:rsidR="00E076F9" w:rsidRPr="00124DB1">
        <w:rPr>
          <w:lang w:val="en-CA"/>
        </w:rPr>
        <w:t>can’t</w:t>
      </w:r>
      <w:proofErr w:type="gramEnd"/>
      <w:r w:rsidR="00E076F9" w:rsidRPr="00124DB1">
        <w:rPr>
          <w:lang w:val="en-CA"/>
        </w:rPr>
        <w:t xml:space="preserve"> be any </w:t>
      </w:r>
      <w:r w:rsidR="00BB48C4" w:rsidRPr="00124DB1">
        <w:rPr>
          <w:lang w:val="en-CA"/>
        </w:rPr>
        <w:t xml:space="preserve">pages </w:t>
      </w:r>
      <w:r w:rsidR="00E076F9" w:rsidRPr="00124DB1">
        <w:rPr>
          <w:lang w:val="en-CA"/>
        </w:rPr>
        <w:t xml:space="preserve">missing </w:t>
      </w:r>
      <w:r w:rsidR="00BB48C4" w:rsidRPr="00124DB1">
        <w:rPr>
          <w:lang w:val="en-CA"/>
        </w:rPr>
        <w:t>from</w:t>
      </w:r>
      <w:r w:rsidR="00E076F9" w:rsidRPr="00124DB1">
        <w:rPr>
          <w:lang w:val="en-CA"/>
        </w:rPr>
        <w:t xml:space="preserve"> it.</w:t>
      </w:r>
      <w:r w:rsidR="00AD32E1" w:rsidRPr="00124DB1">
        <w:rPr>
          <w:rStyle w:val="Appelnotedebasdep"/>
          <w:szCs w:val="22"/>
          <w:lang w:val="en-CA"/>
        </w:rPr>
        <w:footnoteReference w:id="169"/>
      </w:r>
    </w:p>
    <w:p w14:paraId="70C859A8" w14:textId="47E66EA4" w:rsidR="00507A20" w:rsidRPr="00124DB1" w:rsidRDefault="00E076F9" w:rsidP="00507A20">
      <w:pPr>
        <w:pStyle w:val="Paragraphe"/>
        <w:tabs>
          <w:tab w:val="clear" w:pos="567"/>
        </w:tabs>
      </w:pPr>
      <w:r w:rsidRPr="00124DB1">
        <w:t xml:space="preserve">Without any business cards or paper at his disposal, </w:t>
      </w:r>
      <w:r w:rsidR="00E27489" w:rsidRPr="00124DB1">
        <w:t>Sergeant</w:t>
      </w:r>
      <w:r w:rsidRPr="00124DB1">
        <w:t xml:space="preserve"> Mathurin suggested to Mr. </w:t>
      </w:r>
      <w:proofErr w:type="spellStart"/>
      <w:r w:rsidRPr="00124DB1">
        <w:t>Bazelais</w:t>
      </w:r>
      <w:proofErr w:type="spellEnd"/>
      <w:r w:rsidRPr="00124DB1">
        <w:t xml:space="preserve"> </w:t>
      </w:r>
      <w:r w:rsidR="00E27489" w:rsidRPr="00124DB1">
        <w:t>[</w:t>
      </w:r>
      <w:r w:rsidR="00E27489" w:rsidRPr="00124DB1">
        <w:rPr>
          <w:smallCaps/>
        </w:rPr>
        <w:t>translation</w:t>
      </w:r>
      <w:r w:rsidR="00E27489" w:rsidRPr="00124DB1">
        <w:t xml:space="preserve">] </w:t>
      </w:r>
      <w:r w:rsidRPr="00124DB1">
        <w:t xml:space="preserve">“in the heat of </w:t>
      </w:r>
      <w:r w:rsidR="00E27489" w:rsidRPr="00124DB1">
        <w:t>the</w:t>
      </w:r>
      <w:r w:rsidRPr="00124DB1">
        <w:t xml:space="preserve"> </w:t>
      </w:r>
      <w:r w:rsidR="00E27489" w:rsidRPr="00124DB1">
        <w:t>exchange</w:t>
      </w:r>
      <w:r w:rsidRPr="00124DB1">
        <w:t xml:space="preserve">”, he claims, </w:t>
      </w:r>
      <w:proofErr w:type="gramStart"/>
      <w:r w:rsidR="00E27489" w:rsidRPr="00124DB1">
        <w:t>that</w:t>
      </w:r>
      <w:proofErr w:type="gramEnd"/>
      <w:r w:rsidR="00E27489" w:rsidRPr="00124DB1">
        <w:t xml:space="preserve"> he</w:t>
      </w:r>
      <w:r w:rsidRPr="00124DB1">
        <w:t xml:space="preserve"> write his badge number on his skin.</w:t>
      </w:r>
    </w:p>
    <w:p w14:paraId="512484EE" w14:textId="276583C4" w:rsidR="00507A20" w:rsidRPr="00124DB1" w:rsidRDefault="00E076F9" w:rsidP="00507A20">
      <w:pPr>
        <w:pStyle w:val="Paragraphe"/>
        <w:tabs>
          <w:tab w:val="clear" w:pos="567"/>
        </w:tabs>
      </w:pPr>
      <w:r w:rsidRPr="00124DB1">
        <w:t xml:space="preserve">At the hearing, </w:t>
      </w:r>
      <w:r w:rsidR="00E27489" w:rsidRPr="00124DB1">
        <w:t>Sergeant</w:t>
      </w:r>
      <w:r w:rsidRPr="00124DB1">
        <w:t xml:space="preserve"> Mathurin defended himself from claiming that he intended to personally write his badge number on Mr. </w:t>
      </w:r>
      <w:proofErr w:type="spellStart"/>
      <w:r w:rsidRPr="00124DB1">
        <w:t>Bazelais’s</w:t>
      </w:r>
      <w:proofErr w:type="spellEnd"/>
      <w:r w:rsidRPr="00124DB1">
        <w:t xml:space="preserve"> skin claiming that there was </w:t>
      </w:r>
      <w:r w:rsidR="00353C25" w:rsidRPr="00124DB1">
        <w:t>[</w:t>
      </w:r>
      <w:r w:rsidR="00353C25" w:rsidRPr="00124DB1">
        <w:rPr>
          <w:smallCaps/>
        </w:rPr>
        <w:t>translation</w:t>
      </w:r>
      <w:r w:rsidR="00353C25" w:rsidRPr="00124DB1">
        <w:t xml:space="preserve">] </w:t>
      </w:r>
      <w:r w:rsidRPr="00124DB1">
        <w:t xml:space="preserve">“no benefit to saying such stupid things” </w:t>
      </w:r>
      <w:r w:rsidR="00BB48C4" w:rsidRPr="00124DB1">
        <w:t xml:space="preserve">that were </w:t>
      </w:r>
      <w:r w:rsidRPr="00124DB1">
        <w:t>likely, he agreed, to result in a</w:t>
      </w:r>
      <w:r w:rsidR="00256F1B">
        <w:t>n</w:t>
      </w:r>
      <w:r w:rsidRPr="00124DB1">
        <w:t xml:space="preserve"> ethics complaint against him.</w:t>
      </w:r>
      <w:r w:rsidR="00AD32E1" w:rsidRPr="00124DB1">
        <w:t xml:space="preserve"> </w:t>
      </w:r>
    </w:p>
    <w:p w14:paraId="010C84E4" w14:textId="01972E9E" w:rsidR="00507A20" w:rsidRPr="00124DB1" w:rsidRDefault="00E076F9" w:rsidP="00507A20">
      <w:pPr>
        <w:pStyle w:val="Paragraphe"/>
        <w:tabs>
          <w:tab w:val="clear" w:pos="567"/>
        </w:tabs>
      </w:pPr>
      <w:r w:rsidRPr="00124DB1">
        <w:t xml:space="preserve">Thus, in paragraph 94 of its written submissions, the </w:t>
      </w:r>
      <w:r w:rsidR="00DD0C6B">
        <w:t>City</w:t>
      </w:r>
      <w:r w:rsidRPr="00124DB1">
        <w:t xml:space="preserve"> wrote:</w:t>
      </w:r>
    </w:p>
    <w:p w14:paraId="39293B1B" w14:textId="5FC85C86" w:rsidR="00353C25" w:rsidRPr="00124DB1" w:rsidRDefault="00353C25" w:rsidP="00507A20">
      <w:pPr>
        <w:pStyle w:val="Citationenretrait"/>
        <w:rPr>
          <w:lang w:val="en-CA"/>
        </w:rPr>
      </w:pPr>
      <w:r w:rsidRPr="00124DB1">
        <w:rPr>
          <w:lang w:val="en-CA"/>
        </w:rPr>
        <w:lastRenderedPageBreak/>
        <w:t>[</w:t>
      </w:r>
      <w:r w:rsidRPr="00124DB1">
        <w:rPr>
          <w:smallCaps/>
          <w:lang w:val="en-CA"/>
        </w:rPr>
        <w:t>translation</w:t>
      </w:r>
      <w:r w:rsidRPr="00124DB1">
        <w:rPr>
          <w:lang w:val="en-CA"/>
        </w:rPr>
        <w:t>]</w:t>
      </w:r>
    </w:p>
    <w:p w14:paraId="5852DDEB" w14:textId="3AAB2A6C" w:rsidR="00507A20" w:rsidRPr="00124DB1" w:rsidRDefault="00E076F9" w:rsidP="00507A20">
      <w:pPr>
        <w:pStyle w:val="Citationenretrait"/>
        <w:rPr>
          <w:lang w:val="en-CA"/>
        </w:rPr>
      </w:pPr>
      <w:r w:rsidRPr="00124DB1">
        <w:rPr>
          <w:lang w:val="en-CA"/>
        </w:rPr>
        <w:t>He therefore proposed that the complainant write his badge number on his hand.</w:t>
      </w:r>
      <w:r w:rsidR="00AD32E1" w:rsidRPr="00124DB1">
        <w:rPr>
          <w:lang w:val="en-CA"/>
        </w:rPr>
        <w:t xml:space="preserve"> </w:t>
      </w:r>
      <w:r w:rsidRPr="00124DB1">
        <w:rPr>
          <w:lang w:val="en-CA"/>
        </w:rPr>
        <w:t xml:space="preserve">This proposal was not sarcastic for </w:t>
      </w:r>
      <w:r w:rsidR="00353C25" w:rsidRPr="00124DB1">
        <w:rPr>
          <w:lang w:val="en-CA"/>
        </w:rPr>
        <w:t>Sergeant</w:t>
      </w:r>
      <w:r w:rsidRPr="00124DB1">
        <w:rPr>
          <w:lang w:val="en-CA"/>
        </w:rPr>
        <w:t xml:space="preserve"> Mathurin, who regularly writes notes </w:t>
      </w:r>
      <w:r w:rsidR="00BB48C4" w:rsidRPr="00124DB1">
        <w:rPr>
          <w:lang w:val="en-CA"/>
        </w:rPr>
        <w:t>on</w:t>
      </w:r>
      <w:r w:rsidRPr="00124DB1">
        <w:rPr>
          <w:lang w:val="en-CA"/>
        </w:rPr>
        <w:t xml:space="preserve"> the palm of his hand.</w:t>
      </w:r>
    </w:p>
    <w:p w14:paraId="7E1857F6" w14:textId="7335B477" w:rsidR="00507A20" w:rsidRPr="00124DB1" w:rsidRDefault="00E076F9" w:rsidP="00507A20">
      <w:pPr>
        <w:pStyle w:val="Paragraphe"/>
        <w:tabs>
          <w:tab w:val="clear" w:pos="567"/>
        </w:tabs>
      </w:pPr>
      <w:r w:rsidRPr="00124DB1">
        <w:t xml:space="preserve">Given the importance of </w:t>
      </w:r>
      <w:r w:rsidR="00353C25" w:rsidRPr="00124DB1">
        <w:t>the</w:t>
      </w:r>
      <w:r w:rsidRPr="00124DB1">
        <w:t xml:space="preserve"> notebook</w:t>
      </w:r>
      <w:r w:rsidR="00AD32E1" w:rsidRPr="00124DB1">
        <w:rPr>
          <w:rStyle w:val="Appelnotedebasdep"/>
        </w:rPr>
        <w:footnoteReference w:id="170"/>
      </w:r>
      <w:r w:rsidRPr="00124DB1">
        <w:t xml:space="preserve"> for possible purposes of disclosure of evidence,</w:t>
      </w:r>
      <w:r w:rsidR="00AD32E1" w:rsidRPr="00124DB1">
        <w:rPr>
          <w:rStyle w:val="Appelnotedebasdep"/>
        </w:rPr>
        <w:footnoteReference w:id="171"/>
      </w:r>
      <w:r w:rsidRPr="00124DB1">
        <w:t xml:space="preserve"> </w:t>
      </w:r>
      <w:r w:rsidR="00353C25" w:rsidRPr="00124DB1">
        <w:t>Sergeant</w:t>
      </w:r>
      <w:r w:rsidRPr="00124DB1">
        <w:t xml:space="preserve"> Mathurin had ink pens in his possession.</w:t>
      </w:r>
      <w:r w:rsidR="00AD32E1" w:rsidRPr="00124DB1">
        <w:t xml:space="preserve"> </w:t>
      </w:r>
      <w:r w:rsidRPr="00124DB1">
        <w:t xml:space="preserve">He testified that he in fact </w:t>
      </w:r>
      <w:r w:rsidR="00256F1B">
        <w:t>offered</w:t>
      </w:r>
      <w:r w:rsidR="00353C25" w:rsidRPr="00124DB1">
        <w:t xml:space="preserve"> </w:t>
      </w:r>
      <w:r w:rsidRPr="00124DB1">
        <w:t xml:space="preserve">Mr. </w:t>
      </w:r>
      <w:proofErr w:type="spellStart"/>
      <w:r w:rsidRPr="00124DB1">
        <w:t>Bazelais</w:t>
      </w:r>
      <w:proofErr w:type="spellEnd"/>
      <w:r w:rsidR="00256F1B">
        <w:t xml:space="preserve"> the loan of one</w:t>
      </w:r>
      <w:r w:rsidRPr="00124DB1">
        <w:t xml:space="preserve">, an offer </w:t>
      </w:r>
      <w:r w:rsidR="00256F1B">
        <w:t xml:space="preserve">Mr. </w:t>
      </w:r>
      <w:proofErr w:type="spellStart"/>
      <w:r w:rsidR="00256F1B">
        <w:t>Bazelais</w:t>
      </w:r>
      <w:proofErr w:type="spellEnd"/>
      <w:r w:rsidRPr="00124DB1">
        <w:t xml:space="preserve"> refused.</w:t>
      </w:r>
      <w:r w:rsidR="00AD32E1" w:rsidRPr="00124DB1">
        <w:t xml:space="preserve">  </w:t>
      </w:r>
    </w:p>
    <w:p w14:paraId="06F36AA3" w14:textId="39D6FE88" w:rsidR="00507A20" w:rsidRPr="00124DB1" w:rsidRDefault="00A20864" w:rsidP="00507A20">
      <w:pPr>
        <w:pStyle w:val="Paragraphe"/>
        <w:tabs>
          <w:tab w:val="clear" w:pos="567"/>
        </w:tabs>
      </w:pPr>
      <w:r w:rsidRPr="00124DB1">
        <w:t xml:space="preserve">Besides, the Tribunal deems that Mr. </w:t>
      </w:r>
      <w:proofErr w:type="spellStart"/>
      <w:r w:rsidRPr="00124DB1">
        <w:t>Bazelais’s</w:t>
      </w:r>
      <w:proofErr w:type="spellEnd"/>
      <w:r w:rsidRPr="00124DB1">
        <w:t xml:space="preserve"> state of shock – which he admits – and the presence of customers and passers-by, background noise</w:t>
      </w:r>
      <w:r w:rsidR="00BB48C4" w:rsidRPr="00124DB1">
        <w:t>,</w:t>
      </w:r>
      <w:r w:rsidRPr="00124DB1">
        <w:t xml:space="preserve"> </w:t>
      </w:r>
      <w:r w:rsidR="00353C25" w:rsidRPr="00124DB1">
        <w:t>and</w:t>
      </w:r>
      <w:r w:rsidRPr="00124DB1">
        <w:t xml:space="preserve"> the fact that </w:t>
      </w:r>
      <w:r w:rsidR="00353C25" w:rsidRPr="00124DB1">
        <w:t>Sergeant</w:t>
      </w:r>
      <w:r w:rsidRPr="00124DB1">
        <w:t xml:space="preserve"> Mathurin was speaking to him in English (his second language) may have contributed to </w:t>
      </w:r>
      <w:r w:rsidR="00BB48C4" w:rsidRPr="00124DB1">
        <w:t>confusing the</w:t>
      </w:r>
      <w:r w:rsidRPr="00124DB1">
        <w:t xml:space="preserve"> </w:t>
      </w:r>
      <w:r w:rsidR="00353C25" w:rsidRPr="00124DB1">
        <w:t>communication</w:t>
      </w:r>
      <w:r w:rsidRPr="00124DB1">
        <w:t>.</w:t>
      </w:r>
      <w:r w:rsidR="00AD32E1" w:rsidRPr="00124DB1">
        <w:t xml:space="preserve">    </w:t>
      </w:r>
    </w:p>
    <w:p w14:paraId="434EA2D7" w14:textId="2F762C03" w:rsidR="00507A20" w:rsidRPr="00124DB1" w:rsidRDefault="00A20864" w:rsidP="00507A20">
      <w:pPr>
        <w:pStyle w:val="Paragraphe"/>
        <w:tabs>
          <w:tab w:val="clear" w:pos="567"/>
        </w:tabs>
      </w:pPr>
      <w:r w:rsidRPr="00124DB1">
        <w:t xml:space="preserve">As </w:t>
      </w:r>
      <w:r w:rsidR="00AC22FC" w:rsidRPr="00124DB1">
        <w:t>for</w:t>
      </w:r>
      <w:r w:rsidRPr="00124DB1">
        <w:t xml:space="preserve"> the possible allusion to the very contemporaneous events surrounding the death of Michael Brown, a young black man who was killed by a police officer in Fergusson, Missouri, it is likely that these events were on the minds of the three American citizens more than on those of the </w:t>
      </w:r>
      <w:r w:rsidR="006366DD" w:rsidRPr="00124DB1">
        <w:t>Montreal</w:t>
      </w:r>
      <w:r w:rsidRPr="00124DB1">
        <w:t xml:space="preserve"> officers.</w:t>
      </w:r>
      <w:r w:rsidR="00AD32E1" w:rsidRPr="00124DB1">
        <w:t xml:space="preserve"> </w:t>
      </w:r>
    </w:p>
    <w:p w14:paraId="3AC9F1B7" w14:textId="0248D372" w:rsidR="00507A20" w:rsidRPr="00124DB1" w:rsidRDefault="00A20864" w:rsidP="00507A20">
      <w:pPr>
        <w:pStyle w:val="Paragraphe"/>
        <w:tabs>
          <w:tab w:val="clear" w:pos="567"/>
        </w:tabs>
      </w:pPr>
      <w:r w:rsidRPr="00124DB1">
        <w:t xml:space="preserve">In fact, </w:t>
      </w:r>
      <w:r w:rsidR="006366DD" w:rsidRPr="00124DB1">
        <w:t>Sergeant</w:t>
      </w:r>
      <w:r w:rsidRPr="00124DB1">
        <w:t xml:space="preserve"> Mathurin testified that he had just come back from a six-week vacation </w:t>
      </w:r>
      <w:r w:rsidR="00AC22FC" w:rsidRPr="00124DB1">
        <w:t>in</w:t>
      </w:r>
      <w:r w:rsidRPr="00124DB1">
        <w:t xml:space="preserve"> Portuga</w:t>
      </w:r>
      <w:r w:rsidR="006366DD" w:rsidRPr="00124DB1">
        <w:t>l</w:t>
      </w:r>
      <w:r w:rsidRPr="00124DB1">
        <w:t xml:space="preserve"> and was not even aware of this recent tragedy.</w:t>
      </w:r>
      <w:r w:rsidR="00AD32E1" w:rsidRPr="00124DB1">
        <w:t xml:space="preserve"> </w:t>
      </w:r>
      <w:r w:rsidR="006366DD" w:rsidRPr="00124DB1">
        <w:t xml:space="preserve">At that point, </w:t>
      </w:r>
      <w:r w:rsidRPr="00124DB1">
        <w:t>he says</w:t>
      </w:r>
      <w:r w:rsidR="006366DD" w:rsidRPr="00124DB1">
        <w:t>,</w:t>
      </w:r>
      <w:r w:rsidRPr="00124DB1">
        <w:t xml:space="preserve"> </w:t>
      </w:r>
      <w:r w:rsidR="006366DD" w:rsidRPr="00124DB1">
        <w:t>[</w:t>
      </w:r>
      <w:r w:rsidR="006366DD" w:rsidRPr="00124DB1">
        <w:rPr>
          <w:smallCaps/>
        </w:rPr>
        <w:t>translation</w:t>
      </w:r>
      <w:r w:rsidR="006366DD" w:rsidRPr="00124DB1">
        <w:t xml:space="preserve">] </w:t>
      </w:r>
      <w:r w:rsidRPr="00124DB1">
        <w:t xml:space="preserve">“I </w:t>
      </w:r>
      <w:r w:rsidR="006366DD" w:rsidRPr="00124DB1">
        <w:t>didn’t</w:t>
      </w:r>
      <w:r w:rsidRPr="00124DB1">
        <w:t xml:space="preserve"> even know about that event”.</w:t>
      </w:r>
      <w:r w:rsidR="00AD32E1" w:rsidRPr="00124DB1">
        <w:t xml:space="preserve"> </w:t>
      </w:r>
    </w:p>
    <w:p w14:paraId="704ACAA0" w14:textId="1CC6488B" w:rsidR="00507A20" w:rsidRPr="00124DB1" w:rsidRDefault="00A20864" w:rsidP="00507A20">
      <w:pPr>
        <w:pStyle w:val="Paragraphe"/>
        <w:tabs>
          <w:tab w:val="clear" w:pos="567"/>
        </w:tabs>
      </w:pPr>
      <w:r w:rsidRPr="00124DB1">
        <w:t xml:space="preserve">He claims that Mr. </w:t>
      </w:r>
      <w:proofErr w:type="spellStart"/>
      <w:r w:rsidRPr="00124DB1">
        <w:t>Bazelais</w:t>
      </w:r>
      <w:proofErr w:type="spellEnd"/>
      <w:r w:rsidRPr="00124DB1">
        <w:t xml:space="preserve"> disapproved of the intervention method used by the </w:t>
      </w:r>
      <w:proofErr w:type="spellStart"/>
      <w:r w:rsidR="0058213F" w:rsidRPr="00124DB1">
        <w:t>É</w:t>
      </w:r>
      <w:r w:rsidRPr="00124DB1">
        <w:t>clipse</w:t>
      </w:r>
      <w:proofErr w:type="spellEnd"/>
      <w:r w:rsidRPr="00124DB1">
        <w:t xml:space="preserve"> unit.</w:t>
      </w:r>
      <w:r w:rsidR="006366DD" w:rsidRPr="00124DB1">
        <w:t xml:space="preserve"> [</w:t>
      </w:r>
      <w:r w:rsidR="006366DD" w:rsidRPr="00124DB1">
        <w:rPr>
          <w:smallCaps/>
        </w:rPr>
        <w:t>translation</w:t>
      </w:r>
      <w:r w:rsidR="006366DD" w:rsidRPr="00124DB1">
        <w:t>]</w:t>
      </w:r>
      <w:r w:rsidR="00AD32E1" w:rsidRPr="00124DB1">
        <w:t xml:space="preserve"> </w:t>
      </w:r>
      <w:r w:rsidRPr="00124DB1">
        <w:t>“I understand</w:t>
      </w:r>
      <w:r w:rsidR="0058213F" w:rsidRPr="00124DB1">
        <w:t xml:space="preserve"> that he was frustrated</w:t>
      </w:r>
      <w:r w:rsidRPr="00124DB1">
        <w:t xml:space="preserve">”, acknowledged </w:t>
      </w:r>
      <w:r w:rsidR="006366DD" w:rsidRPr="00124DB1">
        <w:t>Sergeant</w:t>
      </w:r>
      <w:r w:rsidRPr="00124DB1">
        <w:t xml:space="preserve"> Mathurin.</w:t>
      </w:r>
      <w:r w:rsidR="00AD32E1" w:rsidRPr="00124DB1">
        <w:t xml:space="preserve"> </w:t>
      </w:r>
      <w:r w:rsidRPr="00124DB1">
        <w:t>Seeking to put things in context, he then informed him that police practices in the United States were even</w:t>
      </w:r>
      <w:r w:rsidR="006366DD" w:rsidRPr="00124DB1">
        <w:t xml:space="preserve"> [</w:t>
      </w:r>
      <w:r w:rsidR="006366DD" w:rsidRPr="00124DB1">
        <w:rPr>
          <w:smallCaps/>
        </w:rPr>
        <w:t>translation</w:t>
      </w:r>
      <w:r w:rsidR="006366DD" w:rsidRPr="00124DB1">
        <w:t>]</w:t>
      </w:r>
      <w:r w:rsidRPr="00124DB1">
        <w:t xml:space="preserve"> “rougher”, without arguing that </w:t>
      </w:r>
      <w:r w:rsidR="00954814" w:rsidRPr="00124DB1">
        <w:t xml:space="preserve">the </w:t>
      </w:r>
      <w:r w:rsidRPr="00124DB1">
        <w:t xml:space="preserve">Montreal police was authorized to </w:t>
      </w:r>
      <w:r w:rsidR="006366DD" w:rsidRPr="00124DB1">
        <w:t>[</w:t>
      </w:r>
      <w:r w:rsidR="006366DD" w:rsidRPr="00124DB1">
        <w:rPr>
          <w:smallCaps/>
        </w:rPr>
        <w:t>translation</w:t>
      </w:r>
      <w:r w:rsidR="006366DD" w:rsidRPr="00124DB1">
        <w:t xml:space="preserve">] </w:t>
      </w:r>
      <w:r w:rsidRPr="00124DB1">
        <w:t>“do whatever it wants”.</w:t>
      </w:r>
      <w:r w:rsidR="00AD32E1" w:rsidRPr="00124DB1">
        <w:t xml:space="preserve"> </w:t>
      </w:r>
    </w:p>
    <w:p w14:paraId="004C5178" w14:textId="0A0050A5" w:rsidR="00507A20" w:rsidRPr="00124DB1" w:rsidRDefault="00A20864" w:rsidP="00507A20">
      <w:pPr>
        <w:pStyle w:val="Paragraphe"/>
        <w:tabs>
          <w:tab w:val="clear" w:pos="567"/>
        </w:tabs>
      </w:pPr>
      <w:r w:rsidRPr="00124DB1">
        <w:t xml:space="preserve">In paragraph 97 of its written submissions, the </w:t>
      </w:r>
      <w:r w:rsidR="00DD0C6B">
        <w:t>City</w:t>
      </w:r>
      <w:r w:rsidRPr="00124DB1">
        <w:t xml:space="preserve"> asks the Tribunal to accept </w:t>
      </w:r>
      <w:r w:rsidR="006366DD" w:rsidRPr="00124DB1">
        <w:t>[</w:t>
      </w:r>
      <w:r w:rsidR="006366DD" w:rsidRPr="00124DB1">
        <w:rPr>
          <w:smallCaps/>
        </w:rPr>
        <w:t>translation</w:t>
      </w:r>
      <w:r w:rsidR="006366DD" w:rsidRPr="00124DB1">
        <w:t xml:space="preserve">] </w:t>
      </w:r>
      <w:r w:rsidRPr="00124DB1">
        <w:t xml:space="preserve">“the testimony of </w:t>
      </w:r>
      <w:r w:rsidR="006366DD" w:rsidRPr="00124DB1">
        <w:t>Sergeant</w:t>
      </w:r>
      <w:r w:rsidRPr="00124DB1">
        <w:t xml:space="preserve"> Mathurin on this aspect of the intervention”:</w:t>
      </w:r>
    </w:p>
    <w:p w14:paraId="3F7A2BB6" w14:textId="4BCFC719" w:rsidR="006366DD" w:rsidRPr="00124DB1" w:rsidRDefault="006366DD" w:rsidP="00507A20">
      <w:pPr>
        <w:pStyle w:val="Citationenretrait"/>
        <w:rPr>
          <w:lang w:val="en-CA"/>
        </w:rPr>
      </w:pPr>
      <w:r w:rsidRPr="00124DB1">
        <w:rPr>
          <w:lang w:val="en-CA"/>
        </w:rPr>
        <w:t>[</w:t>
      </w:r>
      <w:r w:rsidRPr="00124DB1">
        <w:rPr>
          <w:smallCaps/>
          <w:lang w:val="en-CA"/>
        </w:rPr>
        <w:t>translation</w:t>
      </w:r>
      <w:r w:rsidRPr="00124DB1">
        <w:rPr>
          <w:lang w:val="en-CA"/>
        </w:rPr>
        <w:t>]</w:t>
      </w:r>
    </w:p>
    <w:p w14:paraId="0ADE0718" w14:textId="398A856D" w:rsidR="00507A20" w:rsidRPr="000C1D62" w:rsidRDefault="00A20864" w:rsidP="00507A20">
      <w:pPr>
        <w:pStyle w:val="Citationenretrait"/>
        <w:rPr>
          <w:lang w:val="en-CA"/>
        </w:rPr>
      </w:pPr>
      <w:r w:rsidRPr="00124DB1">
        <w:rPr>
          <w:lang w:val="en-CA"/>
        </w:rPr>
        <w:t xml:space="preserve">It is much more likely that </w:t>
      </w:r>
      <w:r w:rsidR="006366DD" w:rsidRPr="00124DB1">
        <w:rPr>
          <w:lang w:val="en-CA"/>
        </w:rPr>
        <w:t>Sergeant</w:t>
      </w:r>
      <w:r w:rsidRPr="00124DB1">
        <w:rPr>
          <w:lang w:val="en-CA"/>
        </w:rPr>
        <w:t xml:space="preserve"> Mathurin tried to emphasize the remorselessness of American police interventions in relation to Canadian ones – especially when they involve black men</w:t>
      </w:r>
      <w:r w:rsidR="00954814" w:rsidRPr="00124DB1">
        <w:rPr>
          <w:lang w:val="en-CA"/>
        </w:rPr>
        <w:t>.</w:t>
      </w:r>
      <w:r w:rsidR="00AD32E1" w:rsidRPr="00124DB1">
        <w:rPr>
          <w:lang w:val="en-CA"/>
        </w:rPr>
        <w:t xml:space="preserve"> </w:t>
      </w:r>
      <w:r w:rsidRPr="000C1D62">
        <w:rPr>
          <w:lang w:val="en-CA"/>
        </w:rPr>
        <w:t xml:space="preserve">This fact </w:t>
      </w:r>
      <w:proofErr w:type="gramStart"/>
      <w:r w:rsidRPr="000C1D62">
        <w:rPr>
          <w:lang w:val="en-CA"/>
        </w:rPr>
        <w:t>is practically considered</w:t>
      </w:r>
      <w:proofErr w:type="gramEnd"/>
      <w:r w:rsidR="00954814" w:rsidRPr="00124DB1">
        <w:rPr>
          <w:lang w:val="en-CA"/>
        </w:rPr>
        <w:t xml:space="preserve"> a matter of</w:t>
      </w:r>
      <w:r w:rsidRPr="000C1D62">
        <w:rPr>
          <w:lang w:val="en-CA"/>
        </w:rPr>
        <w:t xml:space="preserve"> judicial notice</w:t>
      </w:r>
      <w:r w:rsidR="00954814" w:rsidRPr="00124DB1">
        <w:rPr>
          <w:lang w:val="en-CA"/>
        </w:rPr>
        <w:t>.</w:t>
      </w:r>
    </w:p>
    <w:p w14:paraId="02C2D46D" w14:textId="4847805C" w:rsidR="00507A20" w:rsidRPr="00124DB1" w:rsidRDefault="00A20864" w:rsidP="00507A20">
      <w:pPr>
        <w:pStyle w:val="Paragraphe"/>
        <w:tabs>
          <w:tab w:val="clear" w:pos="567"/>
        </w:tabs>
      </w:pPr>
      <w:r w:rsidRPr="00124DB1">
        <w:lastRenderedPageBreak/>
        <w:t xml:space="preserve">The Tribunal accepts the more likely explanations offered by </w:t>
      </w:r>
      <w:r w:rsidR="006366DD" w:rsidRPr="00124DB1">
        <w:t>Sergeant</w:t>
      </w:r>
      <w:r w:rsidRPr="00124DB1">
        <w:t xml:space="preserve"> Mathurin, </w:t>
      </w:r>
      <w:proofErr w:type="gramStart"/>
      <w:r w:rsidRPr="00124DB1">
        <w:t xml:space="preserve">who did not act in a discriminatory manner </w:t>
      </w:r>
      <w:r w:rsidR="006366DD" w:rsidRPr="00124DB1">
        <w:t>against</w:t>
      </w:r>
      <w:r w:rsidRPr="00124DB1">
        <w:t xml:space="preserve"> Mr. </w:t>
      </w:r>
      <w:proofErr w:type="spellStart"/>
      <w:r w:rsidRPr="00124DB1">
        <w:t>Bazelais</w:t>
      </w:r>
      <w:proofErr w:type="spellEnd"/>
      <w:r w:rsidRPr="00124DB1">
        <w:t xml:space="preserve"> by saying, rightly or wrongly, that police repression</w:t>
      </w:r>
      <w:proofErr w:type="gramEnd"/>
      <w:r w:rsidRPr="00124DB1">
        <w:t xml:space="preserve"> was, in his view, more marked in the United States than in Quebec.</w:t>
      </w:r>
      <w:r w:rsidR="00AD32E1" w:rsidRPr="00124DB1">
        <w:t xml:space="preserve"> </w:t>
      </w:r>
    </w:p>
    <w:p w14:paraId="075C1E00" w14:textId="77777777" w:rsidR="00507A20" w:rsidRPr="00124DB1" w:rsidRDefault="00AD32E1" w:rsidP="00507A20">
      <w:pPr>
        <w:pStyle w:val="Paragraphe"/>
        <w:numPr>
          <w:ilvl w:val="0"/>
          <w:numId w:val="0"/>
        </w:numPr>
        <w:tabs>
          <w:tab w:val="clear" w:pos="567"/>
        </w:tabs>
        <w:jc w:val="center"/>
      </w:pPr>
      <w:r w:rsidRPr="00124DB1">
        <w:t>* * *</w:t>
      </w:r>
    </w:p>
    <w:p w14:paraId="73F7AA5D" w14:textId="77777777" w:rsidR="00507A20" w:rsidRPr="00124DB1" w:rsidRDefault="00A20864" w:rsidP="00507A20">
      <w:pPr>
        <w:pStyle w:val="Paragraphe"/>
        <w:tabs>
          <w:tab w:val="clear" w:pos="567"/>
        </w:tabs>
      </w:pPr>
      <w:r w:rsidRPr="00124DB1">
        <w:t xml:space="preserve">Once the explanations </w:t>
      </w:r>
      <w:proofErr w:type="gramStart"/>
      <w:r w:rsidRPr="00124DB1">
        <w:t>had been given</w:t>
      </w:r>
      <w:proofErr w:type="gramEnd"/>
      <w:r w:rsidRPr="00124DB1">
        <w:t xml:space="preserve">, Mr. </w:t>
      </w:r>
      <w:proofErr w:type="spellStart"/>
      <w:r w:rsidRPr="00124DB1">
        <w:t>Bazelais</w:t>
      </w:r>
      <w:proofErr w:type="spellEnd"/>
      <w:r w:rsidRPr="00124DB1">
        <w:t xml:space="preserve"> and his friends wanted to go back inside the bar to resume the conversation and finish their drinks, which they were prevented from doing.</w:t>
      </w:r>
    </w:p>
    <w:p w14:paraId="7F4F9CD6" w14:textId="6D87E0C7" w:rsidR="00507A20" w:rsidRPr="00124DB1" w:rsidRDefault="006366DD" w:rsidP="00507A20">
      <w:pPr>
        <w:pStyle w:val="Paragraphe"/>
        <w:tabs>
          <w:tab w:val="clear" w:pos="567"/>
        </w:tabs>
      </w:pPr>
      <w:r w:rsidRPr="00124DB1">
        <w:t>Sergeant</w:t>
      </w:r>
      <w:r w:rsidR="00A20864" w:rsidRPr="00124DB1">
        <w:t xml:space="preserve"> Mathurin explained that he was not opposed to it but that another doorman at </w:t>
      </w:r>
      <w:r w:rsidRPr="00124DB1">
        <w:t>Thursday’s</w:t>
      </w:r>
      <w:r w:rsidR="00A20864" w:rsidRPr="00124DB1">
        <w:t>, Mr. Sean Brown, had informed him of his refusal.</w:t>
      </w:r>
      <w:r w:rsidR="00AD32E1" w:rsidRPr="00124DB1">
        <w:t xml:space="preserve"> </w:t>
      </w:r>
    </w:p>
    <w:p w14:paraId="2C40B51B" w14:textId="57EB2728" w:rsidR="00507A20" w:rsidRPr="00124DB1" w:rsidRDefault="006366DD" w:rsidP="00507A20">
      <w:pPr>
        <w:pStyle w:val="Paragraphe"/>
        <w:tabs>
          <w:tab w:val="clear" w:pos="567"/>
        </w:tabs>
      </w:pPr>
      <w:r w:rsidRPr="00124DB1">
        <w:t>[</w:t>
      </w:r>
      <w:r w:rsidRPr="00124DB1">
        <w:rPr>
          <w:smallCaps/>
        </w:rPr>
        <w:t>translation</w:t>
      </w:r>
      <w:r w:rsidRPr="00124DB1">
        <w:t xml:space="preserve">] </w:t>
      </w:r>
      <w:r w:rsidR="00A20864" w:rsidRPr="00124DB1">
        <w:t xml:space="preserve">“I don’t have the power to force their admittance”, the </w:t>
      </w:r>
      <w:r w:rsidRPr="00124DB1">
        <w:t>sergeant</w:t>
      </w:r>
      <w:r w:rsidR="00A20864" w:rsidRPr="00124DB1">
        <w:t xml:space="preserve"> </w:t>
      </w:r>
      <w:r w:rsidRPr="00124DB1">
        <w:t>regretfully stated as he considered</w:t>
      </w:r>
      <w:r w:rsidR="00A20864" w:rsidRPr="00124DB1">
        <w:t xml:space="preserve"> that this decision by the establishmen</w:t>
      </w:r>
      <w:r w:rsidRPr="00124DB1">
        <w:t>t was</w:t>
      </w:r>
      <w:r w:rsidR="00A20864" w:rsidRPr="00124DB1">
        <w:t xml:space="preserve"> purely civil in nature and </w:t>
      </w:r>
      <w:r w:rsidRPr="00124DB1">
        <w:t>did</w:t>
      </w:r>
      <w:r w:rsidR="00A20864" w:rsidRPr="00124DB1">
        <w:t xml:space="preserve"> not therefore fall under police purview.</w:t>
      </w:r>
    </w:p>
    <w:p w14:paraId="49708DEC" w14:textId="7FC0DFA8" w:rsidR="00507A20" w:rsidRPr="00124DB1" w:rsidRDefault="00A20864" w:rsidP="00507A20">
      <w:pPr>
        <w:pStyle w:val="Paragraphe"/>
        <w:tabs>
          <w:tab w:val="clear" w:pos="567"/>
        </w:tabs>
      </w:pPr>
      <w:r w:rsidRPr="00124DB1">
        <w:t xml:space="preserve">Mr. </w:t>
      </w:r>
      <w:proofErr w:type="spellStart"/>
      <w:r w:rsidRPr="00124DB1">
        <w:t>Bazelais</w:t>
      </w:r>
      <w:proofErr w:type="spellEnd"/>
      <w:r w:rsidRPr="00124DB1">
        <w:t xml:space="preserve"> expressed his displeasure with the situation.</w:t>
      </w:r>
      <w:r w:rsidR="00AD32E1" w:rsidRPr="00124DB1">
        <w:t xml:space="preserve"> </w:t>
      </w:r>
      <w:r w:rsidRPr="00124DB1">
        <w:t>As for S</w:t>
      </w:r>
      <w:r w:rsidR="00124DB1">
        <w:t>e</w:t>
      </w:r>
      <w:r w:rsidRPr="00124DB1">
        <w:t xml:space="preserve">rgeant Mathurin, he wanted to prevent the situation from </w:t>
      </w:r>
      <w:r w:rsidR="006366DD" w:rsidRPr="00124DB1">
        <w:t>escalating</w:t>
      </w:r>
      <w:r w:rsidRPr="00124DB1">
        <w:t>.</w:t>
      </w:r>
    </w:p>
    <w:p w14:paraId="7E016AA7" w14:textId="6ADE566F" w:rsidR="00507A20" w:rsidRPr="00124DB1" w:rsidRDefault="00A20864" w:rsidP="00507A20">
      <w:pPr>
        <w:pStyle w:val="Paragraphe"/>
        <w:tabs>
          <w:tab w:val="clear" w:pos="567"/>
        </w:tabs>
      </w:pPr>
      <w:r w:rsidRPr="00124DB1">
        <w:t xml:space="preserve">“We were told to leave”, stated Mr. </w:t>
      </w:r>
      <w:proofErr w:type="spellStart"/>
      <w:r w:rsidRPr="00124DB1">
        <w:t>Bazelais</w:t>
      </w:r>
      <w:proofErr w:type="spellEnd"/>
      <w:r w:rsidRPr="00124DB1">
        <w:t>, or his friends would be</w:t>
      </w:r>
      <w:r w:rsidR="006366DD" w:rsidRPr="00124DB1">
        <w:t xml:space="preserve"> [</w:t>
      </w:r>
      <w:r w:rsidR="006366DD" w:rsidRPr="00124DB1">
        <w:rPr>
          <w:smallCaps/>
        </w:rPr>
        <w:t>translation</w:t>
      </w:r>
      <w:r w:rsidR="006366DD" w:rsidRPr="00124DB1">
        <w:t>]</w:t>
      </w:r>
      <w:r w:rsidRPr="00124DB1">
        <w:t xml:space="preserve"> “arrested”.</w:t>
      </w:r>
      <w:r w:rsidR="00AD32E1" w:rsidRPr="00124DB1">
        <w:t xml:space="preserve"> </w:t>
      </w:r>
      <w:r w:rsidRPr="00124DB1">
        <w:t xml:space="preserve">Mr. Bernard and Mr. </w:t>
      </w:r>
      <w:proofErr w:type="spellStart"/>
      <w:r w:rsidRPr="00124DB1">
        <w:t>Milien</w:t>
      </w:r>
      <w:proofErr w:type="spellEnd"/>
      <w:r w:rsidRPr="00124DB1">
        <w:t xml:space="preserve"> had the same understanding of </w:t>
      </w:r>
      <w:r w:rsidR="006366DD" w:rsidRPr="00124DB1">
        <w:t>Sergeant</w:t>
      </w:r>
      <w:r w:rsidRPr="00124DB1">
        <w:t xml:space="preserve"> Mathurin’s remarks.</w:t>
      </w:r>
    </w:p>
    <w:p w14:paraId="1765734B" w14:textId="612676B8" w:rsidR="00507A20" w:rsidRPr="00124DB1" w:rsidRDefault="00A20864" w:rsidP="00507A20">
      <w:pPr>
        <w:pStyle w:val="Paragraphe"/>
        <w:tabs>
          <w:tab w:val="clear" w:pos="567"/>
        </w:tabs>
      </w:pPr>
      <w:r w:rsidRPr="00124DB1">
        <w:t xml:space="preserve">For his part, </w:t>
      </w:r>
      <w:r w:rsidR="006366DD" w:rsidRPr="00124DB1">
        <w:t>Sergeant</w:t>
      </w:r>
      <w:r w:rsidRPr="00124DB1">
        <w:t xml:space="preserve"> Mathurin confirmed that he asked them to leave the premises or receive a statement of offence.</w:t>
      </w:r>
    </w:p>
    <w:p w14:paraId="2A04CA02" w14:textId="59A3C143" w:rsidR="00507A20" w:rsidRPr="00124DB1" w:rsidRDefault="009A5C02" w:rsidP="00507A20">
      <w:pPr>
        <w:pStyle w:val="Paragraphe"/>
        <w:tabs>
          <w:tab w:val="clear" w:pos="567"/>
        </w:tabs>
      </w:pPr>
      <w:proofErr w:type="gramStart"/>
      <w:r w:rsidRPr="00124DB1">
        <w:t>Obviously</w:t>
      </w:r>
      <w:proofErr w:type="gramEnd"/>
      <w:r w:rsidR="00A20864" w:rsidRPr="00124DB1">
        <w:t xml:space="preserve"> the consequences of being </w:t>
      </w:r>
      <w:r w:rsidR="006366DD" w:rsidRPr="00124DB1">
        <w:t>[</w:t>
      </w:r>
      <w:r w:rsidR="006366DD" w:rsidRPr="00124DB1">
        <w:rPr>
          <w:smallCaps/>
        </w:rPr>
        <w:t>translation</w:t>
      </w:r>
      <w:r w:rsidR="006366DD" w:rsidRPr="00124DB1">
        <w:t xml:space="preserve">] </w:t>
      </w:r>
      <w:r w:rsidR="00A20864" w:rsidRPr="00124DB1">
        <w:t>“arrested” are heavier than that of simply being given a statement of offence for failure to circulate or loitering.</w:t>
      </w:r>
      <w:r w:rsidR="00AD32E1" w:rsidRPr="00124DB1">
        <w:rPr>
          <w:rStyle w:val="Appelnotedebasdep"/>
        </w:rPr>
        <w:footnoteReference w:id="172"/>
      </w:r>
      <w:r w:rsidR="00AD32E1" w:rsidRPr="00124DB1">
        <w:t xml:space="preserve"> </w:t>
      </w:r>
    </w:p>
    <w:p w14:paraId="14C66654" w14:textId="477E98D0" w:rsidR="00507A20" w:rsidRPr="00124DB1" w:rsidRDefault="00A20864" w:rsidP="00507A20">
      <w:pPr>
        <w:pStyle w:val="Paragraphe"/>
        <w:tabs>
          <w:tab w:val="clear" w:pos="567"/>
        </w:tabs>
      </w:pPr>
      <w:r w:rsidRPr="00124DB1">
        <w:t xml:space="preserve">Mr. </w:t>
      </w:r>
      <w:proofErr w:type="spellStart"/>
      <w:r w:rsidRPr="00124DB1">
        <w:t>Bazelais</w:t>
      </w:r>
      <w:proofErr w:type="spellEnd"/>
      <w:r w:rsidRPr="00124DB1">
        <w:t xml:space="preserve"> saw a threat or an attempt to intimidate contrary to the ethical standard applicable where police officers must not “make threats, intimidate or harass”.</w:t>
      </w:r>
      <w:r w:rsidR="00AD32E1" w:rsidRPr="00124DB1">
        <w:rPr>
          <w:rStyle w:val="Appelnotedebasdep"/>
        </w:rPr>
        <w:footnoteReference w:id="173"/>
      </w:r>
      <w:r w:rsidR="00AD32E1" w:rsidRPr="00124DB1">
        <w:t xml:space="preserve"> </w:t>
      </w:r>
      <w:r w:rsidRPr="00124DB1">
        <w:t xml:space="preserve">In this respect, it is noteworthy that Mr. </w:t>
      </w:r>
      <w:proofErr w:type="spellStart"/>
      <w:r w:rsidRPr="00124DB1">
        <w:t>Bazelais’s</w:t>
      </w:r>
      <w:proofErr w:type="spellEnd"/>
      <w:r w:rsidRPr="00124DB1">
        <w:t xml:space="preserve"> complaint filed with the Police Ethics Commissioner against </w:t>
      </w:r>
      <w:r w:rsidR="00E0104D" w:rsidRPr="00124DB1">
        <w:t>Sergeant</w:t>
      </w:r>
      <w:r w:rsidRPr="00124DB1">
        <w:t xml:space="preserve"> Mathurin led </w:t>
      </w:r>
      <w:r w:rsidR="00E0104D" w:rsidRPr="00124DB1">
        <w:t>to</w:t>
      </w:r>
      <w:r w:rsidRPr="00124DB1">
        <w:t xml:space="preserve"> a settlement following a </w:t>
      </w:r>
      <w:r w:rsidR="00E0104D" w:rsidRPr="00124DB1">
        <w:t>mediation</w:t>
      </w:r>
      <w:r w:rsidRPr="00124DB1">
        <w:t xml:space="preserve"> session.</w:t>
      </w:r>
      <w:r w:rsidR="00AD32E1" w:rsidRPr="00124DB1">
        <w:rPr>
          <w:rStyle w:val="Appelnotedebasdep"/>
        </w:rPr>
        <w:footnoteReference w:id="174"/>
      </w:r>
      <w:r w:rsidR="00AD32E1" w:rsidRPr="00124DB1">
        <w:t xml:space="preserve"> </w:t>
      </w:r>
    </w:p>
    <w:p w14:paraId="1A504F74" w14:textId="0DE4EA63" w:rsidR="00507A20" w:rsidRPr="00124DB1" w:rsidRDefault="00A20864" w:rsidP="00507A20">
      <w:pPr>
        <w:pStyle w:val="Paragraphe"/>
        <w:tabs>
          <w:tab w:val="clear" w:pos="567"/>
        </w:tabs>
      </w:pPr>
      <w:r w:rsidRPr="00124DB1">
        <w:lastRenderedPageBreak/>
        <w:t xml:space="preserve">In addition to the apparent contradiction </w:t>
      </w:r>
      <w:r w:rsidR="00E0104D" w:rsidRPr="00124DB1">
        <w:t>emerging</w:t>
      </w:r>
      <w:r w:rsidRPr="00124DB1">
        <w:t xml:space="preserve"> fr</w:t>
      </w:r>
      <w:r w:rsidR="00E0104D" w:rsidRPr="00124DB1">
        <w:t>o</w:t>
      </w:r>
      <w:r w:rsidRPr="00124DB1">
        <w:t xml:space="preserve">m the respective testimony of Mr. </w:t>
      </w:r>
      <w:proofErr w:type="spellStart"/>
      <w:r w:rsidRPr="00124DB1">
        <w:t>Bazelais</w:t>
      </w:r>
      <w:proofErr w:type="spellEnd"/>
      <w:r w:rsidRPr="00124DB1">
        <w:t xml:space="preserve"> and </w:t>
      </w:r>
      <w:r w:rsidR="00E0104D" w:rsidRPr="00124DB1">
        <w:t>Sergeant</w:t>
      </w:r>
      <w:r w:rsidRPr="00124DB1">
        <w:t xml:space="preserve"> Mathurin on the specifics of the remarks concerning the possible consequences, at the very least, it appears from the evidence that Mr. </w:t>
      </w:r>
      <w:proofErr w:type="spellStart"/>
      <w:r w:rsidRPr="00124DB1">
        <w:t>Bazelais’s</w:t>
      </w:r>
      <w:proofErr w:type="spellEnd"/>
      <w:r w:rsidRPr="00124DB1">
        <w:t xml:space="preserve"> insistence urged the </w:t>
      </w:r>
      <w:r w:rsidR="00E0104D" w:rsidRPr="00124DB1">
        <w:t>sergeant to curtail</w:t>
      </w:r>
      <w:r w:rsidRPr="00124DB1">
        <w:t xml:space="preserve"> the argument</w:t>
      </w:r>
      <w:r w:rsidR="009A5C02" w:rsidRPr="00124DB1">
        <w:t>.</w:t>
      </w:r>
      <w:r w:rsidRPr="00124DB1">
        <w:t xml:space="preserve"> </w:t>
      </w:r>
      <w:r w:rsidR="00E0104D" w:rsidRPr="00124DB1">
        <w:t>[</w:t>
      </w:r>
      <w:r w:rsidR="00E0104D" w:rsidRPr="00124DB1">
        <w:rPr>
          <w:smallCaps/>
        </w:rPr>
        <w:t>translation</w:t>
      </w:r>
      <w:r w:rsidR="00E0104D" w:rsidRPr="00124DB1">
        <w:t xml:space="preserve">] </w:t>
      </w:r>
      <w:r w:rsidRPr="00124DB1">
        <w:t xml:space="preserve">“I couldn’t stay there for an hour”, he </w:t>
      </w:r>
      <w:r w:rsidR="009A5C02" w:rsidRPr="00124DB1">
        <w:t>said</w:t>
      </w:r>
      <w:r w:rsidRPr="00124DB1">
        <w:t xml:space="preserve">, </w:t>
      </w:r>
      <w:r w:rsidR="00E0104D" w:rsidRPr="00124DB1">
        <w:t>[</w:t>
      </w:r>
      <w:r w:rsidR="00E0104D" w:rsidRPr="00124DB1">
        <w:rPr>
          <w:smallCaps/>
        </w:rPr>
        <w:t>translation</w:t>
      </w:r>
      <w:r w:rsidR="00E0104D" w:rsidRPr="00124DB1">
        <w:t xml:space="preserve">] </w:t>
      </w:r>
      <w:r w:rsidRPr="00124DB1">
        <w:t>“I left on another call”.</w:t>
      </w:r>
    </w:p>
    <w:p w14:paraId="1604CBB1" w14:textId="260162C3" w:rsidR="00507A20" w:rsidRPr="00124DB1" w:rsidRDefault="00E0104D" w:rsidP="00507A20">
      <w:pPr>
        <w:pStyle w:val="Paragraphe"/>
        <w:tabs>
          <w:tab w:val="clear" w:pos="567"/>
        </w:tabs>
      </w:pPr>
      <w:r w:rsidRPr="00124DB1">
        <w:t>Punishing the</w:t>
      </w:r>
      <w:r w:rsidR="00A20864" w:rsidRPr="00124DB1">
        <w:t xml:space="preserve"> police officer’s impatience or some ethical violation does not fall under the Tribunal’s </w:t>
      </w:r>
      <w:r w:rsidRPr="00124DB1">
        <w:t>jurisdiction</w:t>
      </w:r>
      <w:r w:rsidR="00A20864" w:rsidRPr="00124DB1">
        <w:t>.</w:t>
      </w:r>
    </w:p>
    <w:p w14:paraId="510701C4" w14:textId="77777777" w:rsidR="00507A20" w:rsidRPr="00124DB1" w:rsidRDefault="00AD32E1" w:rsidP="00507A20">
      <w:pPr>
        <w:pStyle w:val="Paragraphe"/>
        <w:numPr>
          <w:ilvl w:val="0"/>
          <w:numId w:val="0"/>
        </w:numPr>
        <w:tabs>
          <w:tab w:val="clear" w:pos="567"/>
        </w:tabs>
        <w:jc w:val="center"/>
      </w:pPr>
      <w:r w:rsidRPr="00124DB1">
        <w:t>* * *</w:t>
      </w:r>
    </w:p>
    <w:p w14:paraId="14DBAC73" w14:textId="182DC4B3" w:rsidR="00507A20" w:rsidRPr="00124DB1" w:rsidRDefault="00A20864" w:rsidP="00507A20">
      <w:pPr>
        <w:pStyle w:val="Paragraphe"/>
        <w:tabs>
          <w:tab w:val="clear" w:pos="567"/>
        </w:tabs>
      </w:pPr>
      <w:r w:rsidRPr="00124DB1">
        <w:t xml:space="preserve">The testimony of Mr. </w:t>
      </w:r>
      <w:proofErr w:type="spellStart"/>
      <w:r w:rsidRPr="00124DB1">
        <w:t>Bazelais</w:t>
      </w:r>
      <w:proofErr w:type="spellEnd"/>
      <w:r w:rsidRPr="00124DB1">
        <w:t xml:space="preserve">, Mr. Bernard, and Mr. </w:t>
      </w:r>
      <w:proofErr w:type="spellStart"/>
      <w:r w:rsidRPr="00124DB1">
        <w:t>Milien</w:t>
      </w:r>
      <w:proofErr w:type="spellEnd"/>
      <w:r w:rsidRPr="00124DB1">
        <w:t xml:space="preserve"> </w:t>
      </w:r>
      <w:r w:rsidR="00400184" w:rsidRPr="00124DB1">
        <w:t xml:space="preserve">are consistent </w:t>
      </w:r>
      <w:proofErr w:type="gramStart"/>
      <w:r w:rsidR="00400184" w:rsidRPr="00124DB1">
        <w:t>in regard to</w:t>
      </w:r>
      <w:proofErr w:type="gramEnd"/>
      <w:r w:rsidRPr="00124DB1">
        <w:t xml:space="preserve"> the fact that the officers’ attitude </w:t>
      </w:r>
      <w:r w:rsidR="00400184" w:rsidRPr="00124DB1">
        <w:t>with</w:t>
      </w:r>
      <w:r w:rsidRPr="00124DB1">
        <w:t xml:space="preserve"> them was authoritarian </w:t>
      </w:r>
      <w:r w:rsidR="00E0104D" w:rsidRPr="00124DB1">
        <w:t>and</w:t>
      </w:r>
      <w:r w:rsidRPr="00124DB1">
        <w:t xml:space="preserve"> intimidating.</w:t>
      </w:r>
      <w:r w:rsidR="00AD32E1" w:rsidRPr="00124DB1">
        <w:t xml:space="preserve"> </w:t>
      </w:r>
      <w:r w:rsidRPr="00124DB1">
        <w:t xml:space="preserve">Despite the three men’s repeated requests to find out the </w:t>
      </w:r>
      <w:r w:rsidR="00E0104D" w:rsidRPr="00124DB1">
        <w:t>reasons</w:t>
      </w:r>
      <w:r w:rsidRPr="00124DB1">
        <w:t xml:space="preserve"> for their </w:t>
      </w:r>
      <w:r w:rsidR="00E0104D" w:rsidRPr="00124DB1">
        <w:t>questioning</w:t>
      </w:r>
      <w:r w:rsidRPr="00124DB1">
        <w:t>, the officers ignored them.</w:t>
      </w:r>
    </w:p>
    <w:p w14:paraId="4A736F00" w14:textId="4E81B4A1" w:rsidR="00507A20" w:rsidRPr="00124DB1" w:rsidRDefault="00E0104D" w:rsidP="00507A20">
      <w:pPr>
        <w:pStyle w:val="Paragraphe"/>
        <w:tabs>
          <w:tab w:val="clear" w:pos="567"/>
        </w:tabs>
      </w:pPr>
      <w:r w:rsidRPr="00124DB1">
        <w:t>Sergeant</w:t>
      </w:r>
      <w:r w:rsidR="00A20864" w:rsidRPr="00124DB1">
        <w:t xml:space="preserve"> Mathurin explained that</w:t>
      </w:r>
      <w:r w:rsidRPr="00124DB1">
        <w:t xml:space="preserve"> the</w:t>
      </w:r>
      <w:r w:rsidR="00A20864" w:rsidRPr="00124DB1">
        <w:t xml:space="preserve"> members of the </w:t>
      </w:r>
      <w:proofErr w:type="spellStart"/>
      <w:r w:rsidR="00400184" w:rsidRPr="00124DB1">
        <w:t>É</w:t>
      </w:r>
      <w:r w:rsidR="00A20864" w:rsidRPr="00124DB1">
        <w:t>clipse</w:t>
      </w:r>
      <w:proofErr w:type="spellEnd"/>
      <w:r w:rsidR="00A20864" w:rsidRPr="00124DB1">
        <w:t xml:space="preserve"> unit </w:t>
      </w:r>
      <w:proofErr w:type="gramStart"/>
      <w:r w:rsidR="00A20864" w:rsidRPr="00124DB1">
        <w:t>are instructed</w:t>
      </w:r>
      <w:proofErr w:type="gramEnd"/>
      <w:r w:rsidR="00A20864" w:rsidRPr="00124DB1">
        <w:t xml:space="preserve"> to keep their remarks to a minimum. </w:t>
      </w:r>
    </w:p>
    <w:p w14:paraId="497627D2" w14:textId="450883B2" w:rsidR="00507A20" w:rsidRPr="00124DB1" w:rsidRDefault="00E0104D" w:rsidP="00507A20">
      <w:pPr>
        <w:pStyle w:val="Paragraphe"/>
        <w:tabs>
          <w:tab w:val="clear" w:pos="567"/>
        </w:tabs>
      </w:pPr>
      <w:r w:rsidRPr="00124DB1">
        <w:t>In fact, o</w:t>
      </w:r>
      <w:r w:rsidR="00A20864" w:rsidRPr="00124DB1">
        <w:t xml:space="preserve">nce the officers were convinced that this was a case of </w:t>
      </w:r>
      <w:r w:rsidRPr="00124DB1">
        <w:t>[</w:t>
      </w:r>
      <w:r w:rsidRPr="00124DB1">
        <w:rPr>
          <w:smallCaps/>
        </w:rPr>
        <w:t>translation</w:t>
      </w:r>
      <w:r w:rsidRPr="00124DB1">
        <w:t xml:space="preserve">] </w:t>
      </w:r>
      <w:r w:rsidR="00A20864" w:rsidRPr="00124DB1">
        <w:t xml:space="preserve">“mistaken identity”, they expressed no regret, </w:t>
      </w:r>
      <w:r w:rsidR="00400184" w:rsidRPr="00124DB1">
        <w:t xml:space="preserve">and </w:t>
      </w:r>
      <w:r w:rsidR="00A20864" w:rsidRPr="00124DB1">
        <w:t>offered no apologies.</w:t>
      </w:r>
    </w:p>
    <w:p w14:paraId="54E26E71" w14:textId="59258B34" w:rsidR="00507A20" w:rsidRPr="00124DB1" w:rsidRDefault="00A20864" w:rsidP="00507A20">
      <w:pPr>
        <w:pStyle w:val="Paragraphe"/>
        <w:tabs>
          <w:tab w:val="clear" w:pos="567"/>
        </w:tabs>
      </w:pPr>
      <w:r w:rsidRPr="00124DB1">
        <w:t xml:space="preserve">Everything indicates that this </w:t>
      </w:r>
      <w:r w:rsidR="00E0104D" w:rsidRPr="00124DB1">
        <w:t>[</w:t>
      </w:r>
      <w:r w:rsidR="00E0104D" w:rsidRPr="00124DB1">
        <w:rPr>
          <w:smallCaps/>
        </w:rPr>
        <w:t>translation</w:t>
      </w:r>
      <w:r w:rsidR="00E0104D" w:rsidRPr="00124DB1">
        <w:t xml:space="preserve">] </w:t>
      </w:r>
      <w:r w:rsidRPr="00124DB1">
        <w:t xml:space="preserve">“silent police officer” </w:t>
      </w:r>
      <w:proofErr w:type="gramStart"/>
      <w:r w:rsidRPr="00124DB1">
        <w:t>is based</w:t>
      </w:r>
      <w:proofErr w:type="gramEnd"/>
      <w:r w:rsidRPr="00124DB1">
        <w:t xml:space="preserve"> on a </w:t>
      </w:r>
      <w:r w:rsidR="00E0104D" w:rsidRPr="00124DB1">
        <w:t>desire</w:t>
      </w:r>
      <w:r w:rsidRPr="00124DB1">
        <w:t xml:space="preserve"> to </w:t>
      </w:r>
      <w:r w:rsidR="00E0104D" w:rsidRPr="00124DB1">
        <w:t>[</w:t>
      </w:r>
      <w:r w:rsidR="00E0104D" w:rsidRPr="00124DB1">
        <w:rPr>
          <w:smallCaps/>
        </w:rPr>
        <w:t>translation</w:t>
      </w:r>
      <w:r w:rsidR="00E0104D" w:rsidRPr="00124DB1">
        <w:t xml:space="preserve">] </w:t>
      </w:r>
      <w:r w:rsidRPr="00124DB1">
        <w:t xml:space="preserve">“control the message” and minimize, to the extent possible, the risk </w:t>
      </w:r>
      <w:r w:rsidR="00E0104D" w:rsidRPr="00124DB1">
        <w:t>that</w:t>
      </w:r>
      <w:r w:rsidRPr="00124DB1">
        <w:t xml:space="preserve"> an ill-advised remark said in the heat of the moment might lead to ethical or judicial action by citizens who were questioned.</w:t>
      </w:r>
      <w:r w:rsidR="00AD32E1" w:rsidRPr="00124DB1">
        <w:t xml:space="preserve"> </w:t>
      </w:r>
      <w:r w:rsidR="00E0104D" w:rsidRPr="00124DB1">
        <w:t xml:space="preserve"> </w:t>
      </w:r>
    </w:p>
    <w:p w14:paraId="0DB3C603" w14:textId="55B7D8DD" w:rsidR="00507A20" w:rsidRPr="00124DB1" w:rsidRDefault="00A20864" w:rsidP="00507A20">
      <w:pPr>
        <w:pStyle w:val="Paragraphe"/>
        <w:tabs>
          <w:tab w:val="clear" w:pos="567"/>
        </w:tabs>
      </w:pPr>
      <w:r w:rsidRPr="00124DB1">
        <w:t xml:space="preserve">While nothing </w:t>
      </w:r>
      <w:r w:rsidR="00E0104D" w:rsidRPr="00124DB1">
        <w:t>compels</w:t>
      </w:r>
      <w:r w:rsidRPr="00124DB1">
        <w:t xml:space="preserve"> officers who commit an error to express regret or apologize, it may be a different story with respect to communicating the reasons justifying detaining a person for the purpose of investigation.</w:t>
      </w:r>
    </w:p>
    <w:p w14:paraId="44C01637" w14:textId="77777777" w:rsidR="00507A20" w:rsidRPr="00124DB1" w:rsidRDefault="00A20864" w:rsidP="00507A20">
      <w:pPr>
        <w:pStyle w:val="Paragraphe"/>
        <w:tabs>
          <w:tab w:val="clear" w:pos="567"/>
        </w:tabs>
      </w:pPr>
      <w:r w:rsidRPr="00124DB1">
        <w:t xml:space="preserve">In this respect, section 28 of the </w:t>
      </w:r>
      <w:r w:rsidRPr="00124DB1">
        <w:rPr>
          <w:i/>
        </w:rPr>
        <w:t>Charter</w:t>
      </w:r>
      <w:r w:rsidRPr="00124DB1">
        <w:t xml:space="preserve"> states the following rule:</w:t>
      </w:r>
    </w:p>
    <w:p w14:paraId="18210D81" w14:textId="77777777" w:rsidR="00507A20" w:rsidRPr="00124DB1" w:rsidRDefault="00AD32E1" w:rsidP="00507A20">
      <w:pPr>
        <w:pStyle w:val="Citationenretrait"/>
        <w:rPr>
          <w:lang w:val="en-CA"/>
        </w:rPr>
      </w:pPr>
      <w:r w:rsidRPr="00124DB1">
        <w:rPr>
          <w:b/>
          <w:lang w:val="en-CA"/>
        </w:rPr>
        <w:t>28.</w:t>
      </w:r>
      <w:r w:rsidRPr="00124DB1">
        <w:rPr>
          <w:lang w:val="en-CA"/>
        </w:rPr>
        <w:t>  </w:t>
      </w:r>
      <w:r w:rsidR="00A20864" w:rsidRPr="00124DB1">
        <w:rPr>
          <w:lang w:val="en-CA"/>
        </w:rPr>
        <w:t xml:space="preserve">Every person arrested or </w:t>
      </w:r>
      <w:r w:rsidR="00A20864" w:rsidRPr="00124DB1">
        <w:rPr>
          <w:u w:val="single"/>
          <w:lang w:val="en-CA"/>
        </w:rPr>
        <w:t>detained</w:t>
      </w:r>
      <w:r w:rsidR="00A20864" w:rsidRPr="00124DB1">
        <w:rPr>
          <w:lang w:val="en-CA"/>
        </w:rPr>
        <w:t xml:space="preserve"> has a </w:t>
      </w:r>
      <w:r w:rsidR="00A20864" w:rsidRPr="00124DB1">
        <w:rPr>
          <w:u w:val="single"/>
          <w:lang w:val="en-CA"/>
        </w:rPr>
        <w:t xml:space="preserve">right to </w:t>
      </w:r>
      <w:proofErr w:type="gramStart"/>
      <w:r w:rsidR="00A20864" w:rsidRPr="00124DB1">
        <w:rPr>
          <w:u w:val="single"/>
          <w:lang w:val="en-CA"/>
        </w:rPr>
        <w:t>be promptly informed</w:t>
      </w:r>
      <w:proofErr w:type="gramEnd"/>
      <w:r w:rsidR="00A20864" w:rsidRPr="00124DB1">
        <w:rPr>
          <w:lang w:val="en-CA"/>
        </w:rPr>
        <w:t xml:space="preserve">, in a language he understands, of the </w:t>
      </w:r>
      <w:r w:rsidR="00A20864" w:rsidRPr="00124DB1">
        <w:rPr>
          <w:u w:val="single"/>
          <w:lang w:val="en-CA"/>
        </w:rPr>
        <w:t>grounds</w:t>
      </w:r>
      <w:r w:rsidR="00A20864" w:rsidRPr="00124DB1">
        <w:rPr>
          <w:lang w:val="en-CA"/>
        </w:rPr>
        <w:t xml:space="preserve"> of his arrest or </w:t>
      </w:r>
      <w:r w:rsidR="00A20864" w:rsidRPr="00124DB1">
        <w:rPr>
          <w:u w:val="single"/>
          <w:lang w:val="en-CA"/>
        </w:rPr>
        <w:t>detention</w:t>
      </w:r>
      <w:r w:rsidR="00A20864" w:rsidRPr="00124DB1">
        <w:rPr>
          <w:lang w:val="en-CA"/>
        </w:rPr>
        <w:t>.</w:t>
      </w:r>
    </w:p>
    <w:p w14:paraId="470FD951" w14:textId="77777777" w:rsidR="00507A20" w:rsidRPr="00124DB1" w:rsidRDefault="00A20864" w:rsidP="00507A20">
      <w:pPr>
        <w:pStyle w:val="Citationenretrait"/>
        <w:jc w:val="right"/>
        <w:rPr>
          <w:sz w:val="20"/>
          <w:lang w:val="en-CA"/>
        </w:rPr>
      </w:pPr>
      <w:r w:rsidRPr="00124DB1">
        <w:rPr>
          <w:sz w:val="20"/>
          <w:lang w:val="en-CA"/>
        </w:rPr>
        <w:t>[Emphasis added.]</w:t>
      </w:r>
    </w:p>
    <w:p w14:paraId="4610CEE5" w14:textId="05109863" w:rsidR="00507A20" w:rsidRPr="00124DB1" w:rsidRDefault="00CD60DD" w:rsidP="00507A20">
      <w:pPr>
        <w:pStyle w:val="Paragraphe"/>
        <w:tabs>
          <w:tab w:val="clear" w:pos="567"/>
        </w:tabs>
      </w:pPr>
      <w:r w:rsidRPr="00124DB1">
        <w:t xml:space="preserve">Unlike the Court of Québec or </w:t>
      </w:r>
      <w:r w:rsidR="00E0104D" w:rsidRPr="00124DB1">
        <w:t>the</w:t>
      </w:r>
      <w:r w:rsidRPr="00124DB1">
        <w:t xml:space="preserve"> Superior Court, however, the Tribunal does not have jurisdiction to rule on an allegation that this right </w:t>
      </w:r>
      <w:proofErr w:type="gramStart"/>
      <w:r w:rsidRPr="00124DB1">
        <w:t>was violated</w:t>
      </w:r>
      <w:proofErr w:type="gramEnd"/>
      <w:r w:rsidRPr="00124DB1">
        <w:t>.</w:t>
      </w:r>
    </w:p>
    <w:p w14:paraId="0DDDF233" w14:textId="75B1F115" w:rsidR="00507A20" w:rsidRPr="00124DB1" w:rsidRDefault="00113220" w:rsidP="00507A20">
      <w:pPr>
        <w:pStyle w:val="Paragraphe"/>
        <w:tabs>
          <w:tab w:val="clear" w:pos="567"/>
        </w:tabs>
      </w:pPr>
      <w:r w:rsidRPr="00124DB1">
        <w:lastRenderedPageBreak/>
        <w:t>Rather, i</w:t>
      </w:r>
      <w:r w:rsidR="00CD60DD" w:rsidRPr="00124DB1">
        <w:t xml:space="preserve">ts jurisdiction is limited to determining whether Mr. </w:t>
      </w:r>
      <w:proofErr w:type="spellStart"/>
      <w:r w:rsidR="00CD60DD" w:rsidRPr="00124DB1">
        <w:t>Bazelais</w:t>
      </w:r>
      <w:proofErr w:type="spellEnd"/>
      <w:r w:rsidR="00CD60DD" w:rsidRPr="00124DB1">
        <w:t xml:space="preserve"> </w:t>
      </w:r>
      <w:proofErr w:type="gramStart"/>
      <w:r w:rsidR="00CD60DD" w:rsidRPr="00124DB1">
        <w:t>was denied</w:t>
      </w:r>
      <w:proofErr w:type="gramEnd"/>
      <w:r w:rsidR="00CD60DD" w:rsidRPr="00124DB1">
        <w:t xml:space="preserve"> the recognition and exercise of his right protected under section 28 of </w:t>
      </w:r>
      <w:r w:rsidR="00E0104D" w:rsidRPr="00124DB1">
        <w:t>the</w:t>
      </w:r>
      <w:r w:rsidR="00CD60DD" w:rsidRPr="00124DB1">
        <w:t xml:space="preserve"> </w:t>
      </w:r>
      <w:r w:rsidR="00CD60DD" w:rsidRPr="00124DB1">
        <w:rPr>
          <w:i/>
        </w:rPr>
        <w:t>Charter</w:t>
      </w:r>
      <w:r w:rsidR="00CD60DD" w:rsidRPr="00124DB1">
        <w:t xml:space="preserve"> for discriminatory reasons.</w:t>
      </w:r>
      <w:r w:rsidR="00AD32E1" w:rsidRPr="00124DB1">
        <w:rPr>
          <w:rStyle w:val="Appelnotedebasdep"/>
        </w:rPr>
        <w:footnoteReference w:id="175"/>
      </w:r>
    </w:p>
    <w:p w14:paraId="16A13B30" w14:textId="1AC8DAB1" w:rsidR="00507A20" w:rsidRPr="00124DB1" w:rsidRDefault="00CD60DD" w:rsidP="00507A20">
      <w:pPr>
        <w:pStyle w:val="Paragraphe"/>
        <w:tabs>
          <w:tab w:val="clear" w:pos="567"/>
        </w:tabs>
      </w:pPr>
      <w:r w:rsidRPr="00124DB1">
        <w:t xml:space="preserve">In this case, there is nothing justifying an </w:t>
      </w:r>
      <w:r w:rsidR="00E0104D" w:rsidRPr="00124DB1">
        <w:t>inference</w:t>
      </w:r>
      <w:r w:rsidRPr="00124DB1">
        <w:t xml:space="preserve"> that the instruction to be silent followed by the officers of </w:t>
      </w:r>
      <w:r w:rsidR="00E0104D" w:rsidRPr="00124DB1">
        <w:t>the</w:t>
      </w:r>
      <w:r w:rsidRPr="00124DB1">
        <w:t xml:space="preserve"> </w:t>
      </w:r>
      <w:proofErr w:type="spellStart"/>
      <w:r w:rsidR="00113220" w:rsidRPr="00124DB1">
        <w:t>É</w:t>
      </w:r>
      <w:r w:rsidRPr="00124DB1">
        <w:t>clipse</w:t>
      </w:r>
      <w:proofErr w:type="spellEnd"/>
      <w:r w:rsidRPr="00124DB1">
        <w:t xml:space="preserve"> unit has anything to do with the colour, race, or ethnic origin of </w:t>
      </w:r>
      <w:r w:rsidR="00E0104D" w:rsidRPr="00124DB1">
        <w:t>the</w:t>
      </w:r>
      <w:r w:rsidRPr="00124DB1">
        <w:t xml:space="preserve"> persons </w:t>
      </w:r>
      <w:r w:rsidR="00E0104D" w:rsidRPr="00124DB1">
        <w:t>questioned</w:t>
      </w:r>
      <w:r w:rsidRPr="00124DB1">
        <w:t>.</w:t>
      </w:r>
      <w:r w:rsidR="00AD32E1" w:rsidRPr="00124DB1">
        <w:t xml:space="preserve"> </w:t>
      </w:r>
    </w:p>
    <w:p w14:paraId="42685DCE" w14:textId="1496E26C" w:rsidR="00507A20" w:rsidRPr="00124DB1" w:rsidRDefault="00CD60DD" w:rsidP="00507A20">
      <w:pPr>
        <w:pStyle w:val="Titre3"/>
        <w:rPr>
          <w:lang w:val="en-CA"/>
        </w:rPr>
      </w:pPr>
      <w:r w:rsidRPr="00124DB1">
        <w:rPr>
          <w:lang w:val="en-CA"/>
        </w:rPr>
        <w:t xml:space="preserve">Consequences of </w:t>
      </w:r>
      <w:r w:rsidR="00113220" w:rsidRPr="00124DB1">
        <w:rPr>
          <w:lang w:val="en-CA"/>
        </w:rPr>
        <w:t xml:space="preserve">the </w:t>
      </w:r>
      <w:r w:rsidRPr="00124DB1">
        <w:rPr>
          <w:lang w:val="en-CA"/>
        </w:rPr>
        <w:t>intervention</w:t>
      </w:r>
    </w:p>
    <w:p w14:paraId="38E3789C" w14:textId="38287A62" w:rsidR="00507A20" w:rsidRPr="00124DB1" w:rsidRDefault="00CD60DD" w:rsidP="00507A20">
      <w:pPr>
        <w:pStyle w:val="Paragraphe"/>
        <w:tabs>
          <w:tab w:val="clear" w:pos="567"/>
        </w:tabs>
      </w:pPr>
      <w:r w:rsidRPr="00124DB1">
        <w:t xml:space="preserve">In the hours following his </w:t>
      </w:r>
      <w:r w:rsidR="00E0104D" w:rsidRPr="00124DB1">
        <w:t>questioning</w:t>
      </w:r>
      <w:r w:rsidRPr="00124DB1">
        <w:t xml:space="preserve">, Mr. </w:t>
      </w:r>
      <w:proofErr w:type="spellStart"/>
      <w:r w:rsidRPr="00124DB1">
        <w:t>Bazelais</w:t>
      </w:r>
      <w:proofErr w:type="spellEnd"/>
      <w:r w:rsidRPr="00124DB1">
        <w:t xml:space="preserve"> tried </w:t>
      </w:r>
      <w:r w:rsidR="0065139C" w:rsidRPr="00124DB1">
        <w:t xml:space="preserve">in vain </w:t>
      </w:r>
      <w:r w:rsidRPr="00124DB1">
        <w:t>to obtain a report of the event.</w:t>
      </w:r>
      <w:r w:rsidR="00AD32E1" w:rsidRPr="00124DB1">
        <w:t xml:space="preserve"> </w:t>
      </w:r>
    </w:p>
    <w:p w14:paraId="0996CB2C" w14:textId="49831A3D" w:rsidR="00507A20" w:rsidRPr="00124DB1" w:rsidRDefault="00CD60DD" w:rsidP="00507A20">
      <w:pPr>
        <w:pStyle w:val="Paragraphe"/>
        <w:tabs>
          <w:tab w:val="clear" w:pos="567"/>
        </w:tabs>
      </w:pPr>
      <w:r w:rsidRPr="00124DB1">
        <w:t xml:space="preserve">While there is no doubt that the episode he and his two friends experienced had a profound impact on them, it was, for the </w:t>
      </w:r>
      <w:proofErr w:type="spellStart"/>
      <w:r w:rsidR="009F3C9E" w:rsidRPr="00124DB1">
        <w:t>É</w:t>
      </w:r>
      <w:r w:rsidRPr="00124DB1">
        <w:t>clipse</w:t>
      </w:r>
      <w:proofErr w:type="spellEnd"/>
      <w:r w:rsidRPr="00124DB1">
        <w:t xml:space="preserve"> unit, a </w:t>
      </w:r>
      <w:r w:rsidR="00E0104D" w:rsidRPr="00124DB1">
        <w:t>[</w:t>
      </w:r>
      <w:r w:rsidR="00E0104D" w:rsidRPr="00124DB1">
        <w:rPr>
          <w:smallCaps/>
        </w:rPr>
        <w:t>translation</w:t>
      </w:r>
      <w:r w:rsidR="00E0104D" w:rsidRPr="00124DB1">
        <w:t xml:space="preserve">] </w:t>
      </w:r>
      <w:r w:rsidRPr="00124DB1">
        <w:t xml:space="preserve">“non-event” that was </w:t>
      </w:r>
      <w:r w:rsidR="00E0104D" w:rsidRPr="00124DB1">
        <w:t>[</w:t>
      </w:r>
      <w:r w:rsidR="00E0104D" w:rsidRPr="00124DB1">
        <w:rPr>
          <w:smallCaps/>
        </w:rPr>
        <w:t>translation</w:t>
      </w:r>
      <w:r w:rsidR="00E0104D" w:rsidRPr="00124DB1">
        <w:t xml:space="preserve">] </w:t>
      </w:r>
      <w:r w:rsidRPr="00124DB1">
        <w:t>“open and shut”, to use Commander Harrison-</w:t>
      </w:r>
      <w:proofErr w:type="spellStart"/>
      <w:r w:rsidRPr="00124DB1">
        <w:t>Gaudreault</w:t>
      </w:r>
      <w:r w:rsidR="009F3C9E" w:rsidRPr="00124DB1">
        <w:t>’s</w:t>
      </w:r>
      <w:proofErr w:type="spellEnd"/>
      <w:r w:rsidR="009F3C9E" w:rsidRPr="00124DB1">
        <w:t xml:space="preserve"> expression</w:t>
      </w:r>
      <w:r w:rsidRPr="00124DB1">
        <w:t>.</w:t>
      </w:r>
    </w:p>
    <w:p w14:paraId="78FD09EF" w14:textId="58E5227D" w:rsidR="00507A20" w:rsidRPr="00124DB1" w:rsidRDefault="00CD60DD" w:rsidP="00507A20">
      <w:pPr>
        <w:pStyle w:val="Paragraphe"/>
        <w:tabs>
          <w:tab w:val="clear" w:pos="567"/>
        </w:tabs>
      </w:pPr>
      <w:r w:rsidRPr="00124DB1">
        <w:t xml:space="preserve">He testified that a report </w:t>
      </w:r>
      <w:r w:rsidR="00E0104D" w:rsidRPr="00124DB1">
        <w:t>is</w:t>
      </w:r>
      <w:r w:rsidRPr="00124DB1">
        <w:t xml:space="preserve"> prepared if, for example, there </w:t>
      </w:r>
      <w:r w:rsidR="00E0104D" w:rsidRPr="00124DB1">
        <w:t>is</w:t>
      </w:r>
      <w:r w:rsidRPr="00124DB1">
        <w:t xml:space="preserve"> an arrest </w:t>
      </w:r>
      <w:r w:rsidR="00E0104D" w:rsidRPr="00124DB1">
        <w:t>following</w:t>
      </w:r>
      <w:r w:rsidRPr="00124DB1">
        <w:t xml:space="preserve"> the commission of a criminal offence or if force </w:t>
      </w:r>
      <w:proofErr w:type="gramStart"/>
      <w:r w:rsidR="00A9757A" w:rsidRPr="00124DB1">
        <w:t>is</w:t>
      </w:r>
      <w:r w:rsidRPr="00124DB1">
        <w:t xml:space="preserve"> used</w:t>
      </w:r>
      <w:proofErr w:type="gramEnd"/>
      <w:r w:rsidRPr="00124DB1">
        <w:t xml:space="preserve"> against an individual.</w:t>
      </w:r>
      <w:r w:rsidR="00AD32E1" w:rsidRPr="00124DB1">
        <w:t xml:space="preserve"> </w:t>
      </w:r>
      <w:r w:rsidRPr="00124DB1">
        <w:t xml:space="preserve">The officers limit themselves to documenting significant events, or they would </w:t>
      </w:r>
      <w:r w:rsidR="00A9757A" w:rsidRPr="00124DB1">
        <w:t>[</w:t>
      </w:r>
      <w:r w:rsidR="00A9757A" w:rsidRPr="00124DB1">
        <w:rPr>
          <w:smallCaps/>
        </w:rPr>
        <w:t>translation</w:t>
      </w:r>
      <w:r w:rsidR="00A9757A" w:rsidRPr="00124DB1">
        <w:t xml:space="preserve">] </w:t>
      </w:r>
      <w:r w:rsidRPr="00124DB1">
        <w:t>“become secretaries”.</w:t>
      </w:r>
    </w:p>
    <w:p w14:paraId="1E730372" w14:textId="77777777" w:rsidR="00507A20" w:rsidRPr="00124DB1" w:rsidRDefault="00CD60DD" w:rsidP="00507A20">
      <w:pPr>
        <w:pStyle w:val="Paragraphe"/>
        <w:tabs>
          <w:tab w:val="clear" w:pos="567"/>
        </w:tabs>
      </w:pPr>
      <w:r w:rsidRPr="00124DB1">
        <w:t xml:space="preserve">At the hearing, Officer </w:t>
      </w:r>
      <w:proofErr w:type="spellStart"/>
      <w:r w:rsidRPr="00124DB1">
        <w:t>Jérôme</w:t>
      </w:r>
      <w:proofErr w:type="spellEnd"/>
      <w:r w:rsidRPr="00124DB1">
        <w:t xml:space="preserve"> Tremblay also claimed that he completes a report only if he must use force to detain or handcuff a person.</w:t>
      </w:r>
      <w:r w:rsidR="00AD32E1" w:rsidRPr="00124DB1">
        <w:rPr>
          <w:rStyle w:val="Appelnotedebasdep"/>
        </w:rPr>
        <w:footnoteReference w:id="176"/>
      </w:r>
      <w:r w:rsidR="00AD32E1" w:rsidRPr="00124DB1">
        <w:t xml:space="preserve"> </w:t>
      </w:r>
    </w:p>
    <w:p w14:paraId="3D57FC5D" w14:textId="6A619FC7" w:rsidR="00507A20" w:rsidRPr="00124DB1" w:rsidRDefault="00A9757A" w:rsidP="00507A20">
      <w:pPr>
        <w:pStyle w:val="Paragraphe"/>
        <w:tabs>
          <w:tab w:val="clear" w:pos="567"/>
        </w:tabs>
      </w:pPr>
      <w:r w:rsidRPr="00124DB1">
        <w:t>[</w:t>
      </w:r>
      <w:r w:rsidRPr="00124DB1">
        <w:rPr>
          <w:smallCaps/>
        </w:rPr>
        <w:t>translation</w:t>
      </w:r>
      <w:r w:rsidRPr="00124DB1">
        <w:t xml:space="preserve">] </w:t>
      </w:r>
      <w:r w:rsidR="00CD60DD" w:rsidRPr="00124DB1">
        <w:t xml:space="preserve">“I didn’t note anything significant” during the intervention, declared </w:t>
      </w:r>
      <w:r w:rsidRPr="00124DB1">
        <w:t>Sergeant</w:t>
      </w:r>
      <w:r w:rsidR="00CD60DD" w:rsidRPr="00124DB1">
        <w:t xml:space="preserve"> Mathurin, no tackling to the ground, no joint holds, no applying any pressure points, no hitting.</w:t>
      </w:r>
    </w:p>
    <w:p w14:paraId="73794E5A" w14:textId="2A895A53" w:rsidR="00507A20" w:rsidRPr="00124DB1" w:rsidRDefault="00CD60DD" w:rsidP="00507A20">
      <w:pPr>
        <w:pStyle w:val="Paragraphe"/>
        <w:tabs>
          <w:tab w:val="clear" w:pos="567"/>
        </w:tabs>
      </w:pPr>
      <w:r w:rsidRPr="00124DB1">
        <w:t xml:space="preserve">As for the search and the use of handcuffs, these are common practice and </w:t>
      </w:r>
      <w:proofErr w:type="gramStart"/>
      <w:r w:rsidRPr="00124DB1">
        <w:t>are not documented</w:t>
      </w:r>
      <w:proofErr w:type="gramEnd"/>
      <w:r w:rsidRPr="00124DB1">
        <w:t xml:space="preserve"> by the </w:t>
      </w:r>
      <w:proofErr w:type="spellStart"/>
      <w:r w:rsidR="006647E2" w:rsidRPr="00124DB1">
        <w:t>É</w:t>
      </w:r>
      <w:r w:rsidRPr="00124DB1">
        <w:t>clipse</w:t>
      </w:r>
      <w:proofErr w:type="spellEnd"/>
      <w:r w:rsidRPr="00124DB1">
        <w:t xml:space="preserve"> unit when the individuals cooperate.</w:t>
      </w:r>
      <w:r w:rsidR="00A9757A" w:rsidRPr="00124DB1">
        <w:t xml:space="preserve"> [</w:t>
      </w:r>
      <w:r w:rsidR="00A9757A" w:rsidRPr="00124DB1">
        <w:rPr>
          <w:smallCaps/>
        </w:rPr>
        <w:t>translation</w:t>
      </w:r>
      <w:r w:rsidR="00A9757A" w:rsidRPr="00124DB1">
        <w:t>]</w:t>
      </w:r>
      <w:r w:rsidR="00AD32E1" w:rsidRPr="00124DB1">
        <w:t xml:space="preserve"> </w:t>
      </w:r>
      <w:r w:rsidRPr="00124DB1">
        <w:t xml:space="preserve">“It happens a few times a week”, according to </w:t>
      </w:r>
      <w:r w:rsidR="00A9757A" w:rsidRPr="00124DB1">
        <w:t>Sergeant</w:t>
      </w:r>
      <w:r w:rsidRPr="00124DB1">
        <w:t xml:space="preserve"> Mathurin, who considers that </w:t>
      </w:r>
      <w:proofErr w:type="gramStart"/>
      <w:r w:rsidRPr="00124DB1">
        <w:t>there</w:t>
      </w:r>
      <w:proofErr w:type="gramEnd"/>
      <w:r w:rsidRPr="00124DB1">
        <w:t xml:space="preserve"> was nothing in particular that justified preparing an incident report in the circumstances.</w:t>
      </w:r>
    </w:p>
    <w:p w14:paraId="0FBFD958" w14:textId="10E79E32" w:rsidR="00507A20" w:rsidRPr="00124DB1" w:rsidRDefault="00CD60DD" w:rsidP="00507A20">
      <w:pPr>
        <w:pStyle w:val="Paragraphe"/>
        <w:tabs>
          <w:tab w:val="clear" w:pos="567"/>
        </w:tabs>
      </w:pPr>
      <w:r w:rsidRPr="00124DB1">
        <w:lastRenderedPageBreak/>
        <w:t xml:space="preserve">Certainly, the SPVM has a policy on police </w:t>
      </w:r>
      <w:r w:rsidR="006647E2" w:rsidRPr="00124DB1">
        <w:t>checks</w:t>
      </w:r>
      <w:r w:rsidRPr="00124DB1">
        <w:t xml:space="preserve"> that requires that a record of </w:t>
      </w:r>
      <w:r w:rsidR="00A9757A" w:rsidRPr="00124DB1">
        <w:t>questioning</w:t>
      </w:r>
      <w:r w:rsidRPr="00124DB1">
        <w:t xml:space="preserve"> be completed </w:t>
      </w:r>
      <w:r w:rsidR="00A9757A" w:rsidRPr="00124DB1">
        <w:t>[</w:t>
      </w:r>
      <w:r w:rsidR="00A9757A" w:rsidRPr="00124DB1">
        <w:rPr>
          <w:smallCaps/>
        </w:rPr>
        <w:t>translation</w:t>
      </w:r>
      <w:r w:rsidR="00A9757A" w:rsidRPr="00124DB1">
        <w:t xml:space="preserve">] </w:t>
      </w:r>
      <w:r w:rsidRPr="00124DB1">
        <w:t>“when the information gathered is of interest to the Department’s mission”.</w:t>
      </w:r>
      <w:r w:rsidR="00AD32E1" w:rsidRPr="00124DB1">
        <w:rPr>
          <w:rStyle w:val="Appelnotedebasdep"/>
        </w:rPr>
        <w:footnoteReference w:id="177"/>
      </w:r>
      <w:r w:rsidR="00AD32E1" w:rsidRPr="00124DB1">
        <w:t xml:space="preserve"> </w:t>
      </w:r>
      <w:r w:rsidR="00A9757A" w:rsidRPr="00124DB1">
        <w:t>However</w:t>
      </w:r>
      <w:r w:rsidRPr="00124DB1">
        <w:t xml:space="preserve">, </w:t>
      </w:r>
      <w:r w:rsidR="00A9757A" w:rsidRPr="00124DB1">
        <w:t>[</w:t>
      </w:r>
      <w:r w:rsidR="00A9757A" w:rsidRPr="00124DB1">
        <w:rPr>
          <w:smallCaps/>
        </w:rPr>
        <w:t>translation</w:t>
      </w:r>
      <w:r w:rsidR="00A9757A" w:rsidRPr="00124DB1">
        <w:t xml:space="preserve">] </w:t>
      </w:r>
      <w:r w:rsidRPr="00124DB1">
        <w:t>“</w:t>
      </w:r>
      <w:r w:rsidR="001623ED" w:rsidRPr="00124DB1">
        <w:t xml:space="preserve">investigative </w:t>
      </w:r>
      <w:r w:rsidRPr="00124DB1">
        <w:t xml:space="preserve">detention” </w:t>
      </w:r>
      <w:proofErr w:type="gramStart"/>
      <w:r w:rsidRPr="00124DB1">
        <w:t>is expressly excluded</w:t>
      </w:r>
      <w:proofErr w:type="gramEnd"/>
      <w:r w:rsidRPr="00124DB1">
        <w:t xml:space="preserve"> from the definition of “police </w:t>
      </w:r>
      <w:r w:rsidR="001623ED" w:rsidRPr="00124DB1">
        <w:t>check</w:t>
      </w:r>
      <w:r w:rsidR="00EE5E27" w:rsidRPr="00124DB1">
        <w:t>s</w:t>
      </w:r>
      <w:r w:rsidRPr="00124DB1">
        <w:t>” under this policy.</w:t>
      </w:r>
      <w:r w:rsidR="00AD32E1" w:rsidRPr="00124DB1">
        <w:rPr>
          <w:rStyle w:val="Appelnotedebasdep"/>
        </w:rPr>
        <w:footnoteReference w:id="178"/>
      </w:r>
    </w:p>
    <w:p w14:paraId="4E01C82E" w14:textId="227F2485" w:rsidR="00507A20" w:rsidRPr="00124DB1" w:rsidRDefault="00CD60DD" w:rsidP="00507A20">
      <w:pPr>
        <w:pStyle w:val="Paragraphe"/>
        <w:tabs>
          <w:tab w:val="clear" w:pos="567"/>
        </w:tabs>
      </w:pPr>
      <w:r w:rsidRPr="00124DB1">
        <w:t xml:space="preserve">Finally, </w:t>
      </w:r>
      <w:r w:rsidR="00A9757A" w:rsidRPr="00124DB1">
        <w:t>Sergeant</w:t>
      </w:r>
      <w:r w:rsidRPr="00124DB1">
        <w:t xml:space="preserve"> Mathurin remarked that the </w:t>
      </w:r>
      <w:proofErr w:type="spellStart"/>
      <w:r w:rsidR="006647E2" w:rsidRPr="00124DB1">
        <w:t>É</w:t>
      </w:r>
      <w:r w:rsidRPr="00124DB1">
        <w:t>clipse</w:t>
      </w:r>
      <w:proofErr w:type="spellEnd"/>
      <w:r w:rsidRPr="00124DB1">
        <w:t xml:space="preserve"> unit </w:t>
      </w:r>
      <w:proofErr w:type="gramStart"/>
      <w:r w:rsidRPr="00124DB1">
        <w:t>is known</w:t>
      </w:r>
      <w:proofErr w:type="gramEnd"/>
      <w:r w:rsidRPr="00124DB1">
        <w:t xml:space="preserve"> to </w:t>
      </w:r>
      <w:r w:rsidR="006647E2" w:rsidRPr="00124DB1">
        <w:t>b</w:t>
      </w:r>
      <w:r w:rsidRPr="00124DB1">
        <w:t>order services.</w:t>
      </w:r>
      <w:r w:rsidR="00AD32E1" w:rsidRPr="00124DB1">
        <w:t xml:space="preserve"> </w:t>
      </w:r>
      <w:r w:rsidRPr="00124DB1">
        <w:t xml:space="preserve">Since incident reports and the identities of those named therein </w:t>
      </w:r>
      <w:proofErr w:type="gramStart"/>
      <w:r w:rsidRPr="00124DB1">
        <w:t>are put</w:t>
      </w:r>
      <w:proofErr w:type="gramEnd"/>
      <w:r w:rsidRPr="00124DB1">
        <w:t xml:space="preserve"> into the police department data banks, such a report could have been prejudicial to M</w:t>
      </w:r>
      <w:r w:rsidR="00A9757A" w:rsidRPr="00124DB1">
        <w:t>r</w:t>
      </w:r>
      <w:r w:rsidRPr="00124DB1">
        <w:t xml:space="preserve">. </w:t>
      </w:r>
      <w:proofErr w:type="spellStart"/>
      <w:r w:rsidRPr="00124DB1">
        <w:t>Bazelais</w:t>
      </w:r>
      <w:proofErr w:type="spellEnd"/>
      <w:r w:rsidRPr="00124DB1">
        <w:t xml:space="preserve">, and his friends, </w:t>
      </w:r>
      <w:r w:rsidR="00A9757A" w:rsidRPr="00124DB1">
        <w:t>with respect to</w:t>
      </w:r>
      <w:r w:rsidRPr="00124DB1">
        <w:t xml:space="preserve"> their cross-border movement (Canada-United States).</w:t>
      </w:r>
    </w:p>
    <w:p w14:paraId="356963EE" w14:textId="77777777" w:rsidR="00507A20" w:rsidRPr="00124DB1" w:rsidRDefault="00CD60DD" w:rsidP="00507A20">
      <w:pPr>
        <w:pStyle w:val="Titre3"/>
        <w:rPr>
          <w:lang w:val="en-CA"/>
        </w:rPr>
      </w:pPr>
      <w:r w:rsidRPr="00124DB1">
        <w:rPr>
          <w:lang w:val="en-CA"/>
        </w:rPr>
        <w:t>Conclusion</w:t>
      </w:r>
    </w:p>
    <w:p w14:paraId="272B656C" w14:textId="265331AF" w:rsidR="00507A20" w:rsidRPr="00124DB1" w:rsidRDefault="005A77CF" w:rsidP="00507A20">
      <w:pPr>
        <w:pStyle w:val="Paragraphe"/>
        <w:tabs>
          <w:tab w:val="clear" w:pos="567"/>
        </w:tabs>
      </w:pPr>
      <w:r w:rsidRPr="00124DB1">
        <w:t xml:space="preserve">On August 31, 2014, the pleasant evening of three </w:t>
      </w:r>
      <w:r w:rsidR="006647E2" w:rsidRPr="00124DB1">
        <w:t xml:space="preserve">black, </w:t>
      </w:r>
      <w:r w:rsidRPr="00124DB1">
        <w:t xml:space="preserve">American men who are friends ended abruptly following a brief police intervention that mistakenly targeted them. </w:t>
      </w:r>
    </w:p>
    <w:p w14:paraId="46DEB068" w14:textId="77777777" w:rsidR="00507A20" w:rsidRPr="00124DB1" w:rsidRDefault="005A77CF" w:rsidP="00507A20">
      <w:pPr>
        <w:pStyle w:val="Paragraphe"/>
        <w:tabs>
          <w:tab w:val="clear" w:pos="567"/>
        </w:tabs>
      </w:pPr>
      <w:r w:rsidRPr="00124DB1">
        <w:t>Years later, their feeling of injustice remains intact.</w:t>
      </w:r>
      <w:r w:rsidR="00AD32E1" w:rsidRPr="00124DB1">
        <w:t xml:space="preserve"> </w:t>
      </w:r>
    </w:p>
    <w:p w14:paraId="68226D41" w14:textId="4B0CB4E5" w:rsidR="00507A20" w:rsidRPr="00124DB1" w:rsidRDefault="005A77CF" w:rsidP="00507A20">
      <w:pPr>
        <w:pStyle w:val="Paragraphe"/>
        <w:tabs>
          <w:tab w:val="clear" w:pos="567"/>
        </w:tabs>
      </w:pPr>
      <w:r w:rsidRPr="00124DB1">
        <w:t xml:space="preserve">It appears from the sincere testimony of Mr. </w:t>
      </w:r>
      <w:proofErr w:type="spellStart"/>
      <w:r w:rsidRPr="00124DB1">
        <w:t>Bazelais</w:t>
      </w:r>
      <w:proofErr w:type="spellEnd"/>
      <w:r w:rsidRPr="00124DB1">
        <w:t xml:space="preserve"> that this </w:t>
      </w:r>
      <w:r w:rsidR="00EE5E27" w:rsidRPr="00124DB1">
        <w:t>incident</w:t>
      </w:r>
      <w:r w:rsidRPr="00124DB1">
        <w:t xml:space="preserve"> marked him profoundly and that he still feels its prejudicial effects on his health.</w:t>
      </w:r>
    </w:p>
    <w:p w14:paraId="0BC650E6" w14:textId="5AF808E8" w:rsidR="00507A20" w:rsidRPr="00124DB1" w:rsidRDefault="005A77CF" w:rsidP="00507A20">
      <w:pPr>
        <w:pStyle w:val="Paragraphe"/>
        <w:tabs>
          <w:tab w:val="clear" w:pos="567"/>
        </w:tabs>
      </w:pPr>
      <w:r w:rsidRPr="00124DB1">
        <w:t xml:space="preserve">That </w:t>
      </w:r>
      <w:r w:rsidR="000D1ED3" w:rsidRPr="00124DB1">
        <w:t>said</w:t>
      </w:r>
      <w:proofErr w:type="gramStart"/>
      <w:r w:rsidRPr="00124DB1">
        <w:t>,</w:t>
      </w:r>
      <w:proofErr w:type="gramEnd"/>
      <w:r w:rsidRPr="00124DB1">
        <w:t xml:space="preserve"> the Tribunal’s power to grant a remedy is dependant on the observation that the action of the officers was based, in whole or in part, consciously or unconsciously, on the skin colour, race, or ethnic </w:t>
      </w:r>
      <w:r w:rsidR="000D1ED3" w:rsidRPr="00124DB1">
        <w:t>origin</w:t>
      </w:r>
      <w:r w:rsidRPr="00124DB1">
        <w:t xml:space="preserve"> of </w:t>
      </w:r>
      <w:r w:rsidR="000D1ED3" w:rsidRPr="00124DB1">
        <w:t>the</w:t>
      </w:r>
      <w:r w:rsidRPr="00124DB1">
        <w:t xml:space="preserve"> person questioned.</w:t>
      </w:r>
    </w:p>
    <w:p w14:paraId="521A4BD0" w14:textId="15C1FD46" w:rsidR="00507A20" w:rsidRPr="00124DB1" w:rsidRDefault="005A77CF" w:rsidP="00507A20">
      <w:pPr>
        <w:pStyle w:val="Paragraphe"/>
        <w:tabs>
          <w:tab w:val="clear" w:pos="567"/>
        </w:tabs>
      </w:pPr>
      <w:r w:rsidRPr="00124DB1">
        <w:t xml:space="preserve">The Tribunal considers that the SPVM’s </w:t>
      </w:r>
      <w:proofErr w:type="spellStart"/>
      <w:r w:rsidR="00EE5E27" w:rsidRPr="00124DB1">
        <w:t>É</w:t>
      </w:r>
      <w:r w:rsidRPr="00124DB1">
        <w:t>clipse</w:t>
      </w:r>
      <w:proofErr w:type="spellEnd"/>
      <w:r w:rsidRPr="00124DB1">
        <w:t xml:space="preserve"> unit, with the credible information it first obtained from Thursday’s </w:t>
      </w:r>
      <w:proofErr w:type="gramStart"/>
      <w:r w:rsidRPr="00124DB1">
        <w:t>doorman</w:t>
      </w:r>
      <w:proofErr w:type="gramEnd"/>
      <w:r w:rsidRPr="00124DB1">
        <w:t xml:space="preserve">, D.B., had “reasonable suspicion” to apprehend Mr. </w:t>
      </w:r>
      <w:proofErr w:type="spellStart"/>
      <w:r w:rsidRPr="00124DB1">
        <w:t>Bazelais</w:t>
      </w:r>
      <w:proofErr w:type="spellEnd"/>
      <w:r w:rsidRPr="00124DB1">
        <w:t xml:space="preserve"> and his friends. </w:t>
      </w:r>
    </w:p>
    <w:p w14:paraId="55DB569C" w14:textId="318E7AF3" w:rsidR="00507A20" w:rsidRPr="00124DB1" w:rsidRDefault="005A77CF" w:rsidP="00507A20">
      <w:pPr>
        <w:pStyle w:val="Paragraphe"/>
        <w:tabs>
          <w:tab w:val="clear" w:pos="567"/>
        </w:tabs>
      </w:pPr>
      <w:r w:rsidRPr="00124DB1">
        <w:t xml:space="preserve">In this respect, the Supreme </w:t>
      </w:r>
      <w:r w:rsidR="000D1ED3" w:rsidRPr="00124DB1">
        <w:t>Court</w:t>
      </w:r>
      <w:r w:rsidRPr="00124DB1">
        <w:t xml:space="preserve"> of Canada noted:</w:t>
      </w:r>
      <w:r w:rsidR="00AD32E1" w:rsidRPr="00124DB1">
        <w:t xml:space="preserve">  </w:t>
      </w:r>
    </w:p>
    <w:p w14:paraId="5A9675AA" w14:textId="77777777" w:rsidR="00507A20" w:rsidRPr="00124DB1" w:rsidRDefault="005A77CF" w:rsidP="00507A20">
      <w:pPr>
        <w:pStyle w:val="Citationenretrait"/>
        <w:rPr>
          <w:lang w:val="en-CA"/>
        </w:rPr>
      </w:pPr>
      <w:r w:rsidRPr="00124DB1">
        <w:rPr>
          <w:lang w:val="en-CA"/>
        </w:rPr>
        <w:t>[25</w:t>
      </w:r>
      <w:proofErr w:type="gramStart"/>
      <w:r w:rsidRPr="00124DB1">
        <w:rPr>
          <w:lang w:val="en-CA"/>
        </w:rPr>
        <w:t>]  ...</w:t>
      </w:r>
      <w:proofErr w:type="gramEnd"/>
      <w:r w:rsidRPr="00124DB1">
        <w:rPr>
          <w:lang w:val="en-CA"/>
        </w:rPr>
        <w:t xml:space="preserve"> In each case, </w:t>
      </w:r>
      <w:r w:rsidRPr="00124DB1">
        <w:rPr>
          <w:u w:val="single"/>
          <w:lang w:val="en-CA"/>
        </w:rPr>
        <w:t xml:space="preserve">the reasonable suspicion standard is uniquely “designed to avoid indiscriminate and discriminatory” police </w:t>
      </w:r>
      <w:proofErr w:type="gramStart"/>
      <w:r w:rsidRPr="00124DB1">
        <w:rPr>
          <w:u w:val="single"/>
          <w:lang w:val="en-CA"/>
        </w:rPr>
        <w:t>conduct</w:t>
      </w:r>
      <w:r w:rsidRPr="00124DB1">
        <w:rPr>
          <w:lang w:val="en-CA"/>
        </w:rPr>
        <w:t xml:space="preserve"> ...</w:t>
      </w:r>
      <w:proofErr w:type="gramEnd"/>
      <w:r w:rsidRPr="00124DB1">
        <w:rPr>
          <w:lang w:val="en-CA"/>
        </w:rPr>
        <w:t xml:space="preserve"> .</w:t>
      </w:r>
      <w:r w:rsidR="00AD32E1" w:rsidRPr="00124DB1">
        <w:rPr>
          <w:lang w:val="en-CA"/>
        </w:rPr>
        <w:t xml:space="preserve"> </w:t>
      </w:r>
      <w:r w:rsidRPr="00124DB1">
        <w:rPr>
          <w:lang w:val="en-CA"/>
        </w:rPr>
        <w:t xml:space="preserve">Courts must be able to assess the extent to which the police, in seeking to form reasonable suspicion over a person or a place, rely upon overtly discriminatory or stereotypical thinking, or upon “intuition” or “hunches” that easily disguise unconscious racism and </w:t>
      </w:r>
      <w:proofErr w:type="gramStart"/>
      <w:r w:rsidRPr="00124DB1">
        <w:rPr>
          <w:lang w:val="en-CA"/>
        </w:rPr>
        <w:t>stereotyping ...</w:t>
      </w:r>
      <w:proofErr w:type="gramEnd"/>
      <w:r w:rsidRPr="00124DB1">
        <w:rPr>
          <w:lang w:val="en-CA"/>
        </w:rPr>
        <w:t xml:space="preserve"> . </w:t>
      </w:r>
      <w:r w:rsidR="00AD32E1" w:rsidRPr="00124DB1">
        <w:rPr>
          <w:rStyle w:val="Appelnotedebasdep"/>
          <w:szCs w:val="22"/>
          <w:lang w:val="en-CA"/>
        </w:rPr>
        <w:footnoteReference w:id="179"/>
      </w:r>
    </w:p>
    <w:p w14:paraId="592CD02D" w14:textId="77777777" w:rsidR="00507A20" w:rsidRPr="00124DB1" w:rsidRDefault="00A7388A" w:rsidP="00507A20">
      <w:pPr>
        <w:pStyle w:val="Citationenretrait"/>
        <w:spacing w:after="0"/>
        <w:jc w:val="right"/>
        <w:rPr>
          <w:sz w:val="20"/>
          <w:lang w:val="en-CA"/>
        </w:rPr>
      </w:pPr>
      <w:r w:rsidRPr="00124DB1">
        <w:rPr>
          <w:sz w:val="20"/>
          <w:lang w:val="en-CA"/>
        </w:rPr>
        <w:t>[Citations omitted.]</w:t>
      </w:r>
    </w:p>
    <w:p w14:paraId="273B2AE3" w14:textId="77777777" w:rsidR="00507A20" w:rsidRPr="00124DB1" w:rsidRDefault="00BB3A86" w:rsidP="00507A20">
      <w:pPr>
        <w:pStyle w:val="Citationenretrait"/>
        <w:jc w:val="right"/>
        <w:rPr>
          <w:sz w:val="20"/>
          <w:lang w:val="en-CA"/>
        </w:rPr>
      </w:pPr>
      <w:r w:rsidRPr="00124DB1">
        <w:rPr>
          <w:sz w:val="20"/>
          <w:lang w:val="en-CA"/>
        </w:rPr>
        <w:t>[Emphasis added.]</w:t>
      </w:r>
    </w:p>
    <w:p w14:paraId="23E90675" w14:textId="1D20F672" w:rsidR="00507A20" w:rsidRPr="00124DB1" w:rsidRDefault="005A77CF" w:rsidP="00507A20">
      <w:pPr>
        <w:pStyle w:val="Paragraphe"/>
        <w:tabs>
          <w:tab w:val="clear" w:pos="567"/>
        </w:tabs>
      </w:pPr>
      <w:r w:rsidRPr="00124DB1">
        <w:lastRenderedPageBreak/>
        <w:t xml:space="preserve">For the Court, the existence of this “reasonable suspicion” is </w:t>
      </w:r>
      <w:r w:rsidR="00EE5E27" w:rsidRPr="00124DB1">
        <w:t>precisely</w:t>
      </w:r>
      <w:r w:rsidRPr="00124DB1">
        <w:t xml:space="preserve"> an effective means </w:t>
      </w:r>
      <w:r w:rsidR="00EE5E27" w:rsidRPr="00124DB1">
        <w:t>of</w:t>
      </w:r>
      <w:r w:rsidRPr="00124DB1">
        <w:t xml:space="preserve"> fight</w:t>
      </w:r>
      <w:r w:rsidR="00EE5E27" w:rsidRPr="00124DB1">
        <w:t>ing against</w:t>
      </w:r>
      <w:r w:rsidRPr="00124DB1">
        <w:t xml:space="preserve"> racial profiling.</w:t>
      </w:r>
      <w:r w:rsidR="00AD32E1" w:rsidRPr="00124DB1">
        <w:t xml:space="preserve"> </w:t>
      </w:r>
      <w:r w:rsidRPr="00124DB1">
        <w:t xml:space="preserve">This appears </w:t>
      </w:r>
      <w:r w:rsidR="000D1ED3" w:rsidRPr="00124DB1">
        <w:t>explicitly</w:t>
      </w:r>
      <w:r w:rsidRPr="00124DB1">
        <w:t xml:space="preserve"> from </w:t>
      </w:r>
      <w:r w:rsidR="000D1ED3" w:rsidRPr="00124DB1">
        <w:t>the</w:t>
      </w:r>
      <w:r w:rsidRPr="00124DB1">
        <w:t xml:space="preserve"> definition of “racial profiling” </w:t>
      </w:r>
      <w:r w:rsidR="00EE5E27" w:rsidRPr="00124DB1">
        <w:t>the Court</w:t>
      </w:r>
      <w:r w:rsidRPr="00124DB1">
        <w:t xml:space="preserve"> used in </w:t>
      </w:r>
      <w:r w:rsidRPr="00124DB1">
        <w:rPr>
          <w:i/>
        </w:rPr>
        <w:t>Bombardier</w:t>
      </w:r>
      <w:r w:rsidRPr="00124DB1">
        <w:t>.</w:t>
      </w:r>
      <w:r w:rsidR="00AD32E1" w:rsidRPr="00124DB1">
        <w:rPr>
          <w:rStyle w:val="Appelnotedebasdep"/>
        </w:rPr>
        <w:footnoteReference w:id="180"/>
      </w:r>
    </w:p>
    <w:p w14:paraId="3DA96EA0" w14:textId="18A4894E" w:rsidR="00507A20" w:rsidRPr="00124DB1" w:rsidRDefault="005A77CF" w:rsidP="00507A20">
      <w:pPr>
        <w:pStyle w:val="Paragraphe"/>
        <w:tabs>
          <w:tab w:val="clear" w:pos="567"/>
        </w:tabs>
      </w:pPr>
      <w:proofErr w:type="gramStart"/>
      <w:r w:rsidRPr="00124DB1">
        <w:t xml:space="preserve">Recalling the wording of </w:t>
      </w:r>
      <w:r w:rsidR="000D1ED3" w:rsidRPr="00124DB1">
        <w:t>the</w:t>
      </w:r>
      <w:r w:rsidRPr="00124DB1">
        <w:t xml:space="preserve"> definition of “racial profiling” drawn from </w:t>
      </w:r>
      <w:r w:rsidRPr="00124DB1">
        <w:rPr>
          <w:i/>
        </w:rPr>
        <w:t>R. v. Le</w:t>
      </w:r>
      <w:r w:rsidR="00AD32E1" w:rsidRPr="00124DB1">
        <w:rPr>
          <w:rStyle w:val="Appelnotedebasdep"/>
        </w:rPr>
        <w:footnoteReference w:id="181"/>
      </w:r>
      <w:r w:rsidRPr="00124DB1">
        <w:t xml:space="preserve"> – which was in turn inspired by a policy of the Ottawa police department – author David M. </w:t>
      </w:r>
      <w:proofErr w:type="spellStart"/>
      <w:r w:rsidRPr="00124DB1">
        <w:t>Tanovich</w:t>
      </w:r>
      <w:proofErr w:type="spellEnd"/>
      <w:r w:rsidRPr="00124DB1">
        <w:t>, a jurist known for his expertise in racial profiling,</w:t>
      </w:r>
      <w:r w:rsidR="00AD32E1" w:rsidRPr="00124DB1">
        <w:rPr>
          <w:rStyle w:val="Appelnotedebasdep"/>
        </w:rPr>
        <w:footnoteReference w:id="182"/>
      </w:r>
      <w:r w:rsidRPr="00124DB1">
        <w:t xml:space="preserve"> </w:t>
      </w:r>
      <w:r w:rsidR="001D78C8" w:rsidRPr="00124DB1">
        <w:t>notes</w:t>
      </w:r>
      <w:r w:rsidRPr="00124DB1">
        <w:t xml:space="preserve"> that there is an exception that applies to police officers when a suspect’s colour corresponds to the physical description given of that suspect, </w:t>
      </w:r>
      <w:r w:rsidR="000D1ED3" w:rsidRPr="00124DB1">
        <w:t>when</w:t>
      </w:r>
      <w:r w:rsidRPr="00124DB1">
        <w:t xml:space="preserve"> the description given is specific</w:t>
      </w:r>
      <w:r w:rsidR="001D78C8" w:rsidRPr="00124DB1">
        <w:t>,</w:t>
      </w:r>
      <w:r w:rsidRPr="00124DB1">
        <w:t xml:space="preserve"> and the apprehended person reasonably meets this description.</w:t>
      </w:r>
      <w:r w:rsidR="00AD32E1" w:rsidRPr="00124DB1">
        <w:rPr>
          <w:rStyle w:val="Appelnotedebasdep"/>
        </w:rPr>
        <w:footnoteReference w:id="183"/>
      </w:r>
      <w:proofErr w:type="gramEnd"/>
    </w:p>
    <w:p w14:paraId="2805CBD7" w14:textId="4CA2C2C4" w:rsidR="00507A20" w:rsidRPr="00124DB1" w:rsidRDefault="000D1ED3" w:rsidP="00507A20">
      <w:pPr>
        <w:pStyle w:val="Paragraphe"/>
        <w:tabs>
          <w:tab w:val="clear" w:pos="567"/>
        </w:tabs>
      </w:pPr>
      <w:r w:rsidRPr="00124DB1">
        <w:t>Thus</w:t>
      </w:r>
      <w:r w:rsidR="005A77CF" w:rsidRPr="00124DB1">
        <w:t xml:space="preserve">, the evidence </w:t>
      </w:r>
      <w:r w:rsidR="001D78C8" w:rsidRPr="00124DB1">
        <w:t>supports the</w:t>
      </w:r>
      <w:r w:rsidR="005A77CF" w:rsidRPr="00124DB1">
        <w:t xml:space="preserve"> conclusion that the SPVM’s </w:t>
      </w:r>
      <w:proofErr w:type="spellStart"/>
      <w:r w:rsidR="001D78C8" w:rsidRPr="00124DB1">
        <w:t>É</w:t>
      </w:r>
      <w:r w:rsidR="005A77CF" w:rsidRPr="00124DB1">
        <w:t>clipse</w:t>
      </w:r>
      <w:proofErr w:type="spellEnd"/>
      <w:r w:rsidR="005A77CF" w:rsidRPr="00124DB1">
        <w:t xml:space="preserve"> unit must benefit from this exception here, which is more in line with </w:t>
      </w:r>
      <w:r w:rsidRPr="00124DB1">
        <w:t>[</w:t>
      </w:r>
      <w:r w:rsidRPr="00124DB1">
        <w:rPr>
          <w:smallCaps/>
        </w:rPr>
        <w:t>translation</w:t>
      </w:r>
      <w:r w:rsidRPr="00124DB1">
        <w:t xml:space="preserve">] </w:t>
      </w:r>
      <w:r w:rsidR="005A77CF" w:rsidRPr="00124DB1">
        <w:t>“criminal profiling”:</w:t>
      </w:r>
    </w:p>
    <w:p w14:paraId="71DD3729" w14:textId="5200380E" w:rsidR="000D1ED3" w:rsidRPr="00124DB1" w:rsidRDefault="000D1ED3" w:rsidP="00507A20">
      <w:pPr>
        <w:pStyle w:val="Citationenretrait"/>
        <w:rPr>
          <w:lang w:val="en-CA"/>
        </w:rPr>
      </w:pPr>
      <w:r w:rsidRPr="00124DB1">
        <w:rPr>
          <w:lang w:val="en-CA"/>
        </w:rPr>
        <w:t>[</w:t>
      </w:r>
      <w:r w:rsidRPr="00124DB1">
        <w:rPr>
          <w:smallCaps/>
          <w:lang w:val="en-CA"/>
        </w:rPr>
        <w:t>translation</w:t>
      </w:r>
      <w:r w:rsidRPr="00124DB1">
        <w:rPr>
          <w:lang w:val="en-CA"/>
        </w:rPr>
        <w:t>]</w:t>
      </w:r>
    </w:p>
    <w:p w14:paraId="0169B72C" w14:textId="16D3B8FD" w:rsidR="00507A20" w:rsidRPr="00124DB1" w:rsidRDefault="005A77CF" w:rsidP="00507A20">
      <w:pPr>
        <w:pStyle w:val="Citationenretrait"/>
        <w:rPr>
          <w:lang w:val="en-CA"/>
        </w:rPr>
      </w:pPr>
      <w:r w:rsidRPr="00124DB1">
        <w:rPr>
          <w:lang w:val="en-CA"/>
        </w:rPr>
        <w:t xml:space="preserve">Criminal profiling is a lawful police practice used to identify a suspect (regardless of visible characteristics); this practice is used </w:t>
      </w:r>
      <w:r w:rsidR="000D1ED3" w:rsidRPr="00124DB1">
        <w:rPr>
          <w:lang w:val="en-CA"/>
        </w:rPr>
        <w:t>following</w:t>
      </w:r>
      <w:r w:rsidRPr="00124DB1">
        <w:rPr>
          <w:lang w:val="en-CA"/>
        </w:rPr>
        <w:t xml:space="preserve"> the receipt of information </w:t>
      </w:r>
      <w:r w:rsidR="00F519EC" w:rsidRPr="00124DB1">
        <w:rPr>
          <w:lang w:val="en-CA"/>
        </w:rPr>
        <w:t>related to</w:t>
      </w:r>
      <w:r w:rsidRPr="00124DB1">
        <w:rPr>
          <w:lang w:val="en-CA"/>
        </w:rPr>
        <w:t xml:space="preserve"> criminal activity committed by a person (or persons) </w:t>
      </w:r>
      <w:r w:rsidR="00F519EC" w:rsidRPr="00124DB1">
        <w:rPr>
          <w:lang w:val="en-CA"/>
        </w:rPr>
        <w:t>fitting</w:t>
      </w:r>
      <w:r w:rsidRPr="00124DB1">
        <w:rPr>
          <w:lang w:val="en-CA"/>
        </w:rPr>
        <w:t xml:space="preserve"> a certain description </w:t>
      </w:r>
      <w:r w:rsidR="000D1ED3" w:rsidRPr="00124DB1">
        <w:rPr>
          <w:lang w:val="en-CA"/>
        </w:rPr>
        <w:t>and</w:t>
      </w:r>
      <w:r w:rsidRPr="00124DB1">
        <w:rPr>
          <w:lang w:val="en-CA"/>
        </w:rPr>
        <w:t xml:space="preserve"> whose behaviour (modus operandi) was observed before, during, or after the commission of an offence.</w:t>
      </w:r>
      <w:r w:rsidR="00AD32E1" w:rsidRPr="00124DB1">
        <w:rPr>
          <w:rStyle w:val="Appelnotedebasdep"/>
          <w:szCs w:val="22"/>
          <w:lang w:val="en-CA"/>
        </w:rPr>
        <w:footnoteReference w:id="184"/>
      </w:r>
    </w:p>
    <w:p w14:paraId="4FA4D213" w14:textId="14487DF9" w:rsidR="00507A20" w:rsidRPr="00124DB1" w:rsidRDefault="005A77CF" w:rsidP="00507A20">
      <w:pPr>
        <w:pStyle w:val="Paragraphe"/>
        <w:tabs>
          <w:tab w:val="clear" w:pos="567"/>
        </w:tabs>
      </w:pPr>
      <w:r w:rsidRPr="00124DB1">
        <w:t xml:space="preserve">Some might suggest that there should be a </w:t>
      </w:r>
      <w:r w:rsidRPr="000C1D62">
        <w:rPr>
          <w:i/>
        </w:rPr>
        <w:t>presumption</w:t>
      </w:r>
      <w:r w:rsidRPr="00124DB1">
        <w:t xml:space="preserve"> of racial profiling </w:t>
      </w:r>
      <w:r w:rsidR="005B70C9" w:rsidRPr="00124DB1">
        <w:t>reversing</w:t>
      </w:r>
      <w:r w:rsidRPr="00124DB1">
        <w:t xml:space="preserve"> the </w:t>
      </w:r>
      <w:r w:rsidR="005B70C9" w:rsidRPr="00124DB1">
        <w:t xml:space="preserve">applicable </w:t>
      </w:r>
      <w:r w:rsidRPr="00124DB1">
        <w:t>burden of proof when the police intervention concerns a person belonging to a minority vulnerable to this reprehensible practice.</w:t>
      </w:r>
      <w:r w:rsidR="00AD32E1" w:rsidRPr="00124DB1">
        <w:rPr>
          <w:rStyle w:val="Appelnotedebasdep"/>
        </w:rPr>
        <w:footnoteReference w:id="185"/>
      </w:r>
      <w:r w:rsidRPr="00124DB1">
        <w:t xml:space="preserve"> </w:t>
      </w:r>
      <w:r w:rsidR="00AD32E1" w:rsidRPr="00124DB1">
        <w:t xml:space="preserve"> </w:t>
      </w:r>
    </w:p>
    <w:p w14:paraId="011BFA80" w14:textId="3B8BB716" w:rsidR="00507A20" w:rsidRPr="00124DB1" w:rsidRDefault="005A77CF" w:rsidP="00507A20">
      <w:pPr>
        <w:pStyle w:val="Paragraphe"/>
        <w:tabs>
          <w:tab w:val="clear" w:pos="567"/>
        </w:tabs>
      </w:pPr>
      <w:r w:rsidRPr="00124DB1">
        <w:t xml:space="preserve">However, in the current state of the law, the superior courts have always refrained from </w:t>
      </w:r>
      <w:r w:rsidR="005B70C9" w:rsidRPr="00124DB1">
        <w:t>creating</w:t>
      </w:r>
      <w:r w:rsidRPr="00124DB1">
        <w:t xml:space="preserve"> any type of judge-made presumption to this effect.</w:t>
      </w:r>
      <w:r w:rsidR="00AD32E1" w:rsidRPr="00124DB1">
        <w:rPr>
          <w:rStyle w:val="Appelnotedebasdep"/>
        </w:rPr>
        <w:footnoteReference w:id="186"/>
      </w:r>
      <w:r w:rsidR="00AD32E1" w:rsidRPr="00124DB1">
        <w:t xml:space="preserve"> </w:t>
      </w:r>
      <w:r w:rsidR="00DC1A05" w:rsidRPr="00124DB1">
        <w:rPr>
          <w:i/>
        </w:rPr>
        <w:t xml:space="preserve">Bombardier </w:t>
      </w:r>
      <w:r w:rsidR="00DC1A05" w:rsidRPr="00124DB1">
        <w:t xml:space="preserve">reiterates, in the context of allegations of racial profiling, that it is the “standard of proof that normally </w:t>
      </w:r>
      <w:r w:rsidR="00DC1A05" w:rsidRPr="00124DB1">
        <w:lastRenderedPageBreak/>
        <w:t xml:space="preserve">applies in the civil law, namely that of proof on a balance of probabilities, </w:t>
      </w:r>
      <w:r w:rsidR="00726D06" w:rsidRPr="00124DB1">
        <w:t xml:space="preserve">[that] </w:t>
      </w:r>
      <w:r w:rsidR="00DC1A05" w:rsidRPr="00124DB1">
        <w:t>applies in this case”.</w:t>
      </w:r>
      <w:r w:rsidR="00AD32E1" w:rsidRPr="00124DB1">
        <w:rPr>
          <w:rStyle w:val="Appelnotedebasdep"/>
        </w:rPr>
        <w:footnoteReference w:id="187"/>
      </w:r>
    </w:p>
    <w:p w14:paraId="2965A60A" w14:textId="653D30B1" w:rsidR="00507A20" w:rsidRPr="00124DB1" w:rsidRDefault="00DC1A05" w:rsidP="00507A20">
      <w:pPr>
        <w:pStyle w:val="Paragraphe"/>
        <w:tabs>
          <w:tab w:val="clear" w:pos="567"/>
        </w:tabs>
      </w:pPr>
      <w:r w:rsidRPr="00124DB1">
        <w:t xml:space="preserve">As for the treatment suffered by Mr. </w:t>
      </w:r>
      <w:proofErr w:type="spellStart"/>
      <w:r w:rsidRPr="00124DB1">
        <w:t>Bazelais</w:t>
      </w:r>
      <w:proofErr w:type="spellEnd"/>
      <w:r w:rsidRPr="00124DB1">
        <w:t xml:space="preserve"> during and after the intervention, it is certainly not beyond reproach. The </w:t>
      </w:r>
      <w:r w:rsidR="005B70C9" w:rsidRPr="00124DB1">
        <w:t>[</w:t>
      </w:r>
      <w:r w:rsidR="005B70C9" w:rsidRPr="00124DB1">
        <w:rPr>
          <w:smallCaps/>
        </w:rPr>
        <w:t>translation</w:t>
      </w:r>
      <w:r w:rsidR="005B70C9" w:rsidRPr="00124DB1">
        <w:t xml:space="preserve">] </w:t>
      </w:r>
      <w:r w:rsidRPr="00124DB1">
        <w:t>“cold indifference” of the police intervention, marked by silence on the reasons for his question</w:t>
      </w:r>
      <w:r w:rsidR="00726D06" w:rsidRPr="00124DB1">
        <w:t>ing</w:t>
      </w:r>
      <w:r w:rsidRPr="00124DB1">
        <w:t xml:space="preserve"> and a certain insensitivity as to the traumatizing effects that it clearly had on him could all be improved:</w:t>
      </w:r>
    </w:p>
    <w:p w14:paraId="1FED52CA" w14:textId="281BE96D" w:rsidR="005B70C9" w:rsidRPr="00124DB1" w:rsidRDefault="005B70C9" w:rsidP="00507A20">
      <w:pPr>
        <w:pStyle w:val="Citationenretrait"/>
        <w:rPr>
          <w:lang w:val="en-CA"/>
        </w:rPr>
      </w:pPr>
      <w:r w:rsidRPr="00124DB1">
        <w:rPr>
          <w:lang w:val="en-CA"/>
        </w:rPr>
        <w:t>[</w:t>
      </w:r>
      <w:r w:rsidRPr="00124DB1">
        <w:rPr>
          <w:smallCaps/>
          <w:lang w:val="en-CA"/>
        </w:rPr>
        <w:t>translation</w:t>
      </w:r>
      <w:r w:rsidRPr="00124DB1">
        <w:rPr>
          <w:lang w:val="en-CA"/>
        </w:rPr>
        <w:t>]</w:t>
      </w:r>
    </w:p>
    <w:p w14:paraId="3B9FA78C" w14:textId="1BA76191" w:rsidR="00507A20" w:rsidRPr="00124DB1" w:rsidRDefault="00DC1A05" w:rsidP="00507A20">
      <w:pPr>
        <w:pStyle w:val="Citationenretrait"/>
        <w:rPr>
          <w:lang w:val="en-CA"/>
        </w:rPr>
      </w:pPr>
      <w:r w:rsidRPr="00124DB1">
        <w:rPr>
          <w:lang w:val="en-CA"/>
        </w:rPr>
        <w:t xml:space="preserve">Citizens must know as soon as possible the reason for </w:t>
      </w:r>
      <w:r w:rsidR="005B70C9" w:rsidRPr="00124DB1">
        <w:rPr>
          <w:lang w:val="en-CA"/>
        </w:rPr>
        <w:t>the</w:t>
      </w:r>
      <w:r w:rsidRPr="00124DB1">
        <w:rPr>
          <w:lang w:val="en-CA"/>
        </w:rPr>
        <w:t xml:space="preserve"> police intervention.</w:t>
      </w:r>
      <w:r w:rsidR="00AD32E1" w:rsidRPr="00124DB1">
        <w:rPr>
          <w:lang w:val="en-CA"/>
        </w:rPr>
        <w:t xml:space="preserve"> </w:t>
      </w:r>
      <w:r w:rsidRPr="00124DB1">
        <w:rPr>
          <w:lang w:val="en-CA"/>
        </w:rPr>
        <w:t>Citizens will then be able to make informed decisions and, especially, to not panic out of ignorance as to the actual situation or due to the stress normally created in any human being subjected to police authority.</w:t>
      </w:r>
      <w:r w:rsidR="00AD32E1" w:rsidRPr="00124DB1">
        <w:rPr>
          <w:rStyle w:val="Appelnotedebasdep"/>
          <w:szCs w:val="22"/>
          <w:lang w:val="en-CA"/>
        </w:rPr>
        <w:footnoteReference w:id="188"/>
      </w:r>
    </w:p>
    <w:p w14:paraId="76EB89FF" w14:textId="349B4302" w:rsidR="00507A20" w:rsidRPr="00124DB1" w:rsidRDefault="005B70C9" w:rsidP="00507A20">
      <w:pPr>
        <w:pStyle w:val="Paragraphe"/>
        <w:tabs>
          <w:tab w:val="clear" w:pos="567"/>
        </w:tabs>
      </w:pPr>
      <w:r w:rsidRPr="00124DB1">
        <w:t>However</w:t>
      </w:r>
      <w:r w:rsidR="00DC1A05" w:rsidRPr="00124DB1">
        <w:t xml:space="preserve">, nothing indicates that a white man, in </w:t>
      </w:r>
      <w:r w:rsidRPr="00124DB1">
        <w:t>the</w:t>
      </w:r>
      <w:r w:rsidR="00DC1A05" w:rsidRPr="00124DB1">
        <w:t xml:space="preserve"> same circumstances, </w:t>
      </w:r>
      <w:proofErr w:type="gramStart"/>
      <w:r w:rsidR="00DC1A05" w:rsidRPr="00124DB1">
        <w:t>would have been treated</w:t>
      </w:r>
      <w:proofErr w:type="gramEnd"/>
      <w:r w:rsidR="00DC1A05" w:rsidRPr="00124DB1">
        <w:t xml:space="preserve"> differently, that is, in a way that was less intimidating and unsettling, or more focused on dialogue and patience.</w:t>
      </w:r>
      <w:r w:rsidR="00AD32E1" w:rsidRPr="00124DB1">
        <w:t xml:space="preserve"> </w:t>
      </w:r>
      <w:r w:rsidR="00DC1A05" w:rsidRPr="00124DB1">
        <w:t xml:space="preserve">In other words, as imperfect as it may be, the method used </w:t>
      </w:r>
      <w:r w:rsidRPr="00124DB1">
        <w:t>[</w:t>
      </w:r>
      <w:r w:rsidRPr="00124DB1">
        <w:rPr>
          <w:smallCaps/>
        </w:rPr>
        <w:t>translation</w:t>
      </w:r>
      <w:r w:rsidRPr="00124DB1">
        <w:t xml:space="preserve">] </w:t>
      </w:r>
      <w:r w:rsidR="00DC1A05" w:rsidRPr="00124DB1">
        <w:t>“would have been the same regardless of the suspect’s colour”.</w:t>
      </w:r>
      <w:r w:rsidR="00AD32E1" w:rsidRPr="00124DB1">
        <w:rPr>
          <w:rStyle w:val="Appelnotedebasdep"/>
        </w:rPr>
        <w:footnoteReference w:id="189"/>
      </w:r>
    </w:p>
    <w:p w14:paraId="451A05F4" w14:textId="77777777" w:rsidR="00507A20" w:rsidRPr="00124DB1" w:rsidRDefault="00DC1A05" w:rsidP="00507A20">
      <w:pPr>
        <w:pStyle w:val="Paragraphe"/>
        <w:tabs>
          <w:tab w:val="clear" w:pos="567"/>
        </w:tabs>
      </w:pPr>
      <w:r w:rsidRPr="00124DB1">
        <w:t>That said</w:t>
      </w:r>
      <w:proofErr w:type="gramStart"/>
      <w:r w:rsidRPr="00124DB1">
        <w:t>,</w:t>
      </w:r>
      <w:proofErr w:type="gramEnd"/>
      <w:r w:rsidRPr="00124DB1">
        <w:t xml:space="preserve"> the Tribunal’s mission is to sanction discriminatory acts.</w:t>
      </w:r>
      <w:r w:rsidR="00AD32E1" w:rsidRPr="00124DB1">
        <w:t xml:space="preserve"> </w:t>
      </w:r>
      <w:r w:rsidRPr="00124DB1">
        <w:t>It is not within its jurisdiction to determine whether a police intervention was otherwise legal,</w:t>
      </w:r>
      <w:r w:rsidR="00AD32E1" w:rsidRPr="00124DB1">
        <w:rPr>
          <w:rStyle w:val="Appelnotedebasdep"/>
        </w:rPr>
        <w:footnoteReference w:id="190"/>
      </w:r>
      <w:r w:rsidRPr="00124DB1">
        <w:t xml:space="preserve"> appropriate,</w:t>
      </w:r>
      <w:r w:rsidR="00AD32E1" w:rsidRPr="00124DB1">
        <w:rPr>
          <w:rStyle w:val="Appelnotedebasdep"/>
        </w:rPr>
        <w:footnoteReference w:id="191"/>
      </w:r>
      <w:r w:rsidRPr="00124DB1">
        <w:t xml:space="preserve"> legitimate,</w:t>
      </w:r>
      <w:r w:rsidR="00AD32E1" w:rsidRPr="00124DB1">
        <w:rPr>
          <w:rStyle w:val="Appelnotedebasdep"/>
        </w:rPr>
        <w:footnoteReference w:id="192"/>
      </w:r>
      <w:r w:rsidRPr="00124DB1">
        <w:t xml:space="preserve"> or reasonable.</w:t>
      </w:r>
      <w:r w:rsidR="00AD32E1" w:rsidRPr="00124DB1">
        <w:rPr>
          <w:rStyle w:val="Appelnotedebasdep"/>
        </w:rPr>
        <w:footnoteReference w:id="193"/>
      </w:r>
      <w:r w:rsidR="00AD32E1" w:rsidRPr="00124DB1">
        <w:t xml:space="preserve">  </w:t>
      </w:r>
    </w:p>
    <w:p w14:paraId="12634779" w14:textId="360773C1" w:rsidR="00507A20" w:rsidRPr="00124DB1" w:rsidRDefault="00DC1A05" w:rsidP="00507A20">
      <w:pPr>
        <w:pStyle w:val="Paragraphe"/>
        <w:tabs>
          <w:tab w:val="clear" w:pos="567"/>
        </w:tabs>
      </w:pPr>
      <w:r w:rsidRPr="00124DB1">
        <w:t xml:space="preserve">The </w:t>
      </w:r>
      <w:proofErr w:type="spellStart"/>
      <w:r w:rsidR="002F4643" w:rsidRPr="00124DB1">
        <w:t>É</w:t>
      </w:r>
      <w:r w:rsidRPr="00124DB1">
        <w:t>clipse</w:t>
      </w:r>
      <w:proofErr w:type="spellEnd"/>
      <w:r w:rsidRPr="00124DB1">
        <w:t xml:space="preserve"> unit </w:t>
      </w:r>
      <w:proofErr w:type="gramStart"/>
      <w:r w:rsidRPr="00124DB1">
        <w:t>was created</w:t>
      </w:r>
      <w:proofErr w:type="gramEnd"/>
      <w:r w:rsidRPr="00124DB1">
        <w:t xml:space="preserve"> principally to fight </w:t>
      </w:r>
      <w:r w:rsidR="002F4643" w:rsidRPr="00124DB1">
        <w:t xml:space="preserve">against </w:t>
      </w:r>
      <w:r w:rsidRPr="00124DB1">
        <w:t>violence perpetrated by street gang members and criminal organizations. The officers who are part of the unit must deal with situations that are often delicate and individuals whose unpredictable actions could compromise public security and their own physical integrity.</w:t>
      </w:r>
    </w:p>
    <w:p w14:paraId="05B99AAB" w14:textId="77777777" w:rsidR="00507A20" w:rsidRPr="00124DB1" w:rsidRDefault="00DC1A05" w:rsidP="007C7010">
      <w:pPr>
        <w:pStyle w:val="Paragraphe"/>
        <w:keepNext/>
        <w:tabs>
          <w:tab w:val="clear" w:pos="567"/>
        </w:tabs>
      </w:pPr>
      <w:r w:rsidRPr="00124DB1">
        <w:lastRenderedPageBreak/>
        <w:t xml:space="preserve">In </w:t>
      </w:r>
      <w:r w:rsidRPr="00124DB1">
        <w:rPr>
          <w:i/>
        </w:rPr>
        <w:t>St-Antoine c. R</w:t>
      </w:r>
      <w:r w:rsidRPr="00124DB1">
        <w:t>.,</w:t>
      </w:r>
      <w:r w:rsidR="00AD32E1" w:rsidRPr="00124DB1">
        <w:rPr>
          <w:rStyle w:val="Appelnotedebasdep"/>
        </w:rPr>
        <w:footnoteReference w:id="194"/>
      </w:r>
      <w:r w:rsidRPr="00124DB1">
        <w:t xml:space="preserve"> the Court of Appeal of Quebec wrote:</w:t>
      </w:r>
      <w:r w:rsidR="00AD32E1" w:rsidRPr="00124DB1">
        <w:t xml:space="preserve"> </w:t>
      </w:r>
    </w:p>
    <w:p w14:paraId="4F66EEE2" w14:textId="6AC4184C" w:rsidR="005B70C9" w:rsidRPr="00124DB1" w:rsidRDefault="005B70C9" w:rsidP="007C7010">
      <w:pPr>
        <w:pStyle w:val="Citationenretrait"/>
        <w:keepNext/>
        <w:rPr>
          <w:lang w:val="en-CA"/>
        </w:rPr>
      </w:pPr>
      <w:r w:rsidRPr="00124DB1">
        <w:rPr>
          <w:lang w:val="en-CA"/>
        </w:rPr>
        <w:t>[</w:t>
      </w:r>
      <w:r w:rsidRPr="00124DB1">
        <w:rPr>
          <w:smallCaps/>
          <w:lang w:val="en-CA"/>
        </w:rPr>
        <w:t>translation</w:t>
      </w:r>
      <w:r w:rsidRPr="00124DB1">
        <w:rPr>
          <w:lang w:val="en-CA"/>
        </w:rPr>
        <w:t>]</w:t>
      </w:r>
    </w:p>
    <w:p w14:paraId="3C6F3DF4" w14:textId="6FE2ABE2" w:rsidR="00507A20" w:rsidRPr="00124DB1" w:rsidRDefault="00DC1A05" w:rsidP="007C7010">
      <w:pPr>
        <w:pStyle w:val="Citationenretrait"/>
        <w:keepNext/>
        <w:rPr>
          <w:lang w:val="en-CA"/>
        </w:rPr>
      </w:pPr>
      <w:r w:rsidRPr="00124DB1">
        <w:rPr>
          <w:lang w:val="en-CA"/>
        </w:rPr>
        <w:t>[68</w:t>
      </w:r>
      <w:proofErr w:type="gramStart"/>
      <w:r w:rsidRPr="00124DB1">
        <w:rPr>
          <w:lang w:val="en-CA"/>
        </w:rPr>
        <w:t>] ...</w:t>
      </w:r>
      <w:proofErr w:type="gramEnd"/>
      <w:r w:rsidRPr="00124DB1">
        <w:rPr>
          <w:lang w:val="en-CA"/>
        </w:rPr>
        <w:t xml:space="preserve"> It is not </w:t>
      </w:r>
      <w:r w:rsidR="005B70C9" w:rsidRPr="00124DB1">
        <w:rPr>
          <w:lang w:val="en-CA"/>
        </w:rPr>
        <w:t>for us to be</w:t>
      </w:r>
      <w:r w:rsidRPr="00124DB1">
        <w:rPr>
          <w:lang w:val="en-CA"/>
        </w:rPr>
        <w:t xml:space="preserve"> armchair quarterback</w:t>
      </w:r>
      <w:r w:rsidR="005B70C9" w:rsidRPr="00124DB1">
        <w:rPr>
          <w:lang w:val="en-CA"/>
        </w:rPr>
        <w:t>s</w:t>
      </w:r>
      <w:r w:rsidRPr="00124DB1">
        <w:rPr>
          <w:lang w:val="en-CA"/>
        </w:rPr>
        <w:t xml:space="preserve"> to assess the </w:t>
      </w:r>
      <w:proofErr w:type="gramStart"/>
      <w:r w:rsidRPr="00124DB1">
        <w:rPr>
          <w:lang w:val="en-CA"/>
        </w:rPr>
        <w:t>sometimes difficult</w:t>
      </w:r>
      <w:proofErr w:type="gramEnd"/>
      <w:r w:rsidRPr="00124DB1">
        <w:rPr>
          <w:lang w:val="en-CA"/>
        </w:rPr>
        <w:t xml:space="preserve"> decisions of police officers, or their actions that are a consequence of the performance of their duties.</w:t>
      </w:r>
      <w:r w:rsidR="005B70C9" w:rsidRPr="00124DB1">
        <w:rPr>
          <w:lang w:val="en-CA"/>
        </w:rPr>
        <w:t xml:space="preserve"> </w:t>
      </w:r>
    </w:p>
    <w:p w14:paraId="12A89D73" w14:textId="68A94918" w:rsidR="00507A20" w:rsidRPr="00124DB1" w:rsidRDefault="00DC1A05" w:rsidP="00507A20">
      <w:pPr>
        <w:pStyle w:val="Paragraphe"/>
        <w:tabs>
          <w:tab w:val="clear" w:pos="567"/>
        </w:tabs>
      </w:pPr>
      <w:r w:rsidRPr="00124DB1">
        <w:t xml:space="preserve">The Tribunal had the opportunity of hearing Mr. </w:t>
      </w:r>
      <w:proofErr w:type="spellStart"/>
      <w:r w:rsidRPr="00124DB1">
        <w:t>Bazelais</w:t>
      </w:r>
      <w:proofErr w:type="spellEnd"/>
      <w:r w:rsidRPr="00124DB1">
        <w:t>.</w:t>
      </w:r>
      <w:r w:rsidR="00AD32E1" w:rsidRPr="00124DB1">
        <w:t xml:space="preserve"> </w:t>
      </w:r>
      <w:r w:rsidRPr="00124DB1">
        <w:t xml:space="preserve">His testimony was sincere </w:t>
      </w:r>
      <w:r w:rsidR="005B70C9" w:rsidRPr="00124DB1">
        <w:t>and</w:t>
      </w:r>
      <w:r w:rsidRPr="00124DB1">
        <w:t xml:space="preserve"> thoughtful.</w:t>
      </w:r>
      <w:r w:rsidR="00AD32E1" w:rsidRPr="00124DB1">
        <w:t xml:space="preserve"> </w:t>
      </w:r>
      <w:r w:rsidRPr="00124DB1">
        <w:t>He is a dignified man whose appearance has none of the attributes that would feed the stereotype of a gangster or miscreant.</w:t>
      </w:r>
    </w:p>
    <w:p w14:paraId="69ACF627" w14:textId="527B3154" w:rsidR="00507A20" w:rsidRPr="00124DB1" w:rsidRDefault="00DC1A05" w:rsidP="00507A20">
      <w:pPr>
        <w:pStyle w:val="Paragraphe"/>
        <w:tabs>
          <w:tab w:val="clear" w:pos="567"/>
        </w:tabs>
      </w:pPr>
      <w:r w:rsidRPr="00124DB1">
        <w:t xml:space="preserve">However, as </w:t>
      </w:r>
      <w:r w:rsidR="005B70C9" w:rsidRPr="00124DB1">
        <w:t>Sergeant</w:t>
      </w:r>
      <w:r w:rsidRPr="00124DB1">
        <w:t xml:space="preserve"> Mathurin aptly pointed out about </w:t>
      </w:r>
      <w:r w:rsidR="005B70C9" w:rsidRPr="00124DB1">
        <w:t>the</w:t>
      </w:r>
      <w:r w:rsidRPr="00124DB1">
        <w:t xml:space="preserve"> protection mission entrusted to him:</w:t>
      </w:r>
    </w:p>
    <w:p w14:paraId="1945F6F5" w14:textId="37F141EF" w:rsidR="005B70C9" w:rsidRPr="00124DB1" w:rsidRDefault="005B70C9" w:rsidP="00507A20">
      <w:pPr>
        <w:pStyle w:val="Citationenretrait"/>
        <w:rPr>
          <w:lang w:val="en-CA"/>
        </w:rPr>
      </w:pPr>
      <w:r w:rsidRPr="00124DB1">
        <w:rPr>
          <w:lang w:val="en-CA"/>
        </w:rPr>
        <w:t>[</w:t>
      </w:r>
      <w:r w:rsidRPr="00124DB1">
        <w:rPr>
          <w:smallCaps/>
          <w:lang w:val="en-CA"/>
        </w:rPr>
        <w:t>translation</w:t>
      </w:r>
      <w:r w:rsidRPr="00124DB1">
        <w:rPr>
          <w:lang w:val="en-CA"/>
        </w:rPr>
        <w:t>]</w:t>
      </w:r>
    </w:p>
    <w:p w14:paraId="2B6C2AE8" w14:textId="7633FC2C" w:rsidR="00507A20" w:rsidRPr="00124DB1" w:rsidRDefault="00DC1A05" w:rsidP="00507A20">
      <w:pPr>
        <w:pStyle w:val="Citationenretrait"/>
        <w:rPr>
          <w:lang w:val="en-CA"/>
        </w:rPr>
      </w:pPr>
      <w:r w:rsidRPr="00124DB1">
        <w:rPr>
          <w:lang w:val="en-CA"/>
        </w:rPr>
        <w:t>[O]</w:t>
      </w:r>
      <w:proofErr w:type="spellStart"/>
      <w:proofErr w:type="gramStart"/>
      <w:r w:rsidRPr="00124DB1">
        <w:rPr>
          <w:lang w:val="en-CA"/>
        </w:rPr>
        <w:t>ur</w:t>
      </w:r>
      <w:proofErr w:type="spellEnd"/>
      <w:proofErr w:type="gramEnd"/>
      <w:r w:rsidRPr="00124DB1">
        <w:rPr>
          <w:lang w:val="en-CA"/>
        </w:rPr>
        <w:t xml:space="preserve"> </w:t>
      </w:r>
      <w:r w:rsidR="002F4643" w:rsidRPr="00124DB1">
        <w:rPr>
          <w:lang w:val="en-CA"/>
        </w:rPr>
        <w:t xml:space="preserve">police </w:t>
      </w:r>
      <w:r w:rsidRPr="00124DB1">
        <w:rPr>
          <w:lang w:val="en-CA"/>
        </w:rPr>
        <w:t xml:space="preserve">experience </w:t>
      </w:r>
      <w:r w:rsidR="002F4643" w:rsidRPr="00124DB1">
        <w:rPr>
          <w:lang w:val="en-CA"/>
        </w:rPr>
        <w:t xml:space="preserve">is </w:t>
      </w:r>
      <w:r w:rsidRPr="00124DB1">
        <w:rPr>
          <w:lang w:val="en-CA"/>
        </w:rPr>
        <w:t xml:space="preserve">that it’s not because </w:t>
      </w:r>
      <w:r w:rsidR="002F4643" w:rsidRPr="00124DB1">
        <w:rPr>
          <w:lang w:val="en-CA"/>
        </w:rPr>
        <w:t>someone</w:t>
      </w:r>
      <w:r w:rsidRPr="00124DB1">
        <w:rPr>
          <w:lang w:val="en-CA"/>
        </w:rPr>
        <w:t xml:space="preserve"> says “Hey, I’m good”, that he or she is necessarily good, unfortunately. </w:t>
      </w:r>
      <w:r w:rsidR="00AD32E1" w:rsidRPr="00124DB1">
        <w:rPr>
          <w:lang w:val="en-CA"/>
        </w:rPr>
        <w:t xml:space="preserve"> </w:t>
      </w:r>
      <w:r w:rsidRPr="00124DB1">
        <w:rPr>
          <w:lang w:val="en-CA"/>
        </w:rPr>
        <w:t xml:space="preserve">We would like it to be so, magically, but </w:t>
      </w:r>
      <w:r w:rsidR="005B70C9" w:rsidRPr="00124DB1">
        <w:rPr>
          <w:lang w:val="en-CA"/>
        </w:rPr>
        <w:t>it is</w:t>
      </w:r>
      <w:r w:rsidRPr="00124DB1">
        <w:rPr>
          <w:lang w:val="en-CA"/>
        </w:rPr>
        <w:t xml:space="preserve"> not the case.</w:t>
      </w:r>
      <w:r w:rsidR="00AD32E1" w:rsidRPr="00124DB1">
        <w:rPr>
          <w:lang w:val="en-CA"/>
        </w:rPr>
        <w:t xml:space="preserve"> </w:t>
      </w:r>
      <w:proofErr w:type="gramStart"/>
      <w:r w:rsidRPr="00124DB1">
        <w:rPr>
          <w:lang w:val="en-CA"/>
        </w:rPr>
        <w:t>So</w:t>
      </w:r>
      <w:proofErr w:type="gramEnd"/>
      <w:r w:rsidRPr="00124DB1">
        <w:rPr>
          <w:lang w:val="en-CA"/>
        </w:rPr>
        <w:t xml:space="preserve"> we intervene to the best of our knowledge.</w:t>
      </w:r>
      <w:r w:rsidR="00AD32E1" w:rsidRPr="00124DB1">
        <w:rPr>
          <w:lang w:val="en-CA"/>
        </w:rPr>
        <w:t xml:space="preserve"> </w:t>
      </w:r>
      <w:r w:rsidRPr="00124DB1">
        <w:rPr>
          <w:lang w:val="en-CA"/>
        </w:rPr>
        <w:t xml:space="preserve">People, sometimes, will be surprised, and </w:t>
      </w:r>
      <w:r w:rsidR="005B70C9" w:rsidRPr="00124DB1">
        <w:rPr>
          <w:lang w:val="en-CA"/>
        </w:rPr>
        <w:t>obviously,</w:t>
      </w:r>
      <w:r w:rsidRPr="00124DB1">
        <w:rPr>
          <w:lang w:val="en-CA"/>
        </w:rPr>
        <w:t xml:space="preserve"> we take note of that surprise.</w:t>
      </w:r>
      <w:r w:rsidR="00AD32E1" w:rsidRPr="00124DB1">
        <w:rPr>
          <w:rStyle w:val="Appelnotedebasdep"/>
          <w:szCs w:val="22"/>
          <w:lang w:val="en-CA"/>
        </w:rPr>
        <w:footnoteReference w:id="195"/>
      </w:r>
    </w:p>
    <w:p w14:paraId="6FB6DFF8" w14:textId="77777777" w:rsidR="00507A20" w:rsidRPr="00124DB1" w:rsidRDefault="00DC1A05" w:rsidP="00507A20">
      <w:pPr>
        <w:pStyle w:val="Paragraphe"/>
        <w:tabs>
          <w:tab w:val="clear" w:pos="567"/>
        </w:tabs>
      </w:pPr>
      <w:r w:rsidRPr="00124DB1">
        <w:t xml:space="preserve">In fact, on August 31, 2014, Mr. </w:t>
      </w:r>
      <w:proofErr w:type="spellStart"/>
      <w:r w:rsidRPr="00124DB1">
        <w:t>Bazelais</w:t>
      </w:r>
      <w:proofErr w:type="spellEnd"/>
      <w:r w:rsidRPr="00124DB1">
        <w:t xml:space="preserve"> may have had the worst surprise of his life.</w:t>
      </w:r>
      <w:r w:rsidR="00AD32E1" w:rsidRPr="00124DB1">
        <w:t xml:space="preserve"> </w:t>
      </w:r>
      <w:proofErr w:type="gramStart"/>
      <w:r w:rsidRPr="00124DB1">
        <w:t>But</w:t>
      </w:r>
      <w:proofErr w:type="gramEnd"/>
      <w:r w:rsidRPr="00124DB1">
        <w:t xml:space="preserve"> this regrettable situation is not the result of discriminatory profiling prohibited under the </w:t>
      </w:r>
      <w:r w:rsidRPr="00124DB1">
        <w:rPr>
          <w:i/>
        </w:rPr>
        <w:t>Charter</w:t>
      </w:r>
      <w:r w:rsidRPr="00124DB1">
        <w:t>.</w:t>
      </w:r>
    </w:p>
    <w:p w14:paraId="55BB1731" w14:textId="5B3672E3" w:rsidR="00507A20" w:rsidRPr="00124DB1" w:rsidRDefault="00DC1A05" w:rsidP="00507A20">
      <w:pPr>
        <w:pStyle w:val="Paragraphe"/>
        <w:tabs>
          <w:tab w:val="clear" w:pos="567"/>
        </w:tabs>
      </w:pPr>
      <w:r w:rsidRPr="00124DB1">
        <w:t xml:space="preserve">The conduct of </w:t>
      </w:r>
      <w:r w:rsidR="00E050D1" w:rsidRPr="00124DB1">
        <w:t>the</w:t>
      </w:r>
      <w:r w:rsidRPr="00124DB1">
        <w:t xml:space="preserve"> police officers </w:t>
      </w:r>
      <w:r w:rsidR="00E050D1" w:rsidRPr="00124DB1">
        <w:t>[</w:t>
      </w:r>
      <w:r w:rsidR="00E050D1" w:rsidRPr="00124DB1">
        <w:rPr>
          <w:smallCaps/>
        </w:rPr>
        <w:t>translation</w:t>
      </w:r>
      <w:r w:rsidR="00E050D1" w:rsidRPr="00124DB1">
        <w:t xml:space="preserve">] </w:t>
      </w:r>
      <w:r w:rsidRPr="00124DB1">
        <w:t xml:space="preserve">“must be assessed in light of </w:t>
      </w:r>
      <w:r w:rsidR="00E050D1" w:rsidRPr="00124DB1">
        <w:t>the</w:t>
      </w:r>
      <w:r w:rsidRPr="00124DB1">
        <w:t xml:space="preserve"> situation that was before them, with all </w:t>
      </w:r>
      <w:r w:rsidR="00BB6893" w:rsidRPr="00124DB1">
        <w:t xml:space="preserve">of </w:t>
      </w:r>
      <w:r w:rsidRPr="00124DB1">
        <w:t>its uncertainties, unknowns, and vagaries, not based on an ideal scenario with the benefit of hindsight”.</w:t>
      </w:r>
      <w:r w:rsidR="00AD32E1" w:rsidRPr="00124DB1">
        <w:rPr>
          <w:rStyle w:val="Appelnotedebasdep"/>
        </w:rPr>
        <w:footnoteReference w:id="196"/>
      </w:r>
      <w:bookmarkStart w:id="1" w:name="_GoBack"/>
      <w:bookmarkEnd w:id="1"/>
    </w:p>
    <w:p w14:paraId="05759470" w14:textId="0D4C641D" w:rsidR="00507A20" w:rsidRPr="00124DB1" w:rsidRDefault="00DC1A05" w:rsidP="00507A20">
      <w:pPr>
        <w:pStyle w:val="Paragraphe"/>
        <w:tabs>
          <w:tab w:val="clear" w:pos="567"/>
        </w:tabs>
      </w:pPr>
      <w:r w:rsidRPr="00124DB1">
        <w:t xml:space="preserve">After examining the evidence as a whole, the Tribunal deems that Mr. </w:t>
      </w:r>
      <w:proofErr w:type="spellStart"/>
      <w:r w:rsidRPr="00124DB1">
        <w:t>Bazelais’s</w:t>
      </w:r>
      <w:proofErr w:type="spellEnd"/>
      <w:r w:rsidRPr="00124DB1">
        <w:t xml:space="preserve"> </w:t>
      </w:r>
      <w:r w:rsidR="00E050D1" w:rsidRPr="00124DB1">
        <w:t>colour, race, or ethnic origin</w:t>
      </w:r>
      <w:r w:rsidRPr="00124DB1">
        <w:t xml:space="preserve"> did not have the </w:t>
      </w:r>
      <w:r w:rsidR="00BB6893" w:rsidRPr="00124DB1">
        <w:t>slightest</w:t>
      </w:r>
      <w:r w:rsidRPr="00124DB1">
        <w:t xml:space="preserve"> incidence on the way the police officers treated him during their brief intervention.</w:t>
      </w:r>
    </w:p>
    <w:p w14:paraId="0ACC33CE" w14:textId="11B6C4BA" w:rsidR="00507A20" w:rsidRPr="00124DB1" w:rsidRDefault="00DC1A05" w:rsidP="00507A20">
      <w:pPr>
        <w:pStyle w:val="Titre2"/>
        <w:rPr>
          <w:lang w:val="en-CA"/>
        </w:rPr>
      </w:pPr>
      <w:r w:rsidRPr="00124DB1">
        <w:rPr>
          <w:lang w:val="en-CA"/>
        </w:rPr>
        <w:t>C</w:t>
      </w:r>
      <w:r w:rsidR="00BB6893" w:rsidRPr="00124DB1">
        <w:rPr>
          <w:lang w:val="en-CA"/>
        </w:rPr>
        <w:t>ompensation</w:t>
      </w:r>
    </w:p>
    <w:p w14:paraId="56EC1244" w14:textId="18C4DE4B" w:rsidR="00507A20" w:rsidRPr="00124DB1" w:rsidRDefault="00DC1A05" w:rsidP="00507A20">
      <w:pPr>
        <w:pStyle w:val="Paragraphe"/>
        <w:tabs>
          <w:tab w:val="clear" w:pos="567"/>
        </w:tabs>
      </w:pPr>
      <w:r w:rsidRPr="00124DB1">
        <w:t xml:space="preserve">Because the </w:t>
      </w:r>
      <w:r w:rsidR="00E050D1" w:rsidRPr="00124DB1">
        <w:t>Commission</w:t>
      </w:r>
      <w:r w:rsidRPr="00124DB1">
        <w:t xml:space="preserve"> failed to prove on a balance of probabilities that Mr. </w:t>
      </w:r>
      <w:proofErr w:type="spellStart"/>
      <w:r w:rsidRPr="00124DB1">
        <w:t>Bazelais</w:t>
      </w:r>
      <w:proofErr w:type="spellEnd"/>
      <w:r w:rsidRPr="00124DB1">
        <w:t xml:space="preserve"> </w:t>
      </w:r>
      <w:r w:rsidR="00BB6893" w:rsidRPr="00124DB1">
        <w:t>was</w:t>
      </w:r>
      <w:r w:rsidRPr="00124DB1">
        <w:t xml:space="preserve"> the victim of discriminatory profiling, the issue </w:t>
      </w:r>
      <w:r w:rsidR="00BB6893" w:rsidRPr="00124DB1">
        <w:t>regarding</w:t>
      </w:r>
      <w:r w:rsidRPr="00124DB1">
        <w:t xml:space="preserve"> the applicable compensation becomes moot.</w:t>
      </w:r>
      <w:r w:rsidR="00AD32E1" w:rsidRPr="00124DB1">
        <w:t xml:space="preserve"> </w:t>
      </w:r>
    </w:p>
    <w:p w14:paraId="3985AFE4" w14:textId="77777777" w:rsidR="00507A20" w:rsidRPr="00124DB1" w:rsidRDefault="00DC1A05" w:rsidP="007C7010">
      <w:pPr>
        <w:pStyle w:val="Paragraphe"/>
        <w:keepNext/>
        <w:numPr>
          <w:ilvl w:val="0"/>
          <w:numId w:val="0"/>
        </w:numPr>
        <w:rPr>
          <w:b/>
        </w:rPr>
      </w:pPr>
      <w:r w:rsidRPr="00124DB1">
        <w:rPr>
          <w:b/>
        </w:rPr>
        <w:lastRenderedPageBreak/>
        <w:t>FOR THESE REASONS, THE TRIBUNAL:</w:t>
      </w:r>
      <w:r w:rsidR="00AD32E1" w:rsidRPr="00124DB1">
        <w:rPr>
          <w:b/>
        </w:rPr>
        <w:t xml:space="preserve"> </w:t>
      </w:r>
    </w:p>
    <w:p w14:paraId="58B99AF6" w14:textId="5BB1C7AA" w:rsidR="00507A20" w:rsidRPr="00124DB1" w:rsidRDefault="00DC1A05" w:rsidP="007C7010">
      <w:pPr>
        <w:pStyle w:val="Paragraphe"/>
        <w:keepNext/>
        <w:tabs>
          <w:tab w:val="clear" w:pos="567"/>
        </w:tabs>
      </w:pPr>
      <w:r w:rsidRPr="00124DB1">
        <w:rPr>
          <w:b/>
        </w:rPr>
        <w:t xml:space="preserve">DECLARES </w:t>
      </w:r>
      <w:r w:rsidRPr="00124DB1">
        <w:t>that the</w:t>
      </w:r>
      <w:r w:rsidR="00E050D1" w:rsidRPr="00124DB1">
        <w:t xml:space="preserve"> period of</w:t>
      </w:r>
      <w:r w:rsidRPr="00124DB1">
        <w:t xml:space="preserve"> </w:t>
      </w:r>
      <w:r w:rsidR="00E050D1" w:rsidRPr="00124DB1">
        <w:t>time</w:t>
      </w:r>
      <w:r w:rsidRPr="00124DB1">
        <w:t xml:space="preserve"> between the filing of the complaint with the </w:t>
      </w:r>
      <w:r w:rsidR="00E050D1" w:rsidRPr="00124DB1">
        <w:t>Commission</w:t>
      </w:r>
      <w:r w:rsidRPr="00124DB1">
        <w:t xml:space="preserve"> </w:t>
      </w:r>
      <w:r w:rsidR="00E050D1" w:rsidRPr="00124DB1">
        <w:t>and</w:t>
      </w:r>
      <w:r w:rsidRPr="00124DB1">
        <w:t xml:space="preserve"> the filing of the originating application is unacceptable</w:t>
      </w:r>
      <w:r w:rsidRPr="00124DB1">
        <w:rPr>
          <w:b/>
        </w:rPr>
        <w:t xml:space="preserve">; </w:t>
      </w:r>
    </w:p>
    <w:p w14:paraId="637AC71A" w14:textId="0451EE4E" w:rsidR="00507A20" w:rsidRPr="00124DB1" w:rsidRDefault="00DC1A05" w:rsidP="00507A20">
      <w:pPr>
        <w:pStyle w:val="Paragraphe"/>
        <w:tabs>
          <w:tab w:val="clear" w:pos="567"/>
        </w:tabs>
      </w:pPr>
      <w:r w:rsidRPr="00124DB1">
        <w:rPr>
          <w:b/>
        </w:rPr>
        <w:t>DISMISSES</w:t>
      </w:r>
      <w:r w:rsidRPr="00124DB1">
        <w:t xml:space="preserve"> the </w:t>
      </w:r>
      <w:r w:rsidR="00DD0C6B">
        <w:t>City</w:t>
      </w:r>
      <w:r w:rsidRPr="00124DB1">
        <w:t xml:space="preserve">’s </w:t>
      </w:r>
      <w:r w:rsidRPr="00124DB1">
        <w:rPr>
          <w:i/>
        </w:rPr>
        <w:t xml:space="preserve">Re-re-amended </w:t>
      </w:r>
      <w:r w:rsidR="00BB6893" w:rsidRPr="00124DB1">
        <w:rPr>
          <w:i/>
        </w:rPr>
        <w:t>… a</w:t>
      </w:r>
      <w:r w:rsidRPr="00124DB1">
        <w:rPr>
          <w:i/>
        </w:rPr>
        <w:t>pplication to dismiss the proceeding due to abusive and prejudicial delay</w:t>
      </w:r>
      <w:r w:rsidR="00BB6893" w:rsidRPr="00124DB1">
        <w:rPr>
          <w:i/>
        </w:rPr>
        <w:t>s</w:t>
      </w:r>
      <w:r w:rsidRPr="00124DB1">
        <w:t>;</w:t>
      </w:r>
    </w:p>
    <w:p w14:paraId="78351452" w14:textId="77777777" w:rsidR="00507A20" w:rsidRPr="00124DB1" w:rsidRDefault="00DC1A05" w:rsidP="00507A20">
      <w:pPr>
        <w:pStyle w:val="Paragraphe"/>
        <w:tabs>
          <w:tab w:val="clear" w:pos="567"/>
        </w:tabs>
      </w:pPr>
      <w:r w:rsidRPr="00124DB1">
        <w:rPr>
          <w:b/>
        </w:rPr>
        <w:t xml:space="preserve">DISMISSES </w:t>
      </w:r>
      <w:r w:rsidRPr="00124DB1">
        <w:t>the Commission’s originating application;</w:t>
      </w:r>
      <w:r w:rsidRPr="00124DB1">
        <w:rPr>
          <w:b/>
        </w:rPr>
        <w:t xml:space="preserve"> </w:t>
      </w:r>
    </w:p>
    <w:p w14:paraId="275992DD" w14:textId="77777777" w:rsidR="00507A20" w:rsidRPr="00124DB1" w:rsidRDefault="00DC1A05" w:rsidP="00507A20">
      <w:pPr>
        <w:pStyle w:val="Paragraphe"/>
        <w:tabs>
          <w:tab w:val="clear" w:pos="567"/>
        </w:tabs>
      </w:pPr>
      <w:r w:rsidRPr="00124DB1">
        <w:rPr>
          <w:b/>
        </w:rPr>
        <w:t xml:space="preserve">THE WHOLE, </w:t>
      </w:r>
      <w:r w:rsidRPr="00124DB1">
        <w:t>with legal costs.</w:t>
      </w:r>
      <w:r w:rsidR="00AD32E1" w:rsidRPr="00124DB1">
        <w:t xml:space="preserve"> </w:t>
      </w:r>
    </w:p>
    <w:p w14:paraId="3263F28A" w14:textId="77777777" w:rsidR="00507A20" w:rsidRPr="00124DB1" w:rsidRDefault="00507A20" w:rsidP="00507A20">
      <w:pPr>
        <w:pStyle w:val="Paragraphe"/>
        <w:numPr>
          <w:ilvl w:val="0"/>
          <w:numId w:val="0"/>
        </w:numPr>
        <w:tabs>
          <w:tab w:val="clear" w:pos="567"/>
        </w:tabs>
      </w:pPr>
    </w:p>
    <w:tbl>
      <w:tblPr>
        <w:tblW w:w="9505" w:type="dxa"/>
        <w:tblLayout w:type="fixed"/>
        <w:tblCellMar>
          <w:left w:w="0" w:type="dxa"/>
          <w:right w:w="0" w:type="dxa"/>
        </w:tblCellMar>
        <w:tblLook w:val="0000" w:firstRow="0" w:lastRow="0" w:firstColumn="0" w:lastColumn="0" w:noHBand="0" w:noVBand="0"/>
      </w:tblPr>
      <w:tblGrid>
        <w:gridCol w:w="2197"/>
        <w:gridCol w:w="2765"/>
        <w:gridCol w:w="4543"/>
      </w:tblGrid>
      <w:tr w:rsidR="00BB30D0" w:rsidRPr="007C7010" w14:paraId="2EED3889" w14:textId="77777777" w:rsidTr="00507A20">
        <w:trPr>
          <w:cantSplit/>
        </w:trPr>
        <w:tc>
          <w:tcPr>
            <w:tcW w:w="4962" w:type="dxa"/>
            <w:gridSpan w:val="2"/>
          </w:tcPr>
          <w:p w14:paraId="3F5C7232" w14:textId="77777777" w:rsidR="00507A20" w:rsidRPr="00124DB1" w:rsidRDefault="00507A20">
            <w:pPr>
              <w:rPr>
                <w:lang w:val="en-CA"/>
              </w:rPr>
            </w:pPr>
          </w:p>
          <w:p w14:paraId="5895CEBD" w14:textId="77777777" w:rsidR="00507A20" w:rsidRPr="00124DB1" w:rsidRDefault="00507A20">
            <w:pPr>
              <w:rPr>
                <w:lang w:val="en-CA"/>
              </w:rPr>
            </w:pPr>
          </w:p>
          <w:p w14:paraId="06291C0E" w14:textId="77777777" w:rsidR="00507A20" w:rsidRPr="00124DB1" w:rsidRDefault="00507A20">
            <w:pPr>
              <w:rPr>
                <w:lang w:val="en-CA"/>
              </w:rPr>
            </w:pPr>
          </w:p>
          <w:p w14:paraId="7225EE12" w14:textId="77777777" w:rsidR="00507A20" w:rsidRPr="00124DB1" w:rsidRDefault="00507A20">
            <w:pPr>
              <w:rPr>
                <w:lang w:val="en-CA"/>
              </w:rPr>
            </w:pPr>
          </w:p>
        </w:tc>
        <w:tc>
          <w:tcPr>
            <w:tcW w:w="4543" w:type="dxa"/>
          </w:tcPr>
          <w:p w14:paraId="342B1017" w14:textId="77777777" w:rsidR="00507A20" w:rsidRPr="00124DB1" w:rsidRDefault="00AD32E1">
            <w:pPr>
              <w:pStyle w:val="zSoquijdatSignature3Juge"/>
              <w:rPr>
                <w:lang w:val="en-CA"/>
              </w:rPr>
            </w:pPr>
            <w:r w:rsidRPr="00124DB1">
              <w:rPr>
                <w:lang w:val="en-CA"/>
              </w:rPr>
              <w:t>__________________________________</w:t>
            </w:r>
          </w:p>
          <w:p w14:paraId="73151D64" w14:textId="77777777" w:rsidR="00507A20" w:rsidRPr="00124DB1" w:rsidRDefault="00F17449">
            <w:pPr>
              <w:pStyle w:val="zSoquijdatSignature3Juge"/>
              <w:rPr>
                <w:lang w:val="en-CA"/>
              </w:rPr>
            </w:pPr>
            <w:r w:rsidRPr="00124DB1">
              <w:rPr>
                <w:b/>
                <w:lang w:val="en-CA"/>
              </w:rPr>
              <w:t>CHRISTIAN BRUNELLE</w:t>
            </w:r>
          </w:p>
          <w:p w14:paraId="0C1579C5" w14:textId="77777777" w:rsidR="00507A20" w:rsidRPr="00124DB1" w:rsidRDefault="00DC1A05">
            <w:pPr>
              <w:pStyle w:val="zSoquijdatSignature3Juge"/>
              <w:rPr>
                <w:b/>
                <w:lang w:val="en-CA"/>
              </w:rPr>
            </w:pPr>
            <w:r w:rsidRPr="00124DB1">
              <w:rPr>
                <w:b/>
                <w:lang w:val="en-CA"/>
              </w:rPr>
              <w:t>Judge of the Human Rights Tribunal</w:t>
            </w:r>
          </w:p>
        </w:tc>
      </w:tr>
      <w:tr w:rsidR="00BB30D0" w:rsidRPr="007C7010" w14:paraId="28C2BB35" w14:textId="77777777" w:rsidTr="00507A20">
        <w:tblPrEx>
          <w:tblCellMar>
            <w:left w:w="70" w:type="dxa"/>
            <w:right w:w="70" w:type="dxa"/>
          </w:tblCellMar>
        </w:tblPrEx>
        <w:tc>
          <w:tcPr>
            <w:tcW w:w="9505" w:type="dxa"/>
            <w:gridSpan w:val="3"/>
          </w:tcPr>
          <w:p w14:paraId="5D9E9B90" w14:textId="77777777" w:rsidR="00507A20" w:rsidRPr="00124DB1" w:rsidRDefault="00507A20">
            <w:pPr>
              <w:rPr>
                <w:lang w:val="en-CA"/>
              </w:rPr>
            </w:pPr>
          </w:p>
        </w:tc>
      </w:tr>
      <w:tr w:rsidR="00BB30D0" w:rsidRPr="00124DB1" w14:paraId="2B264017" w14:textId="77777777" w:rsidTr="00507A20">
        <w:tblPrEx>
          <w:tblCellMar>
            <w:left w:w="70" w:type="dxa"/>
            <w:right w:w="70" w:type="dxa"/>
          </w:tblCellMar>
        </w:tblPrEx>
        <w:trPr>
          <w:cantSplit/>
        </w:trPr>
        <w:tc>
          <w:tcPr>
            <w:tcW w:w="9505" w:type="dxa"/>
            <w:gridSpan w:val="3"/>
          </w:tcPr>
          <w:p w14:paraId="51949634" w14:textId="77777777" w:rsidR="00507A20" w:rsidRPr="00124DB1" w:rsidRDefault="00DC1A05" w:rsidP="00507A20">
            <w:pPr>
              <w:pStyle w:val="zSoquijdatNomProcureurDem"/>
              <w:rPr>
                <w:lang w:val="en-CA"/>
              </w:rPr>
            </w:pPr>
            <w:proofErr w:type="spellStart"/>
            <w:r w:rsidRPr="00124DB1">
              <w:rPr>
                <w:lang w:val="en-CA"/>
              </w:rPr>
              <w:t>Mtre</w:t>
            </w:r>
            <w:proofErr w:type="spellEnd"/>
            <w:r w:rsidRPr="00124DB1">
              <w:rPr>
                <w:lang w:val="en-CA"/>
              </w:rPr>
              <w:t xml:space="preserve"> Geneviève Griffin</w:t>
            </w:r>
          </w:p>
          <w:p w14:paraId="4C531A56" w14:textId="77777777" w:rsidR="00507A20" w:rsidRPr="00124DB1" w:rsidRDefault="00DC1A05" w:rsidP="00507A20">
            <w:pPr>
              <w:pStyle w:val="zSoquijdatNomProcureurDem"/>
              <w:rPr>
                <w:lang w:val="en-CA"/>
              </w:rPr>
            </w:pPr>
            <w:proofErr w:type="spellStart"/>
            <w:r w:rsidRPr="00124DB1">
              <w:rPr>
                <w:lang w:val="en-CA"/>
              </w:rPr>
              <w:t>Mtre</w:t>
            </w:r>
            <w:proofErr w:type="spellEnd"/>
            <w:r w:rsidRPr="00124DB1">
              <w:rPr>
                <w:lang w:val="en-CA"/>
              </w:rPr>
              <w:t xml:space="preserve"> Christine Campbell</w:t>
            </w:r>
          </w:p>
        </w:tc>
      </w:tr>
      <w:tr w:rsidR="00BB30D0" w:rsidRPr="00124DB1" w14:paraId="39ACEA8B" w14:textId="77777777" w:rsidTr="00507A20">
        <w:tblPrEx>
          <w:tblCellMar>
            <w:left w:w="70" w:type="dxa"/>
            <w:right w:w="70" w:type="dxa"/>
          </w:tblCellMar>
        </w:tblPrEx>
        <w:trPr>
          <w:cantSplit/>
        </w:trPr>
        <w:tc>
          <w:tcPr>
            <w:tcW w:w="9505" w:type="dxa"/>
            <w:gridSpan w:val="3"/>
          </w:tcPr>
          <w:p w14:paraId="75758CF1" w14:textId="77777777" w:rsidR="00507A20" w:rsidRPr="00124DB1" w:rsidRDefault="00DC1A05" w:rsidP="00507A20">
            <w:pPr>
              <w:pStyle w:val="zSoquijdatCabinetProcureurDem"/>
              <w:rPr>
                <w:caps/>
                <w:lang w:val="en-CA"/>
              </w:rPr>
            </w:pPr>
            <w:r w:rsidRPr="00124DB1">
              <w:rPr>
                <w:caps/>
                <w:lang w:val="en-CA"/>
              </w:rPr>
              <w:t>BITZAKIDIS CLÉMENT-MAJOR FOURNIER</w:t>
            </w:r>
          </w:p>
        </w:tc>
      </w:tr>
      <w:tr w:rsidR="00BB30D0" w:rsidRPr="00124DB1" w14:paraId="7D312A9A" w14:textId="77777777" w:rsidTr="00507A20">
        <w:tblPrEx>
          <w:tblCellMar>
            <w:left w:w="70" w:type="dxa"/>
            <w:right w:w="70" w:type="dxa"/>
          </w:tblCellMar>
        </w:tblPrEx>
        <w:trPr>
          <w:cantSplit/>
        </w:trPr>
        <w:tc>
          <w:tcPr>
            <w:tcW w:w="9505" w:type="dxa"/>
            <w:gridSpan w:val="3"/>
          </w:tcPr>
          <w:p w14:paraId="39AEAD0A" w14:textId="77777777" w:rsidR="00507A20" w:rsidRPr="00124DB1" w:rsidRDefault="00DC1A05">
            <w:pPr>
              <w:pStyle w:val="zSoquijlblProcureurDem"/>
              <w:rPr>
                <w:lang w:val="en-CA"/>
              </w:rPr>
            </w:pPr>
            <w:r w:rsidRPr="00124DB1">
              <w:rPr>
                <w:lang w:val="en-CA"/>
              </w:rPr>
              <w:t>Counsel for the plaintiff</w:t>
            </w:r>
          </w:p>
        </w:tc>
      </w:tr>
      <w:tr w:rsidR="00BB30D0" w:rsidRPr="00124DB1" w14:paraId="3E1E146F" w14:textId="77777777" w:rsidTr="00507A20">
        <w:tblPrEx>
          <w:tblCellMar>
            <w:left w:w="70" w:type="dxa"/>
            <w:right w:w="70" w:type="dxa"/>
          </w:tblCellMar>
        </w:tblPrEx>
        <w:trPr>
          <w:cantSplit/>
        </w:trPr>
        <w:tc>
          <w:tcPr>
            <w:tcW w:w="9505" w:type="dxa"/>
            <w:gridSpan w:val="3"/>
          </w:tcPr>
          <w:p w14:paraId="623C4B35" w14:textId="77777777" w:rsidR="00507A20" w:rsidRPr="00124DB1" w:rsidRDefault="00507A20">
            <w:pPr>
              <w:rPr>
                <w:lang w:val="en-CA"/>
              </w:rPr>
            </w:pPr>
          </w:p>
        </w:tc>
      </w:tr>
      <w:tr w:rsidR="00BB30D0" w:rsidRPr="00124DB1" w14:paraId="3ABB46A1" w14:textId="77777777" w:rsidTr="00507A20">
        <w:tblPrEx>
          <w:tblCellMar>
            <w:left w:w="70" w:type="dxa"/>
            <w:right w:w="70" w:type="dxa"/>
          </w:tblCellMar>
        </w:tblPrEx>
        <w:trPr>
          <w:cantSplit/>
        </w:trPr>
        <w:tc>
          <w:tcPr>
            <w:tcW w:w="9505" w:type="dxa"/>
            <w:gridSpan w:val="3"/>
          </w:tcPr>
          <w:p w14:paraId="2302BA8C" w14:textId="77777777" w:rsidR="00507A20" w:rsidRPr="00124DB1" w:rsidRDefault="00DC1A05" w:rsidP="00507A20">
            <w:pPr>
              <w:pStyle w:val="zSoquijdatNomProcureurDem"/>
              <w:rPr>
                <w:lang w:val="en-CA"/>
              </w:rPr>
            </w:pP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w:t>
            </w:r>
          </w:p>
        </w:tc>
      </w:tr>
      <w:tr w:rsidR="00BB30D0" w:rsidRPr="00124DB1" w14:paraId="0E9E4D37" w14:textId="77777777" w:rsidTr="00507A20">
        <w:tblPrEx>
          <w:tblCellMar>
            <w:left w:w="70" w:type="dxa"/>
            <w:right w:w="70" w:type="dxa"/>
          </w:tblCellMar>
        </w:tblPrEx>
        <w:trPr>
          <w:cantSplit/>
        </w:trPr>
        <w:tc>
          <w:tcPr>
            <w:tcW w:w="9505" w:type="dxa"/>
            <w:gridSpan w:val="3"/>
          </w:tcPr>
          <w:p w14:paraId="3D916A0D" w14:textId="77777777" w:rsidR="00507A20" w:rsidRPr="00124DB1" w:rsidRDefault="00DC1A05" w:rsidP="00507A20">
            <w:pPr>
              <w:pStyle w:val="zSoquijdatCabinetProcureurDem"/>
              <w:rPr>
                <w:caps/>
                <w:lang w:val="en-CA"/>
              </w:rPr>
            </w:pPr>
            <w:r w:rsidRPr="00124DB1">
              <w:rPr>
                <w:caps/>
                <w:lang w:val="en-CA"/>
              </w:rPr>
              <w:t>GAGNIER GUAY BIRON</w:t>
            </w:r>
          </w:p>
        </w:tc>
      </w:tr>
      <w:tr w:rsidR="00BB30D0" w:rsidRPr="00124DB1" w14:paraId="5C9D19E7" w14:textId="77777777" w:rsidTr="00507A20">
        <w:tblPrEx>
          <w:tblCellMar>
            <w:left w:w="70" w:type="dxa"/>
            <w:right w:w="70" w:type="dxa"/>
          </w:tblCellMar>
        </w:tblPrEx>
        <w:trPr>
          <w:cantSplit/>
        </w:trPr>
        <w:tc>
          <w:tcPr>
            <w:tcW w:w="9505" w:type="dxa"/>
            <w:gridSpan w:val="3"/>
          </w:tcPr>
          <w:p w14:paraId="6A04FE4F" w14:textId="77777777" w:rsidR="00507A20" w:rsidRPr="00124DB1" w:rsidRDefault="00DC1A05" w:rsidP="00507A20">
            <w:pPr>
              <w:pStyle w:val="zSoquijlblProcureurDem"/>
              <w:rPr>
                <w:lang w:val="en-CA"/>
              </w:rPr>
            </w:pPr>
            <w:r w:rsidRPr="00124DB1">
              <w:rPr>
                <w:lang w:val="en-CA"/>
              </w:rPr>
              <w:t>Counsel for the defendants</w:t>
            </w:r>
          </w:p>
        </w:tc>
      </w:tr>
      <w:tr w:rsidR="00BB30D0" w:rsidRPr="00124DB1" w14:paraId="63DF3D9E" w14:textId="77777777" w:rsidTr="00507A20">
        <w:tblPrEx>
          <w:tblCellMar>
            <w:left w:w="70" w:type="dxa"/>
            <w:right w:w="70" w:type="dxa"/>
          </w:tblCellMar>
        </w:tblPrEx>
        <w:tc>
          <w:tcPr>
            <w:tcW w:w="9505" w:type="dxa"/>
            <w:gridSpan w:val="3"/>
          </w:tcPr>
          <w:p w14:paraId="11F7A0C4" w14:textId="77777777" w:rsidR="00507A20" w:rsidRPr="00124DB1" w:rsidRDefault="00507A20">
            <w:pPr>
              <w:rPr>
                <w:lang w:val="en-CA"/>
              </w:rPr>
            </w:pPr>
          </w:p>
        </w:tc>
      </w:tr>
      <w:tr w:rsidR="00BB30D0" w:rsidRPr="00124DB1" w14:paraId="7810E699" w14:textId="77777777" w:rsidTr="00507A20">
        <w:tblPrEx>
          <w:tblCellMar>
            <w:left w:w="70" w:type="dxa"/>
            <w:right w:w="70" w:type="dxa"/>
          </w:tblCellMar>
        </w:tblPrEx>
        <w:tc>
          <w:tcPr>
            <w:tcW w:w="2197" w:type="dxa"/>
          </w:tcPr>
          <w:p w14:paraId="064BBC01" w14:textId="77777777" w:rsidR="00507A20" w:rsidRPr="00124DB1" w:rsidRDefault="00DC1A05">
            <w:pPr>
              <w:pStyle w:val="zSoquijlblDateAudience"/>
              <w:rPr>
                <w:lang w:val="en-CA"/>
              </w:rPr>
            </w:pPr>
            <w:r w:rsidRPr="00124DB1">
              <w:rPr>
                <w:lang w:val="en-CA"/>
              </w:rPr>
              <w:t>Dates of hearing:</w:t>
            </w:r>
          </w:p>
        </w:tc>
        <w:tc>
          <w:tcPr>
            <w:tcW w:w="7308" w:type="dxa"/>
            <w:gridSpan w:val="2"/>
          </w:tcPr>
          <w:p w14:paraId="22783188" w14:textId="5E38C770" w:rsidR="00507A20" w:rsidRPr="00124DB1" w:rsidRDefault="00E050D1">
            <w:pPr>
              <w:pStyle w:val="zSoquijdatDateAudience"/>
              <w:rPr>
                <w:lang w:val="en-CA"/>
              </w:rPr>
            </w:pPr>
            <w:r w:rsidRPr="00124DB1">
              <w:rPr>
                <w:lang w:val="en-CA"/>
              </w:rPr>
              <w:t>No</w:t>
            </w:r>
            <w:r w:rsidR="00DC1A05" w:rsidRPr="00124DB1">
              <w:rPr>
                <w:lang w:val="en-CA"/>
              </w:rPr>
              <w:t>vember 30, December 1, 2, 3, and 4, 2020, February 16, 17, 18, 2021</w:t>
            </w:r>
          </w:p>
        </w:tc>
      </w:tr>
    </w:tbl>
    <w:p w14:paraId="3B6B84A0" w14:textId="77777777" w:rsidR="00507A20" w:rsidRPr="00124DB1" w:rsidRDefault="00507A20">
      <w:pPr>
        <w:rPr>
          <w:lang w:val="en-CA"/>
        </w:rPr>
      </w:pPr>
    </w:p>
    <w:sectPr w:rsidR="00507A20" w:rsidRPr="00124DB1" w:rsidSect="00507A2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9" w:bottom="1440" w:left="1871" w:header="1440" w:footer="794"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83CA" w14:textId="77777777" w:rsidR="006F54DF" w:rsidRDefault="006F54DF">
      <w:r>
        <w:separator/>
      </w:r>
    </w:p>
  </w:endnote>
  <w:endnote w:type="continuationSeparator" w:id="0">
    <w:p w14:paraId="473E967C" w14:textId="77777777" w:rsidR="006F54DF" w:rsidRDefault="006F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BA36" w14:textId="77777777" w:rsidR="006F54DF" w:rsidRDefault="006F54DF">
    <w:pPr>
      <w:framePr w:wrap="around" w:vAnchor="text" w:hAnchor="margin" w:xAlign="right" w:y="1"/>
    </w:pPr>
    <w:r>
      <w:fldChar w:fldCharType="begin"/>
    </w:r>
    <w:r>
      <w:instrText xml:space="preserve">PAGE  </w:instrText>
    </w:r>
    <w:r>
      <w:fldChar w:fldCharType="separate"/>
    </w:r>
    <w:r>
      <w:rPr>
        <w:noProof/>
      </w:rPr>
      <w:t>2</w:t>
    </w:r>
    <w:r>
      <w:fldChar w:fldCharType="end"/>
    </w:r>
  </w:p>
  <w:p w14:paraId="0E5F5BF9" w14:textId="77777777" w:rsidR="006F54DF" w:rsidRDefault="006F54D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0806" w14:textId="77777777" w:rsidR="006F54DF" w:rsidRDefault="006F54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250A" w14:textId="77777777" w:rsidR="006F54DF" w:rsidRDefault="006F5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281F" w14:textId="77777777" w:rsidR="006F54DF" w:rsidRDefault="006F54DF">
      <w:r>
        <w:separator/>
      </w:r>
    </w:p>
  </w:footnote>
  <w:footnote w:type="continuationSeparator" w:id="0">
    <w:p w14:paraId="07DD2EAB" w14:textId="77777777" w:rsidR="006F54DF" w:rsidRDefault="006F54DF">
      <w:r>
        <w:continuationSeparator/>
      </w:r>
    </w:p>
  </w:footnote>
  <w:footnote w:id="1">
    <w:p w14:paraId="20ABD17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CQLR, c. C-12.</w:t>
      </w:r>
    </w:p>
  </w:footnote>
  <w:footnote w:id="2">
    <w:p w14:paraId="7A90249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R-24, P-11, and VDM-4, Resolution CP-752.1.</w:t>
      </w:r>
    </w:p>
  </w:footnote>
  <w:footnote w:id="3">
    <w:p w14:paraId="06D88495"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VDM-20, Pre-Trial Examination of Paul </w:t>
      </w:r>
      <w:proofErr w:type="spellStart"/>
      <w:r w:rsidRPr="00124DB1">
        <w:rPr>
          <w:lang w:val="en-CA"/>
        </w:rPr>
        <w:t>Bazelais</w:t>
      </w:r>
      <w:proofErr w:type="spellEnd"/>
      <w:r w:rsidRPr="00124DB1">
        <w:rPr>
          <w:lang w:val="en-CA"/>
        </w:rPr>
        <w:t xml:space="preserve">, February 3, 2020, at 8: </w:t>
      </w:r>
      <w:proofErr w:type="gramStart"/>
      <w:r w:rsidRPr="00124DB1">
        <w:rPr>
          <w:lang w:val="en-CA"/>
        </w:rPr>
        <w:t>“ ...</w:t>
      </w:r>
      <w:proofErr w:type="gramEnd"/>
      <w:r w:rsidRPr="00124DB1">
        <w:rPr>
          <w:lang w:val="en-CA"/>
        </w:rPr>
        <w:t xml:space="preserve"> it was Labor Day week-end and it was full of clientele, there was a lot of people”.</w:t>
      </w:r>
    </w:p>
  </w:footnote>
  <w:footnote w:id="4">
    <w:p w14:paraId="3B6305CC"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w:t>
      </w:r>
    </w:p>
  </w:footnote>
  <w:footnote w:id="5">
    <w:p w14:paraId="60E22964"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It is the Nick Auf Der </w:t>
      </w:r>
      <w:proofErr w:type="spellStart"/>
      <w:r w:rsidRPr="00124DB1">
        <w:rPr>
          <w:lang w:val="en-CA"/>
        </w:rPr>
        <w:t>Maur</w:t>
      </w:r>
      <w:proofErr w:type="spellEnd"/>
      <w:r w:rsidRPr="00124DB1">
        <w:rPr>
          <w:lang w:val="en-CA"/>
        </w:rPr>
        <w:t xml:space="preserve"> alley, perpendicular to Crescent Street.</w:t>
      </w:r>
    </w:p>
  </w:footnote>
  <w:footnote w:id="6">
    <w:p w14:paraId="5F5AC9B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It is the acronym for the </w:t>
      </w:r>
      <w:proofErr w:type="spellStart"/>
      <w:r w:rsidRPr="00124DB1">
        <w:rPr>
          <w:b/>
          <w:lang w:val="en-CA"/>
        </w:rPr>
        <w:t>É</w:t>
      </w:r>
      <w:r w:rsidRPr="00124DB1">
        <w:rPr>
          <w:lang w:val="en-CA"/>
        </w:rPr>
        <w:t>quipe</w:t>
      </w:r>
      <w:proofErr w:type="spellEnd"/>
      <w:r w:rsidRPr="00124DB1">
        <w:rPr>
          <w:lang w:val="en-CA"/>
        </w:rPr>
        <w:t xml:space="preserve"> </w:t>
      </w:r>
      <w:r w:rsidRPr="00124DB1">
        <w:rPr>
          <w:b/>
          <w:lang w:val="en-CA"/>
        </w:rPr>
        <w:t>C</w:t>
      </w:r>
      <w:r w:rsidRPr="00124DB1">
        <w:rPr>
          <w:lang w:val="en-CA"/>
        </w:rPr>
        <w:t xml:space="preserve">orporative de </w:t>
      </w:r>
      <w:proofErr w:type="spellStart"/>
      <w:r w:rsidRPr="00124DB1">
        <w:rPr>
          <w:b/>
          <w:lang w:val="en-CA"/>
        </w:rPr>
        <w:t>L</w:t>
      </w:r>
      <w:r w:rsidRPr="00124DB1">
        <w:rPr>
          <w:lang w:val="en-CA"/>
        </w:rPr>
        <w:t>utte</w:t>
      </w:r>
      <w:proofErr w:type="spellEnd"/>
      <w:r w:rsidRPr="00124DB1">
        <w:rPr>
          <w:lang w:val="en-CA"/>
        </w:rPr>
        <w:t xml:space="preserve">, </w:t>
      </w:r>
      <w:proofErr w:type="spellStart"/>
      <w:r w:rsidRPr="00124DB1">
        <w:rPr>
          <w:lang w:val="en-CA"/>
        </w:rPr>
        <w:t>d’</w:t>
      </w:r>
      <w:r w:rsidRPr="00124DB1">
        <w:rPr>
          <w:b/>
          <w:lang w:val="en-CA"/>
        </w:rPr>
        <w:t>I</w:t>
      </w:r>
      <w:r w:rsidRPr="00124DB1">
        <w:rPr>
          <w:lang w:val="en-CA"/>
        </w:rPr>
        <w:t>ntervention</w:t>
      </w:r>
      <w:proofErr w:type="spellEnd"/>
      <w:r w:rsidRPr="00124DB1">
        <w:rPr>
          <w:lang w:val="en-CA"/>
        </w:rPr>
        <w:t xml:space="preserve"> </w:t>
      </w:r>
      <w:proofErr w:type="gramStart"/>
      <w:r w:rsidRPr="00124DB1">
        <w:rPr>
          <w:lang w:val="en-CA"/>
        </w:rPr>
        <w:t>et</w:t>
      </w:r>
      <w:proofErr w:type="gramEnd"/>
      <w:r w:rsidRPr="00124DB1">
        <w:rPr>
          <w:lang w:val="en-CA"/>
        </w:rPr>
        <w:t xml:space="preserve"> de </w:t>
      </w:r>
      <w:proofErr w:type="spellStart"/>
      <w:r w:rsidRPr="00124DB1">
        <w:rPr>
          <w:b/>
          <w:lang w:val="en-CA"/>
        </w:rPr>
        <w:t>P</w:t>
      </w:r>
      <w:r w:rsidRPr="00124DB1">
        <w:rPr>
          <w:lang w:val="en-CA"/>
        </w:rPr>
        <w:t>révention</w:t>
      </w:r>
      <w:proofErr w:type="spellEnd"/>
      <w:r w:rsidRPr="00124DB1">
        <w:rPr>
          <w:lang w:val="en-CA"/>
        </w:rPr>
        <w:t xml:space="preserve"> des </w:t>
      </w:r>
      <w:r w:rsidRPr="00124DB1">
        <w:rPr>
          <w:b/>
          <w:lang w:val="en-CA"/>
        </w:rPr>
        <w:t>S</w:t>
      </w:r>
      <w:r w:rsidRPr="00124DB1">
        <w:rPr>
          <w:lang w:val="en-CA"/>
        </w:rPr>
        <w:t xml:space="preserve">ituations </w:t>
      </w:r>
      <w:proofErr w:type="spellStart"/>
      <w:r w:rsidRPr="00124DB1">
        <w:rPr>
          <w:b/>
          <w:lang w:val="en-CA"/>
        </w:rPr>
        <w:t>É</w:t>
      </w:r>
      <w:r w:rsidRPr="00124DB1">
        <w:rPr>
          <w:lang w:val="en-CA"/>
        </w:rPr>
        <w:t>mergentes</w:t>
      </w:r>
      <w:proofErr w:type="spellEnd"/>
      <w:r w:rsidRPr="00124DB1">
        <w:rPr>
          <w:lang w:val="en-CA"/>
        </w:rPr>
        <w:t xml:space="preserve"> created by the SPVM.</w:t>
      </w:r>
    </w:p>
  </w:footnote>
  <w:footnote w:id="7">
    <w:p w14:paraId="38F8D934" w14:textId="46C7771E"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121 of the </w:t>
      </w:r>
      <w:r w:rsidRPr="00124DB1">
        <w:rPr>
          <w:i/>
          <w:lang w:val="en-CA"/>
        </w:rPr>
        <w:t>Charter</w:t>
      </w:r>
      <w:r w:rsidRPr="00124DB1">
        <w:rPr>
          <w:lang w:val="en-CA"/>
        </w:rPr>
        <w:t xml:space="preserve"> authorizes this designation by the Tribunal. In fact, the parties themselves referred to the </w:t>
      </w:r>
      <w:proofErr w:type="gramStart"/>
      <w:r w:rsidRPr="00124DB1">
        <w:rPr>
          <w:lang w:val="en-CA"/>
        </w:rPr>
        <w:t>doorman</w:t>
      </w:r>
      <w:proofErr w:type="gramEnd"/>
      <w:r w:rsidRPr="00124DB1">
        <w:rPr>
          <w:lang w:val="en-CA"/>
        </w:rPr>
        <w:t xml:space="preserve"> by his initials, in all likelihood to protect his identity for security purposes, so that he could avoid possible retaliation due to his cooperation with police officers. Thus, [</w:t>
      </w:r>
      <w:r w:rsidRPr="00124DB1">
        <w:rPr>
          <w:smallCaps/>
          <w:lang w:val="en-CA"/>
        </w:rPr>
        <w:t>translation</w:t>
      </w:r>
      <w:r w:rsidRPr="00124DB1">
        <w:rPr>
          <w:lang w:val="en-CA"/>
        </w:rPr>
        <w:t xml:space="preserve">] “while there is a violation of the principle of the open court system, it is minor”: </w:t>
      </w:r>
      <w:r w:rsidRPr="000C1D62">
        <w:rPr>
          <w:i/>
          <w:lang w:val="en-CA"/>
        </w:rPr>
        <w:t>S</w:t>
      </w:r>
      <w:r w:rsidRPr="00124DB1">
        <w:rPr>
          <w:i/>
          <w:lang w:val="en-CA"/>
        </w:rPr>
        <w:t xml:space="preserve">. c. </w:t>
      </w:r>
      <w:proofErr w:type="spellStart"/>
      <w:r w:rsidRPr="00124DB1">
        <w:rPr>
          <w:i/>
          <w:lang w:val="en-CA"/>
        </w:rPr>
        <w:t>Lamontagne</w:t>
      </w:r>
      <w:proofErr w:type="spellEnd"/>
      <w:r w:rsidRPr="00124DB1">
        <w:rPr>
          <w:lang w:val="en-CA"/>
        </w:rPr>
        <w:t>, 2020 QCCA 663 at para. 38.</w:t>
      </w:r>
    </w:p>
  </w:footnote>
  <w:footnote w:id="8">
    <w:p w14:paraId="3DB17F6D"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P-28, Pre-trial examination of Mr. Stéphane Mathurin, September 28, 2020, at 68.</w:t>
      </w:r>
    </w:p>
  </w:footnote>
  <w:footnote w:id="9">
    <w:p w14:paraId="5D7242C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124DB1">
        <w:rPr>
          <w:lang w:val="en-CA"/>
        </w:rPr>
        <w:t>at 69.</w:t>
      </w:r>
    </w:p>
  </w:footnote>
  <w:footnote w:id="10">
    <w:p w14:paraId="03789F6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124DB1">
        <w:rPr>
          <w:lang w:val="en-CA"/>
        </w:rPr>
        <w:t>at 68.</w:t>
      </w:r>
    </w:p>
  </w:footnote>
  <w:footnote w:id="11">
    <w:p w14:paraId="458783AA" w14:textId="22654B2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In </w:t>
      </w:r>
      <w:proofErr w:type="gramStart"/>
      <w:r w:rsidRPr="00124DB1">
        <w:rPr>
          <w:lang w:val="en-CA"/>
        </w:rPr>
        <w:t>actual fact</w:t>
      </w:r>
      <w:proofErr w:type="gramEnd"/>
      <w:r w:rsidRPr="00124DB1">
        <w:rPr>
          <w:lang w:val="en-CA"/>
        </w:rPr>
        <w:t>, only one document, titled [</w:t>
      </w:r>
      <w:r w:rsidRPr="00124DB1">
        <w:rPr>
          <w:smallCaps/>
          <w:lang w:val="en-CA"/>
        </w:rPr>
        <w:t>translation</w:t>
      </w:r>
      <w:r w:rsidRPr="00124DB1">
        <w:rPr>
          <w:lang w:val="en-CA"/>
        </w:rPr>
        <w:t xml:space="preserve">] “call log” (Exhibit VDM-2), was found in connection with the incident. It </w:t>
      </w:r>
      <w:proofErr w:type="gramStart"/>
      <w:r w:rsidRPr="00124DB1">
        <w:rPr>
          <w:lang w:val="en-CA"/>
        </w:rPr>
        <w:t>was sent</w:t>
      </w:r>
      <w:proofErr w:type="gramEnd"/>
      <w:r w:rsidRPr="00124DB1">
        <w:rPr>
          <w:lang w:val="en-CA"/>
        </w:rPr>
        <w:t xml:space="preserve"> to the Commission by the </w:t>
      </w:r>
      <w:r>
        <w:rPr>
          <w:lang w:val="en-CA"/>
        </w:rPr>
        <w:t>City</w:t>
      </w:r>
      <w:r w:rsidRPr="00124DB1">
        <w:rPr>
          <w:lang w:val="en-CA"/>
        </w:rPr>
        <w:t xml:space="preserve"> on July 26, 2016.  </w:t>
      </w:r>
    </w:p>
  </w:footnote>
  <w:footnote w:id="12">
    <w:p w14:paraId="7AD2DD68" w14:textId="7825EC82"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R-2, Mandate for representation, October 17, 2014. </w:t>
      </w:r>
    </w:p>
  </w:footnote>
  <w:footnote w:id="13">
    <w:p w14:paraId="0684D805"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Exhibits R-1 and VDM-1, Complaint of discrimination based on race intersecting with gender and national origin and violation of s. 1, 4, 5, 10, 24, 24.1 and 28 of the Quebec </w:t>
      </w:r>
      <w:r w:rsidRPr="00124DB1">
        <w:rPr>
          <w:i/>
          <w:lang w:val="en-CA"/>
        </w:rPr>
        <w:t>Charter of Rights and Freedoms</w:t>
      </w:r>
      <w:r w:rsidRPr="00124DB1">
        <w:rPr>
          <w:lang w:val="en-CA"/>
        </w:rPr>
        <w:t xml:space="preserve">. </w:t>
      </w:r>
    </w:p>
  </w:footnote>
  <w:footnote w:id="14">
    <w:p w14:paraId="315FE766" w14:textId="0764CAD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C-1, Email from Kathrin Peter, </w:t>
      </w:r>
      <w:proofErr w:type="gramStart"/>
      <w:r w:rsidRPr="00124DB1">
        <w:rPr>
          <w:lang w:val="en-CA"/>
        </w:rPr>
        <w:t>assessment</w:t>
      </w:r>
      <w:proofErr w:type="gramEnd"/>
      <w:r w:rsidRPr="00124DB1">
        <w:rPr>
          <w:lang w:val="en-CA"/>
        </w:rPr>
        <w:t xml:space="preserve"> advisor for the Commission, sent to the CRARR. </w:t>
      </w:r>
    </w:p>
  </w:footnote>
  <w:footnote w:id="15">
    <w:p w14:paraId="473CF4A5" w14:textId="484ECC5D"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R-2, Notice of receipt of complaint signed by Kathrin Peter.</w:t>
      </w:r>
    </w:p>
  </w:footnote>
  <w:footnote w:id="16">
    <w:p w14:paraId="08822773"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R-3, Letter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w:t>
      </w:r>
    </w:p>
  </w:footnote>
  <w:footnote w:id="17">
    <w:p w14:paraId="04302186" w14:textId="5C89139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C-2, Email from </w:t>
      </w:r>
      <w:proofErr w:type="spellStart"/>
      <w:proofErr w:type="gramStart"/>
      <w:r w:rsidRPr="00124DB1">
        <w:rPr>
          <w:lang w:val="en-CA"/>
        </w:rPr>
        <w:t>Fo</w:t>
      </w:r>
      <w:proofErr w:type="spellEnd"/>
      <w:proofErr w:type="gramEnd"/>
      <w:r w:rsidRPr="00124DB1">
        <w:rPr>
          <w:lang w:val="en-CA"/>
        </w:rPr>
        <w:t xml:space="preserve"> </w:t>
      </w:r>
      <w:proofErr w:type="spellStart"/>
      <w:r w:rsidRPr="00124DB1">
        <w:rPr>
          <w:lang w:val="en-CA"/>
        </w:rPr>
        <w:t>Niemi</w:t>
      </w:r>
      <w:proofErr w:type="spellEnd"/>
      <w:r w:rsidRPr="00124DB1">
        <w:rPr>
          <w:lang w:val="en-CA"/>
        </w:rPr>
        <w:t xml:space="preserve"> of the CRARR, sent to Kathrin Peter of the Commission.</w:t>
      </w:r>
    </w:p>
  </w:footnote>
  <w:footnote w:id="18">
    <w:p w14:paraId="4582D4BE" w14:textId="4C8BC8D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R-4, Letter transferring the file to mediation, from Kathrin Peter of the Commission. </w:t>
      </w:r>
    </w:p>
  </w:footnote>
  <w:footnote w:id="19">
    <w:p w14:paraId="4728464E"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R-5, Email from the Commission to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w:t>
      </w:r>
    </w:p>
  </w:footnote>
  <w:footnote w:id="20">
    <w:p w14:paraId="6F1DEA89"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R-7,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the mediator. </w:t>
      </w:r>
    </w:p>
  </w:footnote>
  <w:footnote w:id="21">
    <w:p w14:paraId="69BB7F8E"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R-8, Letter from the mediator to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w:t>
      </w:r>
    </w:p>
  </w:footnote>
  <w:footnote w:id="22">
    <w:p w14:paraId="5919591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R-10,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the mediator.</w:t>
      </w:r>
    </w:p>
  </w:footnote>
  <w:footnote w:id="23">
    <w:p w14:paraId="3C7C3793"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R-11, Letter from the mediator to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w:t>
      </w:r>
    </w:p>
  </w:footnote>
  <w:footnote w:id="24">
    <w:p w14:paraId="046CE948" w14:textId="29E6AD18"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R-12, Letter from Investigator Omar </w:t>
      </w:r>
      <w:proofErr w:type="spellStart"/>
      <w:r w:rsidRPr="00124DB1">
        <w:rPr>
          <w:lang w:val="en-CA"/>
        </w:rPr>
        <w:t>Edriss</w:t>
      </w:r>
      <w:proofErr w:type="spellEnd"/>
      <w:r w:rsidRPr="00124DB1">
        <w:rPr>
          <w:lang w:val="en-CA"/>
        </w:rPr>
        <w:t>.</w:t>
      </w:r>
    </w:p>
  </w:footnote>
  <w:footnote w:id="25">
    <w:p w14:paraId="613E31B1" w14:textId="1164368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R-13, Letter from </w:t>
      </w:r>
      <w:proofErr w:type="spellStart"/>
      <w:r w:rsidRPr="00124DB1">
        <w:rPr>
          <w:lang w:val="en-CA"/>
        </w:rPr>
        <w:t>Benoît</w:t>
      </w:r>
      <w:proofErr w:type="spellEnd"/>
      <w:r w:rsidRPr="00124DB1">
        <w:rPr>
          <w:lang w:val="en-CA"/>
        </w:rPr>
        <w:t xml:space="preserve"> Robitaille, </w:t>
      </w:r>
      <w:proofErr w:type="gramStart"/>
      <w:r w:rsidRPr="00124DB1">
        <w:rPr>
          <w:lang w:val="en-CA"/>
        </w:rPr>
        <w:t>head</w:t>
      </w:r>
      <w:proofErr w:type="gramEnd"/>
      <w:r w:rsidRPr="00124DB1">
        <w:rPr>
          <w:lang w:val="en-CA"/>
        </w:rPr>
        <w:t xml:space="preserve"> of archives for the </w:t>
      </w:r>
      <w:r>
        <w:rPr>
          <w:lang w:val="en-CA"/>
        </w:rPr>
        <w:t>City</w:t>
      </w:r>
      <w:r w:rsidRPr="00124DB1">
        <w:rPr>
          <w:lang w:val="en-CA"/>
        </w:rPr>
        <w:t xml:space="preserve">, to Investigator </w:t>
      </w:r>
      <w:proofErr w:type="spellStart"/>
      <w:r w:rsidRPr="00124DB1">
        <w:rPr>
          <w:lang w:val="en-CA"/>
        </w:rPr>
        <w:t>Edriss</w:t>
      </w:r>
      <w:proofErr w:type="spellEnd"/>
      <w:r w:rsidRPr="00124DB1">
        <w:rPr>
          <w:lang w:val="en-CA"/>
        </w:rPr>
        <w:t>.</w:t>
      </w:r>
    </w:p>
  </w:footnote>
  <w:footnote w:id="26">
    <w:p w14:paraId="2A053888" w14:textId="76A21F5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R-14, Letter from Investigator Serge Marquis to counsel for the Ville, </w:t>
      </w:r>
      <w:proofErr w:type="spellStart"/>
      <w:r w:rsidRPr="00124DB1">
        <w:rPr>
          <w:lang w:val="en-CA"/>
        </w:rPr>
        <w:t>Mtre</w:t>
      </w:r>
      <w:proofErr w:type="spellEnd"/>
      <w:r w:rsidRPr="00124DB1">
        <w:rPr>
          <w:lang w:val="en-CA"/>
        </w:rPr>
        <w:t xml:space="preserve"> Jean-Nicolas </w:t>
      </w:r>
      <w:proofErr w:type="spellStart"/>
      <w:r w:rsidRPr="00124DB1">
        <w:rPr>
          <w:lang w:val="en-CA"/>
        </w:rPr>
        <w:t>Loiselle</w:t>
      </w:r>
      <w:proofErr w:type="spellEnd"/>
      <w:r w:rsidRPr="00124DB1">
        <w:rPr>
          <w:lang w:val="en-CA"/>
        </w:rPr>
        <w:t>.</w:t>
      </w:r>
    </w:p>
  </w:footnote>
  <w:footnote w:id="27">
    <w:p w14:paraId="25567C18" w14:textId="0141F0E9"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C-12, R-16, and P-2, Statement (by telephone) of Mr. Mathurin, as written by Investigator Serge Marquis.</w:t>
      </w:r>
    </w:p>
  </w:footnote>
  <w:footnote w:id="28">
    <w:p w14:paraId="01E37186" w14:textId="25EAB55C"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C-10, Letter from Investigator Serge Marquis to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w:t>
      </w:r>
    </w:p>
  </w:footnote>
  <w:footnote w:id="29">
    <w:p w14:paraId="0D86DC21" w14:textId="103999E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R-19,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Investigator Serge Marquis.</w:t>
      </w:r>
    </w:p>
  </w:footnote>
  <w:footnote w:id="30">
    <w:p w14:paraId="09B7852F" w14:textId="5A33E9F1"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R-20,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Investigator Serge Marquis.</w:t>
      </w:r>
    </w:p>
  </w:footnote>
  <w:footnote w:id="31">
    <w:p w14:paraId="607D001D" w14:textId="476024A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P-3 and VDM-3, Statement of facts of Investigator Serge Marquis.</w:t>
      </w:r>
    </w:p>
  </w:footnote>
  <w:footnote w:id="32">
    <w:p w14:paraId="367A4089" w14:textId="1D10DA3D"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C-13, Letter from Investigator Serge Marquis to </w:t>
      </w:r>
      <w:proofErr w:type="spellStart"/>
      <w:proofErr w:type="gramStart"/>
      <w:r w:rsidRPr="00124DB1">
        <w:rPr>
          <w:lang w:val="en-CA"/>
        </w:rPr>
        <w:t>Fo</w:t>
      </w:r>
      <w:proofErr w:type="spellEnd"/>
      <w:proofErr w:type="gramEnd"/>
      <w:r w:rsidRPr="00124DB1">
        <w:rPr>
          <w:lang w:val="en-CA"/>
        </w:rPr>
        <w:t xml:space="preserve"> </w:t>
      </w:r>
      <w:proofErr w:type="spellStart"/>
      <w:r w:rsidRPr="00124DB1">
        <w:rPr>
          <w:lang w:val="en-CA"/>
        </w:rPr>
        <w:t>Niemi</w:t>
      </w:r>
      <w:proofErr w:type="spellEnd"/>
      <w:r w:rsidRPr="00124DB1">
        <w:rPr>
          <w:lang w:val="en-CA"/>
        </w:rPr>
        <w:t xml:space="preserve"> (CRARR).</w:t>
      </w:r>
    </w:p>
  </w:footnote>
  <w:footnote w:id="33">
    <w:p w14:paraId="0B0AA61C" w14:textId="5D341C9F"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R-21, Letter from Investigator Serge Marquis to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w:t>
      </w:r>
    </w:p>
  </w:footnote>
  <w:footnote w:id="34">
    <w:p w14:paraId="32932796" w14:textId="00521A8F"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R-22,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Investigator Serge Marquis.</w:t>
      </w:r>
    </w:p>
  </w:footnote>
  <w:footnote w:id="35">
    <w:p w14:paraId="52626DCC" w14:textId="1359197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R-23, Email from </w:t>
      </w:r>
      <w:proofErr w:type="spellStart"/>
      <w:r w:rsidRPr="00124DB1">
        <w:rPr>
          <w:lang w:val="en-CA"/>
        </w:rPr>
        <w:t>Mtre</w:t>
      </w:r>
      <w:proofErr w:type="spellEnd"/>
      <w:r w:rsidRPr="00124DB1">
        <w:rPr>
          <w:lang w:val="en-CA"/>
        </w:rPr>
        <w:t xml:space="preserve"> </w:t>
      </w:r>
      <w:proofErr w:type="spellStart"/>
      <w:r w:rsidRPr="00124DB1">
        <w:rPr>
          <w:lang w:val="en-CA"/>
        </w:rPr>
        <w:t>Myrtho</w:t>
      </w:r>
      <w:proofErr w:type="spellEnd"/>
      <w:r w:rsidRPr="00124DB1">
        <w:rPr>
          <w:lang w:val="en-CA"/>
        </w:rPr>
        <w:t xml:space="preserve"> Adrien to Investigator Serge Marquis.</w:t>
      </w:r>
    </w:p>
  </w:footnote>
  <w:footnote w:id="36">
    <w:p w14:paraId="251B0FD1" w14:textId="68135DFC"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C-14, Email from Amélie Charbonneau (CRARR) to Investigator Serge Marquis.</w:t>
      </w:r>
    </w:p>
  </w:footnote>
  <w:footnote w:id="37">
    <w:p w14:paraId="1A3A7D33"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R-24, P-11, and VDM-4, Resolution CP-752.1.</w:t>
      </w:r>
    </w:p>
  </w:footnote>
  <w:footnote w:id="38">
    <w:p w14:paraId="50E1D0D0"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R-25 and P-11, transmission slip of the email notification of the proposal for measures of redress.</w:t>
      </w:r>
    </w:p>
  </w:footnote>
  <w:footnote w:id="39">
    <w:p w14:paraId="021499C0" w14:textId="2D9B7A59"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Judgment </w:t>
      </w:r>
      <w:r>
        <w:rPr>
          <w:lang w:val="en-CA"/>
        </w:rPr>
        <w:t>recorded</w:t>
      </w:r>
      <w:r w:rsidRPr="00124DB1">
        <w:rPr>
          <w:lang w:val="en-CA"/>
        </w:rPr>
        <w:t xml:space="preserve"> in the minutes following a case management conference held on July 22, 2020.</w:t>
      </w:r>
    </w:p>
  </w:footnote>
  <w:footnote w:id="40">
    <w:p w14:paraId="6B5B1A96" w14:textId="09DB36AE" w:rsidR="006F54DF" w:rsidRPr="000C1D62"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0C1D62">
        <w:rPr>
          <w:i/>
          <w:u w:val="single"/>
          <w:lang w:val="en-CA"/>
        </w:rPr>
        <w:t>Re-re-amended …</w:t>
      </w:r>
      <w:r w:rsidRPr="00124DB1">
        <w:rPr>
          <w:i/>
          <w:lang w:val="en-CA"/>
        </w:rPr>
        <w:t xml:space="preserve"> application to dismiss the proceeding due to abusive and prejudicial delays</w:t>
      </w:r>
      <w:r w:rsidRPr="00124DB1">
        <w:rPr>
          <w:lang w:val="en-CA"/>
        </w:rPr>
        <w:t xml:space="preserve">, February 5, 2021, at para. </w:t>
      </w:r>
      <w:r w:rsidRPr="000C1D62">
        <w:t>36 (</w:t>
      </w:r>
      <w:proofErr w:type="spellStart"/>
      <w:r w:rsidRPr="000C1D62">
        <w:t>bold</w:t>
      </w:r>
      <w:proofErr w:type="spellEnd"/>
      <w:r w:rsidRPr="000C1D62">
        <w:t xml:space="preserve"> in the original). </w:t>
      </w:r>
    </w:p>
  </w:footnote>
  <w:footnote w:id="41">
    <w:p w14:paraId="2117E368" w14:textId="6B5BA77B" w:rsidR="006F54DF" w:rsidRPr="000C1D62" w:rsidRDefault="006F54DF" w:rsidP="00507A20">
      <w:pPr>
        <w:pStyle w:val="Notedebasdepage"/>
      </w:pPr>
      <w:r w:rsidRPr="00124DB1">
        <w:rPr>
          <w:rStyle w:val="Appelnotedebasdep"/>
          <w:lang w:val="en-CA"/>
        </w:rPr>
        <w:footnoteRef/>
      </w:r>
      <w:r w:rsidRPr="000C1D62">
        <w:t xml:space="preserve"> </w:t>
      </w:r>
      <w:r w:rsidRPr="000C1D62">
        <w:tab/>
        <w:t>2021 QCTDP 1 [</w:t>
      </w:r>
      <w:proofErr w:type="spellStart"/>
      <w:r w:rsidRPr="000C1D62">
        <w:rPr>
          <w:i/>
        </w:rPr>
        <w:t>Nyembwe</w:t>
      </w:r>
      <w:proofErr w:type="spellEnd"/>
      <w:r w:rsidRPr="000C1D62">
        <w:t xml:space="preserve">] (Application for </w:t>
      </w:r>
      <w:proofErr w:type="spellStart"/>
      <w:r w:rsidRPr="000C1D62">
        <w:t>leave</w:t>
      </w:r>
      <w:proofErr w:type="spellEnd"/>
      <w:r w:rsidRPr="000C1D62">
        <w:t xml:space="preserve"> to </w:t>
      </w:r>
      <w:proofErr w:type="spellStart"/>
      <w:r w:rsidRPr="000C1D62">
        <w:t>appeal</w:t>
      </w:r>
      <w:proofErr w:type="spellEnd"/>
      <w:r w:rsidRPr="000C1D62">
        <w:t xml:space="preserve"> </w:t>
      </w:r>
      <w:proofErr w:type="spellStart"/>
      <w:r w:rsidRPr="000C1D62">
        <w:t>dismissed</w:t>
      </w:r>
      <w:proofErr w:type="spellEnd"/>
      <w:r w:rsidRPr="000C1D62">
        <w:t xml:space="preserve">, </w:t>
      </w:r>
      <w:r w:rsidRPr="000C1D62">
        <w:rPr>
          <w:i/>
        </w:rPr>
        <w:t>Ville de Gatineau c. Commission des droits de la personne et des droits de la jeunesse</w:t>
      </w:r>
      <w:r w:rsidRPr="000C1D62">
        <w:t>, 2021 QCCA 339).</w:t>
      </w:r>
    </w:p>
  </w:footnote>
  <w:footnote w:id="42">
    <w:p w14:paraId="2C7BE160" w14:textId="08D0D95E" w:rsidR="006F54DF" w:rsidRPr="000C1D62" w:rsidRDefault="006F54DF" w:rsidP="00507A20">
      <w:pPr>
        <w:pStyle w:val="Notedebasdepage"/>
      </w:pPr>
      <w:r w:rsidRPr="00124DB1">
        <w:rPr>
          <w:rStyle w:val="Appelnotedebasdep"/>
          <w:lang w:val="en-CA"/>
        </w:rPr>
        <w:footnoteRef/>
      </w:r>
      <w:r w:rsidRPr="000C1D62">
        <w:t xml:space="preserve"> </w:t>
      </w:r>
      <w:r w:rsidRPr="000C1D62">
        <w:tab/>
      </w:r>
      <w:proofErr w:type="spellStart"/>
      <w:r w:rsidRPr="000C1D62">
        <w:rPr>
          <w:i/>
        </w:rPr>
        <w:t>Nyembwe</w:t>
      </w:r>
      <w:proofErr w:type="spellEnd"/>
      <w:r w:rsidRPr="000C1D62">
        <w:t xml:space="preserve">, </w:t>
      </w:r>
      <w:r w:rsidRPr="000C1D62">
        <w:rPr>
          <w:i/>
        </w:rPr>
        <w:t>Ibid</w:t>
      </w:r>
      <w:r w:rsidRPr="000C1D62">
        <w:t xml:space="preserve">. at para. 211; </w:t>
      </w:r>
      <w:r w:rsidRPr="000C1D62">
        <w:rPr>
          <w:i/>
        </w:rPr>
        <w:t xml:space="preserve">Commission des droits de la personne et des droits de la jeunesse (Faublas) c. Entreprises Bruno </w:t>
      </w:r>
      <w:proofErr w:type="spellStart"/>
      <w:r w:rsidRPr="000C1D62">
        <w:rPr>
          <w:i/>
        </w:rPr>
        <w:t>Zanetti</w:t>
      </w:r>
      <w:proofErr w:type="spellEnd"/>
      <w:r w:rsidRPr="000C1D62">
        <w:rPr>
          <w:i/>
        </w:rPr>
        <w:t xml:space="preserve"> </w:t>
      </w:r>
      <w:proofErr w:type="spellStart"/>
      <w:r w:rsidRPr="000C1D62">
        <w:rPr>
          <w:i/>
        </w:rPr>
        <w:t>ltée</w:t>
      </w:r>
      <w:proofErr w:type="spellEnd"/>
      <w:r w:rsidRPr="000C1D62">
        <w:rPr>
          <w:i/>
        </w:rPr>
        <w:t xml:space="preserve"> (Les Déesses Bar Salon)</w:t>
      </w:r>
      <w:r w:rsidRPr="000C1D62">
        <w:t>, 2020 QCTDP 8 [</w:t>
      </w:r>
      <w:r w:rsidRPr="000C1D62">
        <w:rPr>
          <w:i/>
        </w:rPr>
        <w:t>Faublas</w:t>
      </w:r>
      <w:r w:rsidRPr="000C1D62">
        <w:t xml:space="preserve">] at para. 32; </w:t>
      </w:r>
      <w:r w:rsidRPr="000C1D62">
        <w:rPr>
          <w:i/>
        </w:rPr>
        <w:t>Commission des droits de la personne et des droits de la jeunesse (Varin) c. Ville de Montréal (Arrondissement Rosemont—La Petite-Patrie)</w:t>
      </w:r>
      <w:r w:rsidRPr="000C1D62">
        <w:t>, 2021 QCTDP 27 [</w:t>
      </w:r>
      <w:r w:rsidRPr="000C1D62">
        <w:rPr>
          <w:i/>
        </w:rPr>
        <w:t>Varin</w:t>
      </w:r>
      <w:r w:rsidRPr="000C1D62">
        <w:t xml:space="preserve">] at para. 77. </w:t>
      </w:r>
    </w:p>
  </w:footnote>
  <w:footnote w:id="43">
    <w:p w14:paraId="2781FC7D" w14:textId="73441802" w:rsidR="006F54DF" w:rsidRPr="00D90D2A" w:rsidRDefault="006F54DF" w:rsidP="00507A20">
      <w:pPr>
        <w:pStyle w:val="Notedebasdepage"/>
      </w:pPr>
      <w:r w:rsidRPr="00124DB1">
        <w:rPr>
          <w:rStyle w:val="Appelnotedebasdep"/>
          <w:lang w:val="en-CA"/>
        </w:rPr>
        <w:footnoteRef/>
      </w:r>
      <w:r w:rsidRPr="00D90D2A">
        <w:t xml:space="preserve"> </w:t>
      </w:r>
      <w:r w:rsidRPr="00D90D2A">
        <w:tab/>
        <w:t>[2000] 2 SCR 307 [</w:t>
      </w:r>
      <w:proofErr w:type="spellStart"/>
      <w:r w:rsidRPr="00D90D2A">
        <w:rPr>
          <w:i/>
        </w:rPr>
        <w:t>Blencoe</w:t>
      </w:r>
      <w:proofErr w:type="spellEnd"/>
      <w:r w:rsidRPr="00D90D2A">
        <w:t>].</w:t>
      </w:r>
    </w:p>
  </w:footnote>
  <w:footnote w:id="44">
    <w:p w14:paraId="40C00E5E" w14:textId="15C75B42" w:rsidR="006F54DF" w:rsidRPr="00A34F57" w:rsidRDefault="006F54DF" w:rsidP="00507A20">
      <w:pPr>
        <w:pStyle w:val="Notedebasdepage"/>
      </w:pPr>
      <w:r w:rsidRPr="00124DB1">
        <w:rPr>
          <w:rStyle w:val="Appelnotedebasdep"/>
          <w:lang w:val="en-CA"/>
        </w:rPr>
        <w:footnoteRef/>
      </w:r>
      <w:r w:rsidRPr="00D90D2A">
        <w:t xml:space="preserve"> </w:t>
      </w:r>
      <w:r w:rsidRPr="00D90D2A">
        <w:tab/>
      </w:r>
      <w:proofErr w:type="spellStart"/>
      <w:r w:rsidRPr="00D90D2A">
        <w:rPr>
          <w:i/>
        </w:rPr>
        <w:t>Nyembwe</w:t>
      </w:r>
      <w:proofErr w:type="spellEnd"/>
      <w:r w:rsidRPr="00D90D2A">
        <w:t xml:space="preserve">, </w:t>
      </w:r>
      <w:r w:rsidRPr="00D90D2A">
        <w:rPr>
          <w:i/>
        </w:rPr>
        <w:t>supra</w:t>
      </w:r>
      <w:r w:rsidRPr="00D90D2A">
        <w:t xml:space="preserve"> note 41 at para. </w:t>
      </w:r>
      <w:r w:rsidRPr="00A34F57">
        <w:t>213.</w:t>
      </w:r>
    </w:p>
  </w:footnote>
  <w:footnote w:id="45">
    <w:p w14:paraId="22F40684" w14:textId="77777777" w:rsidR="006F54DF" w:rsidRPr="00124DB1" w:rsidRDefault="006F54DF" w:rsidP="00507A20">
      <w:pPr>
        <w:pStyle w:val="Notedebasdepage"/>
        <w:rPr>
          <w:lang w:val="en-CA"/>
        </w:rPr>
      </w:pPr>
      <w:r w:rsidRPr="00124DB1">
        <w:rPr>
          <w:rStyle w:val="Appelnotedebasdep"/>
          <w:lang w:val="en-CA"/>
        </w:rPr>
        <w:footnoteRef/>
      </w:r>
      <w:r w:rsidRPr="00A34F57">
        <w:t xml:space="preserve"> </w:t>
      </w:r>
      <w:r w:rsidRPr="00A34F57">
        <w:tab/>
      </w:r>
      <w:r w:rsidRPr="00A34F57">
        <w:rPr>
          <w:i/>
        </w:rPr>
        <w:t>Commission des droits de la personne et des droits de la jeunesse (</w:t>
      </w:r>
      <w:proofErr w:type="spellStart"/>
      <w:r w:rsidRPr="00A34F57">
        <w:rPr>
          <w:i/>
        </w:rPr>
        <w:t>DeBellefeuille</w:t>
      </w:r>
      <w:proofErr w:type="spellEnd"/>
      <w:r w:rsidRPr="00A34F57">
        <w:rPr>
          <w:i/>
        </w:rPr>
        <w:t>) c. Ville de Longueuil</w:t>
      </w:r>
      <w:r w:rsidRPr="00A34F57">
        <w:t>, 2020 QCTDP 21 (</w:t>
      </w:r>
      <w:proofErr w:type="spellStart"/>
      <w:r w:rsidRPr="00A34F57">
        <w:rPr>
          <w:i/>
        </w:rPr>
        <w:t>DeBellefeuille</w:t>
      </w:r>
      <w:proofErr w:type="spellEnd"/>
      <w:r w:rsidRPr="00A34F57">
        <w:t xml:space="preserve">) at para. </w:t>
      </w:r>
      <w:r w:rsidRPr="00124DB1">
        <w:rPr>
          <w:lang w:val="en-CA"/>
        </w:rPr>
        <w:t>81.</w:t>
      </w:r>
    </w:p>
  </w:footnote>
  <w:footnote w:id="46">
    <w:p w14:paraId="06AAABAE" w14:textId="4B29E64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A34F57">
        <w:rPr>
          <w:i/>
          <w:u w:val="single"/>
          <w:lang w:val="en-CA"/>
        </w:rPr>
        <w:t>Re-re-amended …</w:t>
      </w:r>
      <w:r w:rsidRPr="00124DB1">
        <w:rPr>
          <w:i/>
          <w:lang w:val="en-CA"/>
        </w:rPr>
        <w:t xml:space="preserve"> application to dismiss the proceeding due to abusive and prejudicial delays</w:t>
      </w:r>
      <w:r w:rsidRPr="00124DB1">
        <w:rPr>
          <w:lang w:val="en-CA"/>
        </w:rPr>
        <w:t>, February 5, 2021, at para. 48</w:t>
      </w:r>
      <w:r w:rsidRPr="00124DB1">
        <w:rPr>
          <w:i/>
          <w:lang w:val="en-CA"/>
        </w:rPr>
        <w:t>.</w:t>
      </w:r>
    </w:p>
  </w:footnote>
  <w:footnote w:id="47">
    <w:p w14:paraId="5C88EEC0" w14:textId="7CE229B9"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124DB1">
        <w:rPr>
          <w:lang w:val="en-CA"/>
        </w:rPr>
        <w:t xml:space="preserve">at para. </w:t>
      </w:r>
      <w:proofErr w:type="gramStart"/>
      <w:r w:rsidRPr="00124DB1">
        <w:rPr>
          <w:lang w:val="en-CA"/>
        </w:rPr>
        <w:t>47</w:t>
      </w:r>
      <w:proofErr w:type="gramEnd"/>
      <w:r w:rsidRPr="00124DB1">
        <w:rPr>
          <w:lang w:val="en-CA"/>
        </w:rPr>
        <w:t xml:space="preserve">, combined with the Table attributing the delays, prepared by the </w:t>
      </w:r>
      <w:r>
        <w:rPr>
          <w:lang w:val="en-CA"/>
        </w:rPr>
        <w:t>City</w:t>
      </w:r>
      <w:r w:rsidRPr="00124DB1">
        <w:rPr>
          <w:lang w:val="en-CA"/>
        </w:rPr>
        <w:t>.</w:t>
      </w:r>
    </w:p>
  </w:footnote>
  <w:footnote w:id="48">
    <w:p w14:paraId="0C3C32F7"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77, para. 2(3) of the </w:t>
      </w:r>
      <w:r w:rsidRPr="00124DB1">
        <w:rPr>
          <w:i/>
          <w:lang w:val="en-CA"/>
        </w:rPr>
        <w:t>Charter</w:t>
      </w:r>
      <w:r w:rsidRPr="00124DB1">
        <w:rPr>
          <w:lang w:val="en-CA"/>
        </w:rPr>
        <w:t>.</w:t>
      </w:r>
    </w:p>
  </w:footnote>
  <w:footnote w:id="49">
    <w:p w14:paraId="7C7BE0D4" w14:textId="5893FE08"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Regulation respecting the handling of complaints and the procedure applicable to the investigations of the Commission des droits de la </w:t>
      </w:r>
      <w:proofErr w:type="spellStart"/>
      <w:r w:rsidRPr="00124DB1">
        <w:rPr>
          <w:i/>
          <w:lang w:val="en-CA"/>
        </w:rPr>
        <w:t>personne</w:t>
      </w:r>
      <w:proofErr w:type="spellEnd"/>
      <w:r w:rsidRPr="00124DB1">
        <w:rPr>
          <w:i/>
          <w:lang w:val="en-CA"/>
        </w:rPr>
        <w:t xml:space="preserve"> et des droits de la </w:t>
      </w:r>
      <w:proofErr w:type="spellStart"/>
      <w:r w:rsidRPr="00124DB1">
        <w:rPr>
          <w:i/>
          <w:lang w:val="en-CA"/>
        </w:rPr>
        <w:t>jeunesse</w:t>
      </w:r>
      <w:proofErr w:type="spellEnd"/>
      <w:r w:rsidRPr="00124DB1">
        <w:rPr>
          <w:lang w:val="en-CA"/>
        </w:rPr>
        <w:t>, c. C-12, r. 5 (“</w:t>
      </w:r>
      <w:r w:rsidRPr="00124DB1">
        <w:rPr>
          <w:i/>
          <w:lang w:val="en-CA"/>
        </w:rPr>
        <w:t>Regulation</w:t>
      </w:r>
      <w:r w:rsidRPr="00124DB1">
        <w:rPr>
          <w:lang w:val="en-CA"/>
        </w:rPr>
        <w:t>”), s. 7.</w:t>
      </w:r>
    </w:p>
  </w:footnote>
  <w:footnote w:id="50">
    <w:p w14:paraId="376D2093" w14:textId="1634247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Affidavit of Jean-François </w:t>
      </w:r>
      <w:proofErr w:type="spellStart"/>
      <w:r w:rsidRPr="00124DB1">
        <w:rPr>
          <w:lang w:val="en-CA"/>
        </w:rPr>
        <w:t>Trudel</w:t>
      </w:r>
      <w:proofErr w:type="spellEnd"/>
      <w:r w:rsidRPr="00124DB1">
        <w:rPr>
          <w:lang w:val="en-CA"/>
        </w:rPr>
        <w:t>, November 6, 2020, at para. 3.</w:t>
      </w:r>
    </w:p>
  </w:footnote>
  <w:footnote w:id="51">
    <w:p w14:paraId="70876F1B" w14:textId="1F87551C"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61 of the </w:t>
      </w:r>
      <w:r w:rsidRPr="00124DB1">
        <w:rPr>
          <w:i/>
          <w:lang w:val="en-CA"/>
        </w:rPr>
        <w:t>Charter</w:t>
      </w:r>
      <w:r w:rsidRPr="00124DB1">
        <w:rPr>
          <w:lang w:val="en-CA"/>
        </w:rPr>
        <w:t xml:space="preserve">. </w:t>
      </w:r>
    </w:p>
  </w:footnote>
  <w:footnote w:id="52">
    <w:p w14:paraId="16BE587F"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2 of the </w:t>
      </w:r>
      <w:r w:rsidRPr="00124DB1">
        <w:rPr>
          <w:i/>
          <w:lang w:val="en-CA"/>
        </w:rPr>
        <w:t>Regulation</w:t>
      </w:r>
      <w:r w:rsidRPr="00124DB1">
        <w:rPr>
          <w:lang w:val="en-CA"/>
        </w:rPr>
        <w:t>.</w:t>
      </w:r>
    </w:p>
  </w:footnote>
  <w:footnote w:id="53">
    <w:p w14:paraId="1F55B30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78 of the </w:t>
      </w:r>
      <w:r w:rsidRPr="00124DB1">
        <w:rPr>
          <w:i/>
          <w:lang w:val="en-CA"/>
        </w:rPr>
        <w:t>Charter</w:t>
      </w:r>
      <w:r w:rsidRPr="00124DB1">
        <w:rPr>
          <w:lang w:val="en-CA"/>
        </w:rPr>
        <w:t>.</w:t>
      </w:r>
    </w:p>
  </w:footnote>
  <w:footnote w:id="54">
    <w:p w14:paraId="35C160BE"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Section 80 of the </w:t>
      </w:r>
      <w:r w:rsidRPr="00124DB1">
        <w:rPr>
          <w:i/>
          <w:lang w:val="en-CA"/>
        </w:rPr>
        <w:t>Charter</w:t>
      </w:r>
      <w:r w:rsidRPr="00124DB1">
        <w:rPr>
          <w:lang w:val="en-CA"/>
        </w:rPr>
        <w:t>.</w:t>
      </w:r>
    </w:p>
  </w:footnote>
  <w:footnote w:id="55">
    <w:p w14:paraId="56A92D0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w:t>
      </w:r>
    </w:p>
  </w:footnote>
  <w:footnote w:id="56">
    <w:p w14:paraId="3330E40C"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See para. [105] of this judgment.</w:t>
      </w:r>
    </w:p>
  </w:footnote>
  <w:footnote w:id="57">
    <w:p w14:paraId="75A961E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Section 77, para. 2(1) of the Charter.</w:t>
      </w:r>
    </w:p>
  </w:footnote>
  <w:footnote w:id="58">
    <w:p w14:paraId="7E1E7219" w14:textId="17C02D88"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Nyembwe</w:t>
      </w:r>
      <w:proofErr w:type="spellEnd"/>
      <w:r w:rsidRPr="00124DB1">
        <w:rPr>
          <w:lang w:val="en-CA"/>
        </w:rPr>
        <w:t xml:space="preserve">, </w:t>
      </w:r>
      <w:r w:rsidRPr="00124DB1">
        <w:rPr>
          <w:i/>
          <w:lang w:val="en-CA"/>
        </w:rPr>
        <w:t>supra</w:t>
      </w:r>
      <w:r w:rsidRPr="00124DB1">
        <w:rPr>
          <w:lang w:val="en-CA"/>
        </w:rPr>
        <w:t xml:space="preserve"> note 41 at para. </w:t>
      </w:r>
      <w:proofErr w:type="gramStart"/>
      <w:r w:rsidRPr="00124DB1">
        <w:rPr>
          <w:lang w:val="en-CA"/>
        </w:rPr>
        <w:t>214</w:t>
      </w:r>
      <w:proofErr w:type="gramEnd"/>
      <w:r w:rsidRPr="00124DB1">
        <w:rPr>
          <w:lang w:val="en-CA"/>
        </w:rPr>
        <w:t xml:space="preserve">; </w:t>
      </w:r>
      <w:proofErr w:type="spellStart"/>
      <w:r w:rsidRPr="00124DB1">
        <w:rPr>
          <w:i/>
          <w:lang w:val="en-CA"/>
        </w:rPr>
        <w:t>Varin</w:t>
      </w:r>
      <w:proofErr w:type="spellEnd"/>
      <w:r w:rsidRPr="00124DB1">
        <w:rPr>
          <w:lang w:val="en-CA"/>
        </w:rPr>
        <w:t xml:space="preserve">, </w:t>
      </w:r>
      <w:r w:rsidRPr="00124DB1">
        <w:rPr>
          <w:i/>
          <w:lang w:val="en-CA"/>
        </w:rPr>
        <w:t>supra</w:t>
      </w:r>
      <w:r w:rsidRPr="00124DB1">
        <w:rPr>
          <w:lang w:val="en-CA"/>
        </w:rPr>
        <w:t xml:space="preserve"> note 42 at para. </w:t>
      </w:r>
      <w:r w:rsidRPr="00A34F57">
        <w:t>80.</w:t>
      </w:r>
    </w:p>
  </w:footnote>
  <w:footnote w:id="59">
    <w:p w14:paraId="710C217D" w14:textId="1E1671D0"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Commission des droits de la personne et des droits de la jeunesse (Bisson et autres) c. Ville de Montréal (SPVM)</w:t>
      </w:r>
      <w:r w:rsidRPr="00A34F57">
        <w:t>, 2021 QCTDP 3 [</w:t>
      </w:r>
      <w:r w:rsidRPr="00A34F57">
        <w:rPr>
          <w:i/>
        </w:rPr>
        <w:t>Bisson</w:t>
      </w:r>
      <w:r w:rsidRPr="00A34F57">
        <w:t xml:space="preserve">] at para. </w:t>
      </w:r>
      <w:r w:rsidRPr="00124DB1">
        <w:rPr>
          <w:lang w:val="en-CA"/>
        </w:rPr>
        <w:t>137.</w:t>
      </w:r>
    </w:p>
  </w:footnote>
  <w:footnote w:id="60">
    <w:p w14:paraId="796DB4B7" w14:textId="463B7834"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Blencoe</w:t>
      </w:r>
      <w:proofErr w:type="spellEnd"/>
      <w:r w:rsidRPr="00124DB1">
        <w:rPr>
          <w:lang w:val="en-CA"/>
        </w:rPr>
        <w:t xml:space="preserve">, </w:t>
      </w:r>
      <w:r w:rsidRPr="00124DB1">
        <w:rPr>
          <w:i/>
          <w:lang w:val="en-CA"/>
        </w:rPr>
        <w:t>supra</w:t>
      </w:r>
      <w:r w:rsidRPr="00124DB1">
        <w:rPr>
          <w:lang w:val="en-CA"/>
        </w:rPr>
        <w:t xml:space="preserve"> note 43 at para. 101.</w:t>
      </w:r>
    </w:p>
  </w:footnote>
  <w:footnote w:id="61">
    <w:p w14:paraId="00BAB783"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124DB1">
        <w:rPr>
          <w:lang w:val="en-CA"/>
        </w:rPr>
        <w:t>at paras. 101 and 115 (“</w:t>
      </w:r>
      <w:r w:rsidRPr="00124DB1">
        <w:rPr>
          <w:i/>
          <w:lang w:val="en-CA"/>
        </w:rPr>
        <w:t>important</w:t>
      </w:r>
      <w:r w:rsidRPr="00124DB1">
        <w:rPr>
          <w:lang w:val="en-CA"/>
        </w:rPr>
        <w:t>” in the French version of the judgment).</w:t>
      </w:r>
    </w:p>
  </w:footnote>
  <w:footnote w:id="62">
    <w:p w14:paraId="161EC6C7"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124DB1">
        <w:rPr>
          <w:lang w:val="en-CA"/>
        </w:rPr>
        <w:t xml:space="preserve">at para. </w:t>
      </w:r>
      <w:proofErr w:type="gramStart"/>
      <w:r w:rsidRPr="00124DB1">
        <w:rPr>
          <w:lang w:val="en-CA"/>
        </w:rPr>
        <w:t>133</w:t>
      </w:r>
      <w:proofErr w:type="gramEnd"/>
      <w:r w:rsidRPr="00124DB1">
        <w:rPr>
          <w:lang w:val="en-CA"/>
        </w:rPr>
        <w:t xml:space="preserve"> (“</w:t>
      </w:r>
      <w:proofErr w:type="spellStart"/>
      <w:r w:rsidRPr="00124DB1">
        <w:rPr>
          <w:i/>
          <w:lang w:val="en-CA"/>
        </w:rPr>
        <w:t>réel</w:t>
      </w:r>
      <w:proofErr w:type="spellEnd"/>
      <w:r w:rsidRPr="00124DB1">
        <w:rPr>
          <w:lang w:val="en-CA"/>
        </w:rPr>
        <w:t>” in the French version of the judgment).</w:t>
      </w:r>
    </w:p>
  </w:footnote>
  <w:footnote w:id="63">
    <w:p w14:paraId="35BC7DE3" w14:textId="36CC7171"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Toronto (City) v. C.U.P.E., Local 79</w:t>
      </w:r>
      <w:r w:rsidRPr="00124DB1">
        <w:rPr>
          <w:lang w:val="en-CA"/>
        </w:rPr>
        <w:t xml:space="preserve">, 2003 SCC 63 at para. </w:t>
      </w:r>
      <w:proofErr w:type="gramStart"/>
      <w:r w:rsidRPr="00124DB1">
        <w:rPr>
          <w:lang w:val="en-CA"/>
        </w:rPr>
        <w:t>36</w:t>
      </w:r>
      <w:proofErr w:type="gramEnd"/>
      <w:r w:rsidRPr="00124DB1">
        <w:rPr>
          <w:lang w:val="en-CA"/>
        </w:rPr>
        <w:t xml:space="preserve">; </w:t>
      </w:r>
      <w:proofErr w:type="spellStart"/>
      <w:r w:rsidRPr="00124DB1">
        <w:rPr>
          <w:i/>
          <w:lang w:val="en-CA"/>
        </w:rPr>
        <w:t>Behn</w:t>
      </w:r>
      <w:proofErr w:type="spellEnd"/>
      <w:r w:rsidRPr="00124DB1">
        <w:rPr>
          <w:i/>
          <w:lang w:val="en-CA"/>
        </w:rPr>
        <w:t xml:space="preserve"> v. Moulton Contracting Ltd</w:t>
      </w:r>
      <w:r w:rsidRPr="00124DB1">
        <w:rPr>
          <w:lang w:val="en-CA"/>
        </w:rPr>
        <w:t xml:space="preserve">., 2013 SCC 26 at para. </w:t>
      </w:r>
      <w:proofErr w:type="gramStart"/>
      <w:r w:rsidRPr="00124DB1">
        <w:rPr>
          <w:lang w:val="en-CA"/>
        </w:rPr>
        <w:t>41</w:t>
      </w:r>
      <w:proofErr w:type="gramEnd"/>
      <w:r w:rsidRPr="00124DB1">
        <w:rPr>
          <w:lang w:val="en-CA"/>
        </w:rPr>
        <w:t xml:space="preserve"> (“</w:t>
      </w:r>
      <w:r w:rsidRPr="00124DB1">
        <w:rPr>
          <w:i/>
          <w:lang w:val="en-CA"/>
        </w:rPr>
        <w:t>grave</w:t>
      </w:r>
      <w:r w:rsidRPr="00124DB1">
        <w:rPr>
          <w:lang w:val="en-CA"/>
        </w:rPr>
        <w:t>” in the French versions of these two judgments).</w:t>
      </w:r>
    </w:p>
  </w:footnote>
  <w:footnote w:id="64">
    <w:p w14:paraId="1B363849" w14:textId="69B1EB92"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Donaldson c. </w:t>
      </w:r>
      <w:proofErr w:type="spellStart"/>
      <w:r w:rsidRPr="00124DB1">
        <w:rPr>
          <w:i/>
          <w:lang w:val="en-CA"/>
        </w:rPr>
        <w:t>Autorité</w:t>
      </w:r>
      <w:proofErr w:type="spellEnd"/>
      <w:r w:rsidRPr="00124DB1">
        <w:rPr>
          <w:i/>
          <w:lang w:val="en-CA"/>
        </w:rPr>
        <w:t xml:space="preserve"> des </w:t>
      </w:r>
      <w:proofErr w:type="spellStart"/>
      <w:r w:rsidRPr="00124DB1">
        <w:rPr>
          <w:i/>
          <w:lang w:val="en-CA"/>
        </w:rPr>
        <w:t>marchés</w:t>
      </w:r>
      <w:proofErr w:type="spellEnd"/>
      <w:r w:rsidRPr="00124DB1">
        <w:rPr>
          <w:i/>
          <w:lang w:val="en-CA"/>
        </w:rPr>
        <w:t xml:space="preserve"> financiers</w:t>
      </w:r>
      <w:r w:rsidRPr="00124DB1">
        <w:rPr>
          <w:lang w:val="en-CA"/>
        </w:rPr>
        <w:t>, 2020 QCCA 401 (leave to appeal to SCC refused, 39158 (10 December 2020) at para. 53.</w:t>
      </w:r>
    </w:p>
  </w:footnote>
  <w:footnote w:id="65">
    <w:p w14:paraId="0A19F6FB" w14:textId="51775100"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A34F57">
        <w:rPr>
          <w:i/>
          <w:u w:val="single"/>
          <w:lang w:val="en-CA"/>
        </w:rPr>
        <w:t>Re-re-amended …</w:t>
      </w:r>
      <w:r w:rsidRPr="00124DB1">
        <w:rPr>
          <w:i/>
          <w:lang w:val="en-CA"/>
        </w:rPr>
        <w:t xml:space="preserve"> application to dismiss the proceeding due to abusive and prejudicial delays</w:t>
      </w:r>
      <w:r w:rsidRPr="00124DB1">
        <w:rPr>
          <w:lang w:val="en-CA"/>
        </w:rPr>
        <w:t>, February 5, 2021, at paras. 53 and 54.</w:t>
      </w:r>
    </w:p>
  </w:footnote>
  <w:footnote w:id="66">
    <w:p w14:paraId="21249FFA" w14:textId="472CF670"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Nyembwe</w:t>
      </w:r>
      <w:proofErr w:type="spellEnd"/>
      <w:r w:rsidRPr="00124DB1">
        <w:rPr>
          <w:lang w:val="en-CA"/>
        </w:rPr>
        <w:t xml:space="preserve">, </w:t>
      </w:r>
      <w:r w:rsidRPr="00124DB1">
        <w:rPr>
          <w:i/>
          <w:lang w:val="en-CA"/>
        </w:rPr>
        <w:t>supra</w:t>
      </w:r>
      <w:r w:rsidRPr="00124DB1">
        <w:rPr>
          <w:lang w:val="en-CA"/>
        </w:rPr>
        <w:t xml:space="preserve"> note 41 at para. </w:t>
      </w:r>
      <w:proofErr w:type="gramStart"/>
      <w:r w:rsidRPr="00124DB1">
        <w:rPr>
          <w:lang w:val="en-CA"/>
        </w:rPr>
        <w:t>244</w:t>
      </w:r>
      <w:proofErr w:type="gramEnd"/>
      <w:r w:rsidRPr="00124DB1">
        <w:rPr>
          <w:lang w:val="en-CA"/>
        </w:rPr>
        <w:t xml:space="preserve">; </w:t>
      </w:r>
      <w:r w:rsidRPr="00124DB1">
        <w:rPr>
          <w:i/>
          <w:lang w:val="en-CA"/>
        </w:rPr>
        <w:t>LeBlanc v. Dan’s Hardware et al</w:t>
      </w:r>
      <w:r w:rsidRPr="00124DB1">
        <w:rPr>
          <w:lang w:val="en-CA"/>
        </w:rPr>
        <w:t xml:space="preserve">., 2001 BCHRT 32 at para. </w:t>
      </w:r>
      <w:proofErr w:type="gramStart"/>
      <w:r w:rsidRPr="00124DB1">
        <w:rPr>
          <w:lang w:val="en-CA"/>
        </w:rPr>
        <w:t>118</w:t>
      </w:r>
      <w:proofErr w:type="gramEnd"/>
      <w:r w:rsidRPr="00124DB1">
        <w:rPr>
          <w:lang w:val="en-CA"/>
        </w:rPr>
        <w:t xml:space="preserve">: “Memories do fade, especially when the hearing occurs some five years after the alleged incident.  However, in such cases, </w:t>
      </w:r>
      <w:r w:rsidRPr="00124DB1">
        <w:rPr>
          <w:u w:val="single"/>
          <w:lang w:val="en-CA"/>
        </w:rPr>
        <w:t>the parties have some obligation to preserve their memories and those of their witnesses</w:t>
      </w:r>
      <w:r w:rsidRPr="00124DB1">
        <w:rPr>
          <w:lang w:val="en-CA"/>
        </w:rPr>
        <w:t xml:space="preserve">” [emphasis added]. In </w:t>
      </w:r>
      <w:r w:rsidRPr="00124DB1">
        <w:rPr>
          <w:i/>
          <w:lang w:val="en-CA"/>
        </w:rPr>
        <w:t xml:space="preserve">Jacques c. Ultramar </w:t>
      </w:r>
      <w:proofErr w:type="spellStart"/>
      <w:r w:rsidRPr="00124DB1">
        <w:rPr>
          <w:i/>
          <w:lang w:val="en-CA"/>
        </w:rPr>
        <w:t>ltée</w:t>
      </w:r>
      <w:proofErr w:type="spellEnd"/>
      <w:r w:rsidRPr="00124DB1">
        <w:rPr>
          <w:lang w:val="en-CA"/>
        </w:rPr>
        <w:t xml:space="preserve">, 2011 QCCS 6020, the Superior Court – per Dominique Bélanger, J. as she then was – agreed, in para. </w:t>
      </w:r>
      <w:proofErr w:type="gramStart"/>
      <w:r w:rsidRPr="00124DB1">
        <w:rPr>
          <w:lang w:val="en-CA"/>
        </w:rPr>
        <w:t>20</w:t>
      </w:r>
      <w:proofErr w:type="gramEnd"/>
      <w:r w:rsidRPr="00124DB1">
        <w:rPr>
          <w:lang w:val="en-CA"/>
        </w:rPr>
        <w:t>, [</w:t>
      </w:r>
      <w:r w:rsidRPr="00124DB1">
        <w:rPr>
          <w:smallCaps/>
          <w:lang w:val="en-CA"/>
        </w:rPr>
        <w:t>translation</w:t>
      </w:r>
      <w:r w:rsidRPr="00124DB1">
        <w:rPr>
          <w:lang w:val="en-CA"/>
        </w:rPr>
        <w:t>] “that there is in Quebec an implicit duty to preserve evidence based on the requirement of good faith”.</w:t>
      </w:r>
    </w:p>
  </w:footnote>
  <w:footnote w:id="67">
    <w:p w14:paraId="1519F46B" w14:textId="2A70E16A"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rPr>
          <w:i/>
        </w:rPr>
        <w:t>DeBellefeuille</w:t>
      </w:r>
      <w:proofErr w:type="spellEnd"/>
      <w:r w:rsidRPr="00A34F57">
        <w:t xml:space="preserve">, </w:t>
      </w:r>
      <w:r w:rsidRPr="00A34F57">
        <w:rPr>
          <w:i/>
        </w:rPr>
        <w:t>supra</w:t>
      </w:r>
      <w:r w:rsidRPr="00A34F57">
        <w:t xml:space="preserve"> note 45 at para. 84.</w:t>
      </w:r>
    </w:p>
  </w:footnote>
  <w:footnote w:id="68">
    <w:p w14:paraId="1FC261FF" w14:textId="3821E0D5"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Commission des droits de la personne et des droits de la jeunesse (Miller et autres) c. Ville de Montréal (Service de police de la Ville de Montréal) (SPVM)</w:t>
      </w:r>
      <w:r w:rsidRPr="00A34F57">
        <w:t xml:space="preserve">, 2019 QCTDP 31 at para. </w:t>
      </w:r>
      <w:proofErr w:type="gramStart"/>
      <w:r w:rsidRPr="00124DB1">
        <w:rPr>
          <w:lang w:val="en-CA"/>
        </w:rPr>
        <w:t>547</w:t>
      </w:r>
      <w:proofErr w:type="gramEnd"/>
      <w:r w:rsidRPr="00124DB1">
        <w:rPr>
          <w:lang w:val="en-CA"/>
        </w:rPr>
        <w:t xml:space="preserve">; </w:t>
      </w:r>
      <w:proofErr w:type="spellStart"/>
      <w:r w:rsidRPr="00124DB1">
        <w:rPr>
          <w:i/>
          <w:lang w:val="en-CA"/>
        </w:rPr>
        <w:t>Nyembwe</w:t>
      </w:r>
      <w:proofErr w:type="spellEnd"/>
      <w:r w:rsidRPr="00124DB1">
        <w:rPr>
          <w:lang w:val="en-CA"/>
        </w:rPr>
        <w:t xml:space="preserve">, </w:t>
      </w:r>
      <w:r w:rsidRPr="00124DB1">
        <w:rPr>
          <w:i/>
          <w:lang w:val="en-CA"/>
        </w:rPr>
        <w:t>supra</w:t>
      </w:r>
      <w:r w:rsidRPr="00124DB1">
        <w:rPr>
          <w:lang w:val="en-CA"/>
        </w:rPr>
        <w:t xml:space="preserve"> note 41 at para. 256: [</w:t>
      </w:r>
      <w:r w:rsidRPr="00124DB1">
        <w:rPr>
          <w:smallCaps/>
          <w:lang w:val="en-CA"/>
        </w:rPr>
        <w:t>translation</w:t>
      </w:r>
      <w:r w:rsidRPr="00124DB1">
        <w:rPr>
          <w:lang w:val="en-CA"/>
        </w:rPr>
        <w:t>] “</w:t>
      </w:r>
      <w:r w:rsidRPr="00A34F57">
        <w:rPr>
          <w:rFonts w:cs="Arial"/>
          <w:color w:val="000000"/>
          <w:lang w:val="en-CA"/>
        </w:rPr>
        <w:t>Since the burden of proof in civil matters is that of the balance of probabilities, our system admits that there may exist some incertitude with respect to the facts grounding a judgment, and it does not make much of this uncertainty.</w:t>
      </w:r>
      <w:r w:rsidRPr="00124DB1">
        <w:rPr>
          <w:lang w:val="en-CA"/>
        </w:rPr>
        <w:t>” [</w:t>
      </w:r>
      <w:proofErr w:type="gramStart"/>
      <w:r w:rsidRPr="00124DB1">
        <w:rPr>
          <w:lang w:val="en-CA"/>
        </w:rPr>
        <w:t>citations</w:t>
      </w:r>
      <w:proofErr w:type="gramEnd"/>
      <w:r w:rsidRPr="00124DB1">
        <w:rPr>
          <w:lang w:val="en-CA"/>
        </w:rPr>
        <w:t xml:space="preserve"> omitted].</w:t>
      </w:r>
    </w:p>
  </w:footnote>
  <w:footnote w:id="69">
    <w:p w14:paraId="7F364528" w14:textId="78A9D9F3" w:rsidR="006F54DF" w:rsidRPr="00124DB1" w:rsidRDefault="006F54DF" w:rsidP="00507A20">
      <w:pPr>
        <w:pStyle w:val="Notedebasdepage"/>
        <w:rPr>
          <w:lang w:val="en-CA"/>
        </w:rPr>
      </w:pPr>
      <w:r w:rsidRPr="00124DB1">
        <w:rPr>
          <w:rStyle w:val="Appelnotedebasdep"/>
          <w:lang w:val="en-CA"/>
        </w:rPr>
        <w:footnoteRef/>
      </w:r>
      <w:r w:rsidRPr="00D90D2A">
        <w:rPr>
          <w:lang w:val="en-CA"/>
        </w:rPr>
        <w:t xml:space="preserve"> </w:t>
      </w:r>
      <w:r w:rsidRPr="00D90D2A">
        <w:rPr>
          <w:lang w:val="en-CA"/>
        </w:rPr>
        <w:tab/>
      </w:r>
      <w:proofErr w:type="spellStart"/>
      <w:r w:rsidRPr="00D90D2A">
        <w:rPr>
          <w:i/>
          <w:lang w:val="en-CA"/>
        </w:rPr>
        <w:t>DeBellefeuille</w:t>
      </w:r>
      <w:proofErr w:type="spellEnd"/>
      <w:r w:rsidRPr="00D90D2A">
        <w:rPr>
          <w:lang w:val="en-CA"/>
        </w:rPr>
        <w:t xml:space="preserve">, </w:t>
      </w:r>
      <w:r w:rsidRPr="00D90D2A">
        <w:rPr>
          <w:i/>
          <w:lang w:val="en-CA"/>
        </w:rPr>
        <w:t>supra</w:t>
      </w:r>
      <w:r w:rsidRPr="00D90D2A">
        <w:rPr>
          <w:lang w:val="en-CA"/>
        </w:rPr>
        <w:t xml:space="preserve"> note 45 at paras. </w:t>
      </w:r>
      <w:r w:rsidRPr="00124DB1">
        <w:rPr>
          <w:lang w:val="en-CA"/>
        </w:rPr>
        <w:t>84 and 85.</w:t>
      </w:r>
    </w:p>
  </w:footnote>
  <w:footnote w:id="70">
    <w:p w14:paraId="60080158" w14:textId="68A95CE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A34F57">
        <w:rPr>
          <w:i/>
          <w:u w:val="single"/>
          <w:lang w:val="en-CA"/>
        </w:rPr>
        <w:t>Re-re-amended …</w:t>
      </w:r>
      <w:r w:rsidRPr="00124DB1">
        <w:rPr>
          <w:i/>
          <w:lang w:val="en-CA"/>
        </w:rPr>
        <w:t xml:space="preserve"> application to dismiss the proceeding due to abusive and prejudicial delays</w:t>
      </w:r>
      <w:r w:rsidRPr="00124DB1">
        <w:rPr>
          <w:lang w:val="en-CA"/>
        </w:rPr>
        <w:t xml:space="preserve">, February 5, 2021, at paras. 54.3 </w:t>
      </w:r>
      <w:proofErr w:type="gramStart"/>
      <w:r w:rsidRPr="00124DB1">
        <w:rPr>
          <w:lang w:val="en-CA"/>
        </w:rPr>
        <w:t>and</w:t>
      </w:r>
      <w:proofErr w:type="gramEnd"/>
      <w:r w:rsidRPr="00124DB1">
        <w:rPr>
          <w:lang w:val="en-CA"/>
        </w:rPr>
        <w:t xml:space="preserve"> 54.4.</w:t>
      </w:r>
    </w:p>
  </w:footnote>
  <w:footnote w:id="71">
    <w:p w14:paraId="2E2889E0" w14:textId="2D6BDE79" w:rsidR="006F54DF" w:rsidRPr="00124DB1" w:rsidRDefault="006F54DF">
      <w:pPr>
        <w:pStyle w:val="Notedebasdepage"/>
        <w:rPr>
          <w:lang w:val="en-CA"/>
        </w:rPr>
      </w:pPr>
      <w:r w:rsidRPr="00124DB1">
        <w:rPr>
          <w:rStyle w:val="Appelnotedebasdep"/>
          <w:lang w:val="en-CA"/>
        </w:rPr>
        <w:footnoteRef/>
      </w:r>
      <w:r w:rsidRPr="00A34F57">
        <w:rPr>
          <w:lang w:val="en-CA"/>
        </w:rPr>
        <w:t xml:space="preserve"> </w:t>
      </w:r>
      <w:r w:rsidRPr="00A34F57">
        <w:rPr>
          <w:lang w:val="en-CA"/>
        </w:rPr>
        <w:tab/>
        <w:t xml:space="preserve">Jean-Claude Royer, </w:t>
      </w:r>
      <w:r w:rsidRPr="00A34F57">
        <w:rPr>
          <w:i/>
          <w:lang w:val="en-CA"/>
        </w:rPr>
        <w:t xml:space="preserve">La </w:t>
      </w:r>
      <w:proofErr w:type="spellStart"/>
      <w:r w:rsidRPr="00A34F57">
        <w:rPr>
          <w:i/>
          <w:lang w:val="en-CA"/>
        </w:rPr>
        <w:t>preuve</w:t>
      </w:r>
      <w:proofErr w:type="spellEnd"/>
      <w:r w:rsidRPr="00A34F57">
        <w:rPr>
          <w:i/>
          <w:lang w:val="en-CA"/>
        </w:rPr>
        <w:t xml:space="preserve"> </w:t>
      </w:r>
      <w:proofErr w:type="spellStart"/>
      <w:r w:rsidRPr="00A34F57">
        <w:rPr>
          <w:i/>
          <w:lang w:val="en-CA"/>
        </w:rPr>
        <w:t>civile</w:t>
      </w:r>
      <w:proofErr w:type="spellEnd"/>
      <w:r w:rsidRPr="00A34F57">
        <w:rPr>
          <w:lang w:val="en-CA"/>
        </w:rPr>
        <w:t xml:space="preserve">, 6th ed. </w:t>
      </w:r>
      <w:r w:rsidRPr="00124DB1">
        <w:rPr>
          <w:lang w:val="en-CA"/>
        </w:rPr>
        <w:t xml:space="preserve">by Catherine </w:t>
      </w:r>
      <w:proofErr w:type="spellStart"/>
      <w:r w:rsidRPr="00124DB1">
        <w:rPr>
          <w:lang w:val="en-CA"/>
        </w:rPr>
        <w:t>Piché</w:t>
      </w:r>
      <w:proofErr w:type="spellEnd"/>
      <w:r w:rsidRPr="00124DB1">
        <w:rPr>
          <w:lang w:val="en-CA"/>
        </w:rPr>
        <w:t xml:space="preserve"> (Montreal: </w:t>
      </w:r>
      <w:proofErr w:type="spellStart"/>
      <w:r w:rsidRPr="00124DB1">
        <w:rPr>
          <w:lang w:val="en-CA"/>
        </w:rPr>
        <w:t>Yvon</w:t>
      </w:r>
      <w:proofErr w:type="spellEnd"/>
      <w:r w:rsidRPr="00124DB1">
        <w:rPr>
          <w:lang w:val="en-CA"/>
        </w:rPr>
        <w:t xml:space="preserve"> Blais, 2020) Title II, chapter VI. </w:t>
      </w:r>
    </w:p>
  </w:footnote>
  <w:footnote w:id="72">
    <w:p w14:paraId="643E2858" w14:textId="5AA3EE3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Faublas</w:t>
      </w:r>
      <w:proofErr w:type="spellEnd"/>
      <w:r w:rsidRPr="00124DB1">
        <w:rPr>
          <w:lang w:val="en-CA"/>
        </w:rPr>
        <w:t xml:space="preserve">, </w:t>
      </w:r>
      <w:r w:rsidRPr="00124DB1">
        <w:rPr>
          <w:i/>
          <w:lang w:val="en-CA"/>
        </w:rPr>
        <w:t>supra</w:t>
      </w:r>
      <w:r w:rsidRPr="00124DB1">
        <w:rPr>
          <w:lang w:val="en-CA"/>
        </w:rPr>
        <w:t xml:space="preserve"> note 42 at para. </w:t>
      </w:r>
      <w:proofErr w:type="gramStart"/>
      <w:r w:rsidRPr="00124DB1">
        <w:rPr>
          <w:lang w:val="en-CA"/>
        </w:rPr>
        <w:t>41</w:t>
      </w:r>
      <w:proofErr w:type="gramEnd"/>
      <w:r w:rsidRPr="00124DB1">
        <w:rPr>
          <w:lang w:val="en-CA"/>
        </w:rPr>
        <w:t>;</w:t>
      </w:r>
      <w:r w:rsidRPr="00124DB1">
        <w:rPr>
          <w:i/>
          <w:lang w:val="en-CA"/>
        </w:rPr>
        <w:t xml:space="preserve"> </w:t>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82.</w:t>
      </w:r>
    </w:p>
  </w:footnote>
  <w:footnote w:id="73">
    <w:p w14:paraId="3F9EAD3B" w14:textId="2CA5D363"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A34F57">
        <w:rPr>
          <w:i/>
          <w:u w:val="single"/>
          <w:lang w:val="en-CA"/>
        </w:rPr>
        <w:t xml:space="preserve">Re-re-amended… </w:t>
      </w:r>
      <w:r w:rsidRPr="00124DB1">
        <w:rPr>
          <w:i/>
          <w:lang w:val="en-CA"/>
        </w:rPr>
        <w:t>application to dismiss the proceeding due to abusive and prejudicial delay</w:t>
      </w:r>
      <w:r w:rsidRPr="00124DB1">
        <w:rPr>
          <w:lang w:val="en-CA"/>
        </w:rPr>
        <w:t xml:space="preserve">, February 5, 2021, at para. </w:t>
      </w:r>
      <w:r w:rsidRPr="00A34F57">
        <w:t>55.</w:t>
      </w:r>
    </w:p>
  </w:footnote>
  <w:footnote w:id="74">
    <w:p w14:paraId="4568948A" w14:textId="77777777" w:rsidR="006F54DF" w:rsidRPr="00A34F57" w:rsidRDefault="006F54DF">
      <w:pPr>
        <w:pStyle w:val="Notedebasdepage"/>
      </w:pPr>
      <w:r w:rsidRPr="00124DB1">
        <w:rPr>
          <w:rStyle w:val="Appelnotedebasdep"/>
          <w:lang w:val="en-CA"/>
        </w:rPr>
        <w:footnoteRef/>
      </w:r>
      <w:r w:rsidRPr="00A34F57">
        <w:t xml:space="preserve"> </w:t>
      </w:r>
      <w:r w:rsidRPr="00A34F57">
        <w:tab/>
        <w:t>2006 QCTDP 11.</w:t>
      </w:r>
    </w:p>
  </w:footnote>
  <w:footnote w:id="75">
    <w:p w14:paraId="58173F62" w14:textId="77777777"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Ibid</w:t>
      </w:r>
      <w:r w:rsidRPr="00A34F57">
        <w:t>. at para. 74</w:t>
      </w:r>
    </w:p>
  </w:footnote>
  <w:footnote w:id="76">
    <w:p w14:paraId="0EE776DC" w14:textId="6B69B718"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 xml:space="preserve">Commission des droits de la personne et des droits de la jeunesse (Chiquette et une autre) c. Manoir Archer </w:t>
      </w:r>
      <w:proofErr w:type="spellStart"/>
      <w:r w:rsidRPr="00A34F57">
        <w:rPr>
          <w:i/>
        </w:rPr>
        <w:t>inc</w:t>
      </w:r>
      <w:r w:rsidRPr="00A34F57">
        <w:t>.</w:t>
      </w:r>
      <w:proofErr w:type="spellEnd"/>
      <w:r w:rsidRPr="00A34F57">
        <w:t xml:space="preserve">, 2009 QCTDP 14, </w:t>
      </w:r>
      <w:proofErr w:type="spellStart"/>
      <w:r w:rsidRPr="00A34F57">
        <w:t>rev’d</w:t>
      </w:r>
      <w:proofErr w:type="spellEnd"/>
      <w:r w:rsidRPr="00A34F57">
        <w:t xml:space="preserve"> 2010 QCCS 4410 and 2012 QCCA 343 [</w:t>
      </w:r>
      <w:r w:rsidRPr="00A34F57">
        <w:rPr>
          <w:i/>
        </w:rPr>
        <w:t>Manoir Archer</w:t>
      </w:r>
      <w:r w:rsidRPr="00A34F57">
        <w:t>].</w:t>
      </w:r>
    </w:p>
  </w:footnote>
  <w:footnote w:id="77">
    <w:p w14:paraId="60C78ABF"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91.</w:t>
      </w:r>
    </w:p>
  </w:footnote>
  <w:footnote w:id="78">
    <w:p w14:paraId="62229D66" w14:textId="77777777"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 </w:t>
      </w:r>
      <w:r w:rsidRPr="00A34F57">
        <w:t>92.</w:t>
      </w:r>
    </w:p>
  </w:footnote>
  <w:footnote w:id="79">
    <w:p w14:paraId="64FD2DFD" w14:textId="77777777"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 xml:space="preserve">Commission des droits de la personne et des droits de la jeunesse c. Manoir Archer </w:t>
      </w:r>
      <w:proofErr w:type="spellStart"/>
      <w:r w:rsidRPr="00A34F57">
        <w:rPr>
          <w:i/>
        </w:rPr>
        <w:t>inc</w:t>
      </w:r>
      <w:r w:rsidRPr="00A34F57">
        <w:t>.</w:t>
      </w:r>
      <w:proofErr w:type="spellEnd"/>
      <w:r w:rsidRPr="00A34F57">
        <w:t xml:space="preserve">, 2012 QCCA 343 at para. </w:t>
      </w:r>
      <w:r w:rsidRPr="00124DB1">
        <w:rPr>
          <w:lang w:val="en-CA"/>
        </w:rPr>
        <w:t>18.</w:t>
      </w:r>
    </w:p>
  </w:footnote>
  <w:footnote w:id="80">
    <w:p w14:paraId="5FDA3E3E" w14:textId="4232CBD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Bisson</w:t>
      </w:r>
      <w:proofErr w:type="spellEnd"/>
      <w:r w:rsidRPr="00124DB1">
        <w:rPr>
          <w:lang w:val="en-CA"/>
        </w:rPr>
        <w:t xml:space="preserve">, </w:t>
      </w:r>
      <w:r w:rsidRPr="00124DB1">
        <w:rPr>
          <w:i/>
          <w:lang w:val="en-CA"/>
        </w:rPr>
        <w:t>supra</w:t>
      </w:r>
      <w:r w:rsidRPr="00124DB1">
        <w:rPr>
          <w:lang w:val="en-CA"/>
        </w:rPr>
        <w:t xml:space="preserve"> note 59 at para. </w:t>
      </w:r>
      <w:proofErr w:type="gramStart"/>
      <w:r w:rsidRPr="00124DB1">
        <w:rPr>
          <w:lang w:val="en-CA"/>
        </w:rPr>
        <w:t>163</w:t>
      </w:r>
      <w:proofErr w:type="gramEnd"/>
      <w:r w:rsidRPr="00124DB1">
        <w:rPr>
          <w:lang w:val="en-CA"/>
        </w:rPr>
        <w:t xml:space="preserve"> [citations omitted]. </w:t>
      </w:r>
    </w:p>
  </w:footnote>
  <w:footnote w:id="81">
    <w:p w14:paraId="5292A99D"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2019 QCTDP 17.</w:t>
      </w:r>
    </w:p>
  </w:footnote>
  <w:footnote w:id="82">
    <w:p w14:paraId="5F81C4C0"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127.</w:t>
      </w:r>
    </w:p>
  </w:footnote>
  <w:footnote w:id="83">
    <w:p w14:paraId="1065D5FD"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Supra </w:t>
      </w:r>
      <w:r w:rsidRPr="00124DB1">
        <w:rPr>
          <w:lang w:val="en-CA"/>
        </w:rPr>
        <w:t>note 68.</w:t>
      </w:r>
    </w:p>
  </w:footnote>
  <w:footnote w:id="84">
    <w:p w14:paraId="2DCF156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550.</w:t>
      </w:r>
    </w:p>
  </w:footnote>
  <w:footnote w:id="85">
    <w:p w14:paraId="7C7465EE"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552.</w:t>
      </w:r>
    </w:p>
  </w:footnote>
  <w:footnote w:id="86">
    <w:p w14:paraId="18775C0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paras. 569 and 570.</w:t>
      </w:r>
    </w:p>
  </w:footnote>
  <w:footnote w:id="87">
    <w:p w14:paraId="3612B9C9" w14:textId="5F1D2C0D"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gramStart"/>
      <w:r w:rsidRPr="00124DB1">
        <w:rPr>
          <w:lang w:val="en-CA"/>
        </w:rPr>
        <w:t>2020</w:t>
      </w:r>
      <w:proofErr w:type="gramEnd"/>
      <w:r w:rsidRPr="00124DB1">
        <w:rPr>
          <w:lang w:val="en-CA"/>
        </w:rPr>
        <w:t xml:space="preserve"> QCTDP 22, leave to appeal granted, 2021 QCCA 495.</w:t>
      </w:r>
    </w:p>
  </w:footnote>
  <w:footnote w:id="88">
    <w:p w14:paraId="076E18CF"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139.</w:t>
      </w:r>
    </w:p>
  </w:footnote>
  <w:footnote w:id="89">
    <w:p w14:paraId="25BA66F0"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paras. 48 and 136.</w:t>
      </w:r>
    </w:p>
  </w:footnote>
  <w:footnote w:id="90">
    <w:p w14:paraId="7B0BBF54"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paras. 146 and 162.</w:t>
      </w:r>
    </w:p>
  </w:footnote>
  <w:footnote w:id="91">
    <w:p w14:paraId="0CB7F7EC" w14:textId="77777777"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Commission des droits de la personne et des droits de la jeunesse c. Procureur général du Québec (Sûreté du Québec)</w:t>
      </w:r>
      <w:r w:rsidRPr="00A34F57">
        <w:t>, 2021 QCCA 495 at para. 12.</w:t>
      </w:r>
    </w:p>
  </w:footnote>
  <w:footnote w:id="92">
    <w:p w14:paraId="08AEDCB3" w14:textId="40E452AC"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proofErr w:type="spellStart"/>
      <w:r w:rsidRPr="00A34F57">
        <w:rPr>
          <w:i/>
        </w:rPr>
        <w:t>Donaldson</w:t>
      </w:r>
      <w:proofErr w:type="spellEnd"/>
      <w:r w:rsidRPr="00A34F57">
        <w:rPr>
          <w:i/>
        </w:rPr>
        <w:t xml:space="preserve"> c. Autorité des marchés financiers</w:t>
      </w:r>
      <w:r w:rsidRPr="00A34F57">
        <w:t xml:space="preserve">, </w:t>
      </w:r>
      <w:r w:rsidRPr="00A34F57">
        <w:rPr>
          <w:i/>
        </w:rPr>
        <w:t>supra</w:t>
      </w:r>
      <w:r w:rsidRPr="00A34F57">
        <w:t xml:space="preserve"> note 64 at paras. </w:t>
      </w:r>
      <w:r w:rsidRPr="00124DB1">
        <w:rPr>
          <w:lang w:val="en-CA"/>
        </w:rPr>
        <w:t>66 and 67.</w:t>
      </w:r>
    </w:p>
  </w:footnote>
  <w:footnote w:id="93">
    <w:p w14:paraId="375568D7" w14:textId="4E754B4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At the time of writing, the Supreme Court of Canada had been deliberating since November 8, 2021, in </w:t>
      </w:r>
      <w:r w:rsidRPr="00124DB1">
        <w:rPr>
          <w:i/>
          <w:lang w:val="en-CA"/>
        </w:rPr>
        <w:t xml:space="preserve">Law Society of Saskatchewan v. Peter V. </w:t>
      </w:r>
      <w:proofErr w:type="spellStart"/>
      <w:r w:rsidRPr="00124DB1">
        <w:rPr>
          <w:i/>
          <w:lang w:val="en-CA"/>
        </w:rPr>
        <w:t>Abrametz</w:t>
      </w:r>
      <w:proofErr w:type="spellEnd"/>
      <w:r w:rsidRPr="00124DB1">
        <w:rPr>
          <w:i/>
          <w:lang w:val="en-CA"/>
        </w:rPr>
        <w:t xml:space="preserve"> </w:t>
      </w:r>
      <w:r w:rsidRPr="00124DB1">
        <w:rPr>
          <w:lang w:val="en-CA"/>
        </w:rPr>
        <w:t xml:space="preserve">(file No. 39340). The principles in </w:t>
      </w:r>
      <w:proofErr w:type="spellStart"/>
      <w:r w:rsidRPr="00124DB1">
        <w:rPr>
          <w:i/>
          <w:lang w:val="en-CA"/>
        </w:rPr>
        <w:t>Blencoe</w:t>
      </w:r>
      <w:proofErr w:type="spellEnd"/>
      <w:r w:rsidRPr="00124DB1">
        <w:rPr>
          <w:i/>
          <w:lang w:val="en-CA"/>
        </w:rPr>
        <w:t xml:space="preserve"> </w:t>
      </w:r>
      <w:r w:rsidRPr="00124DB1">
        <w:rPr>
          <w:lang w:val="en-CA"/>
        </w:rPr>
        <w:t xml:space="preserve">are at the heart of the judgment appealed before the Court: </w:t>
      </w:r>
      <w:proofErr w:type="spellStart"/>
      <w:r w:rsidRPr="00124DB1">
        <w:rPr>
          <w:i/>
          <w:lang w:val="en-CA"/>
        </w:rPr>
        <w:t>Abrametz</w:t>
      </w:r>
      <w:proofErr w:type="spellEnd"/>
      <w:r w:rsidRPr="00124DB1">
        <w:rPr>
          <w:i/>
          <w:lang w:val="en-CA"/>
        </w:rPr>
        <w:t xml:space="preserve"> v. Law Society of Saskatchewan</w:t>
      </w:r>
      <w:r w:rsidRPr="00124DB1">
        <w:rPr>
          <w:lang w:val="en-CA"/>
        </w:rPr>
        <w:t xml:space="preserve">, 2020 SKCA 81. </w:t>
      </w:r>
    </w:p>
  </w:footnote>
  <w:footnote w:id="94">
    <w:p w14:paraId="62A3C137" w14:textId="204C74DE"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98.</w:t>
      </w:r>
    </w:p>
  </w:footnote>
  <w:footnote w:id="95">
    <w:p w14:paraId="3F385544" w14:textId="35E27408"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A34F57">
        <w:rPr>
          <w:i/>
          <w:lang w:val="en-CA"/>
        </w:rPr>
        <w:t>Nyembwe</w:t>
      </w:r>
      <w:proofErr w:type="spellEnd"/>
      <w:r w:rsidRPr="00124DB1">
        <w:rPr>
          <w:lang w:val="en-CA"/>
        </w:rPr>
        <w:t xml:space="preserve">, </w:t>
      </w:r>
      <w:r w:rsidRPr="00124DB1">
        <w:rPr>
          <w:i/>
          <w:lang w:val="en-CA"/>
        </w:rPr>
        <w:t>supra</w:t>
      </w:r>
      <w:r w:rsidRPr="00124DB1">
        <w:rPr>
          <w:lang w:val="en-CA"/>
        </w:rPr>
        <w:t xml:space="preserve"> note 41 at para. 239. </w:t>
      </w:r>
    </w:p>
  </w:footnote>
  <w:footnote w:id="96">
    <w:p w14:paraId="6F2BD5F6" w14:textId="77777777"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 </w:t>
      </w:r>
      <w:r w:rsidRPr="00A34F57">
        <w:t>277.</w:t>
      </w:r>
    </w:p>
  </w:footnote>
  <w:footnote w:id="97">
    <w:p w14:paraId="7FBC2A69" w14:textId="77777777"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Montréal (Ville de) (Service de police de la Ville de Montréal/SPVM) c. Tribunal des droits de la personne</w:t>
      </w:r>
      <w:r w:rsidRPr="00A34F57">
        <w:t>, 2009 QCCA 22 at para. 27.</w:t>
      </w:r>
    </w:p>
  </w:footnote>
  <w:footnote w:id="98">
    <w:p w14:paraId="70B3FBA6" w14:textId="77777777"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 xml:space="preserve">Québec (Commission des droits de la personne et des droits de la jeunesse) c. </w:t>
      </w:r>
      <w:proofErr w:type="spellStart"/>
      <w:r w:rsidRPr="00A34F57">
        <w:rPr>
          <w:i/>
        </w:rPr>
        <w:t>Sénécal</w:t>
      </w:r>
      <w:proofErr w:type="spellEnd"/>
      <w:r w:rsidRPr="00A34F57">
        <w:t xml:space="preserve">, 2001 </w:t>
      </w:r>
      <w:proofErr w:type="spellStart"/>
      <w:r w:rsidRPr="00A34F57">
        <w:t>CanLII</w:t>
      </w:r>
      <w:proofErr w:type="spellEnd"/>
      <w:r w:rsidRPr="00A34F57">
        <w:t xml:space="preserve"> 13382 (QC TDP) at para. </w:t>
      </w:r>
      <w:r w:rsidRPr="00124DB1">
        <w:rPr>
          <w:lang w:val="en-CA"/>
        </w:rPr>
        <w:t>58.</w:t>
      </w:r>
    </w:p>
  </w:footnote>
  <w:footnote w:id="99">
    <w:p w14:paraId="43C9F2BC" w14:textId="057C1C32"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In </w:t>
      </w:r>
      <w:r w:rsidRPr="00124DB1">
        <w:rPr>
          <w:i/>
          <w:lang w:val="en-CA"/>
        </w:rPr>
        <w:t xml:space="preserve">For-Net Montréal </w:t>
      </w:r>
      <w:proofErr w:type="spellStart"/>
      <w:r w:rsidRPr="00124DB1">
        <w:rPr>
          <w:i/>
          <w:lang w:val="en-CA"/>
        </w:rPr>
        <w:t>inc.</w:t>
      </w:r>
      <w:proofErr w:type="spellEnd"/>
      <w:r w:rsidRPr="00124DB1">
        <w:rPr>
          <w:i/>
          <w:lang w:val="en-CA"/>
        </w:rPr>
        <w:t xml:space="preserve"> c. </w:t>
      </w:r>
      <w:proofErr w:type="spellStart"/>
      <w:r w:rsidRPr="00124DB1">
        <w:rPr>
          <w:i/>
          <w:lang w:val="en-CA"/>
        </w:rPr>
        <w:t>Chergui</w:t>
      </w:r>
      <w:proofErr w:type="spellEnd"/>
      <w:r w:rsidRPr="00124DB1">
        <w:rPr>
          <w:lang w:val="en-CA"/>
        </w:rPr>
        <w:t xml:space="preserve">, 2014 QCCA 1508 at para. </w:t>
      </w:r>
      <w:proofErr w:type="gramStart"/>
      <w:r w:rsidRPr="00124DB1">
        <w:rPr>
          <w:lang w:val="en-CA"/>
        </w:rPr>
        <w:t>37</w:t>
      </w:r>
      <w:proofErr w:type="gramEnd"/>
      <w:r w:rsidRPr="00124DB1">
        <w:rPr>
          <w:lang w:val="en-CA"/>
        </w:rPr>
        <w:t>, the Court of Appeal of Quebec asserted that [</w:t>
      </w:r>
      <w:r w:rsidRPr="00124DB1">
        <w:rPr>
          <w:smallCaps/>
          <w:lang w:val="en-CA"/>
        </w:rPr>
        <w:t>translation</w:t>
      </w:r>
      <w:r w:rsidRPr="00124DB1">
        <w:rPr>
          <w:lang w:val="en-CA"/>
        </w:rPr>
        <w:t>] “facilitating access to effective justice for potentially vulnerable persons” is part of the [</w:t>
      </w:r>
      <w:r w:rsidRPr="00124DB1">
        <w:rPr>
          <w:smallCaps/>
          <w:lang w:val="en-CA"/>
        </w:rPr>
        <w:t>translation</w:t>
      </w:r>
      <w:r w:rsidRPr="00124DB1">
        <w:rPr>
          <w:lang w:val="en-CA"/>
        </w:rPr>
        <w:t xml:space="preserve">] “Tribunal’s fundamental mission”. Citing that same judgment with approval, the Supreme Court of Canada reiterated in </w:t>
      </w:r>
      <w:proofErr w:type="spellStart"/>
      <w:r w:rsidRPr="00124DB1">
        <w:rPr>
          <w:i/>
          <w:lang w:val="en-CA"/>
        </w:rPr>
        <w:t>Mouvement</w:t>
      </w:r>
      <w:proofErr w:type="spellEnd"/>
      <w:r w:rsidRPr="00124DB1">
        <w:rPr>
          <w:i/>
          <w:lang w:val="en-CA"/>
        </w:rPr>
        <w:t xml:space="preserve"> </w:t>
      </w:r>
      <w:proofErr w:type="spellStart"/>
      <w:r w:rsidRPr="00124DB1">
        <w:rPr>
          <w:i/>
          <w:lang w:val="en-CA"/>
        </w:rPr>
        <w:t>laïque</w:t>
      </w:r>
      <w:proofErr w:type="spellEnd"/>
      <w:r w:rsidRPr="00124DB1">
        <w:rPr>
          <w:i/>
          <w:lang w:val="en-CA"/>
        </w:rPr>
        <w:t xml:space="preserve"> </w:t>
      </w:r>
      <w:proofErr w:type="spellStart"/>
      <w:r w:rsidRPr="00124DB1">
        <w:rPr>
          <w:i/>
          <w:lang w:val="en-CA"/>
        </w:rPr>
        <w:t>québécois</w:t>
      </w:r>
      <w:proofErr w:type="spellEnd"/>
      <w:r w:rsidRPr="00124DB1">
        <w:rPr>
          <w:i/>
          <w:lang w:val="en-CA"/>
        </w:rPr>
        <w:t xml:space="preserve"> v. Saguenay (City)</w:t>
      </w:r>
      <w:r w:rsidRPr="00124DB1">
        <w:rPr>
          <w:lang w:val="en-CA"/>
        </w:rPr>
        <w:t xml:space="preserve">, 2015 SCC 16 at para. </w:t>
      </w:r>
      <w:proofErr w:type="gramStart"/>
      <w:r w:rsidRPr="00124DB1">
        <w:rPr>
          <w:lang w:val="en-CA"/>
        </w:rPr>
        <w:t>41, that</w:t>
      </w:r>
      <w:proofErr w:type="gramEnd"/>
      <w:r w:rsidRPr="00124DB1">
        <w:rPr>
          <w:lang w:val="en-CA"/>
        </w:rPr>
        <w:t xml:space="preserve"> one of the reasons for the Tribunal’s existence is “to improve access to justice”. </w:t>
      </w:r>
      <w:proofErr w:type="spellStart"/>
      <w:r w:rsidRPr="00A34F57">
        <w:t>See</w:t>
      </w:r>
      <w:proofErr w:type="spellEnd"/>
      <w:r w:rsidRPr="00A34F57">
        <w:t xml:space="preserve"> </w:t>
      </w:r>
      <w:proofErr w:type="spellStart"/>
      <w:r w:rsidRPr="00A34F57">
        <w:t>also</w:t>
      </w:r>
      <w:proofErr w:type="spellEnd"/>
      <w:r w:rsidRPr="00A34F57">
        <w:t xml:space="preserve"> </w:t>
      </w:r>
      <w:r w:rsidRPr="00A34F57">
        <w:rPr>
          <w:i/>
        </w:rPr>
        <w:t>Commission des droits de la personne et des droits de la jeunesse (Proulx) c. Centre de la petite enfance "Le Château des adorables"</w:t>
      </w:r>
      <w:r w:rsidRPr="00A34F57">
        <w:t xml:space="preserve">, 2009 QCTDP 22 at paras. </w:t>
      </w:r>
      <w:proofErr w:type="gramStart"/>
      <w:r w:rsidRPr="00124DB1">
        <w:rPr>
          <w:lang w:val="en-CA"/>
        </w:rPr>
        <w:t>84 to 86</w:t>
      </w:r>
      <w:proofErr w:type="gramEnd"/>
      <w:r w:rsidRPr="00124DB1">
        <w:rPr>
          <w:lang w:val="en-CA"/>
        </w:rPr>
        <w:t xml:space="preserve"> (quoting the remarks of the former Minister of Justice Gil </w:t>
      </w:r>
      <w:proofErr w:type="spellStart"/>
      <w:r w:rsidRPr="00124DB1">
        <w:rPr>
          <w:lang w:val="en-CA"/>
        </w:rPr>
        <w:t>Rémillard</w:t>
      </w:r>
      <w:proofErr w:type="spellEnd"/>
      <w:r w:rsidRPr="00124DB1">
        <w:rPr>
          <w:lang w:val="en-CA"/>
        </w:rPr>
        <w:t xml:space="preserve"> when the Tribunal was created).</w:t>
      </w:r>
    </w:p>
  </w:footnote>
  <w:footnote w:id="100">
    <w:p w14:paraId="3571F1A3" w14:textId="2D8BF55E"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96. </w:t>
      </w:r>
    </w:p>
  </w:footnote>
  <w:footnote w:id="101">
    <w:p w14:paraId="6F4FBDCC" w14:textId="6EE48B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P-3 and VDM-3: Statement of facts of Investigator Serge Marquis.</w:t>
      </w:r>
    </w:p>
  </w:footnote>
  <w:footnote w:id="102">
    <w:p w14:paraId="6131352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R-24, P-11, and VDM-4: Resolution CP-752.1.</w:t>
      </w:r>
    </w:p>
  </w:footnote>
  <w:footnote w:id="103">
    <w:p w14:paraId="37D1886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gramStart"/>
      <w:r w:rsidRPr="00124DB1">
        <w:rPr>
          <w:lang w:val="en-CA"/>
        </w:rPr>
        <w:t>1993</w:t>
      </w:r>
      <w:proofErr w:type="gramEnd"/>
      <w:r w:rsidRPr="00124DB1">
        <w:rPr>
          <w:lang w:val="en-CA"/>
        </w:rPr>
        <w:t xml:space="preserve"> </w:t>
      </w:r>
      <w:proofErr w:type="spellStart"/>
      <w:r w:rsidRPr="00124DB1">
        <w:rPr>
          <w:lang w:val="en-CA"/>
        </w:rPr>
        <w:t>CanLII</w:t>
      </w:r>
      <w:proofErr w:type="spellEnd"/>
      <w:r w:rsidRPr="00124DB1">
        <w:rPr>
          <w:lang w:val="en-CA"/>
        </w:rPr>
        <w:t xml:space="preserve"> 4285 (QCCA).</w:t>
      </w:r>
    </w:p>
  </w:footnote>
  <w:footnote w:id="104">
    <w:p w14:paraId="7C6B2385"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w:t>
      </w:r>
      <w:proofErr w:type="gramStart"/>
      <w:r w:rsidRPr="00124DB1">
        <w:rPr>
          <w:lang w:val="en-CA"/>
        </w:rPr>
        <w:t>6</w:t>
      </w:r>
      <w:proofErr w:type="gramEnd"/>
      <w:r w:rsidRPr="00124DB1">
        <w:rPr>
          <w:lang w:val="en-CA"/>
        </w:rPr>
        <w:t xml:space="preserve"> (pdf).</w:t>
      </w:r>
    </w:p>
  </w:footnote>
  <w:footnote w:id="105">
    <w:p w14:paraId="353E9D6D"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A34F57">
        <w:rPr>
          <w:lang w:val="en-CA"/>
        </w:rPr>
        <w:t xml:space="preserve">at </w:t>
      </w:r>
      <w:proofErr w:type="gramStart"/>
      <w:r w:rsidRPr="00A34F57">
        <w:rPr>
          <w:lang w:val="en-CA"/>
        </w:rPr>
        <w:t>7</w:t>
      </w:r>
      <w:proofErr w:type="gramEnd"/>
      <w:r w:rsidRPr="00A34F57">
        <w:rPr>
          <w:lang w:val="en-CA"/>
        </w:rPr>
        <w:t xml:space="preserve"> (pdf)</w:t>
      </w:r>
      <w:r w:rsidRPr="00124DB1">
        <w:rPr>
          <w:i/>
          <w:lang w:val="en-CA"/>
        </w:rPr>
        <w:t>.</w:t>
      </w:r>
      <w:r w:rsidRPr="00124DB1">
        <w:rPr>
          <w:lang w:val="en-CA"/>
        </w:rPr>
        <w:t xml:space="preserve"> </w:t>
      </w:r>
    </w:p>
  </w:footnote>
  <w:footnote w:id="106">
    <w:p w14:paraId="3E2A3F08" w14:textId="35DCE9EB"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Mouvement</w:t>
      </w:r>
      <w:proofErr w:type="spellEnd"/>
      <w:r w:rsidRPr="00124DB1">
        <w:rPr>
          <w:i/>
          <w:lang w:val="en-CA"/>
        </w:rPr>
        <w:t xml:space="preserve"> </w:t>
      </w:r>
      <w:proofErr w:type="spellStart"/>
      <w:r w:rsidRPr="00124DB1">
        <w:rPr>
          <w:i/>
          <w:lang w:val="en-CA"/>
        </w:rPr>
        <w:t>laïque</w:t>
      </w:r>
      <w:proofErr w:type="spellEnd"/>
      <w:r w:rsidRPr="00124DB1">
        <w:rPr>
          <w:i/>
          <w:lang w:val="en-CA"/>
        </w:rPr>
        <w:t xml:space="preserve"> </w:t>
      </w:r>
      <w:proofErr w:type="spellStart"/>
      <w:r w:rsidRPr="00124DB1">
        <w:rPr>
          <w:i/>
          <w:lang w:val="en-CA"/>
        </w:rPr>
        <w:t>québécois</w:t>
      </w:r>
      <w:proofErr w:type="spellEnd"/>
      <w:r w:rsidRPr="00124DB1">
        <w:rPr>
          <w:i/>
          <w:lang w:val="en-CA"/>
        </w:rPr>
        <w:t xml:space="preserve"> v. Saguenay (City</w:t>
      </w:r>
      <w:proofErr w:type="gramStart"/>
      <w:r w:rsidRPr="00124DB1">
        <w:rPr>
          <w:i/>
          <w:lang w:val="en-CA"/>
        </w:rPr>
        <w:t>)</w:t>
      </w:r>
      <w:r w:rsidRPr="00124DB1">
        <w:rPr>
          <w:lang w:val="en-CA"/>
        </w:rPr>
        <w:t>,</w:t>
      </w:r>
      <w:proofErr w:type="gramEnd"/>
      <w:r w:rsidRPr="00124DB1">
        <w:rPr>
          <w:lang w:val="en-CA"/>
        </w:rPr>
        <w:t xml:space="preserve"> </w:t>
      </w:r>
      <w:r w:rsidRPr="00124DB1">
        <w:rPr>
          <w:i/>
          <w:lang w:val="en-CA"/>
        </w:rPr>
        <w:t xml:space="preserve">supra </w:t>
      </w:r>
      <w:r w:rsidRPr="00124DB1">
        <w:rPr>
          <w:lang w:val="en-CA"/>
        </w:rPr>
        <w:t>note 99 at paras. 57 and 60.</w:t>
      </w:r>
    </w:p>
  </w:footnote>
  <w:footnote w:id="107">
    <w:p w14:paraId="75C0E6F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Charter of Ville de Montréal, metropolis of Québec</w:t>
      </w:r>
      <w:r w:rsidRPr="00124DB1">
        <w:rPr>
          <w:lang w:val="en-CA"/>
        </w:rPr>
        <w:t>, CQLR c. C-11.4, s. 2.</w:t>
      </w:r>
    </w:p>
  </w:footnote>
  <w:footnote w:id="108">
    <w:p w14:paraId="0469F332" w14:textId="10DAD275"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Civil Code of Québec</w:t>
      </w:r>
      <w:r w:rsidRPr="00124DB1">
        <w:rPr>
          <w:lang w:val="en-CA"/>
        </w:rPr>
        <w:t xml:space="preserve">, S.Q. 1991, c. 64 (C.C.Q.), art. 300. </w:t>
      </w:r>
    </w:p>
  </w:footnote>
  <w:footnote w:id="109">
    <w:p w14:paraId="6FA367B4"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Charter of Ville de Montréal, metropolis of Québec</w:t>
      </w:r>
      <w:r w:rsidRPr="00124DB1">
        <w:rPr>
          <w:lang w:val="en-CA"/>
        </w:rPr>
        <w:t>, supra note 107 at s. 107.</w:t>
      </w:r>
    </w:p>
  </w:footnote>
  <w:footnote w:id="110">
    <w:p w14:paraId="6ACE5A7A" w14:textId="77777777" w:rsidR="006F54DF" w:rsidRPr="00D90D2A" w:rsidRDefault="006F54DF">
      <w:pPr>
        <w:pStyle w:val="Notedebasdepage"/>
      </w:pPr>
      <w:r w:rsidRPr="00124DB1">
        <w:rPr>
          <w:rStyle w:val="Appelnotedebasdep"/>
          <w:lang w:val="en-CA"/>
        </w:rPr>
        <w:footnoteRef/>
      </w:r>
      <w:r w:rsidRPr="00D90D2A">
        <w:t xml:space="preserve"> </w:t>
      </w:r>
      <w:r w:rsidRPr="00D90D2A">
        <w:tab/>
      </w:r>
      <w:r w:rsidRPr="00D90D2A">
        <w:rPr>
          <w:i/>
        </w:rPr>
        <w:t>Ibid</w:t>
      </w:r>
      <w:r w:rsidRPr="00D90D2A">
        <w:t>. s. 115.</w:t>
      </w:r>
    </w:p>
  </w:footnote>
  <w:footnote w:id="111">
    <w:p w14:paraId="0971DE5A" w14:textId="562BF78D" w:rsidR="006F54DF" w:rsidRPr="00A34F57" w:rsidRDefault="006F54DF">
      <w:pPr>
        <w:pStyle w:val="Notedebasdepage"/>
      </w:pPr>
      <w:r w:rsidRPr="00124DB1">
        <w:rPr>
          <w:rStyle w:val="Appelnotedebasdep"/>
          <w:lang w:val="en-CA"/>
        </w:rPr>
        <w:footnoteRef/>
      </w:r>
      <w:r w:rsidRPr="00A34F57">
        <w:t xml:space="preserve"> </w:t>
      </w:r>
      <w:r w:rsidRPr="00A34F57">
        <w:tab/>
        <w:t xml:space="preserve">Art. 1463 C.C.Q.; </w:t>
      </w:r>
      <w:proofErr w:type="spellStart"/>
      <w:r w:rsidRPr="00A34F57">
        <w:rPr>
          <w:i/>
        </w:rPr>
        <w:t>Kosoian</w:t>
      </w:r>
      <w:proofErr w:type="spellEnd"/>
      <w:r w:rsidRPr="00A34F57">
        <w:rPr>
          <w:i/>
        </w:rPr>
        <w:t xml:space="preserve"> v. Société de transport de Montréal</w:t>
      </w:r>
      <w:r w:rsidRPr="00A34F57">
        <w:t>, 2019 SCC 59 at para. 40.</w:t>
      </w:r>
    </w:p>
  </w:footnote>
  <w:footnote w:id="112">
    <w:p w14:paraId="706BE90D" w14:textId="77777777"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t>Exhibits</w:t>
      </w:r>
      <w:proofErr w:type="spellEnd"/>
      <w:r w:rsidRPr="00A34F57">
        <w:t xml:space="preserve"> R-24, P-11, and VDM-4: </w:t>
      </w:r>
      <w:proofErr w:type="spellStart"/>
      <w:r w:rsidRPr="00A34F57">
        <w:t>Resolution</w:t>
      </w:r>
      <w:proofErr w:type="spellEnd"/>
      <w:r w:rsidRPr="00A34F57">
        <w:t xml:space="preserve"> CP-752.1.</w:t>
      </w:r>
    </w:p>
  </w:footnote>
  <w:footnote w:id="113">
    <w:p w14:paraId="76D88710" w14:textId="57F9A341"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Boycott, désinvestissement, sanction, section Québec (Comité de la Coalition pour la justice et la paix en Palestine) c. Ville de Montréal</w:t>
      </w:r>
      <w:r w:rsidRPr="00A34F57">
        <w:t xml:space="preserve">, 2018 QCCQ 8703 at paras. 82 to 86; </w:t>
      </w:r>
      <w:proofErr w:type="spellStart"/>
      <w:r w:rsidRPr="00A34F57">
        <w:rPr>
          <w:i/>
        </w:rPr>
        <w:t>Kosoian</w:t>
      </w:r>
      <w:proofErr w:type="spellEnd"/>
      <w:r w:rsidRPr="00A34F57">
        <w:rPr>
          <w:i/>
        </w:rPr>
        <w:t xml:space="preserve"> v. Société de transport de Montréal</w:t>
      </w:r>
      <w:r w:rsidRPr="00A34F57">
        <w:t xml:space="preserve">, </w:t>
      </w:r>
      <w:r w:rsidRPr="00A34F57">
        <w:rPr>
          <w:i/>
        </w:rPr>
        <w:t>supra</w:t>
      </w:r>
      <w:r w:rsidRPr="00A34F57">
        <w:t xml:space="preserve"> note 111 at para. </w:t>
      </w:r>
      <w:r w:rsidRPr="00124DB1">
        <w:rPr>
          <w:lang w:val="en-CA"/>
        </w:rPr>
        <w:t xml:space="preserve">40: </w:t>
      </w:r>
      <w:proofErr w:type="gramStart"/>
      <w:r w:rsidRPr="00124DB1">
        <w:rPr>
          <w:lang w:val="en-CA"/>
        </w:rPr>
        <w:t>“ ...</w:t>
      </w:r>
      <w:proofErr w:type="gramEnd"/>
      <w:r w:rsidRPr="00124DB1">
        <w:rPr>
          <w:lang w:val="en-CA"/>
        </w:rPr>
        <w:t xml:space="preserve"> there are no exceptional rules applicable to the police”.</w:t>
      </w:r>
    </w:p>
  </w:footnote>
  <w:footnote w:id="114">
    <w:p w14:paraId="6BC26E04" w14:textId="30FB72C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2015 SCC 39, [2015] </w:t>
      </w:r>
      <w:proofErr w:type="gramStart"/>
      <w:r w:rsidRPr="00124DB1">
        <w:rPr>
          <w:lang w:val="en-CA"/>
        </w:rPr>
        <w:t>2</w:t>
      </w:r>
      <w:proofErr w:type="gramEnd"/>
      <w:r w:rsidRPr="00124DB1">
        <w:rPr>
          <w:lang w:val="en-CA"/>
        </w:rPr>
        <w:t xml:space="preserve"> SCR 789 [</w:t>
      </w:r>
      <w:r w:rsidRPr="00124DB1">
        <w:rPr>
          <w:i/>
          <w:lang w:val="en-CA"/>
        </w:rPr>
        <w:t>Bombardier</w:t>
      </w:r>
      <w:r w:rsidRPr="00124DB1">
        <w:rPr>
          <w:lang w:val="en-CA"/>
        </w:rPr>
        <w:t>].</w:t>
      </w:r>
    </w:p>
  </w:footnote>
  <w:footnote w:id="115">
    <w:p w14:paraId="1D037D60" w14:textId="7EF12202"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 </w:t>
      </w:r>
      <w:r w:rsidRPr="00D90D2A">
        <w:rPr>
          <w:lang w:val="en-CA"/>
        </w:rPr>
        <w:t xml:space="preserve">33. It is noteworthy that the SPVM “adopted” this same definition: Exhibit P-26, SPVM “Des </w:t>
      </w:r>
      <w:proofErr w:type="spellStart"/>
      <w:r w:rsidRPr="00D90D2A">
        <w:rPr>
          <w:lang w:val="en-CA"/>
        </w:rPr>
        <w:t>valeurs</w:t>
      </w:r>
      <w:proofErr w:type="spellEnd"/>
      <w:r w:rsidRPr="00D90D2A">
        <w:rPr>
          <w:lang w:val="en-CA"/>
        </w:rPr>
        <w:t xml:space="preserve"> </w:t>
      </w:r>
      <w:proofErr w:type="spellStart"/>
      <w:r w:rsidRPr="00D90D2A">
        <w:rPr>
          <w:lang w:val="en-CA"/>
        </w:rPr>
        <w:t>partagées</w:t>
      </w:r>
      <w:proofErr w:type="spellEnd"/>
      <w:r w:rsidRPr="00D90D2A">
        <w:rPr>
          <w:lang w:val="en-CA"/>
        </w:rPr>
        <w:t xml:space="preserve">, </w:t>
      </w:r>
      <w:proofErr w:type="gramStart"/>
      <w:r w:rsidRPr="00D90D2A">
        <w:rPr>
          <w:lang w:val="en-CA"/>
        </w:rPr>
        <w:t>un</w:t>
      </w:r>
      <w:proofErr w:type="gramEnd"/>
      <w:r w:rsidRPr="00D90D2A">
        <w:rPr>
          <w:lang w:val="en-CA"/>
        </w:rPr>
        <w:t xml:space="preserve"> </w:t>
      </w:r>
      <w:proofErr w:type="spellStart"/>
      <w:r w:rsidRPr="00D90D2A">
        <w:rPr>
          <w:lang w:val="en-CA"/>
        </w:rPr>
        <w:t>intérêt</w:t>
      </w:r>
      <w:proofErr w:type="spellEnd"/>
      <w:r w:rsidRPr="00D90D2A">
        <w:rPr>
          <w:lang w:val="en-CA"/>
        </w:rPr>
        <w:t xml:space="preserve"> </w:t>
      </w:r>
      <w:proofErr w:type="spellStart"/>
      <w:r w:rsidRPr="00D90D2A">
        <w:rPr>
          <w:lang w:val="en-CA"/>
        </w:rPr>
        <w:t>mutuel</w:t>
      </w:r>
      <w:proofErr w:type="spellEnd"/>
      <w:r w:rsidRPr="00D90D2A">
        <w:rPr>
          <w:lang w:val="en-CA"/>
        </w:rPr>
        <w:t xml:space="preserve">, Plan </w:t>
      </w:r>
      <w:proofErr w:type="spellStart"/>
      <w:r w:rsidRPr="00D90D2A">
        <w:rPr>
          <w:lang w:val="en-CA"/>
        </w:rPr>
        <w:t>stratégique</w:t>
      </w:r>
      <w:proofErr w:type="spellEnd"/>
      <w:r w:rsidRPr="00D90D2A">
        <w:rPr>
          <w:lang w:val="en-CA"/>
        </w:rPr>
        <w:t xml:space="preserve"> </w:t>
      </w:r>
      <w:proofErr w:type="spellStart"/>
      <w:r w:rsidRPr="00D90D2A">
        <w:rPr>
          <w:lang w:val="en-CA"/>
        </w:rPr>
        <w:t>en</w:t>
      </w:r>
      <w:proofErr w:type="spellEnd"/>
      <w:r w:rsidRPr="00D90D2A">
        <w:rPr>
          <w:lang w:val="en-CA"/>
        </w:rPr>
        <w:t xml:space="preserve"> </w:t>
      </w:r>
      <w:proofErr w:type="spellStart"/>
      <w:r w:rsidRPr="00D90D2A">
        <w:rPr>
          <w:lang w:val="en-CA"/>
        </w:rPr>
        <w:t>matière</w:t>
      </w:r>
      <w:proofErr w:type="spellEnd"/>
      <w:r w:rsidRPr="00D90D2A">
        <w:rPr>
          <w:lang w:val="en-CA"/>
        </w:rPr>
        <w:t xml:space="preserve"> de </w:t>
      </w:r>
      <w:proofErr w:type="spellStart"/>
      <w:r w:rsidRPr="00D90D2A">
        <w:rPr>
          <w:lang w:val="en-CA"/>
        </w:rPr>
        <w:t>profilage</w:t>
      </w:r>
      <w:proofErr w:type="spellEnd"/>
      <w:r w:rsidRPr="00D90D2A">
        <w:rPr>
          <w:lang w:val="en-CA"/>
        </w:rPr>
        <w:t xml:space="preserve"> racial et social (2012-2014)” at 14; </w:t>
      </w:r>
      <w:r w:rsidRPr="00D90D2A">
        <w:rPr>
          <w:i/>
          <w:lang w:val="en-CA"/>
        </w:rPr>
        <w:t>Miller</w:t>
      </w:r>
      <w:r w:rsidRPr="00D90D2A">
        <w:rPr>
          <w:lang w:val="en-CA"/>
        </w:rPr>
        <w:t xml:space="preserve">, </w:t>
      </w:r>
      <w:r w:rsidRPr="00D90D2A">
        <w:rPr>
          <w:i/>
          <w:lang w:val="en-CA"/>
        </w:rPr>
        <w:t>supra</w:t>
      </w:r>
      <w:r w:rsidRPr="00D90D2A">
        <w:rPr>
          <w:lang w:val="en-CA"/>
        </w:rPr>
        <w:t xml:space="preserve"> note 68 at para. </w:t>
      </w:r>
      <w:r w:rsidRPr="00124DB1">
        <w:rPr>
          <w:lang w:val="en-CA"/>
        </w:rPr>
        <w:t>168.</w:t>
      </w:r>
    </w:p>
  </w:footnote>
  <w:footnote w:id="116">
    <w:p w14:paraId="29ED915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2019 SCC 34.</w:t>
      </w:r>
    </w:p>
  </w:footnote>
  <w:footnote w:id="117">
    <w:p w14:paraId="19ED5255" w14:textId="0A18105B"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 </w:t>
      </w:r>
      <w:proofErr w:type="gramStart"/>
      <w:r w:rsidRPr="00124DB1">
        <w:rPr>
          <w:lang w:val="en-CA"/>
        </w:rPr>
        <w:t xml:space="preserve">76. This definition was accepted by the Superior Court of Quebec in </w:t>
      </w:r>
      <w:r w:rsidRPr="00124DB1">
        <w:rPr>
          <w:i/>
          <w:lang w:val="en-CA"/>
        </w:rPr>
        <w:t xml:space="preserve">R. c. </w:t>
      </w:r>
      <w:proofErr w:type="spellStart"/>
      <w:r w:rsidRPr="00124DB1">
        <w:rPr>
          <w:i/>
          <w:lang w:val="en-CA"/>
        </w:rPr>
        <w:t>Dorfeuille</w:t>
      </w:r>
      <w:proofErr w:type="spellEnd"/>
      <w:proofErr w:type="gramEnd"/>
      <w:r w:rsidRPr="00124DB1">
        <w:rPr>
          <w:lang w:val="en-CA"/>
        </w:rPr>
        <w:t>, 2020 QCCS 1499 at paras. 7 and 38.</w:t>
      </w:r>
    </w:p>
  </w:footnote>
  <w:footnote w:id="118">
    <w:p w14:paraId="407C424C"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Supra </w:t>
      </w:r>
      <w:r w:rsidRPr="00124DB1">
        <w:rPr>
          <w:lang w:val="en-CA"/>
        </w:rPr>
        <w:t>note 41 at para. 306.</w:t>
      </w:r>
    </w:p>
  </w:footnote>
  <w:footnote w:id="119">
    <w:p w14:paraId="7A083905"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Miller</w:t>
      </w:r>
      <w:r w:rsidRPr="00124DB1">
        <w:rPr>
          <w:lang w:val="en-CA"/>
        </w:rPr>
        <w:t xml:space="preserve">, </w:t>
      </w:r>
      <w:r w:rsidRPr="00124DB1">
        <w:rPr>
          <w:i/>
          <w:lang w:val="en-CA"/>
        </w:rPr>
        <w:t xml:space="preserve">supra </w:t>
      </w:r>
      <w:r w:rsidRPr="00124DB1">
        <w:rPr>
          <w:lang w:val="en-CA"/>
        </w:rPr>
        <w:t>note 68 at para. 196.</w:t>
      </w:r>
    </w:p>
  </w:footnote>
  <w:footnote w:id="120">
    <w:p w14:paraId="288065BC"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148. See also </w:t>
      </w:r>
      <w:r w:rsidRPr="00124DB1">
        <w:rPr>
          <w:i/>
          <w:lang w:val="en-CA"/>
        </w:rPr>
        <w:t xml:space="preserve">R. c. </w:t>
      </w:r>
      <w:proofErr w:type="spellStart"/>
      <w:r w:rsidRPr="00124DB1">
        <w:rPr>
          <w:i/>
          <w:lang w:val="en-CA"/>
        </w:rPr>
        <w:t>Dorfeuille</w:t>
      </w:r>
      <w:proofErr w:type="spellEnd"/>
      <w:r w:rsidRPr="00124DB1">
        <w:rPr>
          <w:lang w:val="en-CA"/>
        </w:rPr>
        <w:t xml:space="preserve">, </w:t>
      </w:r>
      <w:r w:rsidRPr="00124DB1">
        <w:rPr>
          <w:i/>
          <w:lang w:val="en-CA"/>
        </w:rPr>
        <w:t>supra</w:t>
      </w:r>
      <w:r w:rsidRPr="00124DB1">
        <w:rPr>
          <w:lang w:val="en-CA"/>
        </w:rPr>
        <w:t>, note 117 at para. 55.</w:t>
      </w:r>
    </w:p>
  </w:footnote>
  <w:footnote w:id="121">
    <w:p w14:paraId="60CBACF2"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Dowd c. Beaulieu-</w:t>
      </w:r>
      <w:proofErr w:type="spellStart"/>
      <w:r w:rsidRPr="00124DB1">
        <w:rPr>
          <w:i/>
          <w:lang w:val="en-CA"/>
        </w:rPr>
        <w:t>Dulac</w:t>
      </w:r>
      <w:proofErr w:type="spellEnd"/>
      <w:r w:rsidRPr="00124DB1">
        <w:rPr>
          <w:lang w:val="en-CA"/>
        </w:rPr>
        <w:t>, 2021 QCCQ 4286 at para. 104.</w:t>
      </w:r>
    </w:p>
  </w:footnote>
  <w:footnote w:id="122">
    <w:p w14:paraId="00B69CFB" w14:textId="52BDDD89"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R-17 and VDM-2, Doorman’s written statement at 22.</w:t>
      </w:r>
    </w:p>
  </w:footnote>
  <w:footnote w:id="123">
    <w:p w14:paraId="78B0ED39" w14:textId="413DC654"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t xml:space="preserve">Exhibit VDM-8, </w:t>
      </w:r>
      <w:r w:rsidRPr="00A34F57">
        <w:rPr>
          <w:lang w:val="en-CA"/>
        </w:rPr>
        <w:t>Complaint</w:t>
      </w:r>
      <w:r w:rsidRPr="00124DB1">
        <w:rPr>
          <w:i/>
          <w:lang w:val="en-CA"/>
        </w:rPr>
        <w:t xml:space="preserve"> </w:t>
      </w:r>
      <w:r w:rsidRPr="00124DB1">
        <w:rPr>
          <w:lang w:val="en-CA"/>
        </w:rPr>
        <w:t xml:space="preserve">(3). </w:t>
      </w:r>
      <w:proofErr w:type="gramStart"/>
      <w:r w:rsidRPr="00124DB1">
        <w:rPr>
          <w:lang w:val="en-CA"/>
        </w:rPr>
        <w:t xml:space="preserve">After the Tribunal ruled that Mr. </w:t>
      </w:r>
      <w:proofErr w:type="spellStart"/>
      <w:r w:rsidRPr="00124DB1">
        <w:rPr>
          <w:lang w:val="en-CA"/>
        </w:rPr>
        <w:t>Bazelais</w:t>
      </w:r>
      <w:proofErr w:type="spellEnd"/>
      <w:r w:rsidRPr="00124DB1">
        <w:rPr>
          <w:lang w:val="en-CA"/>
        </w:rPr>
        <w:t xml:space="preserve"> did not have to give the </w:t>
      </w:r>
      <w:r>
        <w:rPr>
          <w:lang w:val="en-CA"/>
        </w:rPr>
        <w:t>City</w:t>
      </w:r>
      <w:r w:rsidRPr="00124DB1">
        <w:rPr>
          <w:lang w:val="en-CA"/>
        </w:rPr>
        <w:t xml:space="preserve"> a copy of the complaint filed against Thursday’s because the Commission’s investigation process [</w:t>
      </w:r>
      <w:r w:rsidRPr="00124DB1">
        <w:rPr>
          <w:smallCaps/>
          <w:lang w:val="en-CA"/>
        </w:rPr>
        <w:t>translation</w:t>
      </w:r>
      <w:r w:rsidRPr="00124DB1">
        <w:rPr>
          <w:lang w:val="en-CA"/>
        </w:rPr>
        <w:t xml:space="preserve">] “benefits from the protection of confidentiality” (judgment </w:t>
      </w:r>
      <w:r>
        <w:rPr>
          <w:lang w:val="en-CA"/>
        </w:rPr>
        <w:t>recorded</w:t>
      </w:r>
      <w:r w:rsidRPr="00124DB1">
        <w:rPr>
          <w:lang w:val="en-CA"/>
        </w:rPr>
        <w:t xml:space="preserve"> in the minutes by the Honourable Ann-Marie Jones, 500-53-000538-197, July 24, 2020), the </w:t>
      </w:r>
      <w:r>
        <w:rPr>
          <w:lang w:val="en-CA"/>
        </w:rPr>
        <w:t>City</w:t>
      </w:r>
      <w:r w:rsidRPr="00124DB1">
        <w:rPr>
          <w:lang w:val="en-CA"/>
        </w:rPr>
        <w:t xml:space="preserve"> lawfully obtained, at the [</w:t>
      </w:r>
      <w:r w:rsidRPr="00124DB1">
        <w:rPr>
          <w:smallCaps/>
          <w:lang w:val="en-CA"/>
        </w:rPr>
        <w:t>translation</w:t>
      </w:r>
      <w:r w:rsidRPr="00124DB1">
        <w:rPr>
          <w:lang w:val="en-CA"/>
        </w:rPr>
        <w:t xml:space="preserve">] “judicial phase”, copy of the three complaints through Torrance </w:t>
      </w:r>
      <w:proofErr w:type="spellStart"/>
      <w:r w:rsidRPr="00124DB1">
        <w:rPr>
          <w:lang w:val="en-CA"/>
        </w:rPr>
        <w:t>Ragueneau</w:t>
      </w:r>
      <w:proofErr w:type="spellEnd"/>
      <w:r w:rsidRPr="00124DB1">
        <w:rPr>
          <w:lang w:val="en-CA"/>
        </w:rPr>
        <w:t>, representative of Thursday’s.</w:t>
      </w:r>
      <w:proofErr w:type="gramEnd"/>
      <w:r w:rsidRPr="00124DB1">
        <w:rPr>
          <w:lang w:val="en-CA"/>
        </w:rPr>
        <w:t xml:space="preserve"> In these circumstances, the duty of confidentiality incumbent on the Commission under s. 95 of the </w:t>
      </w:r>
      <w:r w:rsidRPr="00124DB1">
        <w:rPr>
          <w:i/>
          <w:lang w:val="en-CA"/>
        </w:rPr>
        <w:t>Charter</w:t>
      </w:r>
      <w:r w:rsidRPr="00124DB1">
        <w:rPr>
          <w:lang w:val="en-CA"/>
        </w:rPr>
        <w:t xml:space="preserve"> is not at issue: see by analogy </w:t>
      </w:r>
      <w:r w:rsidRPr="00124DB1">
        <w:rPr>
          <w:i/>
          <w:lang w:val="en-CA"/>
        </w:rPr>
        <w:t xml:space="preserve">Commission des droits de la </w:t>
      </w:r>
      <w:proofErr w:type="spellStart"/>
      <w:r w:rsidRPr="00124DB1">
        <w:rPr>
          <w:i/>
          <w:lang w:val="en-CA"/>
        </w:rPr>
        <w:t>personne</w:t>
      </w:r>
      <w:proofErr w:type="spellEnd"/>
      <w:r w:rsidRPr="00124DB1">
        <w:rPr>
          <w:i/>
          <w:lang w:val="en-CA"/>
        </w:rPr>
        <w:t xml:space="preserve"> et des droits de la </w:t>
      </w:r>
      <w:proofErr w:type="spellStart"/>
      <w:r w:rsidRPr="00124DB1">
        <w:rPr>
          <w:i/>
          <w:lang w:val="en-CA"/>
        </w:rPr>
        <w:t>jeunesse</w:t>
      </w:r>
      <w:proofErr w:type="spellEnd"/>
      <w:r w:rsidRPr="00124DB1">
        <w:rPr>
          <w:i/>
          <w:lang w:val="en-CA"/>
        </w:rPr>
        <w:t xml:space="preserve"> (René et </w:t>
      </w:r>
      <w:proofErr w:type="spellStart"/>
      <w:r w:rsidRPr="00124DB1">
        <w:rPr>
          <w:i/>
          <w:lang w:val="en-CA"/>
        </w:rPr>
        <w:t>autre</w:t>
      </w:r>
      <w:proofErr w:type="spellEnd"/>
      <w:r w:rsidRPr="00124DB1">
        <w:rPr>
          <w:i/>
          <w:lang w:val="en-CA"/>
        </w:rPr>
        <w:t>) c. Montréal (Ville de), Service de police</w:t>
      </w:r>
      <w:r w:rsidRPr="00124DB1">
        <w:rPr>
          <w:lang w:val="en-CA"/>
        </w:rPr>
        <w:t xml:space="preserve">, 2016 QCTDP 14 at paras. </w:t>
      </w:r>
      <w:r w:rsidRPr="00A34F57">
        <w:t xml:space="preserve">32 and 33, </w:t>
      </w:r>
      <w:proofErr w:type="spellStart"/>
      <w:r w:rsidRPr="00A34F57">
        <w:t>aff’d</w:t>
      </w:r>
      <w:proofErr w:type="spellEnd"/>
      <w:r w:rsidRPr="00A34F57">
        <w:t xml:space="preserve"> 2018 QCCA 1246; </w:t>
      </w:r>
      <w:r w:rsidRPr="00A34F57">
        <w:rPr>
          <w:i/>
        </w:rPr>
        <w:t>Commission des droits de la personne et des droits de la jeunesse (André) c. Ville de Montréal (SPVM)</w:t>
      </w:r>
      <w:r w:rsidRPr="00A34F57">
        <w:t xml:space="preserve">, 2019 QCTDP 15 at paras. 9 and 10; </w:t>
      </w:r>
      <w:r w:rsidRPr="00A34F57">
        <w:rPr>
          <w:i/>
        </w:rPr>
        <w:t>Commission des droits de la personne et des droits de la jeunesse (</w:t>
      </w:r>
      <w:proofErr w:type="spellStart"/>
      <w:r w:rsidRPr="00A34F57">
        <w:rPr>
          <w:i/>
        </w:rPr>
        <w:t>Essalama</w:t>
      </w:r>
      <w:proofErr w:type="spellEnd"/>
      <w:r w:rsidRPr="00A34F57">
        <w:rPr>
          <w:i/>
        </w:rPr>
        <w:t>) c. Ville de Montréal (SPVM)</w:t>
      </w:r>
      <w:r w:rsidRPr="00A34F57">
        <w:t xml:space="preserve">, 2021 QCTDP 28.   </w:t>
      </w:r>
    </w:p>
  </w:footnote>
  <w:footnote w:id="124">
    <w:p w14:paraId="36898BB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VDM-7, Resolution CP-752.2, May 22, 2019.</w:t>
      </w:r>
    </w:p>
  </w:footnote>
  <w:footnote w:id="125">
    <w:p w14:paraId="55C188A0" w14:textId="4BEED79E"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t>See</w:t>
      </w:r>
      <w:proofErr w:type="spellEnd"/>
      <w:r w:rsidRPr="00A34F57">
        <w:t xml:space="preserve"> </w:t>
      </w:r>
      <w:r w:rsidRPr="00A34F57">
        <w:rPr>
          <w:i/>
        </w:rPr>
        <w:t>Commission des droits de la personne et des droits de la jeunesse (</w:t>
      </w:r>
      <w:proofErr w:type="spellStart"/>
      <w:r w:rsidRPr="00A34F57">
        <w:rPr>
          <w:i/>
        </w:rPr>
        <w:t>Rezko</w:t>
      </w:r>
      <w:proofErr w:type="spellEnd"/>
      <w:r w:rsidRPr="00A34F57">
        <w:rPr>
          <w:i/>
        </w:rPr>
        <w:t>) c. Montréal (Service de police de la ville de) (SPVM)</w:t>
      </w:r>
      <w:r w:rsidRPr="00A34F57">
        <w:t>, 2012 QCTDP 5 [</w:t>
      </w:r>
      <w:proofErr w:type="spellStart"/>
      <w:r w:rsidRPr="00A34F57">
        <w:rPr>
          <w:i/>
        </w:rPr>
        <w:t>Rezko</w:t>
      </w:r>
      <w:proofErr w:type="spellEnd"/>
      <w:r w:rsidRPr="00A34F57">
        <w:t>] (</w:t>
      </w:r>
      <w:proofErr w:type="spellStart"/>
      <w:r w:rsidRPr="00A34F57">
        <w:t>leave</w:t>
      </w:r>
      <w:proofErr w:type="spellEnd"/>
      <w:r w:rsidRPr="00A34F57">
        <w:t xml:space="preserve"> to </w:t>
      </w:r>
      <w:proofErr w:type="spellStart"/>
      <w:r w:rsidRPr="00A34F57">
        <w:t>appeal</w:t>
      </w:r>
      <w:proofErr w:type="spellEnd"/>
      <w:r w:rsidRPr="00A34F57">
        <w:t xml:space="preserve"> </w:t>
      </w:r>
      <w:proofErr w:type="spellStart"/>
      <w:r w:rsidRPr="00A34F57">
        <w:t>refused</w:t>
      </w:r>
      <w:proofErr w:type="spellEnd"/>
      <w:r w:rsidRPr="00A34F57">
        <w:t xml:space="preserve">, 2012 QCCA 1501); </w:t>
      </w:r>
      <w:r w:rsidRPr="00A34F57">
        <w:rPr>
          <w:i/>
        </w:rPr>
        <w:t>Commission des droits de la personne et des droits de la jeunesse (Mensah) c. Ville de Montréal (Service de police de la Ville de Montréal)</w:t>
      </w:r>
      <w:r w:rsidRPr="00A34F57">
        <w:t>, 2018 QCTDP 5 [</w:t>
      </w:r>
      <w:r w:rsidRPr="00A34F57">
        <w:rPr>
          <w:i/>
        </w:rPr>
        <w:t>Mensah</w:t>
      </w:r>
      <w:r w:rsidRPr="00A34F57">
        <w:t>] (</w:t>
      </w:r>
      <w:proofErr w:type="spellStart"/>
      <w:r w:rsidRPr="00A34F57">
        <w:t>leave</w:t>
      </w:r>
      <w:proofErr w:type="spellEnd"/>
      <w:r w:rsidRPr="00A34F57">
        <w:t xml:space="preserve"> to </w:t>
      </w:r>
      <w:proofErr w:type="spellStart"/>
      <w:r w:rsidRPr="00A34F57">
        <w:t>appeal</w:t>
      </w:r>
      <w:proofErr w:type="spellEnd"/>
      <w:r w:rsidRPr="00A34F57">
        <w:t xml:space="preserve"> </w:t>
      </w:r>
      <w:proofErr w:type="spellStart"/>
      <w:r w:rsidRPr="00A34F57">
        <w:t>refused</w:t>
      </w:r>
      <w:proofErr w:type="spellEnd"/>
      <w:r w:rsidRPr="00A34F57">
        <w:t xml:space="preserve">, 2018 QCCA 1030); </w:t>
      </w:r>
      <w:proofErr w:type="spellStart"/>
      <w:r w:rsidRPr="00A34F57">
        <w:rPr>
          <w:i/>
        </w:rPr>
        <w:t>DeBellefeuille</w:t>
      </w:r>
      <w:proofErr w:type="spellEnd"/>
      <w:r w:rsidRPr="00A34F57">
        <w:t xml:space="preserve">, </w:t>
      </w:r>
      <w:r w:rsidRPr="00A34F57">
        <w:rPr>
          <w:i/>
        </w:rPr>
        <w:t xml:space="preserve">supra </w:t>
      </w:r>
      <w:r w:rsidRPr="00A34F57">
        <w:t xml:space="preserve">note 45. </w:t>
      </w:r>
    </w:p>
  </w:footnote>
  <w:footnote w:id="126">
    <w:p w14:paraId="7CA35536" w14:textId="1783B172"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A34F57">
        <w:rPr>
          <w:i/>
          <w:lang w:val="en-CA"/>
        </w:rPr>
        <w:t>Nyembwe</w:t>
      </w:r>
      <w:proofErr w:type="spellEnd"/>
      <w:r w:rsidRPr="00124DB1">
        <w:rPr>
          <w:lang w:val="en-CA"/>
        </w:rPr>
        <w:t xml:space="preserve">, </w:t>
      </w:r>
      <w:r w:rsidRPr="00124DB1">
        <w:rPr>
          <w:i/>
          <w:lang w:val="en-CA"/>
        </w:rPr>
        <w:t>supra</w:t>
      </w:r>
      <w:r w:rsidRPr="00124DB1">
        <w:rPr>
          <w:lang w:val="en-CA"/>
        </w:rPr>
        <w:t xml:space="preserve"> note 41 at paras. 254, 362, 371, and 379.</w:t>
      </w:r>
    </w:p>
  </w:footnote>
  <w:footnote w:id="127">
    <w:p w14:paraId="2108F8D2" w14:textId="30056313"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P-28, </w:t>
      </w:r>
      <w:r w:rsidRPr="00124DB1">
        <w:rPr>
          <w:i/>
          <w:lang w:val="en-CA"/>
        </w:rPr>
        <w:t>supra</w:t>
      </w:r>
      <w:r w:rsidRPr="00124DB1">
        <w:rPr>
          <w:lang w:val="en-CA"/>
        </w:rPr>
        <w:t xml:space="preserve"> note </w:t>
      </w:r>
      <w:proofErr w:type="gramStart"/>
      <w:r w:rsidRPr="00124DB1">
        <w:rPr>
          <w:lang w:val="en-CA"/>
        </w:rPr>
        <w:t>8</w:t>
      </w:r>
      <w:proofErr w:type="gramEnd"/>
      <w:r w:rsidRPr="00124DB1">
        <w:rPr>
          <w:lang w:val="en-CA"/>
        </w:rPr>
        <w:t xml:space="preserve"> at 68.</w:t>
      </w:r>
    </w:p>
  </w:footnote>
  <w:footnote w:id="128">
    <w:p w14:paraId="703E6209"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68–69.</w:t>
      </w:r>
    </w:p>
  </w:footnote>
  <w:footnote w:id="129">
    <w:p w14:paraId="2443D3A1"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Bombardier</w:t>
      </w:r>
      <w:r w:rsidRPr="00124DB1">
        <w:rPr>
          <w:lang w:val="en-CA"/>
        </w:rPr>
        <w:t xml:space="preserve">, </w:t>
      </w:r>
      <w:r w:rsidRPr="00124DB1">
        <w:rPr>
          <w:i/>
          <w:lang w:val="en-CA"/>
        </w:rPr>
        <w:t xml:space="preserve">supra </w:t>
      </w:r>
      <w:r w:rsidRPr="00124DB1">
        <w:rPr>
          <w:lang w:val="en-CA"/>
        </w:rPr>
        <w:t>note 114 at para. 3.</w:t>
      </w:r>
    </w:p>
  </w:footnote>
  <w:footnote w:id="130">
    <w:p w14:paraId="591A91BE"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 34.</w:t>
      </w:r>
    </w:p>
  </w:footnote>
  <w:footnote w:id="131">
    <w:p w14:paraId="6B560016" w14:textId="302493BD"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paras. </w:t>
      </w:r>
      <w:proofErr w:type="gramStart"/>
      <w:r w:rsidRPr="00124DB1">
        <w:rPr>
          <w:lang w:val="en-CA"/>
        </w:rPr>
        <w:t>35 to 37</w:t>
      </w:r>
      <w:proofErr w:type="gramEnd"/>
      <w:r w:rsidRPr="00124DB1">
        <w:rPr>
          <w:lang w:val="en-CA"/>
        </w:rPr>
        <w:t xml:space="preserve"> [citations omitted].</w:t>
      </w:r>
    </w:p>
  </w:footnote>
  <w:footnote w:id="132">
    <w:p w14:paraId="5D4E3291" w14:textId="77777777"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xml:space="preserve">. at para. </w:t>
      </w:r>
      <w:r w:rsidRPr="00A34F57">
        <w:t>55.</w:t>
      </w:r>
    </w:p>
  </w:footnote>
  <w:footnote w:id="133">
    <w:p w14:paraId="1BF6D825" w14:textId="77777777"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 xml:space="preserve">Ibid. </w:t>
      </w:r>
      <w:r w:rsidRPr="00A34F57">
        <w:t>at</w:t>
      </w:r>
      <w:r w:rsidRPr="00A34F57">
        <w:rPr>
          <w:i/>
        </w:rPr>
        <w:t xml:space="preserve"> </w:t>
      </w:r>
      <w:r w:rsidRPr="00A34F57">
        <w:t xml:space="preserve">para. 59; </w:t>
      </w:r>
      <w:r w:rsidRPr="00A34F57">
        <w:rPr>
          <w:i/>
        </w:rPr>
        <w:t>Commission des droits de la personne et des droits de la jeunesse (</w:t>
      </w:r>
      <w:proofErr w:type="spellStart"/>
      <w:r w:rsidRPr="00A34F57">
        <w:rPr>
          <w:i/>
        </w:rPr>
        <w:t>Bencheqroun</w:t>
      </w:r>
      <w:proofErr w:type="spellEnd"/>
      <w:r w:rsidRPr="00A34F57">
        <w:rPr>
          <w:i/>
        </w:rPr>
        <w:t>) c. Société de transport de Montréal</w:t>
      </w:r>
      <w:r w:rsidRPr="00A34F57">
        <w:t xml:space="preserve">, 2020 QCCA 602 at para. </w:t>
      </w:r>
      <w:r w:rsidRPr="00124DB1">
        <w:rPr>
          <w:lang w:val="en-CA"/>
        </w:rPr>
        <w:t>23.</w:t>
      </w:r>
    </w:p>
  </w:footnote>
  <w:footnote w:id="134">
    <w:p w14:paraId="67CEB365" w14:textId="2FE823EB"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124DB1">
        <w:rPr>
          <w:i/>
          <w:lang w:val="en-CA"/>
        </w:rPr>
        <w:t>Rezko</w:t>
      </w:r>
      <w:r w:rsidRPr="00124DB1">
        <w:rPr>
          <w:lang w:val="en-CA"/>
        </w:rPr>
        <w:t xml:space="preserve">, </w:t>
      </w:r>
      <w:r w:rsidRPr="00124DB1">
        <w:rPr>
          <w:i/>
          <w:lang w:val="en-CA"/>
        </w:rPr>
        <w:t>supra</w:t>
      </w:r>
      <w:r w:rsidRPr="00124DB1">
        <w:rPr>
          <w:lang w:val="en-CA"/>
        </w:rPr>
        <w:t xml:space="preserve"> note 125 at para. </w:t>
      </w:r>
      <w:proofErr w:type="gramStart"/>
      <w:r w:rsidRPr="00124DB1">
        <w:rPr>
          <w:lang w:val="en-CA"/>
        </w:rPr>
        <w:t>177</w:t>
      </w:r>
      <w:proofErr w:type="gramEnd"/>
      <w:r w:rsidRPr="00124DB1">
        <w:rPr>
          <w:lang w:val="en-CA"/>
        </w:rPr>
        <w:t xml:space="preserve">; </w:t>
      </w:r>
      <w:r w:rsidRPr="00124DB1">
        <w:rPr>
          <w:i/>
          <w:lang w:val="en-CA"/>
        </w:rPr>
        <w:t>Mensah</w:t>
      </w:r>
      <w:r w:rsidRPr="00124DB1">
        <w:rPr>
          <w:lang w:val="en-CA"/>
        </w:rPr>
        <w:t xml:space="preserve">, </w:t>
      </w:r>
      <w:r w:rsidRPr="00124DB1">
        <w:rPr>
          <w:i/>
          <w:lang w:val="en-CA"/>
        </w:rPr>
        <w:t>supra</w:t>
      </w:r>
      <w:r w:rsidRPr="00124DB1">
        <w:rPr>
          <w:lang w:val="en-CA"/>
        </w:rPr>
        <w:t xml:space="preserve"> note 125 at para. </w:t>
      </w:r>
      <w:r w:rsidRPr="00A34F57">
        <w:t xml:space="preserve">68; </w:t>
      </w:r>
      <w:r w:rsidRPr="00A34F57">
        <w:rPr>
          <w:i/>
        </w:rPr>
        <w:t>Commission des droits de la personne et des droits de la jeunesse (</w:t>
      </w:r>
      <w:proofErr w:type="spellStart"/>
      <w:r w:rsidRPr="00A34F57">
        <w:rPr>
          <w:i/>
        </w:rPr>
        <w:t>Peart</w:t>
      </w:r>
      <w:proofErr w:type="spellEnd"/>
      <w:r w:rsidRPr="00A34F57">
        <w:rPr>
          <w:i/>
        </w:rPr>
        <w:t xml:space="preserve"> et un autre) c. Ville de Montréal (Service de police de la Ville de Montréal, SPVM)</w:t>
      </w:r>
      <w:r w:rsidRPr="00A34F57">
        <w:t>, 2018 QCTDP 15 at para. 83.</w:t>
      </w:r>
    </w:p>
  </w:footnote>
  <w:footnote w:id="135">
    <w:p w14:paraId="7FC50D1E" w14:textId="2F269F92"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Miller</w:t>
      </w:r>
      <w:r w:rsidRPr="00A34F57">
        <w:t xml:space="preserve">, </w:t>
      </w:r>
      <w:r w:rsidRPr="00A34F57">
        <w:rPr>
          <w:i/>
        </w:rPr>
        <w:t xml:space="preserve">supra </w:t>
      </w:r>
      <w:r w:rsidRPr="00A34F57">
        <w:t xml:space="preserve">note 68 at para. 196. </w:t>
      </w:r>
      <w:proofErr w:type="spellStart"/>
      <w:r w:rsidRPr="00A34F57">
        <w:t>See</w:t>
      </w:r>
      <w:proofErr w:type="spellEnd"/>
      <w:r w:rsidRPr="00A34F57">
        <w:t xml:space="preserve"> </w:t>
      </w:r>
      <w:proofErr w:type="spellStart"/>
      <w:r w:rsidRPr="00A34F57">
        <w:t>also</w:t>
      </w:r>
      <w:proofErr w:type="spellEnd"/>
      <w:r w:rsidRPr="00A34F57">
        <w:t xml:space="preserve"> </w:t>
      </w:r>
      <w:r w:rsidRPr="00A34F57">
        <w:rPr>
          <w:i/>
        </w:rPr>
        <w:t>Commission des droits de la personne et des droits de la jeunesse (Dagobert et autres) c. Bertrand</w:t>
      </w:r>
      <w:r w:rsidRPr="00A34F57">
        <w:t xml:space="preserve">, 2013 QCTDP 6 at para. 145, </w:t>
      </w:r>
      <w:proofErr w:type="spellStart"/>
      <w:r w:rsidRPr="00A34F57">
        <w:t>rev’d</w:t>
      </w:r>
      <w:proofErr w:type="spellEnd"/>
      <w:r w:rsidRPr="00A34F57">
        <w:t xml:space="preserve"> in part on </w:t>
      </w:r>
      <w:proofErr w:type="spellStart"/>
      <w:r w:rsidRPr="00A34F57">
        <w:t>other</w:t>
      </w:r>
      <w:proofErr w:type="spellEnd"/>
      <w:r w:rsidRPr="00A34F57">
        <w:t xml:space="preserve"> grounds </w:t>
      </w:r>
      <w:r w:rsidRPr="00A34F57">
        <w:rPr>
          <w:i/>
        </w:rPr>
        <w:t>Bertrand c. Commission des droits de la personne et des droits de la jeunesse</w:t>
      </w:r>
      <w:r w:rsidRPr="00A34F57">
        <w:t>, 2014 QCCA 2199 (</w:t>
      </w:r>
      <w:proofErr w:type="spellStart"/>
      <w:r w:rsidRPr="00A34F57">
        <w:t>leave</w:t>
      </w:r>
      <w:proofErr w:type="spellEnd"/>
      <w:r w:rsidRPr="00A34F57">
        <w:t xml:space="preserve"> to </w:t>
      </w:r>
      <w:proofErr w:type="spellStart"/>
      <w:r w:rsidRPr="00A34F57">
        <w:t>appeal</w:t>
      </w:r>
      <w:proofErr w:type="spellEnd"/>
      <w:r w:rsidRPr="00A34F57">
        <w:t xml:space="preserve"> to SCC </w:t>
      </w:r>
      <w:proofErr w:type="spellStart"/>
      <w:r w:rsidRPr="00A34F57">
        <w:t>refused</w:t>
      </w:r>
      <w:proofErr w:type="spellEnd"/>
      <w:r w:rsidRPr="00A34F57">
        <w:t xml:space="preserve">, 36275 (28 May 2015); </w:t>
      </w:r>
      <w:proofErr w:type="spellStart"/>
      <w:r w:rsidRPr="00A34F57">
        <w:rPr>
          <w:i/>
        </w:rPr>
        <w:t>Rezko</w:t>
      </w:r>
      <w:proofErr w:type="spellEnd"/>
      <w:r w:rsidRPr="00A34F57">
        <w:t xml:space="preserve">, </w:t>
      </w:r>
      <w:r w:rsidRPr="00A34F57">
        <w:rPr>
          <w:i/>
        </w:rPr>
        <w:t>supra</w:t>
      </w:r>
      <w:r w:rsidRPr="00A34F57">
        <w:t xml:space="preserve"> note 125 at para. 185; </w:t>
      </w:r>
      <w:proofErr w:type="spellStart"/>
      <w:r w:rsidRPr="00A34F57">
        <w:rPr>
          <w:i/>
        </w:rPr>
        <w:t>DeBellefeuille</w:t>
      </w:r>
      <w:proofErr w:type="spellEnd"/>
      <w:r w:rsidRPr="00A34F57">
        <w:t xml:space="preserve">, </w:t>
      </w:r>
      <w:r w:rsidRPr="00A34F57">
        <w:rPr>
          <w:i/>
        </w:rPr>
        <w:t>supra</w:t>
      </w:r>
      <w:r w:rsidRPr="00A34F57">
        <w:t xml:space="preserve"> note 45 at para. 155.</w:t>
      </w:r>
    </w:p>
  </w:footnote>
  <w:footnote w:id="136">
    <w:p w14:paraId="45953986" w14:textId="58B984D4" w:rsidR="006F54DF" w:rsidRPr="00A34F57" w:rsidRDefault="006F54DF">
      <w:pPr>
        <w:pStyle w:val="Notedebasdepage"/>
      </w:pPr>
      <w:r w:rsidRPr="00124DB1">
        <w:rPr>
          <w:rStyle w:val="Appelnotedebasdep"/>
          <w:lang w:val="en-CA"/>
        </w:rPr>
        <w:footnoteRef/>
      </w:r>
      <w:r w:rsidRPr="00D90D2A">
        <w:t xml:space="preserve"> </w:t>
      </w:r>
      <w:r w:rsidRPr="00D90D2A">
        <w:tab/>
      </w:r>
      <w:proofErr w:type="spellStart"/>
      <w:r w:rsidRPr="00D90D2A">
        <w:rPr>
          <w:i/>
        </w:rPr>
        <w:t>Nyembwe</w:t>
      </w:r>
      <w:proofErr w:type="spellEnd"/>
      <w:r w:rsidRPr="00D90D2A">
        <w:t xml:space="preserve">, </w:t>
      </w:r>
      <w:r w:rsidRPr="00D90D2A">
        <w:rPr>
          <w:i/>
        </w:rPr>
        <w:t>supra</w:t>
      </w:r>
      <w:r w:rsidRPr="00D90D2A">
        <w:t xml:space="preserve"> note 41 at para. </w:t>
      </w:r>
      <w:r w:rsidRPr="00A34F57">
        <w:t>384.</w:t>
      </w:r>
    </w:p>
  </w:footnote>
  <w:footnote w:id="137">
    <w:p w14:paraId="08CCACD0" w14:textId="600FA679"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rPr>
          <w:i/>
        </w:rPr>
        <w:t>DeBellefeuille</w:t>
      </w:r>
      <w:proofErr w:type="spellEnd"/>
      <w:r w:rsidRPr="00A34F57">
        <w:t xml:space="preserve">, </w:t>
      </w:r>
      <w:r w:rsidRPr="00A34F57">
        <w:rPr>
          <w:i/>
        </w:rPr>
        <w:t>supra</w:t>
      </w:r>
      <w:r w:rsidRPr="00A34F57">
        <w:t xml:space="preserve"> note 45 at para. 154. </w:t>
      </w:r>
    </w:p>
  </w:footnote>
  <w:footnote w:id="138">
    <w:p w14:paraId="2F0E66F4" w14:textId="77777777" w:rsidR="006F54DF" w:rsidRPr="00A34F57" w:rsidRDefault="006F54DF">
      <w:pPr>
        <w:pStyle w:val="Notedebasdepage"/>
      </w:pPr>
      <w:r w:rsidRPr="00124DB1">
        <w:rPr>
          <w:rStyle w:val="Appelnotedebasdep"/>
          <w:lang w:val="en-CA"/>
        </w:rPr>
        <w:footnoteRef/>
      </w:r>
      <w:r w:rsidRPr="00A34F57">
        <w:t xml:space="preserve"> </w:t>
      </w:r>
      <w:r w:rsidRPr="00A34F57">
        <w:tab/>
      </w:r>
      <w:r w:rsidRPr="00A34F57">
        <w:rPr>
          <w:i/>
        </w:rPr>
        <w:t>Bombardier</w:t>
      </w:r>
      <w:r w:rsidRPr="00A34F57">
        <w:t xml:space="preserve">, </w:t>
      </w:r>
      <w:r w:rsidRPr="00A34F57">
        <w:rPr>
          <w:i/>
        </w:rPr>
        <w:t xml:space="preserve">supra </w:t>
      </w:r>
      <w:r w:rsidRPr="00A34F57">
        <w:t>note 114 at para. 33.</w:t>
      </w:r>
    </w:p>
  </w:footnote>
  <w:footnote w:id="139">
    <w:p w14:paraId="56906BBE" w14:textId="6068FF45"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rPr>
          <w:i/>
        </w:rPr>
        <w:t>DeBellefeuille</w:t>
      </w:r>
      <w:proofErr w:type="spellEnd"/>
      <w:r w:rsidRPr="00A34F57">
        <w:t xml:space="preserve">, </w:t>
      </w:r>
      <w:r w:rsidRPr="00A34F57">
        <w:rPr>
          <w:i/>
        </w:rPr>
        <w:t>supra</w:t>
      </w:r>
      <w:r w:rsidRPr="00A34F57">
        <w:t xml:space="preserve"> note 45 at para. 154.</w:t>
      </w:r>
    </w:p>
  </w:footnote>
  <w:footnote w:id="140">
    <w:p w14:paraId="7D822E56" w14:textId="77777777"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Procureure générale du Québec c. Association des juristes de l'État</w:t>
      </w:r>
      <w:r w:rsidRPr="00A34F57">
        <w:t xml:space="preserve">, 2018 QCCA 1763 at para. </w:t>
      </w:r>
      <w:r w:rsidRPr="00124DB1">
        <w:rPr>
          <w:lang w:val="en-CA"/>
        </w:rPr>
        <w:t>59.</w:t>
      </w:r>
    </w:p>
  </w:footnote>
  <w:footnote w:id="141">
    <w:p w14:paraId="0638A30A" w14:textId="6CFE8876"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w:t>
      </w:r>
      <w:proofErr w:type="gramStart"/>
      <w:r w:rsidRPr="00124DB1">
        <w:rPr>
          <w:lang w:val="en-CA"/>
        </w:rPr>
        <w:t xml:space="preserve">141. See also </w:t>
      </w:r>
      <w:r w:rsidRPr="00124DB1">
        <w:rPr>
          <w:i/>
          <w:lang w:val="en-CA"/>
        </w:rPr>
        <w:t>Dowd c. Beaulieu-</w:t>
      </w:r>
      <w:proofErr w:type="spellStart"/>
      <w:r w:rsidRPr="00124DB1">
        <w:rPr>
          <w:i/>
          <w:lang w:val="en-CA"/>
        </w:rPr>
        <w:t>Dulac</w:t>
      </w:r>
      <w:proofErr w:type="spellEnd"/>
      <w:proofErr w:type="gramEnd"/>
      <w:r w:rsidRPr="00124DB1">
        <w:rPr>
          <w:lang w:val="en-CA"/>
        </w:rPr>
        <w:t xml:space="preserve">, </w:t>
      </w:r>
      <w:proofErr w:type="gramStart"/>
      <w:r w:rsidRPr="00124DB1">
        <w:rPr>
          <w:i/>
          <w:lang w:val="en-CA"/>
        </w:rPr>
        <w:t>supra</w:t>
      </w:r>
      <w:r w:rsidRPr="00124DB1">
        <w:rPr>
          <w:lang w:val="en-CA"/>
        </w:rPr>
        <w:t xml:space="preserve"> note 121 at para</w:t>
      </w:r>
      <w:proofErr w:type="gramEnd"/>
      <w:r w:rsidRPr="00124DB1">
        <w:rPr>
          <w:lang w:val="en-CA"/>
        </w:rPr>
        <w:t>. 49.</w:t>
      </w:r>
    </w:p>
  </w:footnote>
  <w:footnote w:id="142">
    <w:p w14:paraId="45D36B9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Ibid</w:t>
      </w:r>
      <w:r w:rsidRPr="00124DB1">
        <w:rPr>
          <w:lang w:val="en-CA"/>
        </w:rPr>
        <w:t xml:space="preserve">. at para. 180. </w:t>
      </w:r>
    </w:p>
  </w:footnote>
  <w:footnote w:id="143">
    <w:p w14:paraId="5AD40342" w14:textId="6D6DDFC6"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Rezko</w:t>
      </w:r>
      <w:r w:rsidRPr="00124DB1">
        <w:rPr>
          <w:lang w:val="en-CA"/>
        </w:rPr>
        <w:t xml:space="preserve">, </w:t>
      </w:r>
      <w:r w:rsidRPr="00124DB1">
        <w:rPr>
          <w:i/>
          <w:lang w:val="en-CA"/>
        </w:rPr>
        <w:t>supra</w:t>
      </w:r>
      <w:r w:rsidRPr="00124DB1">
        <w:rPr>
          <w:lang w:val="en-CA"/>
        </w:rPr>
        <w:t xml:space="preserve"> note 125 at para. </w:t>
      </w:r>
      <w:proofErr w:type="gramStart"/>
      <w:r w:rsidRPr="00124DB1">
        <w:rPr>
          <w:lang w:val="en-CA"/>
        </w:rPr>
        <w:t>199</w:t>
      </w:r>
      <w:proofErr w:type="gramEnd"/>
      <w:r w:rsidRPr="00124DB1">
        <w:rPr>
          <w:lang w:val="en-CA"/>
        </w:rPr>
        <w:t xml:space="preserve">; </w:t>
      </w:r>
      <w:r w:rsidRPr="00124DB1">
        <w:rPr>
          <w:i/>
          <w:lang w:val="en-CA"/>
        </w:rPr>
        <w:t>Mensah</w:t>
      </w:r>
      <w:r w:rsidRPr="00124DB1">
        <w:rPr>
          <w:lang w:val="en-CA"/>
        </w:rPr>
        <w:t xml:space="preserve">, </w:t>
      </w:r>
      <w:r w:rsidRPr="00124DB1">
        <w:rPr>
          <w:i/>
          <w:lang w:val="en-CA"/>
        </w:rPr>
        <w:t>supra</w:t>
      </w:r>
      <w:r w:rsidRPr="00124DB1">
        <w:rPr>
          <w:lang w:val="en-CA"/>
        </w:rPr>
        <w:t xml:space="preserve"> note 125 at paras. 266–267.</w:t>
      </w:r>
    </w:p>
  </w:footnote>
  <w:footnote w:id="144">
    <w:p w14:paraId="128DCEAD" w14:textId="40D982F0"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P-24, Sketch of the inside of the bar (with a note indicating “seats”).    </w:t>
      </w:r>
    </w:p>
  </w:footnote>
  <w:footnote w:id="145">
    <w:p w14:paraId="653E7233" w14:textId="77777777" w:rsidR="006F54DF" w:rsidRPr="00124DB1" w:rsidRDefault="006F54DF">
      <w:pPr>
        <w:pStyle w:val="Notedebasdepage"/>
        <w:rPr>
          <w:lang w:val="en-CA"/>
        </w:rPr>
      </w:pPr>
      <w:r w:rsidRPr="00124DB1">
        <w:rPr>
          <w:rStyle w:val="Appelnotedebasdep"/>
          <w:lang w:val="en-CA"/>
        </w:rPr>
        <w:footnoteRef/>
      </w:r>
      <w:r w:rsidRPr="00A34F57">
        <w:t xml:space="preserve"> </w:t>
      </w:r>
      <w:r w:rsidRPr="00A34F57">
        <w:tab/>
      </w:r>
      <w:r w:rsidRPr="00A34F57">
        <w:rPr>
          <w:i/>
        </w:rPr>
        <w:t>Bombardier</w:t>
      </w:r>
      <w:r w:rsidRPr="00A34F57">
        <w:t xml:space="preserve">, </w:t>
      </w:r>
      <w:r w:rsidRPr="00A34F57">
        <w:rPr>
          <w:i/>
        </w:rPr>
        <w:t xml:space="preserve">supra </w:t>
      </w:r>
      <w:r w:rsidRPr="00A34F57">
        <w:t xml:space="preserve">note 114 at para. </w:t>
      </w:r>
      <w:r w:rsidRPr="00124DB1">
        <w:rPr>
          <w:lang w:val="en-CA"/>
        </w:rPr>
        <w:t xml:space="preserve">33. </w:t>
      </w:r>
    </w:p>
  </w:footnote>
  <w:footnote w:id="146">
    <w:p w14:paraId="27B006F0" w14:textId="0D5380F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 v. Kang-Brown</w:t>
      </w:r>
      <w:r w:rsidRPr="00124DB1">
        <w:rPr>
          <w:lang w:val="en-CA"/>
        </w:rPr>
        <w:t xml:space="preserve">, 2008 SCC 18 at para. </w:t>
      </w:r>
      <w:proofErr w:type="gramStart"/>
      <w:r w:rsidRPr="00124DB1">
        <w:rPr>
          <w:lang w:val="en-CA"/>
        </w:rPr>
        <w:t>75</w:t>
      </w:r>
      <w:proofErr w:type="gramEnd"/>
      <w:r w:rsidRPr="00124DB1">
        <w:rPr>
          <w:lang w:val="en-CA"/>
        </w:rPr>
        <w:t xml:space="preserve"> [emphasis added].</w:t>
      </w:r>
    </w:p>
  </w:footnote>
  <w:footnote w:id="147">
    <w:p w14:paraId="2706FB0F" w14:textId="77777777" w:rsidR="006F54DF" w:rsidRPr="00124DB1" w:rsidRDefault="006F54DF" w:rsidP="00507A20">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w:t>
      </w:r>
    </w:p>
  </w:footnote>
  <w:footnote w:id="148">
    <w:p w14:paraId="51DA2811" w14:textId="7D994045" w:rsidR="006F54DF" w:rsidRPr="00A34F57" w:rsidRDefault="006F54DF">
      <w:pPr>
        <w:pStyle w:val="Notedebasdepage"/>
      </w:pPr>
      <w:r w:rsidRPr="00124DB1">
        <w:rPr>
          <w:rStyle w:val="Appelnotedebasdep"/>
          <w:lang w:val="en-CA"/>
        </w:rPr>
        <w:footnoteRef/>
      </w:r>
      <w:r w:rsidRPr="00124DB1">
        <w:rPr>
          <w:lang w:val="en-CA"/>
        </w:rPr>
        <w:t xml:space="preserve"> </w:t>
      </w:r>
      <w:r w:rsidRPr="00124DB1">
        <w:rPr>
          <w:lang w:val="en-CA"/>
        </w:rPr>
        <w:tab/>
      </w:r>
      <w:r w:rsidRPr="00124DB1">
        <w:rPr>
          <w:i/>
          <w:lang w:val="en-CA"/>
        </w:rPr>
        <w:t>R. v. Ahmad</w:t>
      </w:r>
      <w:r w:rsidRPr="00124DB1">
        <w:rPr>
          <w:lang w:val="en-CA"/>
        </w:rPr>
        <w:t xml:space="preserve">, 2020 SCC 11 at para. </w:t>
      </w:r>
      <w:r w:rsidRPr="00A34F57">
        <w:t>46 [</w:t>
      </w:r>
      <w:proofErr w:type="spellStart"/>
      <w:r w:rsidRPr="00A34F57">
        <w:t>emphasis</w:t>
      </w:r>
      <w:proofErr w:type="spellEnd"/>
      <w:r w:rsidRPr="00A34F57">
        <w:t xml:space="preserve"> </w:t>
      </w:r>
      <w:proofErr w:type="spellStart"/>
      <w:r w:rsidRPr="00A34F57">
        <w:t>added</w:t>
      </w:r>
      <w:proofErr w:type="spellEnd"/>
      <w:r w:rsidRPr="00A34F57">
        <w:t>].</w:t>
      </w:r>
    </w:p>
  </w:footnote>
  <w:footnote w:id="149">
    <w:p w14:paraId="3940082A" w14:textId="77777777" w:rsidR="006F54DF" w:rsidRPr="00A34F57" w:rsidRDefault="006F54DF">
      <w:pPr>
        <w:pStyle w:val="Notedebasdepage"/>
      </w:pPr>
      <w:r w:rsidRPr="00124DB1">
        <w:rPr>
          <w:rStyle w:val="Appelnotedebasdep"/>
          <w:lang w:val="en-CA"/>
        </w:rPr>
        <w:footnoteRef/>
      </w:r>
      <w:r w:rsidRPr="00A34F57">
        <w:t xml:space="preserve"> </w:t>
      </w:r>
      <w:r w:rsidRPr="00A34F57">
        <w:tab/>
        <w:t xml:space="preserve">Alexandre Boucher, François </w:t>
      </w:r>
      <w:proofErr w:type="spellStart"/>
      <w:r w:rsidRPr="00A34F57">
        <w:t>Lacasse</w:t>
      </w:r>
      <w:proofErr w:type="spellEnd"/>
      <w:r w:rsidRPr="00A34F57">
        <w:t xml:space="preserve"> &amp; Thierry Nadon, “La création de la détention pour enquête en </w:t>
      </w:r>
      <w:proofErr w:type="spellStart"/>
      <w:r w:rsidRPr="00A34F57">
        <w:t>common</w:t>
      </w:r>
      <w:proofErr w:type="spellEnd"/>
      <w:r w:rsidRPr="00A34F57">
        <w:t xml:space="preserve"> </w:t>
      </w:r>
      <w:proofErr w:type="spellStart"/>
      <w:r w:rsidRPr="00A34F57">
        <w:t>law</w:t>
      </w:r>
      <w:proofErr w:type="spellEnd"/>
      <w:r w:rsidRPr="00A34F57">
        <w:t xml:space="preserve"> : dérive jurisprudentielle ou évolution nécessaire? Un point de vue pragmatique”, (2009) 50 </w:t>
      </w:r>
      <w:r w:rsidRPr="00A34F57">
        <w:rPr>
          <w:i/>
        </w:rPr>
        <w:t xml:space="preserve">Cahiers de droit </w:t>
      </w:r>
      <w:r w:rsidRPr="00A34F57">
        <w:t>771 at 776.</w:t>
      </w:r>
    </w:p>
  </w:footnote>
  <w:footnote w:id="150">
    <w:p w14:paraId="688613FD" w14:textId="77777777" w:rsidR="006F54DF" w:rsidRPr="00A34F57" w:rsidRDefault="006F54DF">
      <w:pPr>
        <w:pStyle w:val="Notedebasdepage"/>
      </w:pPr>
      <w:r w:rsidRPr="00124DB1">
        <w:rPr>
          <w:rStyle w:val="Appelnotedebasdep"/>
          <w:lang w:val="en-CA"/>
        </w:rPr>
        <w:footnoteRef/>
      </w:r>
      <w:r w:rsidRPr="00A34F57">
        <w:t xml:space="preserve"> </w:t>
      </w:r>
      <w:r w:rsidRPr="00A34F57">
        <w:tab/>
      </w:r>
      <w:proofErr w:type="spellStart"/>
      <w:r w:rsidRPr="00A34F57">
        <w:t>Exhibit</w:t>
      </w:r>
      <w:proofErr w:type="spellEnd"/>
      <w:r w:rsidRPr="00A34F57">
        <w:t xml:space="preserve"> VDM-20, </w:t>
      </w:r>
      <w:r w:rsidRPr="00A34F57">
        <w:rPr>
          <w:i/>
        </w:rPr>
        <w:t xml:space="preserve">supra </w:t>
      </w:r>
      <w:r w:rsidRPr="00A34F57">
        <w:t>note 3 at 8.</w:t>
      </w:r>
    </w:p>
  </w:footnote>
  <w:footnote w:id="151">
    <w:p w14:paraId="7AB9BDDA" w14:textId="2E2DB33E" w:rsidR="006F54DF" w:rsidRPr="00A34F57" w:rsidRDefault="006F54DF">
      <w:pPr>
        <w:pStyle w:val="Notedebasdepage"/>
        <w:rPr>
          <w:lang w:val="en-CA"/>
        </w:rPr>
      </w:pPr>
      <w:r w:rsidRPr="00124DB1">
        <w:rPr>
          <w:rStyle w:val="Appelnotedebasdep"/>
          <w:lang w:val="en-CA"/>
        </w:rPr>
        <w:footnoteRef/>
      </w:r>
      <w:r w:rsidRPr="00A34F57">
        <w:rPr>
          <w:lang w:val="en-CA"/>
        </w:rPr>
        <w:t xml:space="preserve"> </w:t>
      </w:r>
      <w:r w:rsidRPr="00A34F57">
        <w:rPr>
          <w:lang w:val="en-CA"/>
        </w:rPr>
        <w:tab/>
        <w:t>Exhibit VDM-22, SPVM citizen relations policy, January 26, 2012, at 2.</w:t>
      </w:r>
    </w:p>
  </w:footnote>
  <w:footnote w:id="152">
    <w:p w14:paraId="42B55872"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VDM-20, </w:t>
      </w:r>
      <w:r w:rsidRPr="00124DB1">
        <w:rPr>
          <w:i/>
          <w:lang w:val="en-CA"/>
        </w:rPr>
        <w:t xml:space="preserve">supra </w:t>
      </w:r>
      <w:r w:rsidRPr="00124DB1">
        <w:rPr>
          <w:lang w:val="en-CA"/>
        </w:rPr>
        <w:t xml:space="preserve">note </w:t>
      </w:r>
      <w:proofErr w:type="gramStart"/>
      <w:r w:rsidRPr="00124DB1">
        <w:rPr>
          <w:lang w:val="en-CA"/>
        </w:rPr>
        <w:t>3</w:t>
      </w:r>
      <w:proofErr w:type="gramEnd"/>
      <w:r w:rsidRPr="00124DB1">
        <w:rPr>
          <w:lang w:val="en-CA"/>
        </w:rPr>
        <w:t xml:space="preserve"> at 9.</w:t>
      </w:r>
    </w:p>
  </w:footnote>
  <w:footnote w:id="153">
    <w:p w14:paraId="420ED7D1" w14:textId="208D2CC1"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VDM-10, Affidavit of </w:t>
      </w:r>
      <w:proofErr w:type="spellStart"/>
      <w:r w:rsidRPr="00124DB1">
        <w:rPr>
          <w:lang w:val="en-CA"/>
        </w:rPr>
        <w:t>Jérôme</w:t>
      </w:r>
      <w:proofErr w:type="spellEnd"/>
      <w:r w:rsidRPr="00124DB1">
        <w:rPr>
          <w:lang w:val="en-CA"/>
        </w:rPr>
        <w:t xml:space="preserve"> Tremb</w:t>
      </w:r>
      <w:r>
        <w:rPr>
          <w:lang w:val="en-CA"/>
        </w:rPr>
        <w:t>l</w:t>
      </w:r>
      <w:r w:rsidRPr="00124DB1">
        <w:rPr>
          <w:lang w:val="en-CA"/>
        </w:rPr>
        <w:t>ay, November 2020.</w:t>
      </w:r>
    </w:p>
  </w:footnote>
  <w:footnote w:id="154">
    <w:p w14:paraId="4E7A54ED" w14:textId="1C7AB844"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P-27, Pre-trial examination of </w:t>
      </w:r>
      <w:proofErr w:type="spellStart"/>
      <w:r w:rsidRPr="00124DB1">
        <w:rPr>
          <w:lang w:val="en-CA"/>
        </w:rPr>
        <w:t>Jérôme</w:t>
      </w:r>
      <w:proofErr w:type="spellEnd"/>
      <w:r w:rsidRPr="00124DB1">
        <w:rPr>
          <w:lang w:val="en-CA"/>
        </w:rPr>
        <w:t xml:space="preserve"> Tremblay held by videoconference on October 6, 2020, at 21. </w:t>
      </w:r>
    </w:p>
  </w:footnote>
  <w:footnote w:id="155">
    <w:p w14:paraId="4618E66F"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 v. Ahmad</w:t>
      </w:r>
      <w:r w:rsidRPr="00124DB1">
        <w:rPr>
          <w:lang w:val="en-CA"/>
        </w:rPr>
        <w:t xml:space="preserve">, </w:t>
      </w:r>
      <w:r w:rsidRPr="00124DB1">
        <w:rPr>
          <w:i/>
          <w:lang w:val="en-CA"/>
        </w:rPr>
        <w:t>supra</w:t>
      </w:r>
      <w:r w:rsidRPr="00124DB1">
        <w:rPr>
          <w:lang w:val="en-CA"/>
        </w:rPr>
        <w:t>, note 148 at para. 48.</w:t>
      </w:r>
    </w:p>
  </w:footnote>
  <w:footnote w:id="156">
    <w:p w14:paraId="444CFE1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paras. 45 and 46.</w:t>
      </w:r>
    </w:p>
  </w:footnote>
  <w:footnote w:id="157">
    <w:p w14:paraId="58BCF3C0"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Police Act</w:t>
      </w:r>
      <w:r w:rsidRPr="00124DB1">
        <w:rPr>
          <w:lang w:val="en-CA"/>
        </w:rPr>
        <w:t>, CQLR, c. P-13.1, s. 48.</w:t>
      </w:r>
    </w:p>
  </w:footnote>
  <w:footnote w:id="158">
    <w:p w14:paraId="63DFF174"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 v. MacDonald</w:t>
      </w:r>
      <w:r w:rsidRPr="00124DB1">
        <w:rPr>
          <w:lang w:val="en-CA"/>
        </w:rPr>
        <w:t xml:space="preserve">, 2014 SCC 3, [2014] </w:t>
      </w:r>
      <w:proofErr w:type="gramStart"/>
      <w:r w:rsidRPr="00124DB1">
        <w:rPr>
          <w:lang w:val="en-CA"/>
        </w:rPr>
        <w:t>1</w:t>
      </w:r>
      <w:proofErr w:type="gramEnd"/>
      <w:r w:rsidRPr="00124DB1">
        <w:rPr>
          <w:lang w:val="en-CA"/>
        </w:rPr>
        <w:t xml:space="preserve"> SCR 37 at paras. 40 and 41.</w:t>
      </w:r>
    </w:p>
  </w:footnote>
  <w:footnote w:id="159">
    <w:p w14:paraId="213ECDC7" w14:textId="675D36FC"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Mensah</w:t>
      </w:r>
      <w:r w:rsidRPr="00124DB1">
        <w:rPr>
          <w:lang w:val="en-CA"/>
        </w:rPr>
        <w:t xml:space="preserve">, </w:t>
      </w:r>
      <w:r w:rsidRPr="00124DB1">
        <w:rPr>
          <w:i/>
          <w:lang w:val="en-CA"/>
        </w:rPr>
        <w:t>supra</w:t>
      </w:r>
      <w:r w:rsidRPr="00124DB1">
        <w:rPr>
          <w:lang w:val="en-CA"/>
        </w:rPr>
        <w:t xml:space="preserve"> note 125 at para. </w:t>
      </w:r>
      <w:proofErr w:type="gramStart"/>
      <w:r w:rsidRPr="00124DB1">
        <w:rPr>
          <w:lang w:val="en-CA"/>
        </w:rPr>
        <w:t>227</w:t>
      </w:r>
      <w:proofErr w:type="gramEnd"/>
      <w:r w:rsidRPr="00124DB1">
        <w:rPr>
          <w:lang w:val="en-CA"/>
        </w:rPr>
        <w:t xml:space="preserve"> [citation omitted].</w:t>
      </w:r>
    </w:p>
  </w:footnote>
  <w:footnote w:id="160">
    <w:p w14:paraId="01690E95"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VDM-</w:t>
      </w:r>
      <w:proofErr w:type="gramStart"/>
      <w:r w:rsidRPr="00124DB1">
        <w:rPr>
          <w:lang w:val="en-CA"/>
        </w:rPr>
        <w:t>20,</w:t>
      </w:r>
      <w:proofErr w:type="gramEnd"/>
      <w:r w:rsidRPr="00124DB1">
        <w:rPr>
          <w:lang w:val="en-CA"/>
        </w:rPr>
        <w:t xml:space="preserve"> </w:t>
      </w:r>
      <w:r w:rsidRPr="00124DB1">
        <w:rPr>
          <w:i/>
          <w:lang w:val="en-CA"/>
        </w:rPr>
        <w:t xml:space="preserve">supra </w:t>
      </w:r>
      <w:r w:rsidRPr="00124DB1">
        <w:rPr>
          <w:lang w:val="en-CA"/>
        </w:rPr>
        <w:t>note 3 at 8–9.</w:t>
      </w:r>
    </w:p>
  </w:footnote>
  <w:footnote w:id="161">
    <w:p w14:paraId="366121F4" w14:textId="79A78461"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 P-</w:t>
      </w:r>
      <w:proofErr w:type="gramStart"/>
      <w:r w:rsidRPr="00124DB1">
        <w:rPr>
          <w:lang w:val="en-CA"/>
        </w:rPr>
        <w:t>28,</w:t>
      </w:r>
      <w:proofErr w:type="gramEnd"/>
      <w:r w:rsidRPr="00124DB1">
        <w:rPr>
          <w:lang w:val="en-CA"/>
        </w:rPr>
        <w:t xml:space="preserve"> </w:t>
      </w:r>
      <w:r w:rsidRPr="00124DB1">
        <w:rPr>
          <w:i/>
          <w:lang w:val="en-CA"/>
        </w:rPr>
        <w:t>supra</w:t>
      </w:r>
      <w:r w:rsidRPr="00124DB1">
        <w:rPr>
          <w:lang w:val="en-CA"/>
        </w:rPr>
        <w:t xml:space="preserve"> note 8 at 68 and 69.</w:t>
      </w:r>
    </w:p>
  </w:footnote>
  <w:footnote w:id="162">
    <w:p w14:paraId="47604D7B" w14:textId="36355B66"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Contrary to the facts in </w:t>
      </w:r>
      <w:r w:rsidRPr="00124DB1">
        <w:rPr>
          <w:i/>
          <w:lang w:val="en-CA"/>
        </w:rPr>
        <w:t>Mensah</w:t>
      </w:r>
      <w:r w:rsidRPr="00124DB1">
        <w:rPr>
          <w:lang w:val="en-CA"/>
        </w:rPr>
        <w:t xml:space="preserve">, </w:t>
      </w:r>
      <w:r w:rsidRPr="00124DB1">
        <w:rPr>
          <w:i/>
          <w:lang w:val="en-CA"/>
        </w:rPr>
        <w:t>supra</w:t>
      </w:r>
      <w:r w:rsidRPr="00124DB1">
        <w:rPr>
          <w:lang w:val="en-CA"/>
        </w:rPr>
        <w:t xml:space="preserve"> note 125 at paras. </w:t>
      </w:r>
      <w:proofErr w:type="gramStart"/>
      <w:r w:rsidRPr="00124DB1">
        <w:rPr>
          <w:lang w:val="en-CA"/>
        </w:rPr>
        <w:t>245</w:t>
      </w:r>
      <w:proofErr w:type="gramEnd"/>
      <w:r w:rsidRPr="00124DB1">
        <w:rPr>
          <w:lang w:val="en-CA"/>
        </w:rPr>
        <w:t xml:space="preserve"> </w:t>
      </w:r>
      <w:r w:rsidRPr="00A34F57">
        <w:rPr>
          <w:i/>
          <w:lang w:val="en-CA"/>
        </w:rPr>
        <w:t>et seq</w:t>
      </w:r>
      <w:r w:rsidRPr="00124DB1">
        <w:rPr>
          <w:lang w:val="en-CA"/>
        </w:rPr>
        <w:t xml:space="preserve">., the evidence in this case supports the conclusion that this second search was essentially to complete the first. It is noteworthy that in </w:t>
      </w:r>
      <w:r w:rsidRPr="00A34F57">
        <w:rPr>
          <w:i/>
          <w:lang w:val="en-CA"/>
        </w:rPr>
        <w:t>Mensah</w:t>
      </w:r>
      <w:r w:rsidRPr="00124DB1">
        <w:rPr>
          <w:lang w:val="en-CA"/>
        </w:rPr>
        <w:t xml:space="preserve">, the police intervention </w:t>
      </w:r>
      <w:proofErr w:type="gramStart"/>
      <w:r w:rsidRPr="00124DB1">
        <w:rPr>
          <w:lang w:val="en-CA"/>
        </w:rPr>
        <w:t>was carried out</w:t>
      </w:r>
      <w:proofErr w:type="gramEnd"/>
      <w:r w:rsidRPr="00124DB1">
        <w:rPr>
          <w:lang w:val="en-CA"/>
        </w:rPr>
        <w:t xml:space="preserve"> under the </w:t>
      </w:r>
      <w:r w:rsidRPr="00124DB1">
        <w:rPr>
          <w:i/>
          <w:lang w:val="en-CA"/>
        </w:rPr>
        <w:t>Highway Safety Code</w:t>
      </w:r>
      <w:r w:rsidRPr="00124DB1">
        <w:rPr>
          <w:lang w:val="en-CA"/>
        </w:rPr>
        <w:t xml:space="preserve">, and the patrollers had no credible information that could lead them to suspect that the individual they searched intended to commit an offence. Incidentally, in para. 40 of </w:t>
      </w:r>
      <w:proofErr w:type="spellStart"/>
      <w:r w:rsidRPr="00124DB1">
        <w:rPr>
          <w:i/>
          <w:lang w:val="en-CA"/>
        </w:rPr>
        <w:t>Tlayji</w:t>
      </w:r>
      <w:proofErr w:type="spellEnd"/>
      <w:r w:rsidRPr="00124DB1">
        <w:rPr>
          <w:i/>
          <w:lang w:val="en-CA"/>
        </w:rPr>
        <w:t xml:space="preserve"> c. R.</w:t>
      </w:r>
      <w:r w:rsidRPr="00124DB1">
        <w:rPr>
          <w:lang w:val="en-CA"/>
        </w:rPr>
        <w:t xml:space="preserve">, 2022 QCCA 229, the Court of Appeal recognized that a rather summary first search </w:t>
      </w:r>
      <w:proofErr w:type="gramStart"/>
      <w:r w:rsidRPr="00124DB1">
        <w:rPr>
          <w:lang w:val="en-CA"/>
        </w:rPr>
        <w:t>could be completed</w:t>
      </w:r>
      <w:proofErr w:type="gramEnd"/>
      <w:r w:rsidRPr="00124DB1">
        <w:rPr>
          <w:lang w:val="en-CA"/>
        </w:rPr>
        <w:t xml:space="preserve"> by a more thorough search.    </w:t>
      </w:r>
    </w:p>
  </w:footnote>
  <w:footnote w:id="163">
    <w:p w14:paraId="548943B2"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VDM-20, </w:t>
      </w:r>
      <w:r w:rsidRPr="00124DB1">
        <w:rPr>
          <w:i/>
          <w:lang w:val="en-CA"/>
        </w:rPr>
        <w:t xml:space="preserve">supra </w:t>
      </w:r>
      <w:r w:rsidRPr="00124DB1">
        <w:rPr>
          <w:lang w:val="en-CA"/>
        </w:rPr>
        <w:t xml:space="preserve">note </w:t>
      </w:r>
      <w:proofErr w:type="gramStart"/>
      <w:r w:rsidRPr="00124DB1">
        <w:rPr>
          <w:lang w:val="en-CA"/>
        </w:rPr>
        <w:t>3</w:t>
      </w:r>
      <w:proofErr w:type="gramEnd"/>
      <w:r w:rsidRPr="00124DB1">
        <w:rPr>
          <w:lang w:val="en-CA"/>
        </w:rPr>
        <w:t xml:space="preserve"> at 27.</w:t>
      </w:r>
      <w:r w:rsidRPr="00124DB1">
        <w:rPr>
          <w:lang w:val="en-CA"/>
        </w:rPr>
        <w:tab/>
      </w:r>
    </w:p>
  </w:footnote>
  <w:footnote w:id="164">
    <w:p w14:paraId="30F6DF9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Ibid</w:t>
      </w:r>
      <w:r w:rsidRPr="00124DB1">
        <w:rPr>
          <w:lang w:val="en-CA"/>
        </w:rPr>
        <w:t>. at 84.</w:t>
      </w:r>
    </w:p>
  </w:footnote>
  <w:footnote w:id="165">
    <w:p w14:paraId="09ECEBE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2013 SCC 49, [2013] </w:t>
      </w:r>
      <w:proofErr w:type="gramStart"/>
      <w:r w:rsidRPr="00124DB1">
        <w:rPr>
          <w:lang w:val="en-CA"/>
        </w:rPr>
        <w:t>3</w:t>
      </w:r>
      <w:proofErr w:type="gramEnd"/>
      <w:r w:rsidRPr="00124DB1">
        <w:rPr>
          <w:lang w:val="en-CA"/>
        </w:rPr>
        <w:t xml:space="preserve"> SCR 220 at para. 28.</w:t>
      </w:r>
    </w:p>
  </w:footnote>
  <w:footnote w:id="166">
    <w:p w14:paraId="61234919" w14:textId="2CEF720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Because [</w:t>
      </w:r>
      <w:r w:rsidRPr="00124DB1">
        <w:rPr>
          <w:smallCaps/>
          <w:lang w:val="en-CA"/>
        </w:rPr>
        <w:t>translation</w:t>
      </w:r>
      <w:r w:rsidRPr="00124DB1">
        <w:rPr>
          <w:lang w:val="en-CA"/>
        </w:rPr>
        <w:t xml:space="preserve">] “the purpose of investigative detention is </w:t>
      </w:r>
      <w:proofErr w:type="gramStart"/>
      <w:r w:rsidRPr="00124DB1">
        <w:rPr>
          <w:lang w:val="en-CA"/>
        </w:rPr>
        <w:t>to</w:t>
      </w:r>
      <w:proofErr w:type="gramEnd"/>
      <w:r w:rsidRPr="00124DB1">
        <w:rPr>
          <w:lang w:val="en-CA"/>
        </w:rPr>
        <w:t xml:space="preserve"> infirm or confirm a suspect’s involvement in a recent or ongoing offence”, it must be [</w:t>
      </w:r>
      <w:r w:rsidRPr="00124DB1">
        <w:rPr>
          <w:smallCaps/>
          <w:lang w:val="en-CA"/>
        </w:rPr>
        <w:t>translation</w:t>
      </w:r>
      <w:r w:rsidRPr="00124DB1">
        <w:rPr>
          <w:lang w:val="en-CA"/>
        </w:rPr>
        <w:t>] “brief” and [</w:t>
      </w:r>
      <w:r w:rsidRPr="00124DB1">
        <w:rPr>
          <w:smallCaps/>
          <w:lang w:val="en-CA"/>
        </w:rPr>
        <w:t>translation</w:t>
      </w:r>
      <w:r w:rsidRPr="00124DB1">
        <w:rPr>
          <w:lang w:val="en-CA"/>
        </w:rPr>
        <w:t xml:space="preserve">] “in the </w:t>
      </w:r>
      <w:r w:rsidRPr="00124DB1">
        <w:rPr>
          <w:i/>
          <w:lang w:val="en-CA"/>
        </w:rPr>
        <w:t xml:space="preserve">short term </w:t>
      </w:r>
      <w:r w:rsidRPr="00124DB1">
        <w:rPr>
          <w:lang w:val="en-CA"/>
        </w:rPr>
        <w:t xml:space="preserve">lead to either an arrest </w:t>
      </w:r>
      <w:r w:rsidRPr="00124DB1">
        <w:rPr>
          <w:i/>
          <w:lang w:val="en-CA"/>
        </w:rPr>
        <w:t>or a release</w:t>
      </w:r>
      <w:r w:rsidRPr="00124DB1">
        <w:rPr>
          <w:lang w:val="en-CA"/>
        </w:rPr>
        <w:t xml:space="preserve">”: Boucher, </w:t>
      </w:r>
      <w:proofErr w:type="spellStart"/>
      <w:r w:rsidRPr="00124DB1">
        <w:rPr>
          <w:lang w:val="en-CA"/>
        </w:rPr>
        <w:t>Lacasse</w:t>
      </w:r>
      <w:proofErr w:type="spellEnd"/>
      <w:r w:rsidRPr="00124DB1">
        <w:rPr>
          <w:lang w:val="en-CA"/>
        </w:rPr>
        <w:t xml:space="preserve"> &amp; </w:t>
      </w:r>
      <w:proofErr w:type="spellStart"/>
      <w:r w:rsidRPr="00124DB1">
        <w:rPr>
          <w:lang w:val="en-CA"/>
        </w:rPr>
        <w:t>Nadon</w:t>
      </w:r>
      <w:proofErr w:type="spellEnd"/>
      <w:r w:rsidRPr="00124DB1">
        <w:rPr>
          <w:lang w:val="en-CA"/>
        </w:rPr>
        <w:t xml:space="preserve">, </w:t>
      </w:r>
      <w:r w:rsidRPr="00124DB1">
        <w:rPr>
          <w:i/>
          <w:lang w:val="en-CA"/>
        </w:rPr>
        <w:t>supra</w:t>
      </w:r>
      <w:r w:rsidRPr="00124DB1">
        <w:rPr>
          <w:lang w:val="en-CA"/>
        </w:rPr>
        <w:t xml:space="preserve"> note 149 at 784 [emphasis added]. </w:t>
      </w:r>
    </w:p>
  </w:footnote>
  <w:footnote w:id="167">
    <w:p w14:paraId="21B81CCD"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Exhibits R-1 and VDM-1, supra note 13.</w:t>
      </w:r>
    </w:p>
  </w:footnote>
  <w:footnote w:id="168">
    <w:p w14:paraId="2F359A59" w14:textId="6538BB7E"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P-15, List of the daily workforce for the </w:t>
      </w:r>
      <w:proofErr w:type="spellStart"/>
      <w:r w:rsidRPr="00124DB1">
        <w:rPr>
          <w:lang w:val="en-CA"/>
        </w:rPr>
        <w:t>Éclipse</w:t>
      </w:r>
      <w:proofErr w:type="spellEnd"/>
      <w:r w:rsidRPr="00124DB1">
        <w:rPr>
          <w:lang w:val="en-CA"/>
        </w:rPr>
        <w:t xml:space="preserve"> unit, August 28, 2014.</w:t>
      </w:r>
    </w:p>
  </w:footnote>
  <w:footnote w:id="169">
    <w:p w14:paraId="366F12D0" w14:textId="4193E108"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P-28, </w:t>
      </w:r>
      <w:r w:rsidRPr="00124DB1">
        <w:rPr>
          <w:i/>
          <w:lang w:val="en-CA"/>
        </w:rPr>
        <w:t>supra</w:t>
      </w:r>
      <w:r w:rsidRPr="00124DB1">
        <w:rPr>
          <w:lang w:val="en-CA"/>
        </w:rPr>
        <w:t xml:space="preserve"> note </w:t>
      </w:r>
      <w:proofErr w:type="gramStart"/>
      <w:r w:rsidRPr="00124DB1">
        <w:rPr>
          <w:lang w:val="en-CA"/>
        </w:rPr>
        <w:t>8</w:t>
      </w:r>
      <w:proofErr w:type="gramEnd"/>
      <w:r w:rsidRPr="00124DB1">
        <w:rPr>
          <w:lang w:val="en-CA"/>
        </w:rPr>
        <w:t xml:space="preserve"> at 102.</w:t>
      </w:r>
    </w:p>
  </w:footnote>
  <w:footnote w:id="170">
    <w:p w14:paraId="5E317E2B" w14:textId="7B75106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See e.g., </w:t>
      </w:r>
      <w:r w:rsidRPr="00124DB1">
        <w:rPr>
          <w:i/>
          <w:lang w:val="en-CA"/>
        </w:rPr>
        <w:t>Wood v. Schaeffer</w:t>
      </w:r>
      <w:r w:rsidRPr="00124DB1">
        <w:rPr>
          <w:lang w:val="en-CA"/>
        </w:rPr>
        <w:t xml:space="preserve">, 2013 SCC 71, [2013] </w:t>
      </w:r>
      <w:proofErr w:type="gramStart"/>
      <w:r w:rsidRPr="00124DB1">
        <w:rPr>
          <w:lang w:val="en-CA"/>
        </w:rPr>
        <w:t>3</w:t>
      </w:r>
      <w:proofErr w:type="gramEnd"/>
      <w:r w:rsidRPr="00124DB1">
        <w:rPr>
          <w:lang w:val="en-CA"/>
        </w:rPr>
        <w:t xml:space="preserve"> SCR 1053 at paras. 66 and 67.</w:t>
      </w:r>
    </w:p>
  </w:footnote>
  <w:footnote w:id="171">
    <w:p w14:paraId="2BC211D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R. v. </w:t>
      </w:r>
      <w:proofErr w:type="spellStart"/>
      <w:r w:rsidRPr="00124DB1">
        <w:rPr>
          <w:i/>
          <w:lang w:val="en-CA"/>
        </w:rPr>
        <w:t>Stinchcombe</w:t>
      </w:r>
      <w:proofErr w:type="spellEnd"/>
      <w:r w:rsidRPr="00124DB1">
        <w:rPr>
          <w:lang w:val="en-CA"/>
        </w:rPr>
        <w:t xml:space="preserve">, [1991] </w:t>
      </w:r>
      <w:proofErr w:type="gramStart"/>
      <w:r w:rsidRPr="00124DB1">
        <w:rPr>
          <w:lang w:val="en-CA"/>
        </w:rPr>
        <w:t>3</w:t>
      </w:r>
      <w:proofErr w:type="gramEnd"/>
      <w:r w:rsidRPr="00124DB1">
        <w:rPr>
          <w:lang w:val="en-CA"/>
        </w:rPr>
        <w:t xml:space="preserve"> SCR 326.</w:t>
      </w:r>
    </w:p>
  </w:footnote>
  <w:footnote w:id="172">
    <w:p w14:paraId="4F330CE4" w14:textId="4CC251FB"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By-law concerning peace and order on public property</w:t>
      </w:r>
      <w:r w:rsidRPr="00124DB1">
        <w:rPr>
          <w:lang w:val="en-CA"/>
        </w:rPr>
        <w:t>, RBCM, c. P-1, s. 1.</w:t>
      </w:r>
    </w:p>
  </w:footnote>
  <w:footnote w:id="173">
    <w:p w14:paraId="748271F9" w14:textId="4A52E240"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Code of Ethics of Québec Police Officers</w:t>
      </w:r>
      <w:r w:rsidRPr="00124DB1">
        <w:rPr>
          <w:lang w:val="en-CA"/>
        </w:rPr>
        <w:t xml:space="preserve">, CQLR c. P-13.1, r. 1, s. </w:t>
      </w:r>
      <w:proofErr w:type="gramStart"/>
      <w:r w:rsidRPr="00124DB1">
        <w:rPr>
          <w:lang w:val="en-CA"/>
        </w:rPr>
        <w:t>6</w:t>
      </w:r>
      <w:proofErr w:type="gramEnd"/>
      <w:r w:rsidRPr="00124DB1">
        <w:rPr>
          <w:lang w:val="en-CA"/>
        </w:rPr>
        <w:t xml:space="preserve">, para. 2(2).  </w:t>
      </w:r>
    </w:p>
  </w:footnote>
  <w:footnote w:id="174">
    <w:p w14:paraId="4B5B53E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C-9, Letter from </w:t>
      </w:r>
      <w:proofErr w:type="spellStart"/>
      <w:r w:rsidRPr="00124DB1">
        <w:rPr>
          <w:lang w:val="en-CA"/>
        </w:rPr>
        <w:t>Mtre</w:t>
      </w:r>
      <w:proofErr w:type="spellEnd"/>
      <w:r w:rsidRPr="00124DB1">
        <w:rPr>
          <w:lang w:val="en-CA"/>
        </w:rPr>
        <w:t xml:space="preserve"> Hélène Tremblay, Deputy </w:t>
      </w:r>
      <w:proofErr w:type="gramStart"/>
      <w:r w:rsidRPr="00124DB1">
        <w:rPr>
          <w:lang w:val="en-CA"/>
        </w:rPr>
        <w:t>police</w:t>
      </w:r>
      <w:proofErr w:type="gramEnd"/>
      <w:r w:rsidRPr="00124DB1">
        <w:rPr>
          <w:lang w:val="en-CA"/>
        </w:rPr>
        <w:t xml:space="preserve"> ethics commissioner, July 9, 2015.   </w:t>
      </w:r>
    </w:p>
  </w:footnote>
  <w:footnote w:id="175">
    <w:p w14:paraId="09AF3EF5" w14:textId="23648B71" w:rsidR="006F54DF" w:rsidRPr="00124DB1" w:rsidRDefault="006F54DF" w:rsidP="00507A20">
      <w:pPr>
        <w:pStyle w:val="Notedebasdepage"/>
        <w:spacing w:before="240"/>
        <w:rPr>
          <w:lang w:val="en-CA"/>
        </w:rPr>
      </w:pPr>
      <w:r w:rsidRPr="00124DB1">
        <w:rPr>
          <w:rStyle w:val="Appelnotedebasdep"/>
          <w:lang w:val="en-CA"/>
        </w:rPr>
        <w:footnoteRef/>
      </w:r>
      <w:r w:rsidRPr="00124DB1">
        <w:rPr>
          <w:lang w:val="en-CA"/>
        </w:rPr>
        <w:t xml:space="preserve"> </w:t>
      </w:r>
      <w:r w:rsidRPr="00124DB1">
        <w:rPr>
          <w:lang w:val="en-CA"/>
        </w:rPr>
        <w:tab/>
        <w:t xml:space="preserve">Sections 10, 71, para. 2(1), 80, and 111 of the </w:t>
      </w:r>
      <w:r w:rsidRPr="00124DB1">
        <w:rPr>
          <w:i/>
          <w:lang w:val="en-CA"/>
        </w:rPr>
        <w:t>Charter</w:t>
      </w:r>
      <w:r w:rsidRPr="00124DB1">
        <w:rPr>
          <w:lang w:val="en-CA"/>
        </w:rPr>
        <w:t xml:space="preserve">. In this regard, see: Henri </w:t>
      </w:r>
      <w:proofErr w:type="spellStart"/>
      <w:r w:rsidRPr="00124DB1">
        <w:rPr>
          <w:lang w:val="en-CA"/>
        </w:rPr>
        <w:t>Brun</w:t>
      </w:r>
      <w:proofErr w:type="spellEnd"/>
      <w:r w:rsidRPr="00124DB1">
        <w:rPr>
          <w:lang w:val="en-CA"/>
        </w:rPr>
        <w:t xml:space="preserve">, Guy Tremblay &amp; </w:t>
      </w:r>
      <w:proofErr w:type="spellStart"/>
      <w:r w:rsidRPr="00124DB1">
        <w:rPr>
          <w:lang w:val="en-CA"/>
        </w:rPr>
        <w:t>Eugénie</w:t>
      </w:r>
      <w:proofErr w:type="spellEnd"/>
      <w:r w:rsidRPr="00124DB1">
        <w:rPr>
          <w:lang w:val="en-CA"/>
        </w:rPr>
        <w:t xml:space="preserve"> </w:t>
      </w:r>
      <w:proofErr w:type="spellStart"/>
      <w:r w:rsidRPr="00124DB1">
        <w:rPr>
          <w:lang w:val="en-CA"/>
        </w:rPr>
        <w:t>Brouillet</w:t>
      </w:r>
      <w:proofErr w:type="spellEnd"/>
      <w:r w:rsidRPr="00124DB1">
        <w:rPr>
          <w:lang w:val="en-CA"/>
        </w:rPr>
        <w:t xml:space="preserve">, </w:t>
      </w:r>
      <w:r w:rsidRPr="00A34F57">
        <w:rPr>
          <w:i/>
          <w:lang w:val="en-CA"/>
        </w:rPr>
        <w:t xml:space="preserve">Droit </w:t>
      </w:r>
      <w:proofErr w:type="spellStart"/>
      <w:r w:rsidRPr="00A34F57">
        <w:rPr>
          <w:i/>
          <w:lang w:val="en-CA"/>
        </w:rPr>
        <w:t>constitutionnel</w:t>
      </w:r>
      <w:proofErr w:type="spellEnd"/>
      <w:r w:rsidRPr="00124DB1">
        <w:rPr>
          <w:lang w:val="en-CA"/>
        </w:rPr>
        <w:t>, 6th ed. (</w:t>
      </w:r>
      <w:proofErr w:type="spellStart"/>
      <w:r w:rsidRPr="00124DB1">
        <w:rPr>
          <w:lang w:val="en-CA"/>
        </w:rPr>
        <w:t>Cowansville</w:t>
      </w:r>
      <w:proofErr w:type="spellEnd"/>
      <w:r w:rsidRPr="00124DB1">
        <w:rPr>
          <w:lang w:val="en-CA"/>
        </w:rPr>
        <w:t xml:space="preserve">, </w:t>
      </w:r>
      <w:proofErr w:type="gramStart"/>
      <w:r w:rsidRPr="00124DB1">
        <w:rPr>
          <w:lang w:val="en-CA"/>
        </w:rPr>
        <w:t>QC.:</w:t>
      </w:r>
      <w:proofErr w:type="gramEnd"/>
      <w:r w:rsidRPr="00124DB1">
        <w:rPr>
          <w:lang w:val="en-CA"/>
        </w:rPr>
        <w:t xml:space="preserve"> </w:t>
      </w:r>
      <w:proofErr w:type="spellStart"/>
      <w:r w:rsidRPr="00124DB1">
        <w:rPr>
          <w:lang w:val="en-CA"/>
        </w:rPr>
        <w:t>Yvon</w:t>
      </w:r>
      <w:proofErr w:type="spellEnd"/>
      <w:r w:rsidRPr="00124DB1">
        <w:rPr>
          <w:lang w:val="en-CA"/>
        </w:rPr>
        <w:t xml:space="preserve"> Blais, 2014) at 1074–1075, notes XII-4.110).</w:t>
      </w:r>
    </w:p>
  </w:footnote>
  <w:footnote w:id="176">
    <w:p w14:paraId="230EF5A7" w14:textId="65E0320F"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See also Exhibit P-</w:t>
      </w:r>
      <w:proofErr w:type="gramStart"/>
      <w:r w:rsidRPr="00124DB1">
        <w:rPr>
          <w:lang w:val="en-CA"/>
        </w:rPr>
        <w:t>27,</w:t>
      </w:r>
      <w:proofErr w:type="gramEnd"/>
      <w:r w:rsidRPr="00124DB1">
        <w:rPr>
          <w:lang w:val="en-CA"/>
        </w:rPr>
        <w:t xml:space="preserve"> </w:t>
      </w:r>
      <w:r w:rsidRPr="00124DB1">
        <w:rPr>
          <w:i/>
          <w:lang w:val="en-CA"/>
        </w:rPr>
        <w:t>supra</w:t>
      </w:r>
      <w:r w:rsidRPr="00124DB1">
        <w:rPr>
          <w:lang w:val="en-CA"/>
        </w:rPr>
        <w:t xml:space="preserve"> note 154 at 36, 38–39.</w:t>
      </w:r>
    </w:p>
  </w:footnote>
  <w:footnote w:id="177">
    <w:p w14:paraId="0FF2C76F" w14:textId="35DFC545" w:rsidR="006F54DF" w:rsidRPr="00A34F57" w:rsidRDefault="006F54DF">
      <w:pPr>
        <w:pStyle w:val="Notedebasdepage"/>
        <w:rPr>
          <w:lang w:val="en-CA"/>
        </w:rPr>
      </w:pPr>
      <w:r w:rsidRPr="00124DB1">
        <w:rPr>
          <w:rStyle w:val="Appelnotedebasdep"/>
          <w:lang w:val="en-CA"/>
        </w:rPr>
        <w:footnoteRef/>
      </w:r>
      <w:r w:rsidRPr="00A34F57">
        <w:rPr>
          <w:lang w:val="en-CA"/>
        </w:rPr>
        <w:t xml:space="preserve"> </w:t>
      </w:r>
      <w:r w:rsidRPr="00A34F57">
        <w:rPr>
          <w:lang w:val="en-CA"/>
        </w:rPr>
        <w:tab/>
        <w:t xml:space="preserve">VDM-24, SPVM Policy on </w:t>
      </w:r>
      <w:r w:rsidRPr="00124DB1">
        <w:rPr>
          <w:lang w:val="en-CA"/>
        </w:rPr>
        <w:t>Police Checks</w:t>
      </w:r>
      <w:r w:rsidRPr="00A34F57">
        <w:rPr>
          <w:lang w:val="en-CA"/>
        </w:rPr>
        <w:t>, s. 4.3.</w:t>
      </w:r>
    </w:p>
  </w:footnote>
  <w:footnote w:id="178">
    <w:p w14:paraId="6FD9B6E7"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Ibid. </w:t>
      </w:r>
      <w:r w:rsidRPr="00A34F57">
        <w:rPr>
          <w:lang w:val="en-CA"/>
        </w:rPr>
        <w:t>at 2.2.</w:t>
      </w:r>
      <w:r w:rsidRPr="00124DB1">
        <w:rPr>
          <w:lang w:val="en-CA"/>
        </w:rPr>
        <w:tab/>
      </w:r>
    </w:p>
  </w:footnote>
  <w:footnote w:id="179">
    <w:p w14:paraId="0E4AA3FF" w14:textId="4A9C023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color w:val="000000"/>
          <w:lang w:val="en-CA"/>
        </w:rPr>
        <w:t>R. v. Ahmad</w:t>
      </w:r>
      <w:r w:rsidRPr="00124DB1">
        <w:rPr>
          <w:color w:val="000000"/>
          <w:lang w:val="en-CA"/>
        </w:rPr>
        <w:t xml:space="preserve">, </w:t>
      </w:r>
      <w:r w:rsidRPr="00124DB1">
        <w:rPr>
          <w:i/>
          <w:color w:val="000000"/>
          <w:lang w:val="en-CA"/>
        </w:rPr>
        <w:t>supra</w:t>
      </w:r>
      <w:r w:rsidRPr="00124DB1">
        <w:rPr>
          <w:color w:val="000000"/>
          <w:lang w:val="en-CA"/>
        </w:rPr>
        <w:t xml:space="preserve"> note 148 at para. 25.</w:t>
      </w:r>
    </w:p>
  </w:footnote>
  <w:footnote w:id="180">
    <w:p w14:paraId="60822CA6"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This definition </w:t>
      </w:r>
      <w:proofErr w:type="gramStart"/>
      <w:r w:rsidRPr="00124DB1">
        <w:rPr>
          <w:lang w:val="en-CA"/>
        </w:rPr>
        <w:t>is reproduced</w:t>
      </w:r>
      <w:proofErr w:type="gramEnd"/>
      <w:r w:rsidRPr="00124DB1">
        <w:rPr>
          <w:lang w:val="en-CA"/>
        </w:rPr>
        <w:t xml:space="preserve"> in paragraph [173] of this judgment.</w:t>
      </w:r>
    </w:p>
  </w:footnote>
  <w:footnote w:id="181">
    <w:p w14:paraId="7CF7D34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This definition </w:t>
      </w:r>
      <w:proofErr w:type="gramStart"/>
      <w:r w:rsidRPr="00124DB1">
        <w:rPr>
          <w:lang w:val="en-CA"/>
        </w:rPr>
        <w:t>is reproduced</w:t>
      </w:r>
      <w:proofErr w:type="gramEnd"/>
      <w:r w:rsidRPr="00124DB1">
        <w:rPr>
          <w:lang w:val="en-CA"/>
        </w:rPr>
        <w:t xml:space="preserve"> in paragraph [174] of this judgment.</w:t>
      </w:r>
    </w:p>
  </w:footnote>
  <w:footnote w:id="182">
    <w:p w14:paraId="4A71A8CE" w14:textId="5B5293F9"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R. v. </w:t>
      </w:r>
      <w:proofErr w:type="spellStart"/>
      <w:r w:rsidRPr="00124DB1">
        <w:rPr>
          <w:i/>
          <w:lang w:val="en-CA"/>
        </w:rPr>
        <w:t>Sitladeen</w:t>
      </w:r>
      <w:proofErr w:type="spellEnd"/>
      <w:r w:rsidRPr="00124DB1">
        <w:rPr>
          <w:lang w:val="en-CA"/>
        </w:rPr>
        <w:t xml:space="preserve">, 2021 ONCA 303 at para. 21. The Commission referred the Tribunal to one of its publications: David M. </w:t>
      </w:r>
      <w:proofErr w:type="spellStart"/>
      <w:r w:rsidRPr="00124DB1">
        <w:rPr>
          <w:lang w:val="en-CA"/>
        </w:rPr>
        <w:t>Tanovich</w:t>
      </w:r>
      <w:proofErr w:type="spellEnd"/>
      <w:r w:rsidRPr="00124DB1">
        <w:rPr>
          <w:lang w:val="en-CA"/>
        </w:rPr>
        <w:t xml:space="preserve">, </w:t>
      </w:r>
      <w:r w:rsidRPr="00A34F57">
        <w:rPr>
          <w:i/>
          <w:lang w:val="en-CA"/>
        </w:rPr>
        <w:t>The Colour of Justice: Policing Race in Canada</w:t>
      </w:r>
      <w:r w:rsidRPr="00124DB1">
        <w:rPr>
          <w:lang w:val="en-CA"/>
        </w:rPr>
        <w:t xml:space="preserve"> (Toronto: Irwin Law, 2006). </w:t>
      </w:r>
    </w:p>
  </w:footnote>
  <w:footnote w:id="183">
    <w:p w14:paraId="0565C879" w14:textId="42F7FC7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David M. </w:t>
      </w:r>
      <w:proofErr w:type="spellStart"/>
      <w:r w:rsidRPr="00124DB1">
        <w:rPr>
          <w:lang w:val="en-CA"/>
        </w:rPr>
        <w:t>Tanovich</w:t>
      </w:r>
      <w:proofErr w:type="spellEnd"/>
      <w:r w:rsidRPr="00124DB1">
        <w:rPr>
          <w:lang w:val="en-CA"/>
        </w:rPr>
        <w:t xml:space="preserve">, “Applying the Racial Profiling Correspondence Test”, in Lorne Foster, Lesley Jacobs, Bobby Siu &amp; </w:t>
      </w:r>
      <w:proofErr w:type="spellStart"/>
      <w:r w:rsidRPr="00124DB1">
        <w:rPr>
          <w:lang w:val="en-CA"/>
        </w:rPr>
        <w:t>Shaheen</w:t>
      </w:r>
      <w:proofErr w:type="spellEnd"/>
      <w:r w:rsidRPr="00124DB1">
        <w:rPr>
          <w:lang w:val="en-CA"/>
        </w:rPr>
        <w:t xml:space="preserve"> </w:t>
      </w:r>
      <w:proofErr w:type="spellStart"/>
      <w:r w:rsidRPr="00124DB1">
        <w:rPr>
          <w:lang w:val="en-CA"/>
        </w:rPr>
        <w:t>Azmi</w:t>
      </w:r>
      <w:proofErr w:type="spellEnd"/>
      <w:r w:rsidRPr="00124DB1">
        <w:rPr>
          <w:lang w:val="en-CA"/>
        </w:rPr>
        <w:t xml:space="preserve"> (eds.), </w:t>
      </w:r>
      <w:r w:rsidRPr="00124DB1">
        <w:rPr>
          <w:i/>
          <w:lang w:val="en-CA"/>
        </w:rPr>
        <w:t>Racial Profiling and Human Rights in Canada: The New Legal Landscape</w:t>
      </w:r>
      <w:r w:rsidRPr="00124DB1">
        <w:rPr>
          <w:lang w:val="en-CA"/>
        </w:rPr>
        <w:t xml:space="preserve"> (Toronto: Irwin Law, 2018) c. 4 at 83–84.  </w:t>
      </w:r>
    </w:p>
  </w:footnote>
  <w:footnote w:id="184">
    <w:p w14:paraId="2CC87112"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Exhibit VDM-22, </w:t>
      </w:r>
      <w:r w:rsidRPr="00124DB1">
        <w:rPr>
          <w:i/>
          <w:lang w:val="en-CA"/>
        </w:rPr>
        <w:t xml:space="preserve">supra </w:t>
      </w:r>
      <w:r w:rsidRPr="00124DB1">
        <w:rPr>
          <w:lang w:val="en-CA"/>
        </w:rPr>
        <w:t xml:space="preserve">note 151 at </w:t>
      </w:r>
      <w:proofErr w:type="gramStart"/>
      <w:r w:rsidRPr="00124DB1">
        <w:rPr>
          <w:lang w:val="en-CA"/>
        </w:rPr>
        <w:t>2</w:t>
      </w:r>
      <w:proofErr w:type="gramEnd"/>
      <w:r w:rsidRPr="00124DB1">
        <w:rPr>
          <w:lang w:val="en-CA"/>
        </w:rPr>
        <w:t>.</w:t>
      </w:r>
    </w:p>
  </w:footnote>
  <w:footnote w:id="185">
    <w:p w14:paraId="20A69256" w14:textId="63D6475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lang w:val="en-CA"/>
        </w:rPr>
        <w:t>Tanovich</w:t>
      </w:r>
      <w:proofErr w:type="spellEnd"/>
      <w:r w:rsidRPr="00124DB1">
        <w:rPr>
          <w:lang w:val="en-CA"/>
        </w:rPr>
        <w:t xml:space="preserve">, </w:t>
      </w:r>
      <w:r w:rsidRPr="00124DB1">
        <w:rPr>
          <w:i/>
          <w:lang w:val="en-CA"/>
        </w:rPr>
        <w:t>supra</w:t>
      </w:r>
      <w:r w:rsidRPr="00124DB1">
        <w:rPr>
          <w:lang w:val="en-CA"/>
        </w:rPr>
        <w:t xml:space="preserve"> note 183 at 97–98.</w:t>
      </w:r>
    </w:p>
  </w:footnote>
  <w:footnote w:id="186">
    <w:p w14:paraId="3148BC11" w14:textId="72254E2A"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Peart v. Peel Regional Police Services</w:t>
      </w:r>
      <w:r w:rsidRPr="00124DB1">
        <w:rPr>
          <w:lang w:val="en-CA"/>
        </w:rPr>
        <w:t xml:space="preserve">, 2006 </w:t>
      </w:r>
      <w:proofErr w:type="spellStart"/>
      <w:r w:rsidRPr="00124DB1">
        <w:rPr>
          <w:lang w:val="en-CA"/>
        </w:rPr>
        <w:t>CanLII</w:t>
      </w:r>
      <w:proofErr w:type="spellEnd"/>
      <w:r w:rsidRPr="00124DB1">
        <w:rPr>
          <w:lang w:val="en-CA"/>
        </w:rPr>
        <w:t xml:space="preserve"> 37566 (ON CA) (leave to appeal to SCC refused, 31798 (30 March 2007) at paras. 136 </w:t>
      </w:r>
      <w:r w:rsidRPr="00A34F57">
        <w:rPr>
          <w:i/>
          <w:lang w:val="en-CA"/>
        </w:rPr>
        <w:t>et seq.</w:t>
      </w:r>
      <w:r w:rsidRPr="00124DB1">
        <w:rPr>
          <w:lang w:val="en-CA"/>
        </w:rPr>
        <w:t xml:space="preserve">; </w:t>
      </w:r>
      <w:r w:rsidRPr="00124DB1">
        <w:rPr>
          <w:i/>
          <w:lang w:val="en-CA"/>
        </w:rPr>
        <w:t xml:space="preserve">R. v. </w:t>
      </w:r>
      <w:proofErr w:type="spellStart"/>
      <w:r w:rsidRPr="00124DB1">
        <w:rPr>
          <w:i/>
          <w:lang w:val="en-CA"/>
        </w:rPr>
        <w:t>Sitladeen</w:t>
      </w:r>
      <w:proofErr w:type="spellEnd"/>
      <w:r w:rsidRPr="00124DB1">
        <w:rPr>
          <w:lang w:val="en-CA"/>
        </w:rPr>
        <w:t xml:space="preserve">, 2021 ONCA 303 at para. 67. </w:t>
      </w:r>
    </w:p>
  </w:footnote>
  <w:footnote w:id="187">
    <w:p w14:paraId="4E63B550"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Bombardier</w:t>
      </w:r>
      <w:r w:rsidRPr="00124DB1">
        <w:rPr>
          <w:lang w:val="en-CA"/>
        </w:rPr>
        <w:t xml:space="preserve">, </w:t>
      </w:r>
      <w:r w:rsidRPr="00124DB1">
        <w:rPr>
          <w:i/>
          <w:lang w:val="en-CA"/>
        </w:rPr>
        <w:t xml:space="preserve">supra </w:t>
      </w:r>
      <w:r w:rsidRPr="00124DB1">
        <w:rPr>
          <w:lang w:val="en-CA"/>
        </w:rPr>
        <w:t>note 114 at para. 59.</w:t>
      </w:r>
    </w:p>
  </w:footnote>
  <w:footnote w:id="188">
    <w:p w14:paraId="622F8F6F"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 c. David</w:t>
      </w:r>
      <w:r w:rsidRPr="00124DB1">
        <w:rPr>
          <w:lang w:val="en-CA"/>
        </w:rPr>
        <w:t>, AZ-94031219, J.E. 94-996 (C.Q.) at 13.</w:t>
      </w:r>
    </w:p>
  </w:footnote>
  <w:footnote w:id="189">
    <w:p w14:paraId="559E7934" w14:textId="5DFCED71"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Dowd c. Beaulieu-</w:t>
      </w:r>
      <w:proofErr w:type="spellStart"/>
      <w:r w:rsidRPr="00124DB1">
        <w:rPr>
          <w:i/>
          <w:lang w:val="en-CA"/>
        </w:rPr>
        <w:t>Dulac</w:t>
      </w:r>
      <w:proofErr w:type="spellEnd"/>
      <w:r w:rsidRPr="00124DB1">
        <w:rPr>
          <w:lang w:val="en-CA"/>
        </w:rPr>
        <w:t xml:space="preserve">, </w:t>
      </w:r>
      <w:r w:rsidRPr="00124DB1">
        <w:rPr>
          <w:i/>
          <w:lang w:val="en-CA"/>
        </w:rPr>
        <w:t>supra</w:t>
      </w:r>
      <w:r w:rsidRPr="00124DB1">
        <w:rPr>
          <w:lang w:val="en-CA"/>
        </w:rPr>
        <w:t xml:space="preserve"> note 121 at para. 136.  </w:t>
      </w:r>
    </w:p>
  </w:footnote>
  <w:footnote w:id="190">
    <w:p w14:paraId="3B9C9E9A"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Mensah</w:t>
      </w:r>
      <w:r w:rsidRPr="00124DB1">
        <w:rPr>
          <w:lang w:val="en-CA"/>
        </w:rPr>
        <w:t xml:space="preserve">, </w:t>
      </w:r>
      <w:r w:rsidRPr="00124DB1">
        <w:rPr>
          <w:i/>
          <w:lang w:val="en-CA"/>
        </w:rPr>
        <w:t xml:space="preserve">supra </w:t>
      </w:r>
      <w:r w:rsidRPr="00124DB1">
        <w:rPr>
          <w:lang w:val="en-CA"/>
        </w:rPr>
        <w:t>note 125 at para. 199.</w:t>
      </w:r>
    </w:p>
  </w:footnote>
  <w:footnote w:id="191">
    <w:p w14:paraId="027D4434" w14:textId="1EF111EC"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Rezko</w:t>
      </w:r>
      <w:r w:rsidRPr="00124DB1">
        <w:rPr>
          <w:lang w:val="en-CA"/>
        </w:rPr>
        <w:t xml:space="preserve">, </w:t>
      </w:r>
      <w:r w:rsidRPr="00124DB1">
        <w:rPr>
          <w:i/>
          <w:lang w:val="en-CA"/>
        </w:rPr>
        <w:t>supra</w:t>
      </w:r>
      <w:r w:rsidRPr="00124DB1">
        <w:rPr>
          <w:lang w:val="en-CA"/>
        </w:rPr>
        <w:t xml:space="preserve"> note 125 at para. </w:t>
      </w:r>
      <w:proofErr w:type="gramStart"/>
      <w:r w:rsidRPr="00124DB1">
        <w:rPr>
          <w:lang w:val="en-CA"/>
        </w:rPr>
        <w:t>180</w:t>
      </w:r>
      <w:proofErr w:type="gramEnd"/>
      <w:r w:rsidRPr="00124DB1">
        <w:rPr>
          <w:lang w:val="en-CA"/>
        </w:rPr>
        <w:t xml:space="preserve">; </w:t>
      </w:r>
      <w:r w:rsidRPr="00124DB1">
        <w:rPr>
          <w:i/>
          <w:lang w:val="en-CA"/>
        </w:rPr>
        <w:t>Miller</w:t>
      </w:r>
      <w:r w:rsidRPr="00124DB1">
        <w:rPr>
          <w:lang w:val="en-CA"/>
        </w:rPr>
        <w:t xml:space="preserve">, </w:t>
      </w:r>
      <w:r w:rsidRPr="00124DB1">
        <w:rPr>
          <w:i/>
          <w:lang w:val="en-CA"/>
        </w:rPr>
        <w:t>supra</w:t>
      </w:r>
      <w:r w:rsidRPr="00124DB1">
        <w:rPr>
          <w:lang w:val="en-CA"/>
        </w:rPr>
        <w:t xml:space="preserve"> note 68 at paras. 185 and 294.</w:t>
      </w:r>
    </w:p>
  </w:footnote>
  <w:footnote w:id="192">
    <w:p w14:paraId="1AAE3298"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Dagobert</w:t>
      </w:r>
      <w:proofErr w:type="spellEnd"/>
      <w:r w:rsidRPr="00124DB1">
        <w:rPr>
          <w:lang w:val="en-CA"/>
        </w:rPr>
        <w:t xml:space="preserve">, </w:t>
      </w:r>
      <w:r w:rsidRPr="00124DB1">
        <w:rPr>
          <w:i/>
          <w:lang w:val="en-CA"/>
        </w:rPr>
        <w:t xml:space="preserve">supra </w:t>
      </w:r>
      <w:r w:rsidRPr="00124DB1">
        <w:rPr>
          <w:lang w:val="en-CA"/>
        </w:rPr>
        <w:t>note 135 at para. 172.</w:t>
      </w:r>
    </w:p>
  </w:footnote>
  <w:footnote w:id="193">
    <w:p w14:paraId="27D7B170" w14:textId="55E836FF"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proofErr w:type="spellStart"/>
      <w:r w:rsidRPr="00124DB1">
        <w:rPr>
          <w:i/>
          <w:lang w:val="en-CA"/>
        </w:rPr>
        <w:t>DeBellefeuille</w:t>
      </w:r>
      <w:proofErr w:type="spellEnd"/>
      <w:r w:rsidRPr="00124DB1">
        <w:rPr>
          <w:lang w:val="en-CA"/>
        </w:rPr>
        <w:t xml:space="preserve">, </w:t>
      </w:r>
      <w:r w:rsidRPr="00124DB1">
        <w:rPr>
          <w:i/>
          <w:lang w:val="en-CA"/>
        </w:rPr>
        <w:t>supra</w:t>
      </w:r>
      <w:r w:rsidRPr="00124DB1">
        <w:rPr>
          <w:lang w:val="en-CA"/>
        </w:rPr>
        <w:t xml:space="preserve"> note 45 at para. 180. </w:t>
      </w:r>
    </w:p>
  </w:footnote>
  <w:footnote w:id="194">
    <w:p w14:paraId="18BED35B"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2017 QCCA 2044 at para. 68.</w:t>
      </w:r>
    </w:p>
  </w:footnote>
  <w:footnote w:id="195">
    <w:p w14:paraId="6BBF1057" w14:textId="100D97AE"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t xml:space="preserve">Pièce P-28, </w:t>
      </w:r>
      <w:r w:rsidRPr="00124DB1">
        <w:rPr>
          <w:i/>
          <w:lang w:val="en-CA"/>
        </w:rPr>
        <w:t>supra</w:t>
      </w:r>
      <w:r w:rsidRPr="00124DB1">
        <w:rPr>
          <w:lang w:val="en-CA"/>
        </w:rPr>
        <w:t xml:space="preserve"> note </w:t>
      </w:r>
      <w:proofErr w:type="gramStart"/>
      <w:r w:rsidRPr="00124DB1">
        <w:rPr>
          <w:lang w:val="en-CA"/>
        </w:rPr>
        <w:t>8</w:t>
      </w:r>
      <w:proofErr w:type="gramEnd"/>
      <w:r w:rsidRPr="00124DB1">
        <w:rPr>
          <w:lang w:val="en-CA"/>
        </w:rPr>
        <w:t xml:space="preserve"> at 88.</w:t>
      </w:r>
    </w:p>
  </w:footnote>
  <w:footnote w:id="196">
    <w:p w14:paraId="1BE2C1FC" w14:textId="77777777" w:rsidR="006F54DF" w:rsidRPr="00124DB1" w:rsidRDefault="006F54DF">
      <w:pPr>
        <w:pStyle w:val="Notedebasdepage"/>
        <w:rPr>
          <w:lang w:val="en-CA"/>
        </w:rPr>
      </w:pPr>
      <w:r w:rsidRPr="00124DB1">
        <w:rPr>
          <w:rStyle w:val="Appelnotedebasdep"/>
          <w:lang w:val="en-CA"/>
        </w:rPr>
        <w:footnoteRef/>
      </w:r>
      <w:r w:rsidRPr="00124DB1">
        <w:rPr>
          <w:lang w:val="en-CA"/>
        </w:rPr>
        <w:t xml:space="preserve"> </w:t>
      </w:r>
      <w:r w:rsidRPr="00124DB1">
        <w:rPr>
          <w:lang w:val="en-CA"/>
        </w:rPr>
        <w:tab/>
      </w:r>
      <w:r w:rsidRPr="00124DB1">
        <w:rPr>
          <w:i/>
          <w:lang w:val="en-CA"/>
        </w:rPr>
        <w:t xml:space="preserve">Jean Pierre c. </w:t>
      </w:r>
      <w:proofErr w:type="spellStart"/>
      <w:r w:rsidRPr="00124DB1">
        <w:rPr>
          <w:i/>
          <w:lang w:val="en-CA"/>
        </w:rPr>
        <w:t>Benhachmi</w:t>
      </w:r>
      <w:proofErr w:type="spellEnd"/>
      <w:r w:rsidRPr="00124DB1">
        <w:rPr>
          <w:lang w:val="en-CA"/>
        </w:rPr>
        <w:t>, 2018 QCCA 348 at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31A0" w14:textId="164ACEBA" w:rsidR="006F54DF" w:rsidRDefault="006F54DF">
    <w:pPr>
      <w:pStyle w:val="En-tte"/>
    </w:pPr>
    <w:r>
      <w:rPr>
        <w:noProof/>
      </w:rPr>
      <w:pict w14:anchorId="27197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969"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B9A7" w14:textId="638841F9" w:rsidR="006F54DF" w:rsidRDefault="006F54DF">
    <w:pPr>
      <w:tabs>
        <w:tab w:val="center" w:pos="4709"/>
        <w:tab w:val="right" w:pos="9360"/>
      </w:tabs>
      <w:ind w:right="524"/>
    </w:pPr>
    <w:r>
      <w:rPr>
        <w:noProof/>
      </w:rPr>
      <w:pict w14:anchorId="623E2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970"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t>500-53-000538-197</w:t>
    </w:r>
    <w:r>
      <w:tab/>
    </w:r>
    <w:r>
      <w:tab/>
    </w:r>
    <w:r w:rsidRPr="00347BA4">
      <w:t>PAGE:</w:t>
    </w:r>
    <w:r>
      <w:t xml:space="preserve"> </w:t>
    </w:r>
    <w:r>
      <w:fldChar w:fldCharType="begin"/>
    </w:r>
    <w:r>
      <w:instrText xml:space="preserve"> PAGE </w:instrText>
    </w:r>
    <w:r>
      <w:fldChar w:fldCharType="separate"/>
    </w:r>
    <w:r w:rsidR="00C704CC">
      <w:rPr>
        <w:noProof/>
      </w:rPr>
      <w:t>52</w:t>
    </w:r>
    <w:r>
      <w:fldChar w:fldCharType="end"/>
    </w:r>
  </w:p>
  <w:p w14:paraId="764434E6" w14:textId="77777777" w:rsidR="006F54DF" w:rsidRDefault="006F54DF">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3B4C" w14:textId="0B8E7687" w:rsidR="006F54DF" w:rsidRDefault="006F54DF">
    <w:pPr>
      <w:pStyle w:val="En-tte"/>
    </w:pPr>
    <w:r>
      <w:rPr>
        <w:noProof/>
      </w:rPr>
      <w:pict w14:anchorId="39E46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968"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817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E83835"/>
    <w:multiLevelType w:val="hybridMultilevel"/>
    <w:tmpl w:val="CB80725C"/>
    <w:lvl w:ilvl="0" w:tplc="9AB4586C">
      <w:start w:val="1"/>
      <w:numFmt w:val="decimal"/>
      <w:lvlText w:val="%1."/>
      <w:lvlJc w:val="left"/>
      <w:pPr>
        <w:ind w:left="720" w:hanging="360"/>
      </w:pPr>
      <w:rPr>
        <w:rFonts w:hint="default"/>
      </w:rPr>
    </w:lvl>
    <w:lvl w:ilvl="1" w:tplc="BC72F76C" w:tentative="1">
      <w:start w:val="1"/>
      <w:numFmt w:val="lowerLetter"/>
      <w:lvlText w:val="%2."/>
      <w:lvlJc w:val="left"/>
      <w:pPr>
        <w:ind w:left="1440" w:hanging="360"/>
      </w:pPr>
    </w:lvl>
    <w:lvl w:ilvl="2" w:tplc="71EA7756" w:tentative="1">
      <w:start w:val="1"/>
      <w:numFmt w:val="lowerRoman"/>
      <w:lvlText w:val="%3."/>
      <w:lvlJc w:val="right"/>
      <w:pPr>
        <w:ind w:left="2160" w:hanging="180"/>
      </w:pPr>
    </w:lvl>
    <w:lvl w:ilvl="3" w:tplc="8298623E" w:tentative="1">
      <w:start w:val="1"/>
      <w:numFmt w:val="decimal"/>
      <w:lvlText w:val="%4."/>
      <w:lvlJc w:val="left"/>
      <w:pPr>
        <w:ind w:left="2880" w:hanging="360"/>
      </w:pPr>
    </w:lvl>
    <w:lvl w:ilvl="4" w:tplc="5E22AC24" w:tentative="1">
      <w:start w:val="1"/>
      <w:numFmt w:val="lowerLetter"/>
      <w:lvlText w:val="%5."/>
      <w:lvlJc w:val="left"/>
      <w:pPr>
        <w:ind w:left="3600" w:hanging="360"/>
      </w:pPr>
    </w:lvl>
    <w:lvl w:ilvl="5" w:tplc="5CF48ADA" w:tentative="1">
      <w:start w:val="1"/>
      <w:numFmt w:val="lowerRoman"/>
      <w:lvlText w:val="%6."/>
      <w:lvlJc w:val="right"/>
      <w:pPr>
        <w:ind w:left="4320" w:hanging="180"/>
      </w:pPr>
    </w:lvl>
    <w:lvl w:ilvl="6" w:tplc="6E0C5376" w:tentative="1">
      <w:start w:val="1"/>
      <w:numFmt w:val="decimal"/>
      <w:lvlText w:val="%7."/>
      <w:lvlJc w:val="left"/>
      <w:pPr>
        <w:ind w:left="5040" w:hanging="360"/>
      </w:pPr>
    </w:lvl>
    <w:lvl w:ilvl="7" w:tplc="54222688" w:tentative="1">
      <w:start w:val="1"/>
      <w:numFmt w:val="lowerLetter"/>
      <w:lvlText w:val="%8."/>
      <w:lvlJc w:val="left"/>
      <w:pPr>
        <w:ind w:left="5760" w:hanging="360"/>
      </w:pPr>
    </w:lvl>
    <w:lvl w:ilvl="8" w:tplc="A50088C0" w:tentative="1">
      <w:start w:val="1"/>
      <w:numFmt w:val="lowerRoman"/>
      <w:lvlText w:val="%9."/>
      <w:lvlJc w:val="right"/>
      <w:pPr>
        <w:ind w:left="6480" w:hanging="180"/>
      </w:pPr>
    </w:lvl>
  </w:abstractNum>
  <w:abstractNum w:abstractNumId="2" w15:restartNumberingAfterBreak="0">
    <w:nsid w:val="13875EBE"/>
    <w:multiLevelType w:val="hybridMultilevel"/>
    <w:tmpl w:val="B2A62CB6"/>
    <w:lvl w:ilvl="0" w:tplc="EC1EF792">
      <w:start w:val="1"/>
      <w:numFmt w:val="decimal"/>
      <w:lvlText w:val="(%1)"/>
      <w:lvlJc w:val="left"/>
      <w:pPr>
        <w:ind w:left="924" w:hanging="360"/>
      </w:pPr>
      <w:rPr>
        <w:rFonts w:hint="default"/>
      </w:rPr>
    </w:lvl>
    <w:lvl w:ilvl="1" w:tplc="4D4CC5AA" w:tentative="1">
      <w:start w:val="1"/>
      <w:numFmt w:val="lowerLetter"/>
      <w:lvlText w:val="%2."/>
      <w:lvlJc w:val="left"/>
      <w:pPr>
        <w:ind w:left="1644" w:hanging="360"/>
      </w:pPr>
    </w:lvl>
    <w:lvl w:ilvl="2" w:tplc="91749A44" w:tentative="1">
      <w:start w:val="1"/>
      <w:numFmt w:val="lowerRoman"/>
      <w:lvlText w:val="%3."/>
      <w:lvlJc w:val="right"/>
      <w:pPr>
        <w:ind w:left="2364" w:hanging="180"/>
      </w:pPr>
    </w:lvl>
    <w:lvl w:ilvl="3" w:tplc="B56EE7D4" w:tentative="1">
      <w:start w:val="1"/>
      <w:numFmt w:val="decimal"/>
      <w:lvlText w:val="%4."/>
      <w:lvlJc w:val="left"/>
      <w:pPr>
        <w:ind w:left="3084" w:hanging="360"/>
      </w:pPr>
    </w:lvl>
    <w:lvl w:ilvl="4" w:tplc="42FE6A60" w:tentative="1">
      <w:start w:val="1"/>
      <w:numFmt w:val="lowerLetter"/>
      <w:lvlText w:val="%5."/>
      <w:lvlJc w:val="left"/>
      <w:pPr>
        <w:ind w:left="3804" w:hanging="360"/>
      </w:pPr>
    </w:lvl>
    <w:lvl w:ilvl="5" w:tplc="8732F714" w:tentative="1">
      <w:start w:val="1"/>
      <w:numFmt w:val="lowerRoman"/>
      <w:lvlText w:val="%6."/>
      <w:lvlJc w:val="right"/>
      <w:pPr>
        <w:ind w:left="4524" w:hanging="180"/>
      </w:pPr>
    </w:lvl>
    <w:lvl w:ilvl="6" w:tplc="3CB678EC" w:tentative="1">
      <w:start w:val="1"/>
      <w:numFmt w:val="decimal"/>
      <w:lvlText w:val="%7."/>
      <w:lvlJc w:val="left"/>
      <w:pPr>
        <w:ind w:left="5244" w:hanging="360"/>
      </w:pPr>
    </w:lvl>
    <w:lvl w:ilvl="7" w:tplc="75F001FE" w:tentative="1">
      <w:start w:val="1"/>
      <w:numFmt w:val="lowerLetter"/>
      <w:lvlText w:val="%8."/>
      <w:lvlJc w:val="left"/>
      <w:pPr>
        <w:ind w:left="5964" w:hanging="360"/>
      </w:pPr>
    </w:lvl>
    <w:lvl w:ilvl="8" w:tplc="B9907650" w:tentative="1">
      <w:start w:val="1"/>
      <w:numFmt w:val="lowerRoman"/>
      <w:lvlText w:val="%9."/>
      <w:lvlJc w:val="right"/>
      <w:pPr>
        <w:ind w:left="6684" w:hanging="180"/>
      </w:pPr>
    </w:lvl>
  </w:abstractNum>
  <w:abstractNum w:abstractNumId="3" w15:restartNumberingAfterBreak="0">
    <w:nsid w:val="29DE545F"/>
    <w:multiLevelType w:val="multilevel"/>
    <w:tmpl w:val="C116F6C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lowerRoman"/>
      <w:pStyle w:val="Titre5"/>
      <w:lvlText w:val="(%5)"/>
      <w:lvlJc w:val="left"/>
      <w:pPr>
        <w:ind w:left="2880" w:firstLine="0"/>
      </w:pPr>
      <w:rPr>
        <w:rFonts w:hint="default"/>
        <w:b w:val="0"/>
        <w:i w:val="0"/>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15:restartNumberingAfterBreak="0">
    <w:nsid w:val="2BD12CF1"/>
    <w:multiLevelType w:val="multilevel"/>
    <w:tmpl w:val="C91A8326"/>
    <w:lvl w:ilvl="0">
      <w:start w:val="1"/>
      <w:numFmt w:val="decimal"/>
      <w:pStyle w:val="numration"/>
      <w:lvlText w:val="%1)"/>
      <w:lvlJc w:val="left"/>
      <w:pPr>
        <w:tabs>
          <w:tab w:val="num" w:pos="1094"/>
        </w:tabs>
        <w:ind w:left="734" w:firstLine="0"/>
      </w:pPr>
      <w:rPr>
        <w:rFonts w:hint="default"/>
        <w:b w:val="0"/>
        <w:i w:val="0"/>
        <w:sz w:val="24"/>
      </w:rPr>
    </w:lvl>
    <w:lvl w:ilvl="1">
      <w:start w:val="1"/>
      <w:numFmt w:val="decimal"/>
      <w:lvlText w:val="%1.%2."/>
      <w:lvlJc w:val="left"/>
      <w:pPr>
        <w:tabs>
          <w:tab w:val="num" w:pos="1526"/>
        </w:tabs>
        <w:ind w:left="1526" w:hanging="432"/>
      </w:pPr>
    </w:lvl>
    <w:lvl w:ilvl="2">
      <w:start w:val="1"/>
      <w:numFmt w:val="decimal"/>
      <w:lvlText w:val="%1.%2.%3."/>
      <w:lvlJc w:val="left"/>
      <w:pPr>
        <w:tabs>
          <w:tab w:val="num" w:pos="2174"/>
        </w:tabs>
        <w:ind w:left="1958" w:hanging="504"/>
      </w:pPr>
    </w:lvl>
    <w:lvl w:ilvl="3">
      <w:start w:val="1"/>
      <w:numFmt w:val="decimal"/>
      <w:lvlText w:val="%1.%2.%3.%4."/>
      <w:lvlJc w:val="left"/>
      <w:pPr>
        <w:tabs>
          <w:tab w:val="num" w:pos="2462"/>
        </w:tabs>
        <w:ind w:left="2462" w:hanging="648"/>
      </w:pPr>
    </w:lvl>
    <w:lvl w:ilvl="4">
      <w:start w:val="1"/>
      <w:numFmt w:val="decimal"/>
      <w:lvlText w:val="%1.%2.%3.%4.%5."/>
      <w:lvlJc w:val="left"/>
      <w:pPr>
        <w:tabs>
          <w:tab w:val="num" w:pos="3254"/>
        </w:tabs>
        <w:ind w:left="2966" w:hanging="792"/>
      </w:pPr>
    </w:lvl>
    <w:lvl w:ilvl="5">
      <w:start w:val="1"/>
      <w:numFmt w:val="decimal"/>
      <w:lvlText w:val="%1.%2.%3.%4.%5.%6."/>
      <w:lvlJc w:val="left"/>
      <w:pPr>
        <w:tabs>
          <w:tab w:val="num" w:pos="3974"/>
        </w:tabs>
        <w:ind w:left="3470" w:hanging="936"/>
      </w:pPr>
    </w:lvl>
    <w:lvl w:ilvl="6">
      <w:start w:val="1"/>
      <w:numFmt w:val="decimal"/>
      <w:lvlText w:val="%1.%2.%3.%4.%5.%6.%7."/>
      <w:lvlJc w:val="left"/>
      <w:pPr>
        <w:tabs>
          <w:tab w:val="num" w:pos="4334"/>
        </w:tabs>
        <w:ind w:left="3974" w:hanging="1080"/>
      </w:pPr>
    </w:lvl>
    <w:lvl w:ilvl="7">
      <w:start w:val="1"/>
      <w:numFmt w:val="decimal"/>
      <w:lvlText w:val="%1.%2.%3.%4.%5.%6.%7.%8."/>
      <w:lvlJc w:val="left"/>
      <w:pPr>
        <w:tabs>
          <w:tab w:val="num" w:pos="5054"/>
        </w:tabs>
        <w:ind w:left="4478" w:hanging="1224"/>
      </w:pPr>
    </w:lvl>
    <w:lvl w:ilvl="8">
      <w:start w:val="1"/>
      <w:numFmt w:val="decimal"/>
      <w:lvlText w:val="%1.%2.%3.%4.%5.%6.%7.%8.%9."/>
      <w:lvlJc w:val="left"/>
      <w:pPr>
        <w:tabs>
          <w:tab w:val="num" w:pos="5774"/>
        </w:tabs>
        <w:ind w:left="5054" w:hanging="1440"/>
      </w:pPr>
    </w:lvl>
  </w:abstractNum>
  <w:abstractNum w:abstractNumId="5" w15:restartNumberingAfterBreak="0">
    <w:nsid w:val="467B318F"/>
    <w:multiLevelType w:val="hybridMultilevel"/>
    <w:tmpl w:val="32D813DC"/>
    <w:lvl w:ilvl="0" w:tplc="EDE29A0C">
      <w:numFmt w:val="bullet"/>
      <w:lvlText w:val="-"/>
      <w:lvlJc w:val="left"/>
      <w:pPr>
        <w:ind w:left="924" w:hanging="360"/>
      </w:pPr>
      <w:rPr>
        <w:rFonts w:ascii="Arial" w:eastAsia="Times New Roman" w:hAnsi="Arial" w:cs="Arial" w:hint="default"/>
      </w:rPr>
    </w:lvl>
    <w:lvl w:ilvl="1" w:tplc="26C00670" w:tentative="1">
      <w:start w:val="1"/>
      <w:numFmt w:val="bullet"/>
      <w:lvlText w:val="o"/>
      <w:lvlJc w:val="left"/>
      <w:pPr>
        <w:ind w:left="1644" w:hanging="360"/>
      </w:pPr>
      <w:rPr>
        <w:rFonts w:ascii="Courier New" w:hAnsi="Courier New" w:cs="Courier New" w:hint="default"/>
      </w:rPr>
    </w:lvl>
    <w:lvl w:ilvl="2" w:tplc="7AE2D0A2" w:tentative="1">
      <w:start w:val="1"/>
      <w:numFmt w:val="bullet"/>
      <w:lvlText w:val=""/>
      <w:lvlJc w:val="left"/>
      <w:pPr>
        <w:ind w:left="2364" w:hanging="360"/>
      </w:pPr>
      <w:rPr>
        <w:rFonts w:ascii="Wingdings" w:hAnsi="Wingdings" w:hint="default"/>
      </w:rPr>
    </w:lvl>
    <w:lvl w:ilvl="3" w:tplc="537C5290" w:tentative="1">
      <w:start w:val="1"/>
      <w:numFmt w:val="bullet"/>
      <w:lvlText w:val=""/>
      <w:lvlJc w:val="left"/>
      <w:pPr>
        <w:ind w:left="3084" w:hanging="360"/>
      </w:pPr>
      <w:rPr>
        <w:rFonts w:ascii="Symbol" w:hAnsi="Symbol" w:hint="default"/>
      </w:rPr>
    </w:lvl>
    <w:lvl w:ilvl="4" w:tplc="F6DA96C4" w:tentative="1">
      <w:start w:val="1"/>
      <w:numFmt w:val="bullet"/>
      <w:lvlText w:val="o"/>
      <w:lvlJc w:val="left"/>
      <w:pPr>
        <w:ind w:left="3804" w:hanging="360"/>
      </w:pPr>
      <w:rPr>
        <w:rFonts w:ascii="Courier New" w:hAnsi="Courier New" w:cs="Courier New" w:hint="default"/>
      </w:rPr>
    </w:lvl>
    <w:lvl w:ilvl="5" w:tplc="5E6CBF7A" w:tentative="1">
      <w:start w:val="1"/>
      <w:numFmt w:val="bullet"/>
      <w:lvlText w:val=""/>
      <w:lvlJc w:val="left"/>
      <w:pPr>
        <w:ind w:left="4524" w:hanging="360"/>
      </w:pPr>
      <w:rPr>
        <w:rFonts w:ascii="Wingdings" w:hAnsi="Wingdings" w:hint="default"/>
      </w:rPr>
    </w:lvl>
    <w:lvl w:ilvl="6" w:tplc="541AE1EC" w:tentative="1">
      <w:start w:val="1"/>
      <w:numFmt w:val="bullet"/>
      <w:lvlText w:val=""/>
      <w:lvlJc w:val="left"/>
      <w:pPr>
        <w:ind w:left="5244" w:hanging="360"/>
      </w:pPr>
      <w:rPr>
        <w:rFonts w:ascii="Symbol" w:hAnsi="Symbol" w:hint="default"/>
      </w:rPr>
    </w:lvl>
    <w:lvl w:ilvl="7" w:tplc="C2B638F4" w:tentative="1">
      <w:start w:val="1"/>
      <w:numFmt w:val="bullet"/>
      <w:lvlText w:val="o"/>
      <w:lvlJc w:val="left"/>
      <w:pPr>
        <w:ind w:left="5964" w:hanging="360"/>
      </w:pPr>
      <w:rPr>
        <w:rFonts w:ascii="Courier New" w:hAnsi="Courier New" w:cs="Courier New" w:hint="default"/>
      </w:rPr>
    </w:lvl>
    <w:lvl w:ilvl="8" w:tplc="6BC60838" w:tentative="1">
      <w:start w:val="1"/>
      <w:numFmt w:val="bullet"/>
      <w:lvlText w:val=""/>
      <w:lvlJc w:val="left"/>
      <w:pPr>
        <w:ind w:left="6684" w:hanging="360"/>
      </w:pPr>
      <w:rPr>
        <w:rFonts w:ascii="Wingdings" w:hAnsi="Wingdings" w:hint="default"/>
      </w:rPr>
    </w:lvl>
  </w:abstractNum>
  <w:abstractNum w:abstractNumId="6" w15:restartNumberingAfterBreak="0">
    <w:nsid w:val="4D2713D7"/>
    <w:multiLevelType w:val="hybridMultilevel"/>
    <w:tmpl w:val="D5DAB636"/>
    <w:lvl w:ilvl="0" w:tplc="52203008">
      <w:start w:val="1"/>
      <w:numFmt w:val="upperLetter"/>
      <w:lvlText w:val="%1)"/>
      <w:lvlJc w:val="left"/>
      <w:pPr>
        <w:ind w:left="720" w:hanging="360"/>
      </w:pPr>
      <w:rPr>
        <w:rFonts w:hint="default"/>
      </w:rPr>
    </w:lvl>
    <w:lvl w:ilvl="1" w:tplc="198454DC" w:tentative="1">
      <w:start w:val="1"/>
      <w:numFmt w:val="lowerLetter"/>
      <w:lvlText w:val="%2."/>
      <w:lvlJc w:val="left"/>
      <w:pPr>
        <w:ind w:left="1440" w:hanging="360"/>
      </w:pPr>
    </w:lvl>
    <w:lvl w:ilvl="2" w:tplc="FBFC9350" w:tentative="1">
      <w:start w:val="1"/>
      <w:numFmt w:val="lowerRoman"/>
      <w:lvlText w:val="%3."/>
      <w:lvlJc w:val="right"/>
      <w:pPr>
        <w:ind w:left="2160" w:hanging="180"/>
      </w:pPr>
    </w:lvl>
    <w:lvl w:ilvl="3" w:tplc="010455A0" w:tentative="1">
      <w:start w:val="1"/>
      <w:numFmt w:val="decimal"/>
      <w:lvlText w:val="%4."/>
      <w:lvlJc w:val="left"/>
      <w:pPr>
        <w:ind w:left="2880" w:hanging="360"/>
      </w:pPr>
    </w:lvl>
    <w:lvl w:ilvl="4" w:tplc="47BC89C8" w:tentative="1">
      <w:start w:val="1"/>
      <w:numFmt w:val="lowerLetter"/>
      <w:lvlText w:val="%5."/>
      <w:lvlJc w:val="left"/>
      <w:pPr>
        <w:ind w:left="3600" w:hanging="360"/>
      </w:pPr>
    </w:lvl>
    <w:lvl w:ilvl="5" w:tplc="31EA4E38" w:tentative="1">
      <w:start w:val="1"/>
      <w:numFmt w:val="lowerRoman"/>
      <w:lvlText w:val="%6."/>
      <w:lvlJc w:val="right"/>
      <w:pPr>
        <w:ind w:left="4320" w:hanging="180"/>
      </w:pPr>
    </w:lvl>
    <w:lvl w:ilvl="6" w:tplc="1E701E54" w:tentative="1">
      <w:start w:val="1"/>
      <w:numFmt w:val="decimal"/>
      <w:lvlText w:val="%7."/>
      <w:lvlJc w:val="left"/>
      <w:pPr>
        <w:ind w:left="5040" w:hanging="360"/>
      </w:pPr>
    </w:lvl>
    <w:lvl w:ilvl="7" w:tplc="E340B2B0" w:tentative="1">
      <w:start w:val="1"/>
      <w:numFmt w:val="lowerLetter"/>
      <w:lvlText w:val="%8."/>
      <w:lvlJc w:val="left"/>
      <w:pPr>
        <w:ind w:left="5760" w:hanging="360"/>
      </w:pPr>
    </w:lvl>
    <w:lvl w:ilvl="8" w:tplc="7E2CC2CA" w:tentative="1">
      <w:start w:val="1"/>
      <w:numFmt w:val="lowerRoman"/>
      <w:lvlText w:val="%9."/>
      <w:lvlJc w:val="right"/>
      <w:pPr>
        <w:ind w:left="6480" w:hanging="180"/>
      </w:pPr>
    </w:lvl>
  </w:abstractNum>
  <w:abstractNum w:abstractNumId="7" w15:restartNumberingAfterBreak="0">
    <w:nsid w:val="609C0DCC"/>
    <w:multiLevelType w:val="multilevel"/>
    <w:tmpl w:val="98DA7FD4"/>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C9B10B3"/>
    <w:multiLevelType w:val="hybridMultilevel"/>
    <w:tmpl w:val="B7EEB118"/>
    <w:lvl w:ilvl="0" w:tplc="0FDCE328">
      <w:numFmt w:val="bullet"/>
      <w:lvlText w:val=""/>
      <w:lvlJc w:val="left"/>
      <w:pPr>
        <w:ind w:left="1068" w:hanging="360"/>
      </w:pPr>
      <w:rPr>
        <w:rFonts w:ascii="Symbol" w:eastAsia="Times New Roman" w:hAnsi="Symbol" w:cs="Times New Roman" w:hint="default"/>
      </w:rPr>
    </w:lvl>
    <w:lvl w:ilvl="1" w:tplc="00EA6EEC" w:tentative="1">
      <w:start w:val="1"/>
      <w:numFmt w:val="bullet"/>
      <w:lvlText w:val="o"/>
      <w:lvlJc w:val="left"/>
      <w:pPr>
        <w:ind w:left="1788" w:hanging="360"/>
      </w:pPr>
      <w:rPr>
        <w:rFonts w:ascii="Courier New" w:hAnsi="Courier New" w:cs="Courier New" w:hint="default"/>
      </w:rPr>
    </w:lvl>
    <w:lvl w:ilvl="2" w:tplc="E9ECC152" w:tentative="1">
      <w:start w:val="1"/>
      <w:numFmt w:val="bullet"/>
      <w:lvlText w:val=""/>
      <w:lvlJc w:val="left"/>
      <w:pPr>
        <w:ind w:left="2508" w:hanging="360"/>
      </w:pPr>
      <w:rPr>
        <w:rFonts w:ascii="Wingdings" w:hAnsi="Wingdings" w:hint="default"/>
      </w:rPr>
    </w:lvl>
    <w:lvl w:ilvl="3" w:tplc="F8A2E476" w:tentative="1">
      <w:start w:val="1"/>
      <w:numFmt w:val="bullet"/>
      <w:lvlText w:val=""/>
      <w:lvlJc w:val="left"/>
      <w:pPr>
        <w:ind w:left="3228" w:hanging="360"/>
      </w:pPr>
      <w:rPr>
        <w:rFonts w:ascii="Symbol" w:hAnsi="Symbol" w:hint="default"/>
      </w:rPr>
    </w:lvl>
    <w:lvl w:ilvl="4" w:tplc="02B6662E" w:tentative="1">
      <w:start w:val="1"/>
      <w:numFmt w:val="bullet"/>
      <w:lvlText w:val="o"/>
      <w:lvlJc w:val="left"/>
      <w:pPr>
        <w:ind w:left="3948" w:hanging="360"/>
      </w:pPr>
      <w:rPr>
        <w:rFonts w:ascii="Courier New" w:hAnsi="Courier New" w:cs="Courier New" w:hint="default"/>
      </w:rPr>
    </w:lvl>
    <w:lvl w:ilvl="5" w:tplc="6B20192E" w:tentative="1">
      <w:start w:val="1"/>
      <w:numFmt w:val="bullet"/>
      <w:lvlText w:val=""/>
      <w:lvlJc w:val="left"/>
      <w:pPr>
        <w:ind w:left="4668" w:hanging="360"/>
      </w:pPr>
      <w:rPr>
        <w:rFonts w:ascii="Wingdings" w:hAnsi="Wingdings" w:hint="default"/>
      </w:rPr>
    </w:lvl>
    <w:lvl w:ilvl="6" w:tplc="441C5030" w:tentative="1">
      <w:start w:val="1"/>
      <w:numFmt w:val="bullet"/>
      <w:lvlText w:val=""/>
      <w:lvlJc w:val="left"/>
      <w:pPr>
        <w:ind w:left="5388" w:hanging="360"/>
      </w:pPr>
      <w:rPr>
        <w:rFonts w:ascii="Symbol" w:hAnsi="Symbol" w:hint="default"/>
      </w:rPr>
    </w:lvl>
    <w:lvl w:ilvl="7" w:tplc="AC06CD76" w:tentative="1">
      <w:start w:val="1"/>
      <w:numFmt w:val="bullet"/>
      <w:lvlText w:val="o"/>
      <w:lvlJc w:val="left"/>
      <w:pPr>
        <w:ind w:left="6108" w:hanging="360"/>
      </w:pPr>
      <w:rPr>
        <w:rFonts w:ascii="Courier New" w:hAnsi="Courier New" w:cs="Courier New" w:hint="default"/>
      </w:rPr>
    </w:lvl>
    <w:lvl w:ilvl="8" w:tplc="C214E9B8"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5"/>
  </w:num>
  <w:num w:numId="6">
    <w:abstractNumId w:val="2"/>
  </w:num>
  <w:num w:numId="7">
    <w:abstractNumId w:val="8"/>
  </w:num>
  <w:num w:numId="8">
    <w:abstractNumId w:val="1"/>
  </w:num>
  <w:num w:numId="9">
    <w:abstractNumId w:val="7"/>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D0"/>
    <w:rsid w:val="00001F2A"/>
    <w:rsid w:val="00020B2D"/>
    <w:rsid w:val="00022319"/>
    <w:rsid w:val="00025047"/>
    <w:rsid w:val="000271DD"/>
    <w:rsid w:val="000273A6"/>
    <w:rsid w:val="00042096"/>
    <w:rsid w:val="00050A13"/>
    <w:rsid w:val="00073C6E"/>
    <w:rsid w:val="00080553"/>
    <w:rsid w:val="0008195D"/>
    <w:rsid w:val="000974A6"/>
    <w:rsid w:val="000B1B49"/>
    <w:rsid w:val="000B1DBF"/>
    <w:rsid w:val="000B3E29"/>
    <w:rsid w:val="000B3E86"/>
    <w:rsid w:val="000C1D62"/>
    <w:rsid w:val="000C7F97"/>
    <w:rsid w:val="000D1ED3"/>
    <w:rsid w:val="000D2254"/>
    <w:rsid w:val="000E1B8D"/>
    <w:rsid w:val="000F1628"/>
    <w:rsid w:val="001071F4"/>
    <w:rsid w:val="001123BD"/>
    <w:rsid w:val="0011257B"/>
    <w:rsid w:val="00113220"/>
    <w:rsid w:val="00124DB1"/>
    <w:rsid w:val="00140833"/>
    <w:rsid w:val="001467F9"/>
    <w:rsid w:val="001479BB"/>
    <w:rsid w:val="001623ED"/>
    <w:rsid w:val="00165E41"/>
    <w:rsid w:val="0018409A"/>
    <w:rsid w:val="00192AF7"/>
    <w:rsid w:val="001A4A3F"/>
    <w:rsid w:val="001D26CE"/>
    <w:rsid w:val="001D78C8"/>
    <w:rsid w:val="001E2FA8"/>
    <w:rsid w:val="001E2FEE"/>
    <w:rsid w:val="0021173D"/>
    <w:rsid w:val="00224067"/>
    <w:rsid w:val="002268E2"/>
    <w:rsid w:val="00237F1E"/>
    <w:rsid w:val="00256F1B"/>
    <w:rsid w:val="00273464"/>
    <w:rsid w:val="00276284"/>
    <w:rsid w:val="002836B9"/>
    <w:rsid w:val="002851AF"/>
    <w:rsid w:val="00285A07"/>
    <w:rsid w:val="002A1658"/>
    <w:rsid w:val="002A4E8E"/>
    <w:rsid w:val="002B1C2B"/>
    <w:rsid w:val="002C1246"/>
    <w:rsid w:val="002E108B"/>
    <w:rsid w:val="002E2124"/>
    <w:rsid w:val="002F4643"/>
    <w:rsid w:val="00302E26"/>
    <w:rsid w:val="003040A4"/>
    <w:rsid w:val="00315F9F"/>
    <w:rsid w:val="0033484F"/>
    <w:rsid w:val="00336C59"/>
    <w:rsid w:val="00347BA4"/>
    <w:rsid w:val="003510A3"/>
    <w:rsid w:val="00353C25"/>
    <w:rsid w:val="00364DE9"/>
    <w:rsid w:val="00371E63"/>
    <w:rsid w:val="00380AD7"/>
    <w:rsid w:val="00396866"/>
    <w:rsid w:val="003A1264"/>
    <w:rsid w:val="003A30B8"/>
    <w:rsid w:val="003B6C66"/>
    <w:rsid w:val="003D5462"/>
    <w:rsid w:val="003D7EFB"/>
    <w:rsid w:val="003E1874"/>
    <w:rsid w:val="003F0985"/>
    <w:rsid w:val="003F5FC7"/>
    <w:rsid w:val="00400184"/>
    <w:rsid w:val="004143B0"/>
    <w:rsid w:val="00421031"/>
    <w:rsid w:val="0042405D"/>
    <w:rsid w:val="004346A1"/>
    <w:rsid w:val="00440F48"/>
    <w:rsid w:val="00452447"/>
    <w:rsid w:val="0046569D"/>
    <w:rsid w:val="0049241B"/>
    <w:rsid w:val="00493833"/>
    <w:rsid w:val="004940A5"/>
    <w:rsid w:val="004A206C"/>
    <w:rsid w:val="004C58EF"/>
    <w:rsid w:val="004D757F"/>
    <w:rsid w:val="004F30D6"/>
    <w:rsid w:val="00506138"/>
    <w:rsid w:val="00507A20"/>
    <w:rsid w:val="0052106C"/>
    <w:rsid w:val="00545840"/>
    <w:rsid w:val="00555D53"/>
    <w:rsid w:val="0058213F"/>
    <w:rsid w:val="0058338B"/>
    <w:rsid w:val="00587B4E"/>
    <w:rsid w:val="005A2CEA"/>
    <w:rsid w:val="005A77CF"/>
    <w:rsid w:val="005B70C9"/>
    <w:rsid w:val="005C0047"/>
    <w:rsid w:val="005D7125"/>
    <w:rsid w:val="005E02BE"/>
    <w:rsid w:val="005E1AC3"/>
    <w:rsid w:val="005F4008"/>
    <w:rsid w:val="005F51FA"/>
    <w:rsid w:val="00600FDF"/>
    <w:rsid w:val="00607833"/>
    <w:rsid w:val="006111AE"/>
    <w:rsid w:val="006122A1"/>
    <w:rsid w:val="006366DD"/>
    <w:rsid w:val="0065139C"/>
    <w:rsid w:val="00657E59"/>
    <w:rsid w:val="0066420C"/>
    <w:rsid w:val="006647E2"/>
    <w:rsid w:val="00677F89"/>
    <w:rsid w:val="00692177"/>
    <w:rsid w:val="00694030"/>
    <w:rsid w:val="006C3F2A"/>
    <w:rsid w:val="006D1852"/>
    <w:rsid w:val="006E75BF"/>
    <w:rsid w:val="006F54DF"/>
    <w:rsid w:val="0071725B"/>
    <w:rsid w:val="007248F6"/>
    <w:rsid w:val="00726D06"/>
    <w:rsid w:val="0073588D"/>
    <w:rsid w:val="00746F75"/>
    <w:rsid w:val="00750D41"/>
    <w:rsid w:val="007553EB"/>
    <w:rsid w:val="0075555D"/>
    <w:rsid w:val="00771BF4"/>
    <w:rsid w:val="0077454E"/>
    <w:rsid w:val="0078285E"/>
    <w:rsid w:val="00787AB4"/>
    <w:rsid w:val="00794149"/>
    <w:rsid w:val="007941A7"/>
    <w:rsid w:val="00796915"/>
    <w:rsid w:val="007A5415"/>
    <w:rsid w:val="007B2F94"/>
    <w:rsid w:val="007C4D11"/>
    <w:rsid w:val="007C7010"/>
    <w:rsid w:val="007D0F99"/>
    <w:rsid w:val="007E4B6E"/>
    <w:rsid w:val="007E5E7B"/>
    <w:rsid w:val="0080483D"/>
    <w:rsid w:val="00812BEA"/>
    <w:rsid w:val="00823DF1"/>
    <w:rsid w:val="00824143"/>
    <w:rsid w:val="00825FE8"/>
    <w:rsid w:val="00830A26"/>
    <w:rsid w:val="00833CA9"/>
    <w:rsid w:val="0086258F"/>
    <w:rsid w:val="00862FC3"/>
    <w:rsid w:val="008C23CE"/>
    <w:rsid w:val="008C392C"/>
    <w:rsid w:val="008C4415"/>
    <w:rsid w:val="008C534F"/>
    <w:rsid w:val="008D3A5F"/>
    <w:rsid w:val="00907F34"/>
    <w:rsid w:val="00911397"/>
    <w:rsid w:val="00930795"/>
    <w:rsid w:val="009415F7"/>
    <w:rsid w:val="00954814"/>
    <w:rsid w:val="0095674F"/>
    <w:rsid w:val="0095700F"/>
    <w:rsid w:val="00962B93"/>
    <w:rsid w:val="00964BEB"/>
    <w:rsid w:val="00972D2B"/>
    <w:rsid w:val="00980517"/>
    <w:rsid w:val="00994C67"/>
    <w:rsid w:val="009A00D0"/>
    <w:rsid w:val="009A5C02"/>
    <w:rsid w:val="009B79E7"/>
    <w:rsid w:val="009C10AA"/>
    <w:rsid w:val="009D142E"/>
    <w:rsid w:val="009D57A0"/>
    <w:rsid w:val="009F3C9E"/>
    <w:rsid w:val="009F4DBE"/>
    <w:rsid w:val="009F521C"/>
    <w:rsid w:val="00A0071A"/>
    <w:rsid w:val="00A154A5"/>
    <w:rsid w:val="00A20864"/>
    <w:rsid w:val="00A27132"/>
    <w:rsid w:val="00A34BC1"/>
    <w:rsid w:val="00A34F57"/>
    <w:rsid w:val="00A60798"/>
    <w:rsid w:val="00A7388A"/>
    <w:rsid w:val="00A76A79"/>
    <w:rsid w:val="00A9757A"/>
    <w:rsid w:val="00AA1B88"/>
    <w:rsid w:val="00AB2E96"/>
    <w:rsid w:val="00AC22FC"/>
    <w:rsid w:val="00AC3935"/>
    <w:rsid w:val="00AD01CB"/>
    <w:rsid w:val="00AD2941"/>
    <w:rsid w:val="00AD32E1"/>
    <w:rsid w:val="00AD3D10"/>
    <w:rsid w:val="00AF586F"/>
    <w:rsid w:val="00B01D0A"/>
    <w:rsid w:val="00B04E78"/>
    <w:rsid w:val="00B115C6"/>
    <w:rsid w:val="00B12CBC"/>
    <w:rsid w:val="00B243E6"/>
    <w:rsid w:val="00B25003"/>
    <w:rsid w:val="00B461A5"/>
    <w:rsid w:val="00B46899"/>
    <w:rsid w:val="00B54627"/>
    <w:rsid w:val="00B73650"/>
    <w:rsid w:val="00B97BD3"/>
    <w:rsid w:val="00BA2EAB"/>
    <w:rsid w:val="00BA4216"/>
    <w:rsid w:val="00BB30D0"/>
    <w:rsid w:val="00BB3A86"/>
    <w:rsid w:val="00BB48C4"/>
    <w:rsid w:val="00BB5A53"/>
    <w:rsid w:val="00BB6893"/>
    <w:rsid w:val="00BC5A3D"/>
    <w:rsid w:val="00BD4E2A"/>
    <w:rsid w:val="00BE7F6B"/>
    <w:rsid w:val="00BF0F6F"/>
    <w:rsid w:val="00BF74C9"/>
    <w:rsid w:val="00C1061B"/>
    <w:rsid w:val="00C24D1F"/>
    <w:rsid w:val="00C303AC"/>
    <w:rsid w:val="00C336B6"/>
    <w:rsid w:val="00C44996"/>
    <w:rsid w:val="00C47647"/>
    <w:rsid w:val="00C6785B"/>
    <w:rsid w:val="00C704CC"/>
    <w:rsid w:val="00C83D70"/>
    <w:rsid w:val="00CA46FD"/>
    <w:rsid w:val="00CC29C8"/>
    <w:rsid w:val="00CC2A55"/>
    <w:rsid w:val="00CD0C8B"/>
    <w:rsid w:val="00CD60DD"/>
    <w:rsid w:val="00CD7064"/>
    <w:rsid w:val="00CD7B89"/>
    <w:rsid w:val="00D102E6"/>
    <w:rsid w:val="00D12510"/>
    <w:rsid w:val="00D17066"/>
    <w:rsid w:val="00D246FB"/>
    <w:rsid w:val="00D2518D"/>
    <w:rsid w:val="00D27B9F"/>
    <w:rsid w:val="00D3042C"/>
    <w:rsid w:val="00D35BBD"/>
    <w:rsid w:val="00D442A8"/>
    <w:rsid w:val="00D90D2A"/>
    <w:rsid w:val="00D95D28"/>
    <w:rsid w:val="00DA5D7C"/>
    <w:rsid w:val="00DA72BF"/>
    <w:rsid w:val="00DB3D11"/>
    <w:rsid w:val="00DC1A05"/>
    <w:rsid w:val="00DC4D29"/>
    <w:rsid w:val="00DD0C6B"/>
    <w:rsid w:val="00DD69DA"/>
    <w:rsid w:val="00DE0E20"/>
    <w:rsid w:val="00DF1005"/>
    <w:rsid w:val="00DF40F2"/>
    <w:rsid w:val="00E0104D"/>
    <w:rsid w:val="00E050D1"/>
    <w:rsid w:val="00E06C8D"/>
    <w:rsid w:val="00E076F9"/>
    <w:rsid w:val="00E155D4"/>
    <w:rsid w:val="00E27489"/>
    <w:rsid w:val="00E420D6"/>
    <w:rsid w:val="00E43508"/>
    <w:rsid w:val="00E527E7"/>
    <w:rsid w:val="00E52AF6"/>
    <w:rsid w:val="00E74A70"/>
    <w:rsid w:val="00E93E55"/>
    <w:rsid w:val="00EA063D"/>
    <w:rsid w:val="00EA72E4"/>
    <w:rsid w:val="00EB2AF2"/>
    <w:rsid w:val="00EB3416"/>
    <w:rsid w:val="00EB404F"/>
    <w:rsid w:val="00EB5399"/>
    <w:rsid w:val="00EC3431"/>
    <w:rsid w:val="00EC4002"/>
    <w:rsid w:val="00ED7613"/>
    <w:rsid w:val="00EE32C8"/>
    <w:rsid w:val="00EE5E27"/>
    <w:rsid w:val="00EF3A4A"/>
    <w:rsid w:val="00F06FCD"/>
    <w:rsid w:val="00F0714B"/>
    <w:rsid w:val="00F10069"/>
    <w:rsid w:val="00F17449"/>
    <w:rsid w:val="00F23542"/>
    <w:rsid w:val="00F245FA"/>
    <w:rsid w:val="00F4228F"/>
    <w:rsid w:val="00F4488F"/>
    <w:rsid w:val="00F46BBF"/>
    <w:rsid w:val="00F519EC"/>
    <w:rsid w:val="00F61025"/>
    <w:rsid w:val="00F624DF"/>
    <w:rsid w:val="00F706CC"/>
    <w:rsid w:val="00F711FB"/>
    <w:rsid w:val="00F745F9"/>
    <w:rsid w:val="00F82EA8"/>
    <w:rsid w:val="00F82F78"/>
    <w:rsid w:val="00FA3364"/>
    <w:rsid w:val="00FA3704"/>
    <w:rsid w:val="00FA7605"/>
    <w:rsid w:val="00FB1AD0"/>
    <w:rsid w:val="00FC6333"/>
    <w:rsid w:val="00FE2F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A664F5"/>
  <w15:chartTrackingRefBased/>
  <w15:docId w15:val="{FCFA5A70-8F6E-4628-8C98-D88C3B6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5BC4"/>
    <w:rPr>
      <w:rFonts w:ascii="Arial" w:hAnsi="Arial"/>
      <w:sz w:val="24"/>
      <w:lang w:eastAsia="fr-FR"/>
    </w:rPr>
  </w:style>
  <w:style w:type="paragraph" w:styleId="Titre1">
    <w:name w:val="heading 1"/>
    <w:basedOn w:val="Normal"/>
    <w:next w:val="Normal"/>
    <w:qFormat/>
    <w:rsid w:val="00DF7910"/>
    <w:pPr>
      <w:keepNext/>
      <w:numPr>
        <w:numId w:val="3"/>
      </w:numPr>
      <w:tabs>
        <w:tab w:val="left" w:pos="567"/>
      </w:tabs>
      <w:spacing w:before="120" w:after="120" w:line="480" w:lineRule="exact"/>
      <w:outlineLvl w:val="0"/>
    </w:pPr>
    <w:rPr>
      <w:b/>
      <w:smallCaps/>
      <w:kern w:val="28"/>
      <w:u w:val="single"/>
    </w:rPr>
  </w:style>
  <w:style w:type="paragraph" w:styleId="Titre2">
    <w:name w:val="heading 2"/>
    <w:basedOn w:val="Normal"/>
    <w:next w:val="Normal"/>
    <w:qFormat/>
    <w:rsid w:val="00D74145"/>
    <w:pPr>
      <w:keepNext/>
      <w:numPr>
        <w:ilvl w:val="1"/>
        <w:numId w:val="3"/>
      </w:numPr>
      <w:spacing w:before="120" w:after="120" w:line="480" w:lineRule="exact"/>
      <w:ind w:left="567" w:hanging="567"/>
      <w:outlineLvl w:val="1"/>
    </w:pPr>
    <w:rPr>
      <w:b/>
    </w:rPr>
  </w:style>
  <w:style w:type="paragraph" w:styleId="Titre3">
    <w:name w:val="heading 3"/>
    <w:basedOn w:val="Normal"/>
    <w:next w:val="Normal"/>
    <w:qFormat/>
    <w:rsid w:val="00D74145"/>
    <w:pPr>
      <w:keepNext/>
      <w:numPr>
        <w:ilvl w:val="2"/>
        <w:numId w:val="3"/>
      </w:numPr>
      <w:spacing w:before="120" w:after="120" w:line="480" w:lineRule="exact"/>
      <w:ind w:left="567" w:hanging="567"/>
      <w:outlineLvl w:val="2"/>
    </w:pPr>
    <w:rPr>
      <w:u w:val="single"/>
    </w:rPr>
  </w:style>
  <w:style w:type="paragraph" w:styleId="Titre4">
    <w:name w:val="heading 4"/>
    <w:basedOn w:val="Normal"/>
    <w:next w:val="Normal"/>
    <w:qFormat/>
    <w:rsid w:val="00D74145"/>
    <w:pPr>
      <w:keepNext/>
      <w:numPr>
        <w:ilvl w:val="3"/>
        <w:numId w:val="3"/>
      </w:numPr>
      <w:spacing w:before="120" w:after="120" w:line="480" w:lineRule="exact"/>
      <w:ind w:left="567" w:hanging="567"/>
      <w:outlineLvl w:val="3"/>
    </w:pPr>
    <w:rPr>
      <w:iCs/>
    </w:rPr>
  </w:style>
  <w:style w:type="paragraph" w:styleId="Titre5">
    <w:name w:val="heading 5"/>
    <w:basedOn w:val="Normal"/>
    <w:next w:val="Normal"/>
    <w:rsid w:val="00D74145"/>
    <w:pPr>
      <w:numPr>
        <w:ilvl w:val="4"/>
        <w:numId w:val="3"/>
      </w:numPr>
      <w:spacing w:before="240" w:after="60"/>
      <w:ind w:left="567" w:hanging="567"/>
      <w:outlineLvl w:val="4"/>
    </w:pPr>
    <w:rPr>
      <w:i/>
      <w:iCs/>
      <w:szCs w:val="24"/>
    </w:rPr>
  </w:style>
  <w:style w:type="paragraph" w:styleId="Titre6">
    <w:name w:val="heading 6"/>
    <w:basedOn w:val="Normal"/>
    <w:next w:val="Normal"/>
    <w:pPr>
      <w:numPr>
        <w:ilvl w:val="5"/>
        <w:numId w:val="3"/>
      </w:numPr>
      <w:spacing w:before="240" w:after="60"/>
      <w:outlineLvl w:val="5"/>
    </w:pPr>
    <w:rPr>
      <w:i/>
      <w:sz w:val="22"/>
    </w:rPr>
  </w:style>
  <w:style w:type="paragraph" w:styleId="Titre7">
    <w:name w:val="heading 7"/>
    <w:basedOn w:val="Normal"/>
    <w:next w:val="Normal"/>
    <w:pPr>
      <w:numPr>
        <w:ilvl w:val="6"/>
        <w:numId w:val="3"/>
      </w:numPr>
      <w:spacing w:before="240" w:after="60"/>
      <w:outlineLvl w:val="6"/>
    </w:pPr>
    <w:rPr>
      <w:sz w:val="20"/>
    </w:rPr>
  </w:style>
  <w:style w:type="paragraph" w:styleId="Titre8">
    <w:name w:val="heading 8"/>
    <w:basedOn w:val="Normal"/>
    <w:next w:val="Normal"/>
    <w:pPr>
      <w:numPr>
        <w:ilvl w:val="7"/>
        <w:numId w:val="3"/>
      </w:numPr>
      <w:spacing w:before="240" w:after="60"/>
      <w:outlineLvl w:val="7"/>
    </w:pPr>
    <w:rPr>
      <w:i/>
      <w:sz w:val="20"/>
    </w:rPr>
  </w:style>
  <w:style w:type="paragraph" w:styleId="Titre9">
    <w:name w:val="heading 9"/>
    <w:basedOn w:val="Normal"/>
    <w:next w:val="Normal"/>
    <w:pPr>
      <w:numPr>
        <w:ilvl w:val="8"/>
        <w:numId w:val="3"/>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495107"/>
    <w:pPr>
      <w:numPr>
        <w:numId w:val="1"/>
      </w:numPr>
      <w:tabs>
        <w:tab w:val="left" w:pos="567"/>
      </w:tabs>
      <w:spacing w:before="120" w:after="120" w:line="276" w:lineRule="auto"/>
      <w:jc w:val="both"/>
    </w:pPr>
    <w:rPr>
      <w:kern w:val="28"/>
      <w:lang w:val="en-CA"/>
    </w:rPr>
  </w:style>
  <w:style w:type="paragraph" w:customStyle="1" w:styleId="Citationenretrait">
    <w:name w:val="Citation en retrait"/>
    <w:basedOn w:val="Normal"/>
    <w:link w:val="CitationenretraitCar"/>
    <w:qFormat/>
    <w:rsid w:val="00AE5BC4"/>
    <w:pPr>
      <w:spacing w:after="120" w:line="276" w:lineRule="auto"/>
      <w:ind w:left="567"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basedOn w:val="Normal"/>
    <w:link w:val="NotedebasdepageCar"/>
    <w:semiHidden/>
    <w:qFormat/>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lamarge">
    <w:name w:val="Par. à la marge"/>
    <w:basedOn w:val="ParagNonNum"/>
    <w:qFormat/>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E728B8"/>
    <w:pPr>
      <w:tabs>
        <w:tab w:val="center" w:pos="4320"/>
        <w:tab w:val="right" w:pos="8640"/>
      </w:tabs>
    </w:pPr>
  </w:style>
  <w:style w:type="character" w:customStyle="1" w:styleId="En-tteCar">
    <w:name w:val="En-tête Car"/>
    <w:link w:val="En-tte"/>
    <w:uiPriority w:val="99"/>
    <w:rsid w:val="00E728B8"/>
    <w:rPr>
      <w:rFonts w:ascii="Arial" w:hAnsi="Arial"/>
      <w:sz w:val="24"/>
      <w:lang w:eastAsia="fr-FR"/>
    </w:rPr>
  </w:style>
  <w:style w:type="paragraph" w:styleId="Pieddepage">
    <w:name w:val="footer"/>
    <w:basedOn w:val="Normal"/>
    <w:link w:val="PieddepageCar"/>
    <w:uiPriority w:val="99"/>
    <w:unhideWhenUsed/>
    <w:rsid w:val="00E728B8"/>
    <w:pPr>
      <w:tabs>
        <w:tab w:val="center" w:pos="4320"/>
        <w:tab w:val="right" w:pos="8640"/>
      </w:tabs>
    </w:pPr>
  </w:style>
  <w:style w:type="character" w:customStyle="1" w:styleId="PieddepageCar">
    <w:name w:val="Pied de page Car"/>
    <w:link w:val="Pieddepage"/>
    <w:uiPriority w:val="99"/>
    <w:rsid w:val="00E728B8"/>
    <w:rPr>
      <w:rFonts w:ascii="Arial" w:hAnsi="Arial"/>
      <w:sz w:val="24"/>
      <w:lang w:eastAsia="fr-FR"/>
    </w:rPr>
  </w:style>
  <w:style w:type="paragraph" w:customStyle="1" w:styleId="numration">
    <w:name w:val="Énumération"/>
    <w:basedOn w:val="Paragraphe"/>
    <w:qFormat/>
    <w:rsid w:val="00495107"/>
    <w:pPr>
      <w:numPr>
        <w:numId w:val="2"/>
      </w:numPr>
      <w:tabs>
        <w:tab w:val="clear" w:pos="567"/>
        <w:tab w:val="clear" w:pos="1094"/>
      </w:tabs>
      <w:spacing w:before="0"/>
      <w:ind w:left="1134" w:hanging="567"/>
    </w:pPr>
  </w:style>
  <w:style w:type="character" w:styleId="Appelnotedebasdep">
    <w:name w:val="footnote reference"/>
    <w:uiPriority w:val="99"/>
    <w:semiHidden/>
    <w:unhideWhenUsed/>
    <w:rsid w:val="00AE5BC4"/>
    <w:rPr>
      <w:vertAlign w:val="superscript"/>
    </w:rPr>
  </w:style>
  <w:style w:type="character" w:customStyle="1" w:styleId="CorpsdetexteCar">
    <w:name w:val="Corps de texte Car"/>
    <w:link w:val="Corpsdetexte"/>
    <w:semiHidden/>
    <w:rsid w:val="00AE5BC4"/>
    <w:rPr>
      <w:rFonts w:ascii="Arial" w:hAnsi="Arial"/>
      <w:sz w:val="24"/>
      <w:lang w:eastAsia="fr-FR"/>
    </w:rPr>
  </w:style>
  <w:style w:type="paragraph" w:customStyle="1" w:styleId="Citationdansunecitation">
    <w:name w:val="Citation dans une citation"/>
    <w:basedOn w:val="Citationenretrait"/>
    <w:link w:val="CitationdansunecitationCar"/>
    <w:qFormat/>
    <w:rsid w:val="005C0430"/>
    <w:pPr>
      <w:ind w:left="1134" w:right="1282"/>
    </w:pPr>
    <w:rPr>
      <w:sz w:val="20"/>
    </w:rPr>
  </w:style>
  <w:style w:type="character" w:customStyle="1" w:styleId="CitationenretraitCar">
    <w:name w:val="Citation en retrait Car"/>
    <w:link w:val="Citationenretrait"/>
    <w:rsid w:val="005C0430"/>
    <w:rPr>
      <w:rFonts w:ascii="Arial" w:hAnsi="Arial"/>
      <w:kern w:val="24"/>
      <w:sz w:val="22"/>
      <w:lang w:eastAsia="fr-FR"/>
    </w:rPr>
  </w:style>
  <w:style w:type="character" w:customStyle="1" w:styleId="CitationdansunecitationCar">
    <w:name w:val="Citation dans une citation Car"/>
    <w:link w:val="Citationdansunecitation"/>
    <w:rsid w:val="005C0430"/>
    <w:rPr>
      <w:rFonts w:ascii="Arial" w:hAnsi="Arial"/>
      <w:kern w:val="24"/>
      <w:sz w:val="22"/>
      <w:lang w:eastAsia="fr-FR"/>
    </w:rPr>
  </w:style>
  <w:style w:type="character" w:customStyle="1" w:styleId="NotedebasdepageCar">
    <w:name w:val="Note de bas de page Car"/>
    <w:basedOn w:val="Policepardfaut"/>
    <w:link w:val="Notedebasdepage"/>
    <w:semiHidden/>
    <w:rsid w:val="004F3AC0"/>
    <w:rPr>
      <w:rFonts w:ascii="Arial" w:hAnsi="Arial"/>
      <w:lang w:eastAsia="fr-FR"/>
    </w:rPr>
  </w:style>
  <w:style w:type="character" w:styleId="Accentuation">
    <w:name w:val="Emphasis"/>
    <w:basedOn w:val="Policepardfaut"/>
    <w:uiPriority w:val="20"/>
    <w:qFormat/>
    <w:rsid w:val="00DF5B43"/>
    <w:rPr>
      <w:i/>
      <w:iCs/>
    </w:rPr>
  </w:style>
  <w:style w:type="paragraph" w:customStyle="1" w:styleId="citationenretrait0">
    <w:name w:val="citationenretrait"/>
    <w:basedOn w:val="Normal"/>
    <w:rsid w:val="00AB5259"/>
    <w:pPr>
      <w:spacing w:before="100" w:beforeAutospacing="1" w:after="100" w:afterAutospacing="1"/>
    </w:pPr>
    <w:rPr>
      <w:rFonts w:ascii="Times New Roman" w:hAnsi="Times New Roman"/>
      <w:szCs w:val="24"/>
      <w:lang w:eastAsia="fr-CA"/>
    </w:rPr>
  </w:style>
  <w:style w:type="paragraph" w:styleId="Paragraphedeliste">
    <w:name w:val="List Paragraph"/>
    <w:basedOn w:val="Normal"/>
    <w:uiPriority w:val="34"/>
    <w:rsid w:val="00036A9C"/>
    <w:pPr>
      <w:ind w:left="720"/>
      <w:contextualSpacing/>
    </w:pPr>
  </w:style>
  <w:style w:type="paragraph" w:styleId="Textedebulles">
    <w:name w:val="Balloon Text"/>
    <w:basedOn w:val="Normal"/>
    <w:link w:val="TextedebullesCar"/>
    <w:uiPriority w:val="99"/>
    <w:semiHidden/>
    <w:unhideWhenUsed/>
    <w:rsid w:val="002A2D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DE0"/>
    <w:rPr>
      <w:rFonts w:ascii="Segoe UI" w:hAnsi="Segoe UI" w:cs="Segoe UI"/>
      <w:sz w:val="18"/>
      <w:szCs w:val="18"/>
      <w:lang w:eastAsia="fr-FR"/>
    </w:rPr>
  </w:style>
  <w:style w:type="character" w:styleId="lev">
    <w:name w:val="Strong"/>
    <w:basedOn w:val="Policepardfaut"/>
    <w:uiPriority w:val="22"/>
    <w:qFormat/>
    <w:rsid w:val="001819A5"/>
    <w:rPr>
      <w:b/>
      <w:bCs/>
    </w:rPr>
  </w:style>
  <w:style w:type="paragraph" w:styleId="Listepuces">
    <w:name w:val="List Bullet"/>
    <w:basedOn w:val="Normal"/>
    <w:uiPriority w:val="99"/>
    <w:unhideWhenUsed/>
    <w:rsid w:val="00D2518D"/>
    <w:pPr>
      <w:numPr>
        <w:numId w:val="10"/>
      </w:numPr>
      <w:contextualSpacing/>
    </w:pPr>
  </w:style>
  <w:style w:type="character" w:styleId="Marquedecommentaire">
    <w:name w:val="annotation reference"/>
    <w:basedOn w:val="Policepardfaut"/>
    <w:uiPriority w:val="99"/>
    <w:semiHidden/>
    <w:unhideWhenUsed/>
    <w:rsid w:val="00EB3416"/>
    <w:rPr>
      <w:sz w:val="16"/>
      <w:szCs w:val="16"/>
    </w:rPr>
  </w:style>
  <w:style w:type="paragraph" w:styleId="Commentaire">
    <w:name w:val="annotation text"/>
    <w:basedOn w:val="Normal"/>
    <w:link w:val="CommentaireCar"/>
    <w:uiPriority w:val="99"/>
    <w:semiHidden/>
    <w:unhideWhenUsed/>
    <w:rsid w:val="00EB3416"/>
    <w:rPr>
      <w:sz w:val="20"/>
    </w:rPr>
  </w:style>
  <w:style w:type="character" w:customStyle="1" w:styleId="CommentaireCar">
    <w:name w:val="Commentaire Car"/>
    <w:basedOn w:val="Policepardfaut"/>
    <w:link w:val="Commentaire"/>
    <w:uiPriority w:val="99"/>
    <w:semiHidden/>
    <w:rsid w:val="00EB3416"/>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EB3416"/>
    <w:rPr>
      <w:b/>
      <w:bCs/>
    </w:rPr>
  </w:style>
  <w:style w:type="character" w:customStyle="1" w:styleId="ObjetducommentaireCar">
    <w:name w:val="Objet du commentaire Car"/>
    <w:basedOn w:val="CommentaireCar"/>
    <w:link w:val="Objetducommentaire"/>
    <w:uiPriority w:val="99"/>
    <w:semiHidden/>
    <w:rsid w:val="00EB3416"/>
    <w:rPr>
      <w:rFonts w:ascii="Arial" w:hAnsi="Arial"/>
      <w:b/>
      <w:bCs/>
      <w:lang w:eastAsia="fr-FR"/>
    </w:rPr>
  </w:style>
  <w:style w:type="character" w:styleId="Lienhypertexte">
    <w:name w:val="Hyperlink"/>
    <w:basedOn w:val="Policepardfaut"/>
    <w:uiPriority w:val="99"/>
    <w:unhideWhenUsed/>
    <w:rsid w:val="00EB3416"/>
    <w:rPr>
      <w:color w:val="0000FF"/>
      <w:u w:val="single"/>
    </w:rPr>
  </w:style>
  <w:style w:type="character" w:styleId="Lienhypertextesuivivisit">
    <w:name w:val="FollowedHyperlink"/>
    <w:basedOn w:val="Policepardfaut"/>
    <w:uiPriority w:val="99"/>
    <w:semiHidden/>
    <w:unhideWhenUsed/>
    <w:rsid w:val="00C10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54DF-34A7-4D0D-B33A-BCD87323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52</Pages>
  <Words>15023</Words>
  <Characters>76405</Characters>
  <Application>Microsoft Office Word</Application>
  <DocSecurity>0</DocSecurity>
  <Lines>636</Lines>
  <Paragraphs>182</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91246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creator>Ann-Marie Jones</dc:creator>
  <cp:lastModifiedBy>Boucher, Kathleen</cp:lastModifiedBy>
  <cp:revision>7</cp:revision>
  <cp:lastPrinted>2022-03-04T17:38:00Z</cp:lastPrinted>
  <dcterms:created xsi:type="dcterms:W3CDTF">2022-06-07T13:52:00Z</dcterms:created>
  <dcterms:modified xsi:type="dcterms:W3CDTF">2022-06-07T17:21:00Z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CQ</vt:lpwstr>
  </property>
  <property fmtid="{D5CDD505-2E9C-101B-9397-08002B2CF9AE}" pid="3" name="Soquij_DateModification">
    <vt:lpwstr>01/24/2002</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