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DFE79" w14:textId="77777777" w:rsidR="005E1B5F" w:rsidRPr="00AA44D3" w:rsidRDefault="005E1B5F" w:rsidP="005E1B5F">
      <w:pPr>
        <w:rPr>
          <w:lang w:val="en-CA"/>
        </w:rPr>
      </w:pPr>
      <w:r w:rsidRPr="00AA44D3">
        <w:rPr>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BA1ACE" w:rsidRPr="00C300E6" w14:paraId="61DE6BAB" w14:textId="77777777" w:rsidTr="008B58C0">
        <w:trPr>
          <w:trHeight w:val="248"/>
        </w:trPr>
        <w:tc>
          <w:tcPr>
            <w:tcW w:w="7372" w:type="dxa"/>
            <w:gridSpan w:val="5"/>
          </w:tcPr>
          <w:p w14:paraId="45C72BB8" w14:textId="77777777" w:rsidR="008B58C0" w:rsidRPr="00C300E6" w:rsidRDefault="008B58C0" w:rsidP="00651527">
            <w:pPr>
              <w:pStyle w:val="zSoquijdatRepertorie"/>
              <w:rPr>
                <w:rFonts w:cs="Arial"/>
                <w:lang w:val="en-CA"/>
              </w:rPr>
            </w:pPr>
            <w:r w:rsidRPr="00C300E6">
              <w:rPr>
                <w:rFonts w:cs="Arial"/>
                <w:lang w:val="en-CA"/>
              </w:rPr>
              <w:t>Ormuco inc. c. Ernst &amp; Young</w:t>
            </w:r>
          </w:p>
        </w:tc>
        <w:tc>
          <w:tcPr>
            <w:tcW w:w="1988" w:type="dxa"/>
          </w:tcPr>
          <w:p w14:paraId="04E50ADD" w14:textId="77777777" w:rsidR="008B58C0" w:rsidRPr="00C300E6" w:rsidRDefault="008B58C0" w:rsidP="008B58C0">
            <w:pPr>
              <w:pStyle w:val="zSoquijdatRefNeutre"/>
              <w:jc w:val="right"/>
              <w:rPr>
                <w:rFonts w:cs="Arial"/>
                <w:lang w:val="en-CA"/>
              </w:rPr>
            </w:pPr>
            <w:r w:rsidRPr="00C300E6">
              <w:rPr>
                <w:rFonts w:cs="Arial"/>
                <w:lang w:val="en-CA"/>
              </w:rPr>
              <w:t>2022 QCCA 405</w:t>
            </w:r>
          </w:p>
        </w:tc>
      </w:tr>
      <w:tr w:rsidR="00BA1ACE" w:rsidRPr="00C300E6" w14:paraId="10BCBBCA" w14:textId="77777777" w:rsidTr="008B58C0">
        <w:trPr>
          <w:trHeight w:val="247"/>
        </w:trPr>
        <w:tc>
          <w:tcPr>
            <w:tcW w:w="9360" w:type="dxa"/>
            <w:gridSpan w:val="6"/>
          </w:tcPr>
          <w:p w14:paraId="2CD55F7B" w14:textId="77777777" w:rsidR="008B58C0" w:rsidRPr="00C300E6" w:rsidRDefault="00651527">
            <w:pPr>
              <w:pStyle w:val="zSoquijlblCour"/>
              <w:rPr>
                <w:lang w:val="en-CA"/>
              </w:rPr>
            </w:pPr>
            <w:r w:rsidRPr="00C300E6">
              <w:rPr>
                <w:lang w:val="en-CA"/>
              </w:rPr>
              <w:t>COURT OF APPEAL</w:t>
            </w:r>
          </w:p>
        </w:tc>
      </w:tr>
      <w:tr w:rsidR="00BA1ACE" w:rsidRPr="00C300E6" w14:paraId="5D896A0B" w14:textId="77777777" w:rsidTr="008B58C0">
        <w:trPr>
          <w:trHeight w:val="540"/>
        </w:trPr>
        <w:tc>
          <w:tcPr>
            <w:tcW w:w="9360" w:type="dxa"/>
            <w:gridSpan w:val="6"/>
          </w:tcPr>
          <w:p w14:paraId="337D0083" w14:textId="77777777" w:rsidR="008B58C0" w:rsidRPr="00C300E6" w:rsidRDefault="008B58C0">
            <w:pPr>
              <w:pStyle w:val="zSoquijdatDivision"/>
              <w:rPr>
                <w:lang w:val="en-CA"/>
              </w:rPr>
            </w:pPr>
          </w:p>
        </w:tc>
      </w:tr>
      <w:tr w:rsidR="00BA1ACE" w:rsidRPr="00C300E6" w14:paraId="1428B59C" w14:textId="77777777" w:rsidTr="008B58C0">
        <w:tc>
          <w:tcPr>
            <w:tcW w:w="9360" w:type="dxa"/>
            <w:gridSpan w:val="6"/>
          </w:tcPr>
          <w:p w14:paraId="7BB61AA2" w14:textId="77777777" w:rsidR="008B58C0" w:rsidRPr="00C300E6" w:rsidRDefault="008B58C0">
            <w:pPr>
              <w:pStyle w:val="zSoquijlblPays"/>
              <w:rPr>
                <w:lang w:val="en-CA"/>
              </w:rPr>
            </w:pPr>
            <w:r w:rsidRPr="00C300E6">
              <w:rPr>
                <w:lang w:val="en-CA"/>
              </w:rPr>
              <w:t>CANADA</w:t>
            </w:r>
          </w:p>
        </w:tc>
      </w:tr>
      <w:tr w:rsidR="00BA1ACE" w:rsidRPr="00C300E6" w14:paraId="413B07C4" w14:textId="77777777" w:rsidTr="008B58C0">
        <w:tc>
          <w:tcPr>
            <w:tcW w:w="9360" w:type="dxa"/>
            <w:gridSpan w:val="6"/>
          </w:tcPr>
          <w:p w14:paraId="78CBE5C7" w14:textId="77777777" w:rsidR="008B58C0" w:rsidRPr="00C300E6" w:rsidRDefault="00651527">
            <w:pPr>
              <w:pStyle w:val="zSoquijlblProvince"/>
              <w:rPr>
                <w:lang w:val="en-CA"/>
              </w:rPr>
            </w:pPr>
            <w:r w:rsidRPr="00C300E6">
              <w:rPr>
                <w:lang w:val="en-CA"/>
              </w:rPr>
              <w:t>PROVINCE OF QUEBEC</w:t>
            </w:r>
          </w:p>
        </w:tc>
      </w:tr>
      <w:tr w:rsidR="00BA1ACE" w:rsidRPr="00C300E6" w14:paraId="311A366A" w14:textId="77777777" w:rsidTr="00651527">
        <w:tc>
          <w:tcPr>
            <w:tcW w:w="1701" w:type="dxa"/>
            <w:gridSpan w:val="3"/>
          </w:tcPr>
          <w:p w14:paraId="10A5C971" w14:textId="77777777" w:rsidR="008B58C0" w:rsidRPr="00C300E6" w:rsidRDefault="00651527">
            <w:pPr>
              <w:pStyle w:val="zSoquijlblGreffe"/>
              <w:rPr>
                <w:lang w:val="en-CA"/>
              </w:rPr>
            </w:pPr>
            <w:r w:rsidRPr="00C300E6">
              <w:rPr>
                <w:lang w:val="en-CA"/>
              </w:rPr>
              <w:t>REGISTRY OF</w:t>
            </w:r>
          </w:p>
          <w:p w14:paraId="432DA25B" w14:textId="77777777" w:rsidR="008B58C0" w:rsidRPr="00C300E6" w:rsidRDefault="008B58C0">
            <w:pPr>
              <w:pStyle w:val="zSoquijlblGreffe"/>
              <w:rPr>
                <w:lang w:val="en-CA"/>
              </w:rPr>
            </w:pPr>
          </w:p>
        </w:tc>
        <w:tc>
          <w:tcPr>
            <w:tcW w:w="7659" w:type="dxa"/>
            <w:gridSpan w:val="3"/>
          </w:tcPr>
          <w:p w14:paraId="48BA60A3" w14:textId="77777777" w:rsidR="008B58C0" w:rsidRPr="00C300E6" w:rsidRDefault="00651527">
            <w:pPr>
              <w:pStyle w:val="zSoquijdatGreffe"/>
              <w:rPr>
                <w:lang w:val="en-CA"/>
              </w:rPr>
            </w:pPr>
            <w:r w:rsidRPr="00C300E6">
              <w:rPr>
                <w:lang w:val="en-CA"/>
              </w:rPr>
              <w:t>MONTREAL</w:t>
            </w:r>
          </w:p>
        </w:tc>
      </w:tr>
      <w:tr w:rsidR="00BA1ACE" w:rsidRPr="00C300E6" w14:paraId="36D92871" w14:textId="77777777" w:rsidTr="008B58C0">
        <w:tc>
          <w:tcPr>
            <w:tcW w:w="1030" w:type="dxa"/>
          </w:tcPr>
          <w:p w14:paraId="55A65B3F" w14:textId="77777777" w:rsidR="008B58C0" w:rsidRPr="00C300E6" w:rsidRDefault="008B58C0" w:rsidP="00651527">
            <w:pPr>
              <w:pStyle w:val="zSoquijlblNoDossier"/>
              <w:rPr>
                <w:lang w:val="en-CA"/>
              </w:rPr>
            </w:pPr>
            <w:r w:rsidRPr="00C300E6">
              <w:rPr>
                <w:lang w:val="en-CA"/>
              </w:rPr>
              <w:t>N</w:t>
            </w:r>
            <w:r w:rsidR="00651527" w:rsidRPr="00C300E6">
              <w:rPr>
                <w:lang w:val="en-CA"/>
              </w:rPr>
              <w:t>o.</w:t>
            </w:r>
            <w:r w:rsidRPr="00C300E6">
              <w:rPr>
                <w:lang w:val="en-CA"/>
              </w:rPr>
              <w:t>:</w:t>
            </w:r>
          </w:p>
        </w:tc>
        <w:tc>
          <w:tcPr>
            <w:tcW w:w="8330" w:type="dxa"/>
            <w:gridSpan w:val="5"/>
          </w:tcPr>
          <w:p w14:paraId="6A075873" w14:textId="77777777" w:rsidR="008B58C0" w:rsidRPr="00C300E6" w:rsidRDefault="008B58C0">
            <w:pPr>
              <w:pStyle w:val="zSoquijdatNoDossier"/>
              <w:rPr>
                <w:lang w:val="en-CA"/>
              </w:rPr>
            </w:pPr>
            <w:bookmarkStart w:id="0" w:name="NoDossier"/>
            <w:r w:rsidRPr="00C300E6">
              <w:rPr>
                <w:lang w:val="en-CA"/>
              </w:rPr>
              <w:t>500-09-029625-217</w:t>
            </w:r>
            <w:bookmarkEnd w:id="0"/>
          </w:p>
        </w:tc>
      </w:tr>
      <w:tr w:rsidR="00BA1ACE" w:rsidRPr="00C300E6" w14:paraId="1AA7F8CA" w14:textId="77777777" w:rsidTr="008B58C0">
        <w:tc>
          <w:tcPr>
            <w:tcW w:w="9360" w:type="dxa"/>
            <w:gridSpan w:val="6"/>
          </w:tcPr>
          <w:p w14:paraId="43F149C6" w14:textId="77777777" w:rsidR="008B58C0" w:rsidRPr="00C300E6" w:rsidRDefault="008B58C0" w:rsidP="008B58C0">
            <w:pPr>
              <w:pStyle w:val="zSoquijdatNoDossierAnt"/>
              <w:rPr>
                <w:lang w:val="en-CA"/>
              </w:rPr>
            </w:pPr>
            <w:r w:rsidRPr="00C300E6">
              <w:rPr>
                <w:lang w:val="en-CA"/>
              </w:rPr>
              <w:t>(500-17-112597-201)</w:t>
            </w:r>
          </w:p>
        </w:tc>
      </w:tr>
      <w:tr w:rsidR="00BA1ACE" w:rsidRPr="00C300E6" w14:paraId="53B02CCA" w14:textId="77777777" w:rsidTr="008B58C0">
        <w:tc>
          <w:tcPr>
            <w:tcW w:w="9360" w:type="dxa"/>
            <w:gridSpan w:val="6"/>
          </w:tcPr>
          <w:p w14:paraId="39001847" w14:textId="77777777" w:rsidR="008B58C0" w:rsidRPr="00C300E6" w:rsidRDefault="008B58C0">
            <w:pPr>
              <w:rPr>
                <w:lang w:val="en-CA"/>
              </w:rPr>
            </w:pPr>
          </w:p>
        </w:tc>
      </w:tr>
      <w:tr w:rsidR="00BA1ACE" w:rsidRPr="00C300E6" w14:paraId="69DDDFD6" w14:textId="77777777" w:rsidTr="008B58C0">
        <w:tc>
          <w:tcPr>
            <w:tcW w:w="1030" w:type="dxa"/>
          </w:tcPr>
          <w:p w14:paraId="28B328C9" w14:textId="77777777" w:rsidR="008B58C0" w:rsidRPr="00C300E6" w:rsidRDefault="00651527">
            <w:pPr>
              <w:pStyle w:val="zSoquijlblDateJugement"/>
              <w:rPr>
                <w:lang w:val="en-CA"/>
              </w:rPr>
            </w:pPr>
            <w:r w:rsidRPr="00C300E6">
              <w:rPr>
                <w:lang w:val="en-CA"/>
              </w:rPr>
              <w:t>DATE:</w:t>
            </w:r>
          </w:p>
        </w:tc>
        <w:tc>
          <w:tcPr>
            <w:tcW w:w="8330" w:type="dxa"/>
            <w:gridSpan w:val="5"/>
          </w:tcPr>
          <w:p w14:paraId="7C3073F8" w14:textId="77777777" w:rsidR="008B58C0" w:rsidRPr="00C300E6" w:rsidRDefault="00651527" w:rsidP="008B58C0">
            <w:pPr>
              <w:pStyle w:val="zSoquijdatDateJugement"/>
              <w:rPr>
                <w:lang w:val="en-CA"/>
              </w:rPr>
            </w:pPr>
            <w:r w:rsidRPr="00C300E6">
              <w:rPr>
                <w:lang w:val="en-CA"/>
              </w:rPr>
              <w:t>March 23, 2022</w:t>
            </w:r>
          </w:p>
        </w:tc>
      </w:tr>
      <w:tr w:rsidR="00BA1ACE" w:rsidRPr="00C300E6" w14:paraId="75DF7CC2" w14:textId="77777777" w:rsidTr="008B58C0">
        <w:tc>
          <w:tcPr>
            <w:tcW w:w="9360" w:type="dxa"/>
            <w:gridSpan w:val="6"/>
            <w:tcBorders>
              <w:bottom w:val="single" w:sz="8" w:space="0" w:color="auto"/>
            </w:tcBorders>
          </w:tcPr>
          <w:p w14:paraId="7FE1008F" w14:textId="77777777" w:rsidR="008B58C0" w:rsidRPr="00C300E6" w:rsidRDefault="008B58C0">
            <w:pPr>
              <w:rPr>
                <w:lang w:val="en-CA"/>
              </w:rPr>
            </w:pPr>
          </w:p>
        </w:tc>
      </w:tr>
      <w:tr w:rsidR="00BA1ACE" w:rsidRPr="00C300E6" w14:paraId="48563CFE" w14:textId="77777777" w:rsidTr="008B58C0">
        <w:tc>
          <w:tcPr>
            <w:tcW w:w="9360" w:type="dxa"/>
            <w:gridSpan w:val="6"/>
            <w:tcBorders>
              <w:top w:val="single" w:sz="8" w:space="0" w:color="auto"/>
            </w:tcBorders>
          </w:tcPr>
          <w:p w14:paraId="19C226C6" w14:textId="77777777" w:rsidR="008B58C0" w:rsidRPr="00C300E6" w:rsidRDefault="008B58C0">
            <w:pPr>
              <w:rPr>
                <w:lang w:val="en-CA"/>
              </w:rPr>
            </w:pPr>
          </w:p>
        </w:tc>
      </w:tr>
      <w:tr w:rsidR="00BA1ACE" w:rsidRPr="00C300E6" w14:paraId="39061788" w14:textId="77777777" w:rsidTr="008B58C0">
        <w:tc>
          <w:tcPr>
            <w:tcW w:w="1620" w:type="dxa"/>
            <w:gridSpan w:val="2"/>
          </w:tcPr>
          <w:p w14:paraId="2F6EA58E" w14:textId="77777777" w:rsidR="008B58C0" w:rsidRPr="00C300E6" w:rsidRDefault="00651527" w:rsidP="008B58C0">
            <w:pPr>
              <w:pStyle w:val="zSoquijlblJuge"/>
              <w:ind w:right="-142"/>
              <w:rPr>
                <w:lang w:val="en-CA"/>
              </w:rPr>
            </w:pPr>
            <w:r w:rsidRPr="00C300E6">
              <w:rPr>
                <w:lang w:val="en-CA"/>
              </w:rPr>
              <w:t>CORAM:</w:t>
            </w:r>
          </w:p>
        </w:tc>
        <w:tc>
          <w:tcPr>
            <w:tcW w:w="2350" w:type="dxa"/>
            <w:gridSpan w:val="2"/>
          </w:tcPr>
          <w:p w14:paraId="42D204CA" w14:textId="77777777" w:rsidR="008B58C0" w:rsidRPr="00C300E6" w:rsidRDefault="00651527">
            <w:pPr>
              <w:pStyle w:val="zSoquijdatQteJuge"/>
              <w:rPr>
                <w:lang w:val="en-CA"/>
              </w:rPr>
            </w:pPr>
            <w:r w:rsidRPr="00C300E6">
              <w:rPr>
                <w:lang w:val="en-CA"/>
              </w:rPr>
              <w:t>THE HONOURABLE</w:t>
            </w:r>
          </w:p>
        </w:tc>
        <w:tc>
          <w:tcPr>
            <w:tcW w:w="5390" w:type="dxa"/>
            <w:gridSpan w:val="2"/>
          </w:tcPr>
          <w:p w14:paraId="0E0E88CF" w14:textId="77777777" w:rsidR="008B58C0" w:rsidRPr="00AA44D3" w:rsidRDefault="008B58C0">
            <w:pPr>
              <w:pStyle w:val="zSoquijdatJuge"/>
            </w:pPr>
            <w:bookmarkStart w:id="1" w:name="NomJuge1"/>
            <w:r w:rsidRPr="00AA44D3">
              <w:t>JACQUES J. LEVESQUE, J.A.</w:t>
            </w:r>
            <w:bookmarkEnd w:id="1"/>
          </w:p>
          <w:p w14:paraId="5EA3355B" w14:textId="77777777" w:rsidR="008B58C0" w:rsidRPr="00C300E6" w:rsidRDefault="008B58C0">
            <w:pPr>
              <w:pStyle w:val="zSoquijdatJuge"/>
              <w:rPr>
                <w:lang w:val="en-CA"/>
              </w:rPr>
            </w:pPr>
            <w:bookmarkStart w:id="2" w:name="NomJuge2"/>
            <w:r w:rsidRPr="00C300E6">
              <w:rPr>
                <w:lang w:val="en-CA"/>
              </w:rPr>
              <w:t>BENOÎT MOORE, J.A.</w:t>
            </w:r>
            <w:bookmarkEnd w:id="2"/>
          </w:p>
          <w:p w14:paraId="3642BAD4" w14:textId="77777777" w:rsidR="008B58C0" w:rsidRPr="00C300E6" w:rsidRDefault="008B58C0" w:rsidP="00651527">
            <w:pPr>
              <w:pStyle w:val="zSoquijdatJuge"/>
              <w:rPr>
                <w:lang w:val="en-CA"/>
              </w:rPr>
            </w:pPr>
            <w:bookmarkStart w:id="3" w:name="_Hlt520513784"/>
            <w:bookmarkStart w:id="4" w:name="NomJuge3"/>
            <w:bookmarkEnd w:id="3"/>
            <w:r w:rsidRPr="00C300E6">
              <w:rPr>
                <w:lang w:val="en-CA"/>
              </w:rPr>
              <w:t>FRÉDÉRIC BACHAND, J.A.</w:t>
            </w:r>
            <w:bookmarkEnd w:id="4"/>
          </w:p>
        </w:tc>
      </w:tr>
      <w:tr w:rsidR="00BA1ACE" w:rsidRPr="00C300E6" w14:paraId="4F2FC8C7" w14:textId="77777777" w:rsidTr="008B58C0">
        <w:tc>
          <w:tcPr>
            <w:tcW w:w="9360" w:type="dxa"/>
            <w:gridSpan w:val="6"/>
            <w:tcBorders>
              <w:bottom w:val="single" w:sz="8" w:space="0" w:color="auto"/>
            </w:tcBorders>
          </w:tcPr>
          <w:p w14:paraId="39C17EF1" w14:textId="77777777" w:rsidR="008B58C0" w:rsidRPr="00C300E6" w:rsidRDefault="008B58C0">
            <w:pPr>
              <w:rPr>
                <w:lang w:val="en-CA"/>
              </w:rPr>
            </w:pPr>
          </w:p>
        </w:tc>
      </w:tr>
      <w:tr w:rsidR="00BA1ACE" w:rsidRPr="00C300E6" w14:paraId="7C8DF3C4" w14:textId="77777777" w:rsidTr="008B58C0">
        <w:tc>
          <w:tcPr>
            <w:tcW w:w="9360" w:type="dxa"/>
            <w:gridSpan w:val="6"/>
          </w:tcPr>
          <w:p w14:paraId="77366357" w14:textId="77777777" w:rsidR="008B58C0" w:rsidRPr="00C300E6" w:rsidRDefault="008B58C0">
            <w:pPr>
              <w:pStyle w:val="zSoquijlblTitrePartie"/>
              <w:rPr>
                <w:lang w:val="en-CA"/>
              </w:rPr>
            </w:pPr>
          </w:p>
        </w:tc>
      </w:tr>
      <w:tr w:rsidR="00BA1ACE" w:rsidRPr="00C300E6" w14:paraId="2983E960" w14:textId="77777777" w:rsidTr="008B58C0">
        <w:tc>
          <w:tcPr>
            <w:tcW w:w="9360" w:type="dxa"/>
            <w:gridSpan w:val="6"/>
          </w:tcPr>
          <w:p w14:paraId="6CCDAD72" w14:textId="77777777" w:rsidR="008B58C0" w:rsidRPr="00C300E6" w:rsidRDefault="008B58C0" w:rsidP="008B58C0">
            <w:pPr>
              <w:pStyle w:val="zSoquijdatNomPartieDem"/>
              <w:rPr>
                <w:lang w:val="en-CA"/>
              </w:rPr>
            </w:pPr>
            <w:r w:rsidRPr="00C300E6">
              <w:rPr>
                <w:lang w:val="en-CA"/>
              </w:rPr>
              <w:t>ORMUCO INC.</w:t>
            </w:r>
          </w:p>
        </w:tc>
      </w:tr>
      <w:tr w:rsidR="00BA1ACE" w:rsidRPr="00C300E6" w14:paraId="4C397874" w14:textId="77777777" w:rsidTr="008B58C0">
        <w:tc>
          <w:tcPr>
            <w:tcW w:w="9360" w:type="dxa"/>
            <w:gridSpan w:val="6"/>
          </w:tcPr>
          <w:p w14:paraId="449CBE33" w14:textId="77777777" w:rsidR="008B58C0" w:rsidRPr="00C300E6" w:rsidRDefault="00651527" w:rsidP="008B58C0">
            <w:pPr>
              <w:pStyle w:val="zSoquijdatQtePartieDem"/>
              <w:rPr>
                <w:lang w:val="en-CA"/>
              </w:rPr>
            </w:pPr>
            <w:r w:rsidRPr="00C300E6">
              <w:rPr>
                <w:lang w:val="en-CA"/>
              </w:rPr>
              <w:t>APPELLANT – defendant</w:t>
            </w:r>
          </w:p>
        </w:tc>
      </w:tr>
      <w:tr w:rsidR="00BA1ACE" w:rsidRPr="00C300E6" w14:paraId="401D1C10" w14:textId="77777777" w:rsidTr="008B58C0">
        <w:tc>
          <w:tcPr>
            <w:tcW w:w="9360" w:type="dxa"/>
            <w:gridSpan w:val="6"/>
          </w:tcPr>
          <w:p w14:paraId="53CED062" w14:textId="77777777" w:rsidR="008B58C0" w:rsidRPr="00C300E6" w:rsidRDefault="00651527">
            <w:pPr>
              <w:pStyle w:val="zSoquijlblLienParties"/>
              <w:rPr>
                <w:lang w:val="en-CA"/>
              </w:rPr>
            </w:pPr>
            <w:r w:rsidRPr="00C300E6">
              <w:rPr>
                <w:lang w:val="en-CA"/>
              </w:rPr>
              <w:t>v.</w:t>
            </w:r>
          </w:p>
        </w:tc>
      </w:tr>
      <w:tr w:rsidR="00BA1ACE" w:rsidRPr="00C300E6" w14:paraId="6C656DC4" w14:textId="77777777" w:rsidTr="008B58C0">
        <w:tc>
          <w:tcPr>
            <w:tcW w:w="9360" w:type="dxa"/>
            <w:gridSpan w:val="6"/>
          </w:tcPr>
          <w:p w14:paraId="37CA7132" w14:textId="77777777" w:rsidR="008B58C0" w:rsidRPr="00C300E6" w:rsidRDefault="008B58C0">
            <w:pPr>
              <w:rPr>
                <w:lang w:val="en-CA"/>
              </w:rPr>
            </w:pPr>
          </w:p>
        </w:tc>
      </w:tr>
      <w:tr w:rsidR="00BA1ACE" w:rsidRPr="00C300E6" w14:paraId="13EFFCF2" w14:textId="77777777" w:rsidTr="008B58C0">
        <w:tc>
          <w:tcPr>
            <w:tcW w:w="9360" w:type="dxa"/>
            <w:gridSpan w:val="6"/>
          </w:tcPr>
          <w:p w14:paraId="0A30F9E8" w14:textId="77777777" w:rsidR="008B58C0" w:rsidRPr="00C300E6" w:rsidRDefault="008B58C0" w:rsidP="008B58C0">
            <w:pPr>
              <w:pStyle w:val="zSoquijdatNomPartieDef"/>
              <w:rPr>
                <w:lang w:val="en-CA"/>
              </w:rPr>
            </w:pPr>
            <w:r w:rsidRPr="00C300E6">
              <w:rPr>
                <w:lang w:val="en-CA"/>
              </w:rPr>
              <w:t>ERNST &amp; YOUNG LLP</w:t>
            </w:r>
          </w:p>
        </w:tc>
      </w:tr>
      <w:tr w:rsidR="00BA1ACE" w:rsidRPr="00C300E6" w14:paraId="19280395" w14:textId="77777777" w:rsidTr="008B58C0">
        <w:tc>
          <w:tcPr>
            <w:tcW w:w="9360" w:type="dxa"/>
            <w:gridSpan w:val="6"/>
          </w:tcPr>
          <w:p w14:paraId="78C78436" w14:textId="77777777" w:rsidR="008B58C0" w:rsidRPr="00C300E6" w:rsidRDefault="00651527">
            <w:pPr>
              <w:pStyle w:val="zSoquijdatQtePartieDef"/>
              <w:rPr>
                <w:lang w:val="en-CA"/>
              </w:rPr>
            </w:pPr>
            <w:r w:rsidRPr="00C300E6">
              <w:rPr>
                <w:lang w:val="en-CA"/>
              </w:rPr>
              <w:t>RESPONDENT – plaintiff</w:t>
            </w:r>
          </w:p>
        </w:tc>
      </w:tr>
      <w:tr w:rsidR="00BA1ACE" w:rsidRPr="00C300E6" w14:paraId="306F3EA8" w14:textId="77777777" w:rsidTr="008B58C0">
        <w:tc>
          <w:tcPr>
            <w:tcW w:w="9360" w:type="dxa"/>
            <w:gridSpan w:val="6"/>
          </w:tcPr>
          <w:p w14:paraId="2F1E1743" w14:textId="77777777" w:rsidR="008B58C0" w:rsidRPr="00C300E6" w:rsidRDefault="008B58C0">
            <w:pPr>
              <w:rPr>
                <w:lang w:val="en-CA"/>
              </w:rPr>
            </w:pPr>
          </w:p>
        </w:tc>
      </w:tr>
      <w:tr w:rsidR="00BA1ACE" w:rsidRPr="00C300E6" w14:paraId="043738C3" w14:textId="77777777" w:rsidTr="008B58C0">
        <w:tc>
          <w:tcPr>
            <w:tcW w:w="9360" w:type="dxa"/>
            <w:gridSpan w:val="6"/>
            <w:tcBorders>
              <w:top w:val="single" w:sz="8" w:space="0" w:color="auto"/>
            </w:tcBorders>
          </w:tcPr>
          <w:p w14:paraId="36C37A4A" w14:textId="77777777" w:rsidR="008B58C0" w:rsidRPr="00C300E6" w:rsidRDefault="008B58C0">
            <w:pPr>
              <w:rPr>
                <w:lang w:val="en-CA"/>
              </w:rPr>
            </w:pPr>
            <w:bookmarkStart w:id="5" w:name="Arret"/>
          </w:p>
        </w:tc>
      </w:tr>
      <w:tr w:rsidR="00BA1ACE" w:rsidRPr="00C300E6" w14:paraId="0BEC81AC" w14:textId="77777777" w:rsidTr="008B58C0">
        <w:tc>
          <w:tcPr>
            <w:tcW w:w="9360" w:type="dxa"/>
            <w:gridSpan w:val="6"/>
          </w:tcPr>
          <w:p w14:paraId="55893614" w14:textId="77777777" w:rsidR="008B58C0" w:rsidRPr="00C300E6" w:rsidRDefault="00651527">
            <w:pPr>
              <w:pStyle w:val="zSoquijlblTypeDocument"/>
              <w:rPr>
                <w:lang w:val="en-CA"/>
              </w:rPr>
            </w:pPr>
            <w:r w:rsidRPr="00C300E6">
              <w:rPr>
                <w:lang w:val="en-CA"/>
              </w:rPr>
              <w:t>JUDGMENT</w:t>
            </w:r>
          </w:p>
        </w:tc>
      </w:tr>
      <w:tr w:rsidR="00BA1ACE" w:rsidRPr="00C300E6" w14:paraId="675A52A8" w14:textId="77777777" w:rsidTr="008B58C0">
        <w:tc>
          <w:tcPr>
            <w:tcW w:w="9360" w:type="dxa"/>
            <w:gridSpan w:val="6"/>
            <w:tcBorders>
              <w:bottom w:val="single" w:sz="8" w:space="0" w:color="auto"/>
            </w:tcBorders>
          </w:tcPr>
          <w:p w14:paraId="0B376640" w14:textId="77777777" w:rsidR="008B58C0" w:rsidRPr="00C300E6" w:rsidRDefault="008B58C0">
            <w:pPr>
              <w:rPr>
                <w:lang w:val="en-CA"/>
              </w:rPr>
            </w:pPr>
          </w:p>
        </w:tc>
      </w:tr>
      <w:tr w:rsidR="00BA1ACE" w:rsidRPr="00C300E6" w14:paraId="1FC407C5" w14:textId="77777777" w:rsidTr="008B58C0">
        <w:tc>
          <w:tcPr>
            <w:tcW w:w="9360" w:type="dxa"/>
            <w:gridSpan w:val="6"/>
            <w:tcBorders>
              <w:top w:val="single" w:sz="8" w:space="0" w:color="auto"/>
            </w:tcBorders>
          </w:tcPr>
          <w:p w14:paraId="0F21D3B9" w14:textId="77777777" w:rsidR="008B58C0" w:rsidRPr="00C300E6" w:rsidRDefault="008B58C0">
            <w:pPr>
              <w:rPr>
                <w:lang w:val="en-CA"/>
              </w:rPr>
            </w:pPr>
          </w:p>
        </w:tc>
      </w:tr>
    </w:tbl>
    <w:p w14:paraId="3E6AE6CF" w14:textId="5FBAF5E1" w:rsidR="008B58C0" w:rsidRPr="00C300E6" w:rsidRDefault="00742D39" w:rsidP="008B58C0">
      <w:pPr>
        <w:pStyle w:val="Paragraphe"/>
        <w:spacing w:line="240" w:lineRule="auto"/>
        <w:rPr>
          <w:lang w:val="en-CA"/>
        </w:rPr>
      </w:pPr>
      <w:r w:rsidRPr="00C300E6">
        <w:rPr>
          <w:lang w:val="en-CA"/>
        </w:rPr>
        <w:t xml:space="preserve">The </w:t>
      </w:r>
      <w:r w:rsidR="008B58C0" w:rsidRPr="00C300E6">
        <w:rPr>
          <w:lang w:val="en-CA"/>
        </w:rPr>
        <w:t>appel</w:t>
      </w:r>
      <w:r w:rsidRPr="00C300E6">
        <w:rPr>
          <w:lang w:val="en-CA"/>
        </w:rPr>
        <w:t>l</w:t>
      </w:r>
      <w:r w:rsidR="008B58C0" w:rsidRPr="00C300E6">
        <w:rPr>
          <w:lang w:val="en-CA"/>
        </w:rPr>
        <w:t>ant</w:t>
      </w:r>
      <w:r w:rsidRPr="00C300E6">
        <w:rPr>
          <w:lang w:val="en-CA"/>
        </w:rPr>
        <w:t xml:space="preserve"> appeals from a judg</w:t>
      </w:r>
      <w:r w:rsidR="008B58C0" w:rsidRPr="00C300E6">
        <w:rPr>
          <w:lang w:val="en-CA"/>
        </w:rPr>
        <w:t xml:space="preserve">ment </w:t>
      </w:r>
      <w:r w:rsidRPr="00C300E6">
        <w:rPr>
          <w:lang w:val="en-CA"/>
        </w:rPr>
        <w:t xml:space="preserve">of the </w:t>
      </w:r>
      <w:r w:rsidR="008B58C0" w:rsidRPr="00C300E6">
        <w:rPr>
          <w:lang w:val="en-CA"/>
        </w:rPr>
        <w:t>Superior</w:t>
      </w:r>
      <w:r w:rsidRPr="00C300E6">
        <w:rPr>
          <w:lang w:val="en-CA"/>
        </w:rPr>
        <w:t xml:space="preserve"> </w:t>
      </w:r>
      <w:r w:rsidR="008B58C0" w:rsidRPr="00C300E6">
        <w:rPr>
          <w:lang w:val="en-CA"/>
        </w:rPr>
        <w:t>Court, District</w:t>
      </w:r>
      <w:r w:rsidRPr="00C300E6">
        <w:rPr>
          <w:lang w:val="en-CA"/>
        </w:rPr>
        <w:t xml:space="preserve"> </w:t>
      </w:r>
      <w:r w:rsidR="008B58C0" w:rsidRPr="00C300E6">
        <w:rPr>
          <w:lang w:val="en-CA"/>
        </w:rPr>
        <w:t>of</w:t>
      </w:r>
      <w:r w:rsidRPr="00C300E6">
        <w:rPr>
          <w:lang w:val="en-CA"/>
        </w:rPr>
        <w:t xml:space="preserve"> </w:t>
      </w:r>
      <w:r w:rsidR="008B58C0" w:rsidRPr="00C300E6">
        <w:rPr>
          <w:lang w:val="en-CA"/>
        </w:rPr>
        <w:t>Montreal (</w:t>
      </w:r>
      <w:r w:rsidRPr="00C300E6">
        <w:rPr>
          <w:lang w:val="en-CA"/>
        </w:rPr>
        <w:t>the H</w:t>
      </w:r>
      <w:r w:rsidR="008B58C0" w:rsidRPr="00C300E6">
        <w:rPr>
          <w:lang w:val="en-CA"/>
        </w:rPr>
        <w:t>onourable Mark Phillips)</w:t>
      </w:r>
      <w:r w:rsidRPr="00C300E6">
        <w:rPr>
          <w:lang w:val="en-CA"/>
        </w:rPr>
        <w:t>,</w:t>
      </w:r>
      <w:r w:rsidR="008B58C0" w:rsidRPr="00C300E6">
        <w:rPr>
          <w:rStyle w:val="Appelnotedebasdep"/>
          <w:rFonts w:cs="Arial"/>
          <w:szCs w:val="24"/>
          <w:lang w:val="en-CA"/>
        </w:rPr>
        <w:footnoteReference w:id="1"/>
      </w:r>
      <w:r w:rsidRPr="00C300E6">
        <w:rPr>
          <w:lang w:val="en-CA"/>
        </w:rPr>
        <w:t xml:space="preserve"> dismissing its </w:t>
      </w:r>
      <w:r w:rsidR="008B58C0" w:rsidRPr="00C300E6">
        <w:rPr>
          <w:lang w:val="en-CA"/>
        </w:rPr>
        <w:t>declinatory</w:t>
      </w:r>
      <w:r w:rsidR="003E7E6D" w:rsidRPr="00C300E6">
        <w:rPr>
          <w:lang w:val="en-CA"/>
        </w:rPr>
        <w:t xml:space="preserve"> </w:t>
      </w:r>
      <w:r w:rsidR="008B58C0" w:rsidRPr="00C300E6">
        <w:rPr>
          <w:lang w:val="en-CA"/>
        </w:rPr>
        <w:t xml:space="preserve">exception </w:t>
      </w:r>
      <w:r w:rsidR="003E7E6D" w:rsidRPr="00C300E6">
        <w:rPr>
          <w:lang w:val="en-CA"/>
        </w:rPr>
        <w:t>rais</w:t>
      </w:r>
      <w:r w:rsidR="009D67FA">
        <w:rPr>
          <w:lang w:val="en-CA"/>
        </w:rPr>
        <w:t>ing</w:t>
      </w:r>
      <w:r w:rsidR="00A17B72">
        <w:rPr>
          <w:lang w:val="en-CA"/>
        </w:rPr>
        <w:t xml:space="preserve"> </w:t>
      </w:r>
      <w:r w:rsidR="00A17B72" w:rsidRPr="00C300E6">
        <w:rPr>
          <w:lang w:val="en-CA"/>
        </w:rPr>
        <w:t>the Quebec authorities</w:t>
      </w:r>
      <w:r w:rsidR="00A17B72">
        <w:rPr>
          <w:lang w:val="en-CA"/>
        </w:rPr>
        <w:t>’</w:t>
      </w:r>
      <w:r w:rsidR="003E7E6D" w:rsidRPr="00C300E6">
        <w:rPr>
          <w:lang w:val="en-CA"/>
        </w:rPr>
        <w:t xml:space="preserve"> lack of jurisdiction to hear the </w:t>
      </w:r>
      <w:r w:rsidR="008B58C0" w:rsidRPr="00C300E6">
        <w:rPr>
          <w:lang w:val="en-CA"/>
        </w:rPr>
        <w:t>action in</w:t>
      </w:r>
      <w:r w:rsidR="003E7E6D" w:rsidRPr="00C300E6">
        <w:rPr>
          <w:lang w:val="en-CA"/>
        </w:rPr>
        <w:t xml:space="preserve">stituted by the </w:t>
      </w:r>
      <w:r w:rsidR="008B58C0" w:rsidRPr="00C300E6">
        <w:rPr>
          <w:lang w:val="en-CA"/>
        </w:rPr>
        <w:t>respondent.</w:t>
      </w:r>
    </w:p>
    <w:p w14:paraId="26256FAA" w14:textId="50481308" w:rsidR="008B58C0" w:rsidRPr="00C300E6" w:rsidRDefault="008B58C0" w:rsidP="008B58C0">
      <w:pPr>
        <w:pStyle w:val="Paragraphe"/>
        <w:spacing w:line="240" w:lineRule="auto"/>
        <w:rPr>
          <w:lang w:val="en-CA"/>
        </w:rPr>
      </w:pPr>
      <w:r w:rsidRPr="00C300E6">
        <w:rPr>
          <w:lang w:val="en-CA"/>
        </w:rPr>
        <w:t>It</w:t>
      </w:r>
      <w:r w:rsidR="002132B7" w:rsidRPr="00C300E6">
        <w:rPr>
          <w:lang w:val="en-CA"/>
        </w:rPr>
        <w:t xml:space="preserve"> </w:t>
      </w:r>
      <w:r w:rsidRPr="00C300E6">
        <w:rPr>
          <w:lang w:val="en-CA"/>
        </w:rPr>
        <w:t>is</w:t>
      </w:r>
      <w:r w:rsidR="002132B7" w:rsidRPr="00C300E6">
        <w:rPr>
          <w:lang w:val="en-CA"/>
        </w:rPr>
        <w:t xml:space="preserve"> </w:t>
      </w:r>
      <w:r w:rsidRPr="00C300E6">
        <w:rPr>
          <w:lang w:val="en-CA"/>
        </w:rPr>
        <w:t>common</w:t>
      </w:r>
      <w:r w:rsidR="002132B7" w:rsidRPr="00C300E6">
        <w:rPr>
          <w:lang w:val="en-CA"/>
        </w:rPr>
        <w:t xml:space="preserve"> </w:t>
      </w:r>
      <w:r w:rsidRPr="00C300E6">
        <w:rPr>
          <w:lang w:val="en-CA"/>
        </w:rPr>
        <w:t>ground</w:t>
      </w:r>
      <w:r w:rsidR="002132B7" w:rsidRPr="00C300E6">
        <w:rPr>
          <w:lang w:val="en-CA"/>
        </w:rPr>
        <w:t xml:space="preserve"> that this action falls within the scope of the </w:t>
      </w:r>
      <w:r w:rsidRPr="00C300E6">
        <w:rPr>
          <w:lang w:val="en-CA"/>
        </w:rPr>
        <w:t>forum</w:t>
      </w:r>
      <w:r w:rsidR="002132B7" w:rsidRPr="00C300E6">
        <w:rPr>
          <w:lang w:val="en-CA"/>
        </w:rPr>
        <w:t xml:space="preserve"> </w:t>
      </w:r>
      <w:r w:rsidRPr="00C300E6">
        <w:rPr>
          <w:lang w:val="en-CA"/>
        </w:rPr>
        <w:t>selection</w:t>
      </w:r>
      <w:r w:rsidR="002132B7" w:rsidRPr="00C300E6">
        <w:rPr>
          <w:lang w:val="en-CA"/>
        </w:rPr>
        <w:t xml:space="preserve"> </w:t>
      </w:r>
      <w:r w:rsidRPr="00C300E6">
        <w:rPr>
          <w:lang w:val="en-CA"/>
        </w:rPr>
        <w:t>clause</w:t>
      </w:r>
      <w:r w:rsidR="00F80AE5" w:rsidRPr="00C300E6">
        <w:rPr>
          <w:lang w:val="en-CA"/>
        </w:rPr>
        <w:t>s</w:t>
      </w:r>
      <w:r w:rsidR="002132B7" w:rsidRPr="00C300E6">
        <w:rPr>
          <w:lang w:val="en-CA"/>
        </w:rPr>
        <w:t xml:space="preserve"> in the </w:t>
      </w:r>
      <w:r w:rsidRPr="00C300E6">
        <w:rPr>
          <w:lang w:val="en-CA"/>
        </w:rPr>
        <w:t>contra</w:t>
      </w:r>
      <w:r w:rsidR="002132B7" w:rsidRPr="00C300E6">
        <w:rPr>
          <w:lang w:val="en-CA"/>
        </w:rPr>
        <w:t>c</w:t>
      </w:r>
      <w:r w:rsidRPr="00C300E6">
        <w:rPr>
          <w:lang w:val="en-CA"/>
        </w:rPr>
        <w:t>ts</w:t>
      </w:r>
      <w:r w:rsidR="002132B7" w:rsidRPr="00C300E6">
        <w:rPr>
          <w:lang w:val="en-CA"/>
        </w:rPr>
        <w:t xml:space="preserve"> underlying the dispute</w:t>
      </w:r>
      <w:r w:rsidRPr="00C300E6">
        <w:rPr>
          <w:lang w:val="en-CA"/>
        </w:rPr>
        <w:t xml:space="preserve">. </w:t>
      </w:r>
      <w:r w:rsidR="002132B7" w:rsidRPr="00C300E6">
        <w:rPr>
          <w:lang w:val="en-CA"/>
        </w:rPr>
        <w:t>Both parties also admit that</w:t>
      </w:r>
      <w:r w:rsidR="00F80AE5" w:rsidRPr="00C300E6">
        <w:rPr>
          <w:lang w:val="en-CA"/>
        </w:rPr>
        <w:t xml:space="preserve"> the purpose of </w:t>
      </w:r>
      <w:r w:rsidR="002132B7" w:rsidRPr="00C300E6">
        <w:rPr>
          <w:lang w:val="en-CA"/>
        </w:rPr>
        <w:t xml:space="preserve">these </w:t>
      </w:r>
      <w:r w:rsidRPr="00C300E6">
        <w:rPr>
          <w:lang w:val="en-CA"/>
        </w:rPr>
        <w:t xml:space="preserve">clauses </w:t>
      </w:r>
      <w:r w:rsidR="00F80AE5" w:rsidRPr="00C300E6">
        <w:rPr>
          <w:lang w:val="en-CA"/>
        </w:rPr>
        <w:t xml:space="preserve">is to confer </w:t>
      </w:r>
      <w:r w:rsidRPr="00C300E6">
        <w:rPr>
          <w:lang w:val="en-CA"/>
        </w:rPr>
        <w:t>exclusive</w:t>
      </w:r>
      <w:r w:rsidR="00F80AE5" w:rsidRPr="00C300E6">
        <w:rPr>
          <w:lang w:val="en-CA"/>
        </w:rPr>
        <w:t xml:space="preserve"> </w:t>
      </w:r>
      <w:r w:rsidRPr="00C300E6">
        <w:rPr>
          <w:lang w:val="en-CA"/>
        </w:rPr>
        <w:t>jurisdiction</w:t>
      </w:r>
      <w:r w:rsidR="00F80AE5" w:rsidRPr="00C300E6">
        <w:rPr>
          <w:lang w:val="en-CA"/>
        </w:rPr>
        <w:t xml:space="preserve"> on the </w:t>
      </w:r>
      <w:r w:rsidRPr="00C300E6">
        <w:rPr>
          <w:lang w:val="en-CA"/>
        </w:rPr>
        <w:t>courts</w:t>
      </w:r>
      <w:r w:rsidR="00F80AE5" w:rsidRPr="00C300E6">
        <w:rPr>
          <w:lang w:val="en-CA"/>
        </w:rPr>
        <w:t xml:space="preserve"> of </w:t>
      </w:r>
      <w:r w:rsidRPr="00C300E6">
        <w:rPr>
          <w:lang w:val="en-CA"/>
        </w:rPr>
        <w:t xml:space="preserve">Ontario. </w:t>
      </w:r>
      <w:r w:rsidR="00F80AE5" w:rsidRPr="00C300E6">
        <w:rPr>
          <w:lang w:val="en-CA"/>
        </w:rPr>
        <w:t>I</w:t>
      </w:r>
      <w:r w:rsidRPr="00C300E6">
        <w:rPr>
          <w:lang w:val="en-CA"/>
        </w:rPr>
        <w:t>n</w:t>
      </w:r>
      <w:r w:rsidR="00F80AE5" w:rsidRPr="00C300E6">
        <w:rPr>
          <w:lang w:val="en-CA"/>
        </w:rPr>
        <w:t xml:space="preserve"> </w:t>
      </w:r>
      <w:r w:rsidRPr="00C300E6">
        <w:rPr>
          <w:lang w:val="en-CA"/>
        </w:rPr>
        <w:t xml:space="preserve">addition, </w:t>
      </w:r>
      <w:r w:rsidR="00F80AE5" w:rsidRPr="00C300E6">
        <w:rPr>
          <w:lang w:val="en-CA"/>
        </w:rPr>
        <w:t xml:space="preserve">neither </w:t>
      </w:r>
      <w:r w:rsidRPr="00C300E6">
        <w:rPr>
          <w:lang w:val="en-CA"/>
        </w:rPr>
        <w:t>part</w:t>
      </w:r>
      <w:r w:rsidR="00D91BD5" w:rsidRPr="00C300E6">
        <w:rPr>
          <w:lang w:val="en-CA"/>
        </w:rPr>
        <w:t>y</w:t>
      </w:r>
      <w:r w:rsidRPr="00C300E6">
        <w:rPr>
          <w:lang w:val="en-CA"/>
        </w:rPr>
        <w:t xml:space="preserve"> </w:t>
      </w:r>
      <w:r w:rsidR="00F80AE5" w:rsidRPr="00C300E6">
        <w:rPr>
          <w:lang w:val="en-CA"/>
        </w:rPr>
        <w:t xml:space="preserve">questions the </w:t>
      </w:r>
      <w:r w:rsidR="00D91BD5" w:rsidRPr="00C300E6">
        <w:rPr>
          <w:lang w:val="en-CA"/>
        </w:rPr>
        <w:t xml:space="preserve">primacy of the autonomy of the </w:t>
      </w:r>
      <w:r w:rsidR="0081460E" w:rsidRPr="00C300E6">
        <w:rPr>
          <w:lang w:val="en-CA"/>
        </w:rPr>
        <w:t>parties</w:t>
      </w:r>
      <w:r w:rsidR="00D91BD5" w:rsidRPr="00C300E6">
        <w:rPr>
          <w:lang w:val="en-CA"/>
        </w:rPr>
        <w:t xml:space="preserve"> in </w:t>
      </w:r>
      <w:r w:rsidR="00A17B72">
        <w:rPr>
          <w:lang w:val="en-CA"/>
        </w:rPr>
        <w:t xml:space="preserve">situations involving conflicts of </w:t>
      </w:r>
      <w:r w:rsidRPr="00C300E6">
        <w:rPr>
          <w:lang w:val="en-CA"/>
        </w:rPr>
        <w:t>jurisdiction</w:t>
      </w:r>
      <w:r w:rsidR="00D91BD5" w:rsidRPr="00C300E6">
        <w:rPr>
          <w:lang w:val="en-CA"/>
        </w:rPr>
        <w:t xml:space="preserve"> in the context of </w:t>
      </w:r>
      <w:r w:rsidRPr="00C300E6">
        <w:rPr>
          <w:lang w:val="en-CA"/>
        </w:rPr>
        <w:t>personal</w:t>
      </w:r>
      <w:r w:rsidR="00D91BD5" w:rsidRPr="00C300E6">
        <w:rPr>
          <w:lang w:val="en-CA"/>
        </w:rPr>
        <w:t xml:space="preserve"> </w:t>
      </w:r>
      <w:r w:rsidRPr="00C300E6">
        <w:rPr>
          <w:lang w:val="en-CA"/>
        </w:rPr>
        <w:t>actions</w:t>
      </w:r>
      <w:r w:rsidR="00D91BD5" w:rsidRPr="00C300E6">
        <w:rPr>
          <w:lang w:val="en-CA"/>
        </w:rPr>
        <w:t xml:space="preserve"> </w:t>
      </w:r>
      <w:r w:rsidRPr="00C300E6">
        <w:rPr>
          <w:lang w:val="en-CA"/>
        </w:rPr>
        <w:t>of</w:t>
      </w:r>
      <w:r w:rsidR="00D91BD5" w:rsidRPr="00C300E6">
        <w:rPr>
          <w:lang w:val="en-CA"/>
        </w:rPr>
        <w:t xml:space="preserve"> </w:t>
      </w:r>
      <w:r w:rsidRPr="00C300E6">
        <w:rPr>
          <w:lang w:val="en-CA"/>
        </w:rPr>
        <w:t>a</w:t>
      </w:r>
      <w:r w:rsidR="00D91BD5" w:rsidRPr="00C300E6">
        <w:rPr>
          <w:lang w:val="en-CA"/>
        </w:rPr>
        <w:t xml:space="preserve"> </w:t>
      </w:r>
      <w:r w:rsidRPr="00C300E6">
        <w:rPr>
          <w:lang w:val="en-CA"/>
        </w:rPr>
        <w:t>patrimonial</w:t>
      </w:r>
      <w:r w:rsidR="00D91BD5" w:rsidRPr="00C300E6">
        <w:rPr>
          <w:lang w:val="en-CA"/>
        </w:rPr>
        <w:t xml:space="preserve"> </w:t>
      </w:r>
      <w:r w:rsidRPr="00C300E6">
        <w:rPr>
          <w:lang w:val="en-CA"/>
        </w:rPr>
        <w:t>nature</w:t>
      </w:r>
      <w:r w:rsidR="00D91BD5" w:rsidRPr="00C300E6">
        <w:rPr>
          <w:lang w:val="en-CA"/>
        </w:rPr>
        <w:t>.</w:t>
      </w:r>
      <w:r w:rsidRPr="00C300E6">
        <w:rPr>
          <w:rStyle w:val="Appelnotedebasdep"/>
          <w:rFonts w:cs="Arial"/>
          <w:szCs w:val="24"/>
          <w:lang w:val="en-CA"/>
        </w:rPr>
        <w:footnoteReference w:id="2"/>
      </w:r>
    </w:p>
    <w:p w14:paraId="053985C8" w14:textId="5CC6F07C" w:rsidR="008B58C0" w:rsidRPr="00C300E6" w:rsidRDefault="00C11AAA" w:rsidP="008B58C0">
      <w:pPr>
        <w:pStyle w:val="Paragraphe"/>
        <w:spacing w:line="240" w:lineRule="auto"/>
        <w:rPr>
          <w:lang w:val="en-CA"/>
        </w:rPr>
      </w:pPr>
      <w:r w:rsidRPr="00C300E6">
        <w:rPr>
          <w:lang w:val="en-CA"/>
        </w:rPr>
        <w:lastRenderedPageBreak/>
        <w:t xml:space="preserve">The </w:t>
      </w:r>
      <w:r w:rsidR="008B58C0" w:rsidRPr="00C300E6">
        <w:rPr>
          <w:lang w:val="en-CA"/>
        </w:rPr>
        <w:t>trial</w:t>
      </w:r>
      <w:r w:rsidRPr="00C300E6">
        <w:rPr>
          <w:lang w:val="en-CA"/>
        </w:rPr>
        <w:t xml:space="preserve"> </w:t>
      </w:r>
      <w:r w:rsidR="008B58C0" w:rsidRPr="00C300E6">
        <w:rPr>
          <w:lang w:val="en-CA"/>
        </w:rPr>
        <w:t>judge</w:t>
      </w:r>
      <w:r w:rsidRPr="00C300E6">
        <w:rPr>
          <w:lang w:val="en-CA"/>
        </w:rPr>
        <w:t xml:space="preserve"> nevertheless dismissed the appellant’s </w:t>
      </w:r>
      <w:r w:rsidR="008B58C0" w:rsidRPr="00C300E6">
        <w:rPr>
          <w:lang w:val="en-CA"/>
        </w:rPr>
        <w:t>declinatory</w:t>
      </w:r>
      <w:r w:rsidRPr="00C300E6">
        <w:rPr>
          <w:lang w:val="en-CA"/>
        </w:rPr>
        <w:t xml:space="preserve"> </w:t>
      </w:r>
      <w:r w:rsidR="008B58C0" w:rsidRPr="00C300E6">
        <w:rPr>
          <w:lang w:val="en-CA"/>
        </w:rPr>
        <w:t>exception</w:t>
      </w:r>
      <w:r w:rsidRPr="00C300E6">
        <w:rPr>
          <w:lang w:val="en-CA"/>
        </w:rPr>
        <w:t xml:space="preserve"> for two reasons</w:t>
      </w:r>
      <w:r w:rsidR="008B58C0" w:rsidRPr="00C300E6">
        <w:rPr>
          <w:lang w:val="en-CA"/>
        </w:rPr>
        <w:t xml:space="preserve">. </w:t>
      </w:r>
      <w:r w:rsidR="00367304" w:rsidRPr="00C300E6">
        <w:rPr>
          <w:lang w:val="en-CA"/>
        </w:rPr>
        <w:t xml:space="preserve">First, he </w:t>
      </w:r>
      <w:r w:rsidR="00835EAA" w:rsidRPr="00C300E6">
        <w:rPr>
          <w:lang w:val="en-CA"/>
        </w:rPr>
        <w:t>found that it was</w:t>
      </w:r>
      <w:r w:rsidR="00367304" w:rsidRPr="00C300E6">
        <w:rPr>
          <w:lang w:val="en-CA"/>
        </w:rPr>
        <w:t xml:space="preserve"> late, as the </w:t>
      </w:r>
      <w:r w:rsidR="008B58C0" w:rsidRPr="00C300E6">
        <w:rPr>
          <w:lang w:val="en-CA"/>
        </w:rPr>
        <w:t>appel</w:t>
      </w:r>
      <w:r w:rsidR="00367304" w:rsidRPr="00C300E6">
        <w:rPr>
          <w:lang w:val="en-CA"/>
        </w:rPr>
        <w:t>l</w:t>
      </w:r>
      <w:r w:rsidR="008B58C0" w:rsidRPr="00C300E6">
        <w:rPr>
          <w:lang w:val="en-CA"/>
        </w:rPr>
        <w:t xml:space="preserve">ant </w:t>
      </w:r>
      <w:r w:rsidR="00367304" w:rsidRPr="00C300E6">
        <w:rPr>
          <w:lang w:val="en-CA"/>
        </w:rPr>
        <w:t>did not compl</w:t>
      </w:r>
      <w:r w:rsidR="00835EAA" w:rsidRPr="00C300E6">
        <w:rPr>
          <w:lang w:val="en-CA"/>
        </w:rPr>
        <w:t>y</w:t>
      </w:r>
      <w:r w:rsidR="00367304" w:rsidRPr="00C300E6">
        <w:rPr>
          <w:lang w:val="en-CA"/>
        </w:rPr>
        <w:t xml:space="preserve"> with </w:t>
      </w:r>
      <w:r w:rsidR="008B58C0" w:rsidRPr="00C300E6">
        <w:rPr>
          <w:lang w:val="en-CA"/>
        </w:rPr>
        <w:t xml:space="preserve">articles 166 </w:t>
      </w:r>
      <w:r w:rsidR="00367304" w:rsidRPr="00C300E6">
        <w:rPr>
          <w:lang w:val="en-CA"/>
        </w:rPr>
        <w:t>and</w:t>
      </w:r>
      <w:r w:rsidR="008B58C0" w:rsidRPr="00C300E6">
        <w:rPr>
          <w:lang w:val="en-CA"/>
        </w:rPr>
        <w:t xml:space="preserve"> 491 C.C.P</w:t>
      </w:r>
      <w:r w:rsidR="008B58C0" w:rsidRPr="00C300E6">
        <w:rPr>
          <w:i/>
          <w:lang w:val="en-CA"/>
        </w:rPr>
        <w:t>.</w:t>
      </w:r>
      <w:r w:rsidR="008B58C0" w:rsidRPr="00C300E6">
        <w:rPr>
          <w:lang w:val="en-CA"/>
        </w:rPr>
        <w:t xml:space="preserve"> </w:t>
      </w:r>
      <w:r w:rsidR="00367304" w:rsidRPr="00C300E6">
        <w:rPr>
          <w:lang w:val="en-CA"/>
        </w:rPr>
        <w:t>Second</w:t>
      </w:r>
      <w:r w:rsidR="008B58C0" w:rsidRPr="00C300E6">
        <w:rPr>
          <w:lang w:val="en-CA"/>
        </w:rPr>
        <w:t xml:space="preserve"> — </w:t>
      </w:r>
      <w:r w:rsidR="00367304" w:rsidRPr="00C300E6">
        <w:rPr>
          <w:lang w:val="en-CA"/>
        </w:rPr>
        <w:t xml:space="preserve">and </w:t>
      </w:r>
      <w:r w:rsidR="00EF40EC" w:rsidRPr="00C300E6">
        <w:rPr>
          <w:lang w:val="en-CA"/>
        </w:rPr>
        <w:t>in the alternative</w:t>
      </w:r>
      <w:r w:rsidR="008B58C0" w:rsidRPr="00C300E6">
        <w:rPr>
          <w:lang w:val="en-CA"/>
        </w:rPr>
        <w:t xml:space="preserve"> — </w:t>
      </w:r>
      <w:r w:rsidR="00367304" w:rsidRPr="00C300E6">
        <w:rPr>
          <w:lang w:val="en-CA"/>
        </w:rPr>
        <w:t xml:space="preserve">he </w:t>
      </w:r>
      <w:r w:rsidR="00835EAA" w:rsidRPr="00C300E6">
        <w:rPr>
          <w:lang w:val="en-CA"/>
        </w:rPr>
        <w:t>deemed</w:t>
      </w:r>
      <w:r w:rsidR="00367304" w:rsidRPr="00C300E6">
        <w:rPr>
          <w:lang w:val="en-CA"/>
        </w:rPr>
        <w:t xml:space="preserve"> it </w:t>
      </w:r>
      <w:r w:rsidR="008B58C0" w:rsidRPr="00C300E6">
        <w:rPr>
          <w:lang w:val="en-CA"/>
        </w:rPr>
        <w:t>unfounded on the ground that even before raising it</w:t>
      </w:r>
      <w:r w:rsidR="009D67FA">
        <w:rPr>
          <w:lang w:val="en-CA"/>
        </w:rPr>
        <w:t>s exception</w:t>
      </w:r>
      <w:r w:rsidR="008B58C0" w:rsidRPr="00C300E6">
        <w:rPr>
          <w:lang w:val="en-CA"/>
        </w:rPr>
        <w:t>, the applicant had</w:t>
      </w:r>
      <w:r w:rsidR="00835EAA" w:rsidRPr="00C300E6">
        <w:rPr>
          <w:lang w:val="en-CA"/>
        </w:rPr>
        <w:t xml:space="preserve"> submitted to the jurisdiction of the Quebec </w:t>
      </w:r>
      <w:r w:rsidR="008B58C0" w:rsidRPr="00C300E6">
        <w:rPr>
          <w:lang w:val="en-CA"/>
        </w:rPr>
        <w:t>authorities</w:t>
      </w:r>
      <w:r w:rsidR="00835EAA" w:rsidRPr="00C300E6">
        <w:rPr>
          <w:lang w:val="en-CA"/>
        </w:rPr>
        <w:t xml:space="preserve"> </w:t>
      </w:r>
      <w:r w:rsidR="008B58C0" w:rsidRPr="00C300E6">
        <w:rPr>
          <w:lang w:val="en-CA"/>
        </w:rPr>
        <w:t>within</w:t>
      </w:r>
      <w:r w:rsidR="00835EAA" w:rsidRPr="00C300E6">
        <w:rPr>
          <w:lang w:val="en-CA"/>
        </w:rPr>
        <w:t xml:space="preserve"> </w:t>
      </w:r>
      <w:r w:rsidR="008B58C0" w:rsidRPr="00C300E6">
        <w:rPr>
          <w:lang w:val="en-CA"/>
        </w:rPr>
        <w:t>the</w:t>
      </w:r>
      <w:r w:rsidR="00835EAA" w:rsidRPr="00C300E6">
        <w:rPr>
          <w:lang w:val="en-CA"/>
        </w:rPr>
        <w:t xml:space="preserve"> </w:t>
      </w:r>
      <w:r w:rsidR="008B58C0" w:rsidRPr="00C300E6">
        <w:rPr>
          <w:lang w:val="en-CA"/>
        </w:rPr>
        <w:t>meaning</w:t>
      </w:r>
      <w:r w:rsidR="00835EAA" w:rsidRPr="00C300E6">
        <w:rPr>
          <w:lang w:val="en-CA"/>
        </w:rPr>
        <w:t xml:space="preserve"> </w:t>
      </w:r>
      <w:r w:rsidR="008B58C0" w:rsidRPr="00C300E6">
        <w:rPr>
          <w:lang w:val="en-CA"/>
        </w:rPr>
        <w:t>of</w:t>
      </w:r>
      <w:r w:rsidR="00835EAA" w:rsidRPr="00C300E6">
        <w:rPr>
          <w:lang w:val="en-CA"/>
        </w:rPr>
        <w:t xml:space="preserve"> the second paragraph of article </w:t>
      </w:r>
      <w:r w:rsidR="008B58C0" w:rsidRPr="00C300E6">
        <w:rPr>
          <w:lang w:val="en-CA"/>
        </w:rPr>
        <w:t>3148 C.C.Q</w:t>
      </w:r>
      <w:r w:rsidR="008B58C0" w:rsidRPr="00C300E6">
        <w:rPr>
          <w:i/>
          <w:lang w:val="en-CA"/>
        </w:rPr>
        <w:t>.</w:t>
      </w:r>
    </w:p>
    <w:p w14:paraId="0ACE05E7" w14:textId="76F4FCB6" w:rsidR="008B58C0" w:rsidRPr="00C300E6" w:rsidRDefault="00C45C89" w:rsidP="008B58C0">
      <w:pPr>
        <w:pStyle w:val="Paragraphe"/>
        <w:spacing w:line="240" w:lineRule="auto"/>
        <w:rPr>
          <w:lang w:val="en-CA"/>
        </w:rPr>
      </w:pPr>
      <w:r w:rsidRPr="00C300E6">
        <w:rPr>
          <w:lang w:val="en-CA"/>
        </w:rPr>
        <w:t xml:space="preserve">The </w:t>
      </w:r>
      <w:r w:rsidR="008B58C0" w:rsidRPr="00C300E6">
        <w:rPr>
          <w:lang w:val="en-CA"/>
        </w:rPr>
        <w:t>appel</w:t>
      </w:r>
      <w:r w:rsidRPr="00C300E6">
        <w:rPr>
          <w:lang w:val="en-CA"/>
        </w:rPr>
        <w:t>l</w:t>
      </w:r>
      <w:r w:rsidR="008B58C0" w:rsidRPr="00C300E6">
        <w:rPr>
          <w:lang w:val="en-CA"/>
        </w:rPr>
        <w:t>ant submit</w:t>
      </w:r>
      <w:r w:rsidRPr="00C300E6">
        <w:rPr>
          <w:lang w:val="en-CA"/>
        </w:rPr>
        <w:t xml:space="preserve">s that the </w:t>
      </w:r>
      <w:r w:rsidR="008B58C0" w:rsidRPr="00C300E6">
        <w:rPr>
          <w:lang w:val="en-CA"/>
        </w:rPr>
        <w:t>judge</w:t>
      </w:r>
      <w:r w:rsidRPr="00C300E6">
        <w:rPr>
          <w:lang w:val="en-CA"/>
        </w:rPr>
        <w:t xml:space="preserve"> erred in dismissing its </w:t>
      </w:r>
      <w:r w:rsidR="00A85688">
        <w:rPr>
          <w:lang w:val="en-CA"/>
        </w:rPr>
        <w:t>claim</w:t>
      </w:r>
      <w:r w:rsidR="00A85688" w:rsidRPr="00C300E6">
        <w:rPr>
          <w:lang w:val="en-CA"/>
        </w:rPr>
        <w:t xml:space="preserve"> </w:t>
      </w:r>
      <w:r w:rsidRPr="00C300E6">
        <w:rPr>
          <w:lang w:val="en-CA"/>
        </w:rPr>
        <w:t xml:space="preserve">that any </w:t>
      </w:r>
      <w:r w:rsidR="008B58C0" w:rsidRPr="00C300E6">
        <w:rPr>
          <w:lang w:val="en-CA"/>
        </w:rPr>
        <w:t xml:space="preserve">argument </w:t>
      </w:r>
      <w:r w:rsidR="00CD69E9" w:rsidRPr="00C300E6">
        <w:rPr>
          <w:lang w:val="en-CA"/>
        </w:rPr>
        <w:t>invoking</w:t>
      </w:r>
      <w:r w:rsidR="000B7B49" w:rsidRPr="00C300E6">
        <w:rPr>
          <w:lang w:val="en-CA"/>
        </w:rPr>
        <w:t xml:space="preserve"> the tardiness of a </w:t>
      </w:r>
      <w:r w:rsidR="008B58C0" w:rsidRPr="00C300E6">
        <w:rPr>
          <w:lang w:val="en-CA"/>
        </w:rPr>
        <w:t>declinatory</w:t>
      </w:r>
      <w:r w:rsidR="000B7B49" w:rsidRPr="00C300E6">
        <w:rPr>
          <w:lang w:val="en-CA"/>
        </w:rPr>
        <w:t xml:space="preserve"> </w:t>
      </w:r>
      <w:r w:rsidR="008B58C0" w:rsidRPr="00C300E6">
        <w:rPr>
          <w:lang w:val="en-CA"/>
        </w:rPr>
        <w:t>exception</w:t>
      </w:r>
      <w:r w:rsidR="000B7B49" w:rsidRPr="00C300E6">
        <w:rPr>
          <w:lang w:val="en-CA"/>
        </w:rPr>
        <w:t xml:space="preserve"> based on a </w:t>
      </w:r>
      <w:r w:rsidR="008B58C0" w:rsidRPr="00C300E6">
        <w:rPr>
          <w:lang w:val="en-CA"/>
        </w:rPr>
        <w:t>forum</w:t>
      </w:r>
      <w:r w:rsidR="000B7B49" w:rsidRPr="00C300E6">
        <w:rPr>
          <w:lang w:val="en-CA"/>
        </w:rPr>
        <w:t xml:space="preserve"> </w:t>
      </w:r>
      <w:r w:rsidR="008B58C0" w:rsidRPr="00C300E6">
        <w:rPr>
          <w:lang w:val="en-CA"/>
        </w:rPr>
        <w:t>selection</w:t>
      </w:r>
      <w:r w:rsidR="000B7B49" w:rsidRPr="00C300E6">
        <w:rPr>
          <w:lang w:val="en-CA"/>
        </w:rPr>
        <w:t xml:space="preserve"> </w:t>
      </w:r>
      <w:r w:rsidR="008B58C0" w:rsidRPr="00C300E6">
        <w:rPr>
          <w:lang w:val="en-CA"/>
        </w:rPr>
        <w:t>clause</w:t>
      </w:r>
      <w:r w:rsidR="000B7B49" w:rsidRPr="00C300E6">
        <w:rPr>
          <w:lang w:val="en-CA"/>
        </w:rPr>
        <w:t xml:space="preserve"> is </w:t>
      </w:r>
      <w:r w:rsidR="008B58C0" w:rsidRPr="00C300E6">
        <w:rPr>
          <w:lang w:val="en-CA"/>
        </w:rPr>
        <w:t>certain</w:t>
      </w:r>
      <w:r w:rsidR="000B7B49" w:rsidRPr="00C300E6">
        <w:rPr>
          <w:lang w:val="en-CA"/>
        </w:rPr>
        <w:t xml:space="preserve"> </w:t>
      </w:r>
      <w:r w:rsidR="008B58C0" w:rsidRPr="00C300E6">
        <w:rPr>
          <w:lang w:val="en-CA"/>
        </w:rPr>
        <w:t>to</w:t>
      </w:r>
      <w:r w:rsidR="000B7B49" w:rsidRPr="00C300E6">
        <w:rPr>
          <w:lang w:val="en-CA"/>
        </w:rPr>
        <w:t xml:space="preserve"> </w:t>
      </w:r>
      <w:r w:rsidR="008B58C0" w:rsidRPr="00C300E6">
        <w:rPr>
          <w:lang w:val="en-CA"/>
        </w:rPr>
        <w:t>fail.</w:t>
      </w:r>
      <w:r w:rsidR="000B7B49" w:rsidRPr="00C300E6">
        <w:rPr>
          <w:lang w:val="en-CA"/>
        </w:rPr>
        <w:t xml:space="preserve"> It is of the view that the effect of such a clause falls within the </w:t>
      </w:r>
      <w:r w:rsidR="00093286" w:rsidRPr="00C300E6">
        <w:rPr>
          <w:lang w:val="en-CA"/>
        </w:rPr>
        <w:t xml:space="preserve">subject-matter </w:t>
      </w:r>
      <w:r w:rsidR="008B58C0" w:rsidRPr="00C300E6">
        <w:rPr>
          <w:lang w:val="en-CA"/>
        </w:rPr>
        <w:t xml:space="preserve">jurisdiction </w:t>
      </w:r>
      <w:r w:rsidR="000B7B49" w:rsidRPr="00C300E6">
        <w:rPr>
          <w:lang w:val="en-CA"/>
        </w:rPr>
        <w:t xml:space="preserve">of the </w:t>
      </w:r>
      <w:r w:rsidR="008B58C0" w:rsidRPr="00C300E6">
        <w:rPr>
          <w:lang w:val="en-CA"/>
        </w:rPr>
        <w:t>Quebec</w:t>
      </w:r>
      <w:r w:rsidR="000B7B49" w:rsidRPr="00C300E6">
        <w:rPr>
          <w:lang w:val="en-CA"/>
        </w:rPr>
        <w:t xml:space="preserve"> </w:t>
      </w:r>
      <w:r w:rsidR="008B58C0" w:rsidRPr="00C300E6">
        <w:rPr>
          <w:lang w:val="en-CA"/>
        </w:rPr>
        <w:t>authorit</w:t>
      </w:r>
      <w:r w:rsidR="009D67FA">
        <w:rPr>
          <w:lang w:val="en-CA"/>
        </w:rPr>
        <w:t>ies</w:t>
      </w:r>
      <w:r w:rsidR="008B58C0" w:rsidRPr="00C300E6">
        <w:rPr>
          <w:lang w:val="en-CA"/>
        </w:rPr>
        <w:t>,</w:t>
      </w:r>
      <w:r w:rsidR="000B7B49" w:rsidRPr="00C300E6">
        <w:rPr>
          <w:lang w:val="en-CA"/>
        </w:rPr>
        <w:t xml:space="preserve"> which means that the passage of time cannot</w:t>
      </w:r>
      <w:r w:rsidR="009D67FA">
        <w:rPr>
          <w:lang w:val="en-CA"/>
        </w:rPr>
        <w:t>,</w:t>
      </w:r>
      <w:r w:rsidR="000B7B49" w:rsidRPr="00C300E6">
        <w:rPr>
          <w:lang w:val="en-CA"/>
        </w:rPr>
        <w:t xml:space="preserve"> on its own, make it</w:t>
      </w:r>
      <w:r w:rsidR="008B58C0" w:rsidRPr="00C300E6">
        <w:rPr>
          <w:lang w:val="en-CA"/>
        </w:rPr>
        <w:t xml:space="preserve"> inadmissible. </w:t>
      </w:r>
      <w:r w:rsidR="000B7B49" w:rsidRPr="00C300E6">
        <w:rPr>
          <w:lang w:val="en-CA"/>
        </w:rPr>
        <w:t xml:space="preserve">The </w:t>
      </w:r>
      <w:r w:rsidR="008B58C0" w:rsidRPr="00C300E6">
        <w:rPr>
          <w:lang w:val="en-CA"/>
        </w:rPr>
        <w:t>appel</w:t>
      </w:r>
      <w:r w:rsidR="000B7B49" w:rsidRPr="00C300E6">
        <w:rPr>
          <w:lang w:val="en-CA"/>
        </w:rPr>
        <w:t>l</w:t>
      </w:r>
      <w:r w:rsidR="008B58C0" w:rsidRPr="00C300E6">
        <w:rPr>
          <w:lang w:val="en-CA"/>
        </w:rPr>
        <w:t>ant</w:t>
      </w:r>
      <w:r w:rsidR="000B7B49" w:rsidRPr="00C300E6">
        <w:rPr>
          <w:lang w:val="en-CA"/>
        </w:rPr>
        <w:t xml:space="preserve"> adds the </w:t>
      </w:r>
      <w:r w:rsidR="008B58C0" w:rsidRPr="00C300E6">
        <w:rPr>
          <w:lang w:val="en-CA"/>
        </w:rPr>
        <w:t>judge</w:t>
      </w:r>
      <w:r w:rsidR="000B7B49" w:rsidRPr="00C300E6">
        <w:rPr>
          <w:lang w:val="en-CA"/>
        </w:rPr>
        <w:t xml:space="preserve"> </w:t>
      </w:r>
      <w:r w:rsidR="00047FDC">
        <w:rPr>
          <w:lang w:val="en-CA"/>
        </w:rPr>
        <w:t>mis</w:t>
      </w:r>
      <w:r w:rsidR="000B7B49" w:rsidRPr="00C300E6">
        <w:rPr>
          <w:lang w:val="en-CA"/>
        </w:rPr>
        <w:t xml:space="preserve">interpreted </w:t>
      </w:r>
      <w:r w:rsidR="008B58C0" w:rsidRPr="00C300E6">
        <w:rPr>
          <w:lang w:val="en-CA"/>
        </w:rPr>
        <w:t>articles</w:t>
      </w:r>
      <w:r w:rsidR="000B7B49" w:rsidRPr="00C300E6">
        <w:rPr>
          <w:lang w:val="en-CA"/>
        </w:rPr>
        <w:t xml:space="preserve"> </w:t>
      </w:r>
      <w:r w:rsidR="008B58C0" w:rsidRPr="00C300E6">
        <w:rPr>
          <w:lang w:val="en-CA"/>
        </w:rPr>
        <w:t xml:space="preserve">166 </w:t>
      </w:r>
      <w:r w:rsidR="000B7B49" w:rsidRPr="00C300E6">
        <w:rPr>
          <w:lang w:val="en-CA"/>
        </w:rPr>
        <w:t>and</w:t>
      </w:r>
      <w:r w:rsidR="008B58C0" w:rsidRPr="00C300E6">
        <w:rPr>
          <w:lang w:val="en-CA"/>
        </w:rPr>
        <w:t xml:space="preserve"> 491 C.C.P</w:t>
      </w:r>
      <w:r w:rsidR="008B58C0" w:rsidRPr="00C300E6">
        <w:rPr>
          <w:i/>
          <w:lang w:val="en-CA"/>
        </w:rPr>
        <w:t>.</w:t>
      </w:r>
      <w:r w:rsidR="000B7B49" w:rsidRPr="00C300E6">
        <w:rPr>
          <w:i/>
          <w:lang w:val="en-CA"/>
        </w:rPr>
        <w:t xml:space="preserve"> </w:t>
      </w:r>
      <w:r w:rsidR="000B7B49" w:rsidRPr="00C300E6">
        <w:rPr>
          <w:lang w:val="en-CA"/>
        </w:rPr>
        <w:t xml:space="preserve">and that he </w:t>
      </w:r>
      <w:r w:rsidR="00CE4642" w:rsidRPr="00C300E6">
        <w:rPr>
          <w:lang w:val="en-CA"/>
        </w:rPr>
        <w:t>was incorrect to find that it had submitted to the jurisdiction of the Quebec authorities</w:t>
      </w:r>
      <w:r w:rsidR="008B58C0" w:rsidRPr="00C300E6">
        <w:rPr>
          <w:lang w:val="en-CA"/>
        </w:rPr>
        <w:t>.</w:t>
      </w:r>
    </w:p>
    <w:p w14:paraId="1CC523E5" w14:textId="10DB4460" w:rsidR="008B58C0" w:rsidRPr="00C300E6" w:rsidRDefault="00404F43" w:rsidP="008B58C0">
      <w:pPr>
        <w:pStyle w:val="Paragraphe"/>
        <w:spacing w:line="240" w:lineRule="auto"/>
        <w:rPr>
          <w:lang w:val="en-CA"/>
        </w:rPr>
      </w:pPr>
      <w:r w:rsidRPr="00C300E6">
        <w:rPr>
          <w:lang w:val="en-CA"/>
        </w:rPr>
        <w:t xml:space="preserve">The </w:t>
      </w:r>
      <w:r w:rsidR="008B58C0" w:rsidRPr="00C300E6">
        <w:rPr>
          <w:lang w:val="en-CA"/>
        </w:rPr>
        <w:t>respondent</w:t>
      </w:r>
      <w:r w:rsidR="003335F1">
        <w:rPr>
          <w:lang w:val="en-CA"/>
        </w:rPr>
        <w:t xml:space="preserve"> argues</w:t>
      </w:r>
      <w:r w:rsidRPr="00C300E6">
        <w:rPr>
          <w:lang w:val="en-CA"/>
        </w:rPr>
        <w:t xml:space="preserve"> that </w:t>
      </w:r>
      <w:r w:rsidR="00715B1A">
        <w:rPr>
          <w:lang w:val="en-CA"/>
        </w:rPr>
        <w:t xml:space="preserve">the </w:t>
      </w:r>
      <w:r w:rsidR="008B58C0" w:rsidRPr="00C300E6">
        <w:rPr>
          <w:lang w:val="en-CA"/>
        </w:rPr>
        <w:t>judge</w:t>
      </w:r>
      <w:r w:rsidRPr="00C300E6">
        <w:rPr>
          <w:lang w:val="en-CA"/>
        </w:rPr>
        <w:t xml:space="preserve"> was correct </w:t>
      </w:r>
      <w:r w:rsidR="00047FDC">
        <w:rPr>
          <w:lang w:val="en-CA"/>
        </w:rPr>
        <w:t>to find</w:t>
      </w:r>
      <w:r w:rsidRPr="00C300E6">
        <w:rPr>
          <w:lang w:val="en-CA"/>
        </w:rPr>
        <w:t xml:space="preserve"> that a </w:t>
      </w:r>
      <w:r w:rsidR="008B58C0" w:rsidRPr="00C300E6">
        <w:rPr>
          <w:lang w:val="en-CA"/>
        </w:rPr>
        <w:t>forum</w:t>
      </w:r>
      <w:r w:rsidRPr="00C300E6">
        <w:rPr>
          <w:lang w:val="en-CA"/>
        </w:rPr>
        <w:t xml:space="preserve"> </w:t>
      </w:r>
      <w:r w:rsidR="008B58C0" w:rsidRPr="00C300E6">
        <w:rPr>
          <w:lang w:val="en-CA"/>
        </w:rPr>
        <w:t>selection</w:t>
      </w:r>
      <w:r w:rsidRPr="00C300E6">
        <w:rPr>
          <w:lang w:val="en-CA"/>
        </w:rPr>
        <w:t xml:space="preserve"> </w:t>
      </w:r>
      <w:r w:rsidR="008B58C0" w:rsidRPr="00C300E6">
        <w:rPr>
          <w:lang w:val="en-CA"/>
        </w:rPr>
        <w:t xml:space="preserve">clause </w:t>
      </w:r>
      <w:r w:rsidRPr="00C300E6">
        <w:rPr>
          <w:lang w:val="en-CA"/>
        </w:rPr>
        <w:t>has no effect on the</w:t>
      </w:r>
      <w:r w:rsidR="00093286" w:rsidRPr="00C300E6">
        <w:rPr>
          <w:lang w:val="en-CA"/>
        </w:rPr>
        <w:t xml:space="preserve"> subject-matter</w:t>
      </w:r>
      <w:r w:rsidRPr="00C300E6">
        <w:rPr>
          <w:lang w:val="en-CA"/>
        </w:rPr>
        <w:t xml:space="preserve"> </w:t>
      </w:r>
      <w:r w:rsidR="008B58C0" w:rsidRPr="00C300E6">
        <w:rPr>
          <w:lang w:val="en-CA"/>
        </w:rPr>
        <w:t>jurisdiction</w:t>
      </w:r>
      <w:r w:rsidRPr="00C300E6">
        <w:rPr>
          <w:i/>
          <w:lang w:val="en-CA"/>
        </w:rPr>
        <w:t xml:space="preserve"> </w:t>
      </w:r>
      <w:r w:rsidRPr="00C300E6">
        <w:rPr>
          <w:lang w:val="en-CA"/>
        </w:rPr>
        <w:t xml:space="preserve">of the </w:t>
      </w:r>
      <w:r w:rsidR="008B58C0" w:rsidRPr="00C300E6">
        <w:rPr>
          <w:lang w:val="en-CA"/>
        </w:rPr>
        <w:t>Quebec</w:t>
      </w:r>
      <w:r w:rsidRPr="00C300E6">
        <w:rPr>
          <w:lang w:val="en-CA"/>
        </w:rPr>
        <w:t xml:space="preserve"> </w:t>
      </w:r>
      <w:r w:rsidR="008B58C0" w:rsidRPr="00C300E6">
        <w:rPr>
          <w:lang w:val="en-CA"/>
        </w:rPr>
        <w:t>authorit</w:t>
      </w:r>
      <w:r w:rsidRPr="00C300E6">
        <w:rPr>
          <w:lang w:val="en-CA"/>
        </w:rPr>
        <w:t xml:space="preserve">ies, and, moreover, that a party may lose the benefit of such a clause if it does not raise it with </w:t>
      </w:r>
      <w:r w:rsidR="00C300E6" w:rsidRPr="00C300E6">
        <w:rPr>
          <w:lang w:val="en-CA"/>
        </w:rPr>
        <w:t>sufficient</w:t>
      </w:r>
      <w:r w:rsidRPr="00C300E6">
        <w:rPr>
          <w:lang w:val="en-CA"/>
        </w:rPr>
        <w:t xml:space="preserve"> </w:t>
      </w:r>
      <w:r w:rsidR="008B58C0" w:rsidRPr="00C300E6">
        <w:rPr>
          <w:lang w:val="en-CA"/>
        </w:rPr>
        <w:t>diligence</w:t>
      </w:r>
      <w:r w:rsidRPr="00C300E6">
        <w:rPr>
          <w:lang w:val="en-CA"/>
        </w:rPr>
        <w:t xml:space="preserve"> or if it submits to the </w:t>
      </w:r>
      <w:r w:rsidR="008B58C0" w:rsidRPr="00C300E6">
        <w:rPr>
          <w:lang w:val="en-CA"/>
        </w:rPr>
        <w:t>jurisdiction</w:t>
      </w:r>
      <w:r w:rsidRPr="00C300E6">
        <w:rPr>
          <w:lang w:val="en-CA"/>
        </w:rPr>
        <w:t xml:space="preserve"> </w:t>
      </w:r>
      <w:r w:rsidR="008B58C0" w:rsidRPr="00C300E6">
        <w:rPr>
          <w:lang w:val="en-CA"/>
        </w:rPr>
        <w:t>of</w:t>
      </w:r>
      <w:r w:rsidRPr="00C300E6">
        <w:rPr>
          <w:lang w:val="en-CA"/>
        </w:rPr>
        <w:t xml:space="preserve"> the Quebec </w:t>
      </w:r>
      <w:r w:rsidR="008B58C0" w:rsidRPr="00C300E6">
        <w:rPr>
          <w:lang w:val="en-CA"/>
        </w:rPr>
        <w:t>authorities</w:t>
      </w:r>
      <w:r w:rsidR="00EF40EC" w:rsidRPr="00C300E6">
        <w:rPr>
          <w:lang w:val="en-CA"/>
        </w:rPr>
        <w:t xml:space="preserve">. The </w:t>
      </w:r>
      <w:r w:rsidR="008B58C0" w:rsidRPr="00C300E6">
        <w:rPr>
          <w:lang w:val="en-CA"/>
        </w:rPr>
        <w:t>respondent</w:t>
      </w:r>
      <w:r w:rsidR="00EF40EC" w:rsidRPr="00C300E6">
        <w:rPr>
          <w:lang w:val="en-CA"/>
        </w:rPr>
        <w:t xml:space="preserve"> adds that the </w:t>
      </w:r>
      <w:r w:rsidR="008B58C0" w:rsidRPr="00C300E6">
        <w:rPr>
          <w:lang w:val="en-CA"/>
        </w:rPr>
        <w:t>judge</w:t>
      </w:r>
      <w:r w:rsidR="00EF40EC" w:rsidRPr="00C300E6">
        <w:rPr>
          <w:lang w:val="en-CA"/>
        </w:rPr>
        <w:t xml:space="preserve"> </w:t>
      </w:r>
      <w:r w:rsidR="00715B1A">
        <w:rPr>
          <w:lang w:val="en-CA"/>
        </w:rPr>
        <w:t>committed</w:t>
      </w:r>
      <w:r w:rsidR="00EF40EC" w:rsidRPr="00C300E6">
        <w:rPr>
          <w:lang w:val="en-CA"/>
        </w:rPr>
        <w:t xml:space="preserve"> no r</w:t>
      </w:r>
      <w:r w:rsidR="008B58C0" w:rsidRPr="00C300E6">
        <w:rPr>
          <w:lang w:val="en-CA"/>
        </w:rPr>
        <w:t>eviewable</w:t>
      </w:r>
      <w:r w:rsidR="00EF40EC" w:rsidRPr="00C300E6">
        <w:rPr>
          <w:lang w:val="en-CA"/>
        </w:rPr>
        <w:t xml:space="preserve"> </w:t>
      </w:r>
      <w:r w:rsidR="008B58C0" w:rsidRPr="00C300E6">
        <w:rPr>
          <w:lang w:val="en-CA"/>
        </w:rPr>
        <w:t>error</w:t>
      </w:r>
      <w:r w:rsidR="00EF40EC" w:rsidRPr="00C300E6">
        <w:rPr>
          <w:lang w:val="en-CA"/>
        </w:rPr>
        <w:t xml:space="preserve"> in </w:t>
      </w:r>
      <w:r w:rsidR="008B58C0" w:rsidRPr="00C300E6">
        <w:rPr>
          <w:lang w:val="en-CA"/>
        </w:rPr>
        <w:t>conclu</w:t>
      </w:r>
      <w:r w:rsidR="00EF40EC" w:rsidRPr="00C300E6">
        <w:rPr>
          <w:lang w:val="en-CA"/>
        </w:rPr>
        <w:t xml:space="preserve">ding that the </w:t>
      </w:r>
      <w:r w:rsidR="008B58C0" w:rsidRPr="00C300E6">
        <w:rPr>
          <w:lang w:val="en-CA"/>
        </w:rPr>
        <w:t>declinatory</w:t>
      </w:r>
      <w:r w:rsidR="00EF40EC" w:rsidRPr="00C300E6">
        <w:rPr>
          <w:lang w:val="en-CA"/>
        </w:rPr>
        <w:t xml:space="preserve"> </w:t>
      </w:r>
      <w:r w:rsidR="008B58C0" w:rsidRPr="00C300E6">
        <w:rPr>
          <w:lang w:val="en-CA"/>
        </w:rPr>
        <w:t>exception</w:t>
      </w:r>
      <w:r w:rsidR="00EF40EC" w:rsidRPr="00C300E6">
        <w:rPr>
          <w:lang w:val="en-CA"/>
        </w:rPr>
        <w:t xml:space="preserve"> was late, and in the alternative, that the appellant had submitted to the </w:t>
      </w:r>
      <w:r w:rsidR="008B58C0" w:rsidRPr="00C300E6">
        <w:rPr>
          <w:lang w:val="en-CA"/>
        </w:rPr>
        <w:t>jurisdiction</w:t>
      </w:r>
      <w:r w:rsidR="00EF40EC" w:rsidRPr="00C300E6">
        <w:rPr>
          <w:lang w:val="en-CA"/>
        </w:rPr>
        <w:t xml:space="preserve"> </w:t>
      </w:r>
      <w:r w:rsidR="008B58C0" w:rsidRPr="00C300E6">
        <w:rPr>
          <w:lang w:val="en-CA"/>
        </w:rPr>
        <w:t>of</w:t>
      </w:r>
      <w:r w:rsidR="00EF40EC" w:rsidRPr="00C300E6">
        <w:rPr>
          <w:lang w:val="en-CA"/>
        </w:rPr>
        <w:t xml:space="preserve"> the Quebec </w:t>
      </w:r>
      <w:r w:rsidR="008B58C0" w:rsidRPr="00C300E6">
        <w:rPr>
          <w:lang w:val="en-CA"/>
        </w:rPr>
        <w:t>authorities.</w:t>
      </w:r>
    </w:p>
    <w:p w14:paraId="51FECBC7" w14:textId="77777777" w:rsidR="008B58C0" w:rsidRPr="00C300E6" w:rsidRDefault="008B58C0" w:rsidP="008B58C0">
      <w:pPr>
        <w:pStyle w:val="Paragraphe"/>
        <w:keepNext/>
        <w:numPr>
          <w:ilvl w:val="0"/>
          <w:numId w:val="0"/>
        </w:numPr>
        <w:spacing w:line="240" w:lineRule="auto"/>
        <w:ind w:left="425" w:hanging="425"/>
        <w:rPr>
          <w:b/>
          <w:u w:val="single"/>
          <w:lang w:val="en-CA"/>
        </w:rPr>
      </w:pPr>
      <w:r w:rsidRPr="00C300E6">
        <w:rPr>
          <w:b/>
          <w:lang w:val="en-CA"/>
        </w:rPr>
        <w:t>I.</w:t>
      </w:r>
      <w:r w:rsidRPr="00C300E6">
        <w:rPr>
          <w:b/>
          <w:lang w:val="en-CA"/>
        </w:rPr>
        <w:tab/>
      </w:r>
      <w:r w:rsidR="00EF40EC" w:rsidRPr="00C300E6">
        <w:rPr>
          <w:b/>
          <w:u w:val="single"/>
          <w:lang w:val="en-CA"/>
        </w:rPr>
        <w:t>A</w:t>
      </w:r>
      <w:r w:rsidR="00651527" w:rsidRPr="00C300E6">
        <w:rPr>
          <w:b/>
          <w:u w:val="single"/>
          <w:lang w:val="en-CA"/>
        </w:rPr>
        <w:t>pplicable legal framework</w:t>
      </w:r>
    </w:p>
    <w:p w14:paraId="36DC64FD" w14:textId="77777777" w:rsidR="008B58C0" w:rsidRPr="00C300E6" w:rsidRDefault="0026013E" w:rsidP="008B58C0">
      <w:pPr>
        <w:pStyle w:val="Paragraphe"/>
        <w:keepNext/>
        <w:numPr>
          <w:ilvl w:val="0"/>
          <w:numId w:val="25"/>
        </w:numPr>
        <w:spacing w:line="240" w:lineRule="auto"/>
        <w:ind w:left="850" w:hanging="357"/>
        <w:rPr>
          <w:rFonts w:cs="Arial"/>
          <w:b/>
          <w:lang w:val="en-CA"/>
        </w:rPr>
      </w:pPr>
      <w:r w:rsidRPr="00C300E6">
        <w:rPr>
          <w:b/>
          <w:lang w:val="en-CA"/>
        </w:rPr>
        <w:t xml:space="preserve">The </w:t>
      </w:r>
      <w:r w:rsidR="008B58C0" w:rsidRPr="00C300E6">
        <w:rPr>
          <w:b/>
          <w:lang w:val="en-CA"/>
        </w:rPr>
        <w:t xml:space="preserve">nature </w:t>
      </w:r>
      <w:r w:rsidRPr="00C300E6">
        <w:rPr>
          <w:b/>
          <w:lang w:val="en-CA"/>
        </w:rPr>
        <w:t xml:space="preserve">of the lack of jurisdiction arising from a </w:t>
      </w:r>
      <w:r w:rsidR="008B58C0" w:rsidRPr="00C300E6">
        <w:rPr>
          <w:b/>
          <w:lang w:val="en-CA"/>
        </w:rPr>
        <w:t>forum</w:t>
      </w:r>
      <w:r w:rsidRPr="00C300E6">
        <w:rPr>
          <w:b/>
          <w:lang w:val="en-CA"/>
        </w:rPr>
        <w:t xml:space="preserve"> </w:t>
      </w:r>
      <w:r w:rsidR="008B58C0" w:rsidRPr="00C300E6">
        <w:rPr>
          <w:b/>
          <w:lang w:val="en-CA"/>
        </w:rPr>
        <w:t>selection</w:t>
      </w:r>
      <w:r w:rsidRPr="00C300E6">
        <w:rPr>
          <w:b/>
          <w:lang w:val="en-CA"/>
        </w:rPr>
        <w:t xml:space="preserve"> </w:t>
      </w:r>
      <w:r w:rsidR="008B58C0" w:rsidRPr="00C300E6">
        <w:rPr>
          <w:b/>
          <w:lang w:val="en-CA"/>
        </w:rPr>
        <w:t>clause</w:t>
      </w:r>
    </w:p>
    <w:p w14:paraId="401B13A1" w14:textId="5428D864" w:rsidR="008B58C0" w:rsidRPr="00C300E6" w:rsidRDefault="001B4C57" w:rsidP="008B58C0">
      <w:pPr>
        <w:pStyle w:val="Paragraphe"/>
        <w:spacing w:line="240" w:lineRule="auto"/>
        <w:rPr>
          <w:lang w:val="en-CA"/>
        </w:rPr>
      </w:pPr>
      <w:r w:rsidRPr="00C300E6">
        <w:rPr>
          <w:lang w:val="en-CA"/>
        </w:rPr>
        <w:t xml:space="preserve">The first issue that must be addressed is the nature of the lack of jurisdiction arising from a </w:t>
      </w:r>
      <w:r w:rsidR="008B58C0" w:rsidRPr="00C300E6">
        <w:rPr>
          <w:lang w:val="en-CA"/>
        </w:rPr>
        <w:t>forum</w:t>
      </w:r>
      <w:r w:rsidRPr="00C300E6">
        <w:rPr>
          <w:lang w:val="en-CA"/>
        </w:rPr>
        <w:t xml:space="preserve"> </w:t>
      </w:r>
      <w:r w:rsidR="008B58C0" w:rsidRPr="00C300E6">
        <w:rPr>
          <w:lang w:val="en-CA"/>
        </w:rPr>
        <w:t>selection</w:t>
      </w:r>
      <w:r w:rsidRPr="00C300E6">
        <w:rPr>
          <w:lang w:val="en-CA"/>
        </w:rPr>
        <w:t xml:space="preserve"> </w:t>
      </w:r>
      <w:r w:rsidR="008B58C0" w:rsidRPr="00C300E6">
        <w:rPr>
          <w:lang w:val="en-CA"/>
        </w:rPr>
        <w:t>clause d</w:t>
      </w:r>
      <w:r w:rsidRPr="00C300E6">
        <w:rPr>
          <w:lang w:val="en-CA"/>
        </w:rPr>
        <w:t>e</w:t>
      </w:r>
      <w:r w:rsidR="008B58C0" w:rsidRPr="00C300E6">
        <w:rPr>
          <w:lang w:val="en-CA"/>
        </w:rPr>
        <w:t>signa</w:t>
      </w:r>
      <w:r w:rsidRPr="00C300E6">
        <w:rPr>
          <w:lang w:val="en-CA"/>
        </w:rPr>
        <w:t xml:space="preserve">ting the </w:t>
      </w:r>
      <w:r w:rsidR="008B58C0" w:rsidRPr="00C300E6">
        <w:rPr>
          <w:lang w:val="en-CA"/>
        </w:rPr>
        <w:t>courts</w:t>
      </w:r>
      <w:r w:rsidRPr="00C300E6">
        <w:rPr>
          <w:lang w:val="en-CA"/>
        </w:rPr>
        <w:t xml:space="preserve"> of a foreign jurisdiction</w:t>
      </w:r>
      <w:r w:rsidR="008B58C0" w:rsidRPr="00C300E6">
        <w:rPr>
          <w:lang w:val="en-CA"/>
        </w:rPr>
        <w:t xml:space="preserve">. </w:t>
      </w:r>
      <w:r w:rsidR="00027365" w:rsidRPr="00C300E6">
        <w:rPr>
          <w:lang w:val="en-CA"/>
        </w:rPr>
        <w:t>If it is a l</w:t>
      </w:r>
      <w:r w:rsidR="006033F9" w:rsidRPr="00C300E6">
        <w:rPr>
          <w:lang w:val="en-CA"/>
        </w:rPr>
        <w:t>a</w:t>
      </w:r>
      <w:r w:rsidR="00027365" w:rsidRPr="00C300E6">
        <w:rPr>
          <w:lang w:val="en-CA"/>
        </w:rPr>
        <w:t xml:space="preserve">ck of </w:t>
      </w:r>
      <w:r w:rsidR="00093286" w:rsidRPr="00C300E6">
        <w:rPr>
          <w:lang w:val="en-CA"/>
        </w:rPr>
        <w:t>subject-matter jurisdiction</w:t>
      </w:r>
      <w:r w:rsidR="00027365" w:rsidRPr="00C300E6">
        <w:rPr>
          <w:lang w:val="en-CA"/>
        </w:rPr>
        <w:t xml:space="preserve">, </w:t>
      </w:r>
      <w:r w:rsidR="006033F9" w:rsidRPr="00C300E6">
        <w:rPr>
          <w:lang w:val="en-CA"/>
        </w:rPr>
        <w:t xml:space="preserve">as the appellant claims, it must be </w:t>
      </w:r>
      <w:r w:rsidR="008B58C0" w:rsidRPr="00C300E6">
        <w:rPr>
          <w:lang w:val="en-CA"/>
        </w:rPr>
        <w:t>conclu</w:t>
      </w:r>
      <w:r w:rsidR="006033F9" w:rsidRPr="00C300E6">
        <w:rPr>
          <w:lang w:val="en-CA"/>
        </w:rPr>
        <w:t xml:space="preserve">ded that the </w:t>
      </w:r>
      <w:r w:rsidR="008B58C0" w:rsidRPr="00C300E6">
        <w:rPr>
          <w:lang w:val="en-CA"/>
        </w:rPr>
        <w:t>judge</w:t>
      </w:r>
      <w:r w:rsidR="006033F9" w:rsidRPr="00C300E6">
        <w:rPr>
          <w:lang w:val="en-CA"/>
        </w:rPr>
        <w:t xml:space="preserve"> erred in dismissing its </w:t>
      </w:r>
      <w:r w:rsidR="008B58C0" w:rsidRPr="00C300E6">
        <w:rPr>
          <w:lang w:val="en-CA"/>
        </w:rPr>
        <w:t>declinatory</w:t>
      </w:r>
      <w:r w:rsidR="0007660A" w:rsidRPr="00C300E6">
        <w:rPr>
          <w:lang w:val="en-CA"/>
        </w:rPr>
        <w:t xml:space="preserve"> </w:t>
      </w:r>
      <w:r w:rsidR="008B58C0" w:rsidRPr="00C300E6">
        <w:rPr>
          <w:lang w:val="en-CA"/>
        </w:rPr>
        <w:t>exception</w:t>
      </w:r>
      <w:r w:rsidR="0007660A" w:rsidRPr="00C300E6">
        <w:rPr>
          <w:lang w:val="en-CA"/>
        </w:rPr>
        <w:t xml:space="preserve"> </w:t>
      </w:r>
      <w:r w:rsidR="002A1C13">
        <w:rPr>
          <w:lang w:val="en-CA"/>
        </w:rPr>
        <w:t>on the basis of</w:t>
      </w:r>
      <w:r w:rsidR="002A1C13" w:rsidRPr="00C300E6">
        <w:rPr>
          <w:lang w:val="en-CA"/>
        </w:rPr>
        <w:t xml:space="preserve"> </w:t>
      </w:r>
      <w:r w:rsidR="0007660A" w:rsidRPr="00C300E6">
        <w:rPr>
          <w:lang w:val="en-CA"/>
        </w:rPr>
        <w:t>the passage of time, because “</w:t>
      </w:r>
      <w:r w:rsidR="008B58C0" w:rsidRPr="00C300E6">
        <w:rPr>
          <w:lang w:val="en-CA"/>
        </w:rPr>
        <w:t>[l]ack of subject-matter jurisdiction may be raised at any stage</w:t>
      </w:r>
      <w:r w:rsidR="0007660A" w:rsidRPr="00C300E6">
        <w:rPr>
          <w:lang w:val="en-CA"/>
        </w:rPr>
        <w:t xml:space="preserve"> </w:t>
      </w:r>
      <w:r w:rsidR="008B58C0" w:rsidRPr="00C300E6">
        <w:rPr>
          <w:lang w:val="en-CA"/>
        </w:rPr>
        <w:t>of the proceeding</w:t>
      </w:r>
      <w:r w:rsidR="0007660A" w:rsidRPr="00C300E6">
        <w:rPr>
          <w:i/>
          <w:lang w:val="en-CA"/>
        </w:rPr>
        <w:t>/[l]’absence de compétence d’attribution peut être soulevée à tout moment de l’instance</w:t>
      </w:r>
      <w:r w:rsidR="0007660A" w:rsidRPr="00C300E6">
        <w:rPr>
          <w:lang w:val="en-CA"/>
        </w:rPr>
        <w:t>”</w:t>
      </w:r>
      <w:r w:rsidR="008B58C0" w:rsidRPr="00C300E6">
        <w:rPr>
          <w:lang w:val="en-CA"/>
        </w:rPr>
        <w:t xml:space="preserve"> (article 167</w:t>
      </w:r>
      <w:r w:rsidR="0007660A" w:rsidRPr="00C300E6">
        <w:rPr>
          <w:lang w:val="en-CA"/>
        </w:rPr>
        <w:t xml:space="preserve">, para. </w:t>
      </w:r>
      <w:r w:rsidR="008B58C0" w:rsidRPr="00C300E6">
        <w:rPr>
          <w:lang w:val="en-CA"/>
        </w:rPr>
        <w:t>2</w:t>
      </w:r>
      <w:r w:rsidR="0007660A" w:rsidRPr="00C300E6">
        <w:rPr>
          <w:lang w:val="en-CA"/>
        </w:rPr>
        <w:t xml:space="preserve"> </w:t>
      </w:r>
      <w:r w:rsidR="008B58C0" w:rsidRPr="00C300E6">
        <w:rPr>
          <w:lang w:val="en-CA"/>
        </w:rPr>
        <w:t>C.C.P</w:t>
      </w:r>
      <w:r w:rsidR="008B58C0" w:rsidRPr="00C300E6">
        <w:rPr>
          <w:i/>
          <w:lang w:val="en-CA"/>
        </w:rPr>
        <w:t>.</w:t>
      </w:r>
      <w:r w:rsidR="008B58C0" w:rsidRPr="00C300E6">
        <w:rPr>
          <w:lang w:val="en-CA"/>
        </w:rPr>
        <w:t>).</w:t>
      </w:r>
    </w:p>
    <w:p w14:paraId="69CCD988" w14:textId="77777777" w:rsidR="008B58C0" w:rsidRPr="00C300E6" w:rsidRDefault="008B58C0" w:rsidP="008B58C0">
      <w:pPr>
        <w:pStyle w:val="Paragraphe"/>
        <w:spacing w:line="240" w:lineRule="auto"/>
        <w:rPr>
          <w:lang w:val="en-CA"/>
        </w:rPr>
      </w:pPr>
      <w:r w:rsidRPr="00C300E6">
        <w:rPr>
          <w:lang w:val="en-CA"/>
        </w:rPr>
        <w:t>At</w:t>
      </w:r>
      <w:r w:rsidR="00096640" w:rsidRPr="00C300E6">
        <w:rPr>
          <w:lang w:val="en-CA"/>
        </w:rPr>
        <w:t xml:space="preserve"> </w:t>
      </w:r>
      <w:r w:rsidRPr="00C300E6">
        <w:rPr>
          <w:lang w:val="en-CA"/>
        </w:rPr>
        <w:t>the</w:t>
      </w:r>
      <w:r w:rsidR="00096640" w:rsidRPr="00C300E6">
        <w:rPr>
          <w:lang w:val="en-CA"/>
        </w:rPr>
        <w:t xml:space="preserve"> </w:t>
      </w:r>
      <w:r w:rsidRPr="00C300E6">
        <w:rPr>
          <w:lang w:val="en-CA"/>
        </w:rPr>
        <w:t>outset,</w:t>
      </w:r>
      <w:r w:rsidR="00096640" w:rsidRPr="00C300E6">
        <w:rPr>
          <w:lang w:val="en-CA"/>
        </w:rPr>
        <w:t xml:space="preserve"> it is important to properly </w:t>
      </w:r>
      <w:r w:rsidRPr="00C300E6">
        <w:rPr>
          <w:lang w:val="en-CA"/>
        </w:rPr>
        <w:t>distingu</w:t>
      </w:r>
      <w:r w:rsidR="00096640" w:rsidRPr="00C300E6">
        <w:rPr>
          <w:lang w:val="en-CA"/>
        </w:rPr>
        <w:t xml:space="preserve">ish the three </w:t>
      </w:r>
      <w:r w:rsidRPr="00C300E6">
        <w:rPr>
          <w:lang w:val="en-CA"/>
        </w:rPr>
        <w:t>types</w:t>
      </w:r>
      <w:r w:rsidR="00096640" w:rsidRPr="00C300E6">
        <w:rPr>
          <w:lang w:val="en-CA"/>
        </w:rPr>
        <w:t xml:space="preserve"> of a</w:t>
      </w:r>
      <w:r w:rsidR="00096640" w:rsidRPr="00C300E6">
        <w:rPr>
          <w:color w:val="000000"/>
          <w:lang w:val="en-CA"/>
        </w:rPr>
        <w:t xml:space="preserve">djudicative jurisdiction that are now recognized </w:t>
      </w:r>
      <w:r w:rsidR="00C4320F" w:rsidRPr="00C300E6">
        <w:rPr>
          <w:color w:val="000000"/>
          <w:lang w:val="en-CA"/>
        </w:rPr>
        <w:t>in Quebec private law</w:t>
      </w:r>
      <w:r w:rsidRPr="00C300E6">
        <w:rPr>
          <w:lang w:val="en-CA"/>
        </w:rPr>
        <w:t>.</w:t>
      </w:r>
    </w:p>
    <w:p w14:paraId="72C232A2" w14:textId="0F424948" w:rsidR="008B58C0" w:rsidRPr="00C300E6" w:rsidRDefault="00C4320F" w:rsidP="008B58C0">
      <w:pPr>
        <w:pStyle w:val="Paragraphe"/>
        <w:spacing w:line="240" w:lineRule="auto"/>
        <w:rPr>
          <w:lang w:val="en-CA"/>
        </w:rPr>
      </w:pPr>
      <w:r w:rsidRPr="00C300E6">
        <w:rPr>
          <w:lang w:val="en-CA"/>
        </w:rPr>
        <w:t xml:space="preserve">The first is international </w:t>
      </w:r>
      <w:r w:rsidR="008B58C0" w:rsidRPr="00C300E6">
        <w:rPr>
          <w:lang w:val="en-CA"/>
        </w:rPr>
        <w:t>jurisdiction</w:t>
      </w:r>
      <w:r w:rsidR="000C3FD4">
        <w:rPr>
          <w:lang w:val="en-CA"/>
        </w:rPr>
        <w:t xml:space="preserve">, which </w:t>
      </w:r>
      <w:r w:rsidR="002A1C13">
        <w:rPr>
          <w:lang w:val="en-CA"/>
        </w:rPr>
        <w:t>concern</w:t>
      </w:r>
      <w:r w:rsidR="000C3FD4">
        <w:rPr>
          <w:lang w:val="en-CA"/>
        </w:rPr>
        <w:t>s the question of</w:t>
      </w:r>
      <w:r w:rsidRPr="00C300E6">
        <w:rPr>
          <w:lang w:val="en-CA"/>
        </w:rPr>
        <w:t xml:space="preserve"> whether the </w:t>
      </w:r>
      <w:r w:rsidR="008B58C0" w:rsidRPr="00C300E6">
        <w:rPr>
          <w:lang w:val="en-CA"/>
        </w:rPr>
        <w:t xml:space="preserve">plaintiff </w:t>
      </w:r>
      <w:r w:rsidR="007706AA" w:rsidRPr="00C300E6">
        <w:rPr>
          <w:lang w:val="en-CA"/>
        </w:rPr>
        <w:t xml:space="preserve">may institute proceedings in </w:t>
      </w:r>
      <w:r w:rsidR="008B58C0" w:rsidRPr="00C300E6">
        <w:rPr>
          <w:lang w:val="en-CA"/>
        </w:rPr>
        <w:t>Qu</w:t>
      </w:r>
      <w:r w:rsidR="007706AA" w:rsidRPr="00C300E6">
        <w:rPr>
          <w:lang w:val="en-CA"/>
        </w:rPr>
        <w:t>e</w:t>
      </w:r>
      <w:r w:rsidR="008B58C0" w:rsidRPr="00C300E6">
        <w:rPr>
          <w:lang w:val="en-CA"/>
        </w:rPr>
        <w:t>bec. Conceptu</w:t>
      </w:r>
      <w:r w:rsidR="007706AA" w:rsidRPr="00C300E6">
        <w:rPr>
          <w:lang w:val="en-CA"/>
        </w:rPr>
        <w:t xml:space="preserve">ally, this question </w:t>
      </w:r>
      <w:r w:rsidR="005368DC">
        <w:rPr>
          <w:lang w:val="en-CA"/>
        </w:rPr>
        <w:t>must be answered first</w:t>
      </w:r>
      <w:r w:rsidR="007706AA" w:rsidRPr="00C300E6">
        <w:rPr>
          <w:lang w:val="en-CA"/>
        </w:rPr>
        <w:t xml:space="preserve">, because it essentially asks whether, </w:t>
      </w:r>
      <w:r w:rsidR="005368DC">
        <w:rPr>
          <w:lang w:val="en-CA"/>
        </w:rPr>
        <w:t>with respect to a</w:t>
      </w:r>
      <w:r w:rsidR="007706AA" w:rsidRPr="00C300E6">
        <w:rPr>
          <w:lang w:val="en-CA"/>
        </w:rPr>
        <w:t xml:space="preserve"> particular dispute, the </w:t>
      </w:r>
      <w:r w:rsidR="008B58C0" w:rsidRPr="00C300E6">
        <w:rPr>
          <w:lang w:val="en-CA"/>
        </w:rPr>
        <w:t>plaintiff</w:t>
      </w:r>
      <w:r w:rsidR="007706AA" w:rsidRPr="00C300E6">
        <w:rPr>
          <w:lang w:val="en-CA"/>
        </w:rPr>
        <w:t xml:space="preserve"> has access to the Q</w:t>
      </w:r>
      <w:r w:rsidR="00F838CE" w:rsidRPr="00C300E6">
        <w:rPr>
          <w:lang w:val="en-CA"/>
        </w:rPr>
        <w:t>ue</w:t>
      </w:r>
      <w:r w:rsidR="007706AA" w:rsidRPr="00C300E6">
        <w:rPr>
          <w:lang w:val="en-CA"/>
        </w:rPr>
        <w:t>bec</w:t>
      </w:r>
      <w:r w:rsidR="00F838CE" w:rsidRPr="00C300E6">
        <w:rPr>
          <w:lang w:val="en-CA"/>
        </w:rPr>
        <w:t xml:space="preserve"> civil </w:t>
      </w:r>
      <w:r w:rsidR="008B58C0" w:rsidRPr="00C300E6">
        <w:rPr>
          <w:lang w:val="en-CA"/>
        </w:rPr>
        <w:t>justice</w:t>
      </w:r>
      <w:r w:rsidR="00F838CE" w:rsidRPr="00C300E6">
        <w:rPr>
          <w:lang w:val="en-CA"/>
        </w:rPr>
        <w:t xml:space="preserve"> </w:t>
      </w:r>
      <w:r w:rsidR="008B58C0" w:rsidRPr="00C300E6">
        <w:rPr>
          <w:lang w:val="en-CA"/>
        </w:rPr>
        <w:t xml:space="preserve">system. </w:t>
      </w:r>
      <w:r w:rsidR="00F838CE" w:rsidRPr="00C300E6">
        <w:rPr>
          <w:lang w:val="en-CA"/>
        </w:rPr>
        <w:t xml:space="preserve">The answer is obvious when the dispute is entirely </w:t>
      </w:r>
      <w:r w:rsidR="008B58C0" w:rsidRPr="00C300E6">
        <w:rPr>
          <w:lang w:val="en-CA"/>
        </w:rPr>
        <w:t xml:space="preserve">local, </w:t>
      </w:r>
      <w:r w:rsidR="00EF7967" w:rsidRPr="00C300E6">
        <w:rPr>
          <w:lang w:val="en-CA"/>
        </w:rPr>
        <w:t xml:space="preserve">but that is not the case when it presents one or several </w:t>
      </w:r>
      <w:r w:rsidR="00665F43">
        <w:rPr>
          <w:color w:val="000000"/>
          <w:lang w:val="en-CA"/>
        </w:rPr>
        <w:t>foreign elements</w:t>
      </w:r>
      <w:r w:rsidR="008B58C0" w:rsidRPr="00C300E6">
        <w:rPr>
          <w:lang w:val="en-CA"/>
        </w:rPr>
        <w:t>.</w:t>
      </w:r>
      <w:r w:rsidR="00DF0302" w:rsidRPr="00C300E6">
        <w:rPr>
          <w:lang w:val="en-CA"/>
        </w:rPr>
        <w:t xml:space="preserve"> The rules of international </w:t>
      </w:r>
      <w:r w:rsidR="008B58C0" w:rsidRPr="00C300E6">
        <w:rPr>
          <w:lang w:val="en-CA"/>
        </w:rPr>
        <w:t>jurisdiction,</w:t>
      </w:r>
      <w:r w:rsidR="00DF0302" w:rsidRPr="00C300E6">
        <w:rPr>
          <w:lang w:val="en-CA"/>
        </w:rPr>
        <w:t xml:space="preserve"> set out in </w:t>
      </w:r>
      <w:r w:rsidR="008B58C0" w:rsidRPr="00C300E6">
        <w:rPr>
          <w:lang w:val="en-CA"/>
        </w:rPr>
        <w:t xml:space="preserve">articles 3134 </w:t>
      </w:r>
      <w:r w:rsidR="008B58C0" w:rsidRPr="00C300E6">
        <w:rPr>
          <w:i/>
          <w:lang w:val="en-CA"/>
        </w:rPr>
        <w:t>et s</w:t>
      </w:r>
      <w:r w:rsidR="00DF0302" w:rsidRPr="00C300E6">
        <w:rPr>
          <w:i/>
          <w:lang w:val="en-CA"/>
        </w:rPr>
        <w:t>eq</w:t>
      </w:r>
      <w:r w:rsidR="008B58C0" w:rsidRPr="00C300E6">
        <w:rPr>
          <w:lang w:val="en-CA"/>
        </w:rPr>
        <w:t>.</w:t>
      </w:r>
      <w:r w:rsidR="00DF0302" w:rsidRPr="00C300E6">
        <w:rPr>
          <w:lang w:val="en-CA"/>
        </w:rPr>
        <w:t xml:space="preserve"> </w:t>
      </w:r>
      <w:r w:rsidR="008B58C0" w:rsidRPr="00C300E6">
        <w:rPr>
          <w:lang w:val="en-CA"/>
        </w:rPr>
        <w:t>C.C.Q</w:t>
      </w:r>
      <w:r w:rsidR="008B58C0" w:rsidRPr="00C300E6">
        <w:rPr>
          <w:i/>
          <w:lang w:val="en-CA"/>
        </w:rPr>
        <w:t>.</w:t>
      </w:r>
      <w:r w:rsidR="008B58C0" w:rsidRPr="00C300E6">
        <w:rPr>
          <w:lang w:val="en-CA"/>
        </w:rPr>
        <w:t xml:space="preserve">, </w:t>
      </w:r>
      <w:r w:rsidR="00DF0302" w:rsidRPr="00C300E6">
        <w:rPr>
          <w:lang w:val="en-CA"/>
        </w:rPr>
        <w:t xml:space="preserve">specify the </w:t>
      </w:r>
      <w:r w:rsidR="008B58C0" w:rsidRPr="00C300E6">
        <w:rPr>
          <w:lang w:val="en-CA"/>
        </w:rPr>
        <w:t>circumstances</w:t>
      </w:r>
      <w:r w:rsidR="00DF0302" w:rsidRPr="00C300E6">
        <w:rPr>
          <w:lang w:val="en-CA"/>
        </w:rPr>
        <w:t xml:space="preserve"> in which the dispute’s connection to Queb</w:t>
      </w:r>
      <w:r w:rsidR="008B58C0" w:rsidRPr="00C300E6">
        <w:rPr>
          <w:lang w:val="en-CA"/>
        </w:rPr>
        <w:t xml:space="preserve">ec </w:t>
      </w:r>
      <w:r w:rsidR="00DF0302" w:rsidRPr="00C300E6">
        <w:rPr>
          <w:lang w:val="en-CA"/>
        </w:rPr>
        <w:t xml:space="preserve">is sufficient to </w:t>
      </w:r>
      <w:r w:rsidR="00DF0302" w:rsidRPr="00C300E6">
        <w:rPr>
          <w:lang w:val="en-CA"/>
        </w:rPr>
        <w:lastRenderedPageBreak/>
        <w:t xml:space="preserve">permit the </w:t>
      </w:r>
      <w:r w:rsidR="008B58C0" w:rsidRPr="00C300E6">
        <w:rPr>
          <w:lang w:val="en-CA"/>
        </w:rPr>
        <w:t xml:space="preserve">plaintiff </w:t>
      </w:r>
      <w:r w:rsidR="003C7339" w:rsidRPr="00C300E6">
        <w:rPr>
          <w:lang w:val="en-CA"/>
        </w:rPr>
        <w:t xml:space="preserve">to </w:t>
      </w:r>
      <w:r w:rsidR="003C6B72" w:rsidRPr="00C300E6">
        <w:rPr>
          <w:lang w:val="en-CA"/>
        </w:rPr>
        <w:t>submit a matter to</w:t>
      </w:r>
      <w:r w:rsidR="003C7339" w:rsidRPr="00C300E6">
        <w:rPr>
          <w:lang w:val="en-CA"/>
        </w:rPr>
        <w:t xml:space="preserve"> a </w:t>
      </w:r>
      <w:r w:rsidR="008B58C0" w:rsidRPr="00C300E6">
        <w:rPr>
          <w:lang w:val="en-CA"/>
        </w:rPr>
        <w:t>Quebec</w:t>
      </w:r>
      <w:r w:rsidR="003C7339" w:rsidRPr="00C300E6">
        <w:rPr>
          <w:lang w:val="en-CA"/>
        </w:rPr>
        <w:t xml:space="preserve"> </w:t>
      </w:r>
      <w:r w:rsidR="008B58C0" w:rsidRPr="00C300E6">
        <w:rPr>
          <w:lang w:val="en-CA"/>
        </w:rPr>
        <w:t>authority.</w:t>
      </w:r>
      <w:r w:rsidR="00A10CC3" w:rsidRPr="00C300E6">
        <w:rPr>
          <w:lang w:val="en-CA"/>
        </w:rPr>
        <w:t xml:space="preserve"> Moreover, it should be noted that the spe</w:t>
      </w:r>
      <w:r w:rsidR="008B58C0" w:rsidRPr="00C300E6">
        <w:rPr>
          <w:lang w:val="en-CA"/>
        </w:rPr>
        <w:t>cific</w:t>
      </w:r>
      <w:r w:rsidR="00A10CC3" w:rsidRPr="00C300E6">
        <w:rPr>
          <w:lang w:val="en-CA"/>
        </w:rPr>
        <w:t xml:space="preserve"> nature of this </w:t>
      </w:r>
      <w:r w:rsidR="008B58C0" w:rsidRPr="00C300E6">
        <w:rPr>
          <w:lang w:val="en-CA"/>
        </w:rPr>
        <w:t xml:space="preserve">type </w:t>
      </w:r>
      <w:r w:rsidR="00A10CC3" w:rsidRPr="00C300E6">
        <w:rPr>
          <w:lang w:val="en-CA"/>
        </w:rPr>
        <w:t xml:space="preserve">of </w:t>
      </w:r>
      <w:r w:rsidR="008B58C0" w:rsidRPr="00C300E6">
        <w:rPr>
          <w:lang w:val="en-CA"/>
        </w:rPr>
        <w:t>jurisdiction</w:t>
      </w:r>
      <w:r w:rsidR="00A10CC3" w:rsidRPr="00C300E6">
        <w:rPr>
          <w:lang w:val="en-CA"/>
        </w:rPr>
        <w:t xml:space="preserve"> is also recognized in the </w:t>
      </w:r>
      <w:r w:rsidR="00A10CC3" w:rsidRPr="00C300E6">
        <w:rPr>
          <w:i/>
          <w:lang w:val="en-CA"/>
        </w:rPr>
        <w:t>Code of Civil Procedure</w:t>
      </w:r>
      <w:r w:rsidR="00A10CC3" w:rsidRPr="00C300E6">
        <w:rPr>
          <w:lang w:val="en-CA"/>
        </w:rPr>
        <w:t>,</w:t>
      </w:r>
      <w:r w:rsidR="008B58C0" w:rsidRPr="00C300E6">
        <w:rPr>
          <w:rStyle w:val="Appelnotedebasdep"/>
          <w:rFonts w:cs="Arial"/>
          <w:szCs w:val="24"/>
          <w:lang w:val="en-CA"/>
        </w:rPr>
        <w:footnoteReference w:id="3"/>
      </w:r>
      <w:r w:rsidR="00A10CC3" w:rsidRPr="00C300E6">
        <w:rPr>
          <w:lang w:val="en-CA"/>
        </w:rPr>
        <w:t xml:space="preserve"> although only since 2016</w:t>
      </w:r>
      <w:r w:rsidR="008B58C0" w:rsidRPr="00C300E6">
        <w:rPr>
          <w:lang w:val="en-CA"/>
        </w:rPr>
        <w:t>.</w:t>
      </w:r>
    </w:p>
    <w:p w14:paraId="1F1D7733" w14:textId="3AC25D14" w:rsidR="008B58C0" w:rsidRPr="00C300E6" w:rsidRDefault="00F31878" w:rsidP="008B58C0">
      <w:pPr>
        <w:pStyle w:val="Paragraphe"/>
        <w:spacing w:line="240" w:lineRule="auto"/>
        <w:rPr>
          <w:lang w:val="en-CA"/>
        </w:rPr>
      </w:pPr>
      <w:r w:rsidRPr="00C300E6">
        <w:rPr>
          <w:lang w:val="en-CA"/>
        </w:rPr>
        <w:t xml:space="preserve">Once it is established that the </w:t>
      </w:r>
      <w:r w:rsidR="008B58C0" w:rsidRPr="00C300E6">
        <w:rPr>
          <w:lang w:val="en-CA"/>
        </w:rPr>
        <w:t>plaintiff</w:t>
      </w:r>
      <w:r w:rsidRPr="00C300E6">
        <w:rPr>
          <w:lang w:val="en-CA"/>
        </w:rPr>
        <w:t xml:space="preserve"> may institute proceedings in </w:t>
      </w:r>
      <w:r w:rsidR="008B58C0" w:rsidRPr="00C300E6">
        <w:rPr>
          <w:lang w:val="en-CA"/>
        </w:rPr>
        <w:t>Qu</w:t>
      </w:r>
      <w:r w:rsidRPr="00C300E6">
        <w:rPr>
          <w:lang w:val="en-CA"/>
        </w:rPr>
        <w:t>e</w:t>
      </w:r>
      <w:r w:rsidR="008B58C0" w:rsidRPr="00C300E6">
        <w:rPr>
          <w:lang w:val="en-CA"/>
        </w:rPr>
        <w:t xml:space="preserve">bec, </w:t>
      </w:r>
      <w:r w:rsidRPr="00C300E6">
        <w:rPr>
          <w:lang w:val="en-CA"/>
        </w:rPr>
        <w:t xml:space="preserve">the next </w:t>
      </w:r>
      <w:r w:rsidR="008B58C0" w:rsidRPr="00C300E6">
        <w:rPr>
          <w:lang w:val="en-CA"/>
        </w:rPr>
        <w:t xml:space="preserve">question </w:t>
      </w:r>
      <w:r w:rsidR="0014692D">
        <w:rPr>
          <w:lang w:val="en-CA"/>
        </w:rPr>
        <w:t xml:space="preserve">is, </w:t>
      </w:r>
      <w:r w:rsidRPr="00C300E6">
        <w:rPr>
          <w:lang w:val="en-CA"/>
        </w:rPr>
        <w:t xml:space="preserve">among the various </w:t>
      </w:r>
      <w:r w:rsidR="008B58C0" w:rsidRPr="00C300E6">
        <w:rPr>
          <w:lang w:val="en-CA"/>
        </w:rPr>
        <w:t>Quebec</w:t>
      </w:r>
      <w:r w:rsidRPr="00C300E6">
        <w:rPr>
          <w:lang w:val="en-CA"/>
        </w:rPr>
        <w:t xml:space="preserve"> </w:t>
      </w:r>
      <w:r w:rsidR="008B58C0" w:rsidRPr="00C300E6">
        <w:rPr>
          <w:lang w:val="en-CA"/>
        </w:rPr>
        <w:t>authorit</w:t>
      </w:r>
      <w:r w:rsidRPr="00C300E6">
        <w:rPr>
          <w:lang w:val="en-CA"/>
        </w:rPr>
        <w:t>ies</w:t>
      </w:r>
      <w:r w:rsidR="008B58C0" w:rsidRPr="00C300E6">
        <w:rPr>
          <w:lang w:val="en-CA"/>
        </w:rPr>
        <w:t xml:space="preserve"> (Superior</w:t>
      </w:r>
      <w:r w:rsidRPr="00C300E6">
        <w:rPr>
          <w:lang w:val="en-CA"/>
        </w:rPr>
        <w:t xml:space="preserve"> </w:t>
      </w:r>
      <w:r w:rsidR="008B58C0" w:rsidRPr="00C300E6">
        <w:rPr>
          <w:lang w:val="en-CA"/>
        </w:rPr>
        <w:t>Court, Court</w:t>
      </w:r>
      <w:r w:rsidR="00CC2AE9" w:rsidRPr="00C300E6">
        <w:rPr>
          <w:lang w:val="en-CA"/>
        </w:rPr>
        <w:t xml:space="preserve"> </w:t>
      </w:r>
      <w:r w:rsidR="008B58C0" w:rsidRPr="00C300E6">
        <w:rPr>
          <w:lang w:val="en-CA"/>
        </w:rPr>
        <w:t>of</w:t>
      </w:r>
      <w:r w:rsidR="00CC2AE9" w:rsidRPr="00C300E6">
        <w:rPr>
          <w:lang w:val="en-CA"/>
        </w:rPr>
        <w:t xml:space="preserve"> </w:t>
      </w:r>
      <w:r w:rsidR="00D639B0" w:rsidRPr="00C300E6">
        <w:rPr>
          <w:lang w:val="en-CA"/>
        </w:rPr>
        <w:t>Qu</w:t>
      </w:r>
      <w:r w:rsidR="00D639B0">
        <w:rPr>
          <w:lang w:val="en-CA"/>
        </w:rPr>
        <w:t>é</w:t>
      </w:r>
      <w:r w:rsidR="00D639B0" w:rsidRPr="00C300E6">
        <w:rPr>
          <w:lang w:val="en-CA"/>
        </w:rPr>
        <w:t>bec</w:t>
      </w:r>
      <w:r w:rsidR="008B58C0" w:rsidRPr="00C300E6">
        <w:rPr>
          <w:lang w:val="en-CA"/>
        </w:rPr>
        <w:t>, Administrative</w:t>
      </w:r>
      <w:r w:rsidR="00CC2AE9" w:rsidRPr="00C300E6">
        <w:rPr>
          <w:lang w:val="en-CA"/>
        </w:rPr>
        <w:t xml:space="preserve"> </w:t>
      </w:r>
      <w:r w:rsidR="008B58C0" w:rsidRPr="00C300E6">
        <w:rPr>
          <w:lang w:val="en-CA"/>
        </w:rPr>
        <w:t>Housing</w:t>
      </w:r>
      <w:r w:rsidR="00CC2AE9" w:rsidRPr="00C300E6">
        <w:rPr>
          <w:lang w:val="en-CA"/>
        </w:rPr>
        <w:t xml:space="preserve"> </w:t>
      </w:r>
      <w:r w:rsidR="008B58C0" w:rsidRPr="00C300E6">
        <w:rPr>
          <w:lang w:val="en-CA"/>
        </w:rPr>
        <w:t xml:space="preserve">Tribunal, etc.), </w:t>
      </w:r>
      <w:r w:rsidR="00CC2AE9" w:rsidRPr="00C300E6">
        <w:rPr>
          <w:lang w:val="en-CA"/>
        </w:rPr>
        <w:t>which may hear the dispute</w:t>
      </w:r>
      <w:r w:rsidR="008B58C0" w:rsidRPr="00C300E6">
        <w:rPr>
          <w:lang w:val="en-CA"/>
        </w:rPr>
        <w:t xml:space="preserve">. </w:t>
      </w:r>
      <w:r w:rsidR="00CC2AE9" w:rsidRPr="00C300E6">
        <w:rPr>
          <w:lang w:val="en-CA"/>
        </w:rPr>
        <w:t xml:space="preserve">This </w:t>
      </w:r>
      <w:r w:rsidR="008B58C0" w:rsidRPr="00C300E6">
        <w:rPr>
          <w:lang w:val="en-CA"/>
        </w:rPr>
        <w:t xml:space="preserve">question </w:t>
      </w:r>
      <w:r w:rsidR="00CC2AE9" w:rsidRPr="00C300E6">
        <w:rPr>
          <w:lang w:val="en-CA"/>
        </w:rPr>
        <w:t xml:space="preserve">is addressed by </w:t>
      </w:r>
      <w:r w:rsidR="003E658B" w:rsidRPr="00C300E6">
        <w:rPr>
          <w:lang w:val="en-CA"/>
        </w:rPr>
        <w:t xml:space="preserve">subject-matter </w:t>
      </w:r>
      <w:r w:rsidR="008B58C0" w:rsidRPr="00C300E6">
        <w:rPr>
          <w:lang w:val="en-CA"/>
        </w:rPr>
        <w:t>jurisdiction</w:t>
      </w:r>
      <w:r w:rsidR="003E658B" w:rsidRPr="00C300E6">
        <w:rPr>
          <w:lang w:val="en-CA"/>
        </w:rPr>
        <w:t xml:space="preserve">, also known as </w:t>
      </w:r>
      <w:r w:rsidR="00BE4D39" w:rsidRPr="00C300E6">
        <w:rPr>
          <w:lang w:val="en-CA"/>
        </w:rPr>
        <w:t xml:space="preserve">material jurisdiction or </w:t>
      </w:r>
      <w:r w:rsidR="003E658B" w:rsidRPr="00C300E6">
        <w:rPr>
          <w:lang w:val="en-CA"/>
        </w:rPr>
        <w:t xml:space="preserve">jurisdiction </w:t>
      </w:r>
      <w:r w:rsidR="008B58C0" w:rsidRPr="00C300E6">
        <w:rPr>
          <w:i/>
          <w:lang w:val="en-CA"/>
        </w:rPr>
        <w:t>ratione</w:t>
      </w:r>
      <w:r w:rsidR="003E658B" w:rsidRPr="00C300E6">
        <w:rPr>
          <w:i/>
          <w:lang w:val="en-CA"/>
        </w:rPr>
        <w:t xml:space="preserve"> </w:t>
      </w:r>
      <w:r w:rsidR="008B58C0" w:rsidRPr="00C300E6">
        <w:rPr>
          <w:i/>
          <w:lang w:val="en-CA"/>
        </w:rPr>
        <w:t>materiae</w:t>
      </w:r>
      <w:r w:rsidR="008B58C0" w:rsidRPr="00C300E6">
        <w:rPr>
          <w:lang w:val="en-CA"/>
        </w:rPr>
        <w:t xml:space="preserve">. </w:t>
      </w:r>
      <w:r w:rsidR="003E658B" w:rsidRPr="00C300E6">
        <w:rPr>
          <w:lang w:val="en-CA"/>
        </w:rPr>
        <w:t xml:space="preserve">The rules related to subject-matter jurisdiction are set out not only in </w:t>
      </w:r>
      <w:r w:rsidR="008B58C0" w:rsidRPr="00C300E6">
        <w:rPr>
          <w:lang w:val="en-CA"/>
        </w:rPr>
        <w:t xml:space="preserve">articles 29 </w:t>
      </w:r>
      <w:r w:rsidR="008B58C0" w:rsidRPr="00C300E6">
        <w:rPr>
          <w:i/>
          <w:lang w:val="en-CA"/>
        </w:rPr>
        <w:t>et s</w:t>
      </w:r>
      <w:r w:rsidR="003E658B" w:rsidRPr="00C300E6">
        <w:rPr>
          <w:i/>
          <w:lang w:val="en-CA"/>
        </w:rPr>
        <w:t>eq</w:t>
      </w:r>
      <w:r w:rsidR="008B58C0" w:rsidRPr="00C300E6">
        <w:rPr>
          <w:lang w:val="en-CA"/>
        </w:rPr>
        <w:t>. C.C.P</w:t>
      </w:r>
      <w:r w:rsidR="008B58C0" w:rsidRPr="00C300E6">
        <w:rPr>
          <w:i/>
          <w:lang w:val="en-CA"/>
        </w:rPr>
        <w:t>.</w:t>
      </w:r>
      <w:r w:rsidR="008B58C0" w:rsidRPr="00C300E6">
        <w:rPr>
          <w:lang w:val="en-CA"/>
        </w:rPr>
        <w:t xml:space="preserve">, </w:t>
      </w:r>
      <w:r w:rsidR="003E658B" w:rsidRPr="00C300E6">
        <w:rPr>
          <w:lang w:val="en-CA"/>
        </w:rPr>
        <w:t xml:space="preserve">but also in </w:t>
      </w:r>
      <w:r w:rsidR="008B58C0" w:rsidRPr="00C300E6">
        <w:rPr>
          <w:lang w:val="en-CA"/>
        </w:rPr>
        <w:t>certain provisions</w:t>
      </w:r>
      <w:r w:rsidR="003E658B" w:rsidRPr="00C300E6">
        <w:rPr>
          <w:lang w:val="en-CA"/>
        </w:rPr>
        <w:t xml:space="preserve"> of specific statutes.</w:t>
      </w:r>
      <w:r w:rsidR="008B58C0" w:rsidRPr="00C300E6">
        <w:rPr>
          <w:rStyle w:val="Appelnotedebasdep"/>
          <w:rFonts w:cs="Arial"/>
          <w:szCs w:val="24"/>
          <w:lang w:val="en-CA"/>
        </w:rPr>
        <w:footnoteReference w:id="4"/>
      </w:r>
      <w:r w:rsidR="008B58C0" w:rsidRPr="00C300E6">
        <w:rPr>
          <w:lang w:val="en-CA"/>
        </w:rPr>
        <w:t xml:space="preserve"> </w:t>
      </w:r>
      <w:r w:rsidR="003E658B" w:rsidRPr="00C300E6">
        <w:rPr>
          <w:lang w:val="en-CA"/>
        </w:rPr>
        <w:t>They are</w:t>
      </w:r>
      <w:r w:rsidR="00A77558" w:rsidRPr="00C300E6">
        <w:rPr>
          <w:lang w:val="en-CA"/>
        </w:rPr>
        <w:t xml:space="preserve"> rules</w:t>
      </w:r>
      <w:r w:rsidR="003E658B" w:rsidRPr="00C300E6">
        <w:rPr>
          <w:lang w:val="en-CA"/>
        </w:rPr>
        <w:t xml:space="preserve"> of </w:t>
      </w:r>
      <w:r w:rsidR="008B58C0" w:rsidRPr="00C300E6">
        <w:rPr>
          <w:lang w:val="en-CA"/>
        </w:rPr>
        <w:t>public</w:t>
      </w:r>
      <w:r w:rsidR="003E658B" w:rsidRPr="00C300E6">
        <w:rPr>
          <w:lang w:val="en-CA"/>
        </w:rPr>
        <w:t xml:space="preserve"> </w:t>
      </w:r>
      <w:r w:rsidR="008B58C0" w:rsidRPr="00C300E6">
        <w:rPr>
          <w:lang w:val="en-CA"/>
        </w:rPr>
        <w:t>order,</w:t>
      </w:r>
      <w:r w:rsidR="003E658B" w:rsidRPr="00C300E6">
        <w:rPr>
          <w:lang w:val="en-CA"/>
        </w:rPr>
        <w:t xml:space="preserve"> which is </w:t>
      </w:r>
      <w:r w:rsidR="00093286" w:rsidRPr="00C300E6">
        <w:rPr>
          <w:color w:val="000000"/>
          <w:lang w:val="en-CA"/>
        </w:rPr>
        <w:t>readily understandable given that they concern the powers and responsibilities of state bodies.</w:t>
      </w:r>
      <w:r w:rsidR="008B58C0" w:rsidRPr="00C300E6">
        <w:rPr>
          <w:rStyle w:val="Appelnotedebasdep"/>
          <w:rFonts w:cs="Arial"/>
          <w:szCs w:val="24"/>
          <w:lang w:val="en-CA"/>
        </w:rPr>
        <w:footnoteReference w:id="5"/>
      </w:r>
      <w:r w:rsidR="00093286" w:rsidRPr="00C300E6">
        <w:rPr>
          <w:color w:val="000000"/>
          <w:lang w:val="en-CA"/>
        </w:rPr>
        <w:t xml:space="preserve"> That is why </w:t>
      </w:r>
      <w:r w:rsidR="00A77558" w:rsidRPr="00C300E6">
        <w:rPr>
          <w:color w:val="000000"/>
          <w:lang w:val="en-CA"/>
        </w:rPr>
        <w:t xml:space="preserve">the </w:t>
      </w:r>
      <w:r w:rsidR="00093286" w:rsidRPr="00C300E6">
        <w:rPr>
          <w:color w:val="000000"/>
          <w:lang w:val="en-CA"/>
        </w:rPr>
        <w:t>lack of subject</w:t>
      </w:r>
      <w:r w:rsidR="00A77558" w:rsidRPr="00C300E6">
        <w:rPr>
          <w:color w:val="000000"/>
          <w:lang w:val="en-CA"/>
        </w:rPr>
        <w:t>-matter jurisdiction</w:t>
      </w:r>
      <w:r w:rsidR="005934A7" w:rsidRPr="00C300E6">
        <w:rPr>
          <w:color w:val="000000"/>
          <w:lang w:val="en-CA"/>
        </w:rPr>
        <w:t xml:space="preserve"> of a decision-making body may be raised</w:t>
      </w:r>
      <w:r w:rsidR="00404F89" w:rsidRPr="00C300E6">
        <w:rPr>
          <w:color w:val="000000"/>
          <w:lang w:val="en-CA"/>
        </w:rPr>
        <w:t xml:space="preserve"> at any stage of the proceeding by the </w:t>
      </w:r>
      <w:r w:rsidR="008B58C0" w:rsidRPr="00C300E6">
        <w:rPr>
          <w:lang w:val="en-CA"/>
        </w:rPr>
        <w:t xml:space="preserve">parties </w:t>
      </w:r>
      <w:r w:rsidR="00404F89" w:rsidRPr="00C300E6">
        <w:rPr>
          <w:lang w:val="en-CA"/>
        </w:rPr>
        <w:t xml:space="preserve">or by the </w:t>
      </w:r>
      <w:r w:rsidR="000C3FD4" w:rsidRPr="00C300E6">
        <w:rPr>
          <w:color w:val="000000"/>
          <w:lang w:val="en-CA"/>
        </w:rPr>
        <w:t xml:space="preserve">decision-making </w:t>
      </w:r>
      <w:r w:rsidR="00404F89" w:rsidRPr="00C300E6">
        <w:rPr>
          <w:lang w:val="en-CA"/>
        </w:rPr>
        <w:t>body in question on its own initiative.</w:t>
      </w:r>
      <w:r w:rsidR="008B58C0" w:rsidRPr="00C300E6">
        <w:rPr>
          <w:rStyle w:val="Appelnotedebasdep"/>
          <w:rFonts w:cs="Arial"/>
          <w:szCs w:val="24"/>
          <w:lang w:val="en-CA"/>
        </w:rPr>
        <w:footnoteReference w:id="6"/>
      </w:r>
    </w:p>
    <w:p w14:paraId="4872AD3A" w14:textId="282DA45E" w:rsidR="008B58C0" w:rsidRPr="00C300E6" w:rsidRDefault="003A05F9" w:rsidP="008B58C0">
      <w:pPr>
        <w:pStyle w:val="Paragraphe"/>
        <w:spacing w:line="240" w:lineRule="auto"/>
        <w:rPr>
          <w:lang w:val="en-CA"/>
        </w:rPr>
      </w:pPr>
      <w:r w:rsidRPr="00C300E6">
        <w:rPr>
          <w:lang w:val="en-CA"/>
        </w:rPr>
        <w:t xml:space="preserve">Once the </w:t>
      </w:r>
      <w:r w:rsidR="008B58C0" w:rsidRPr="00C300E6">
        <w:rPr>
          <w:lang w:val="en-CA"/>
        </w:rPr>
        <w:t>Quebec</w:t>
      </w:r>
      <w:r w:rsidR="003C6B72" w:rsidRPr="00C300E6">
        <w:rPr>
          <w:lang w:val="en-CA"/>
        </w:rPr>
        <w:t xml:space="preserve"> </w:t>
      </w:r>
      <w:r w:rsidR="008B58C0" w:rsidRPr="00C300E6">
        <w:rPr>
          <w:lang w:val="en-CA"/>
        </w:rPr>
        <w:t>authority</w:t>
      </w:r>
      <w:r w:rsidRPr="00C300E6">
        <w:rPr>
          <w:lang w:val="en-CA"/>
        </w:rPr>
        <w:t xml:space="preserve"> </w:t>
      </w:r>
      <w:r w:rsidR="003C6B72" w:rsidRPr="00C300E6">
        <w:rPr>
          <w:lang w:val="en-CA"/>
        </w:rPr>
        <w:t xml:space="preserve">to which </w:t>
      </w:r>
      <w:r w:rsidRPr="00C300E6">
        <w:rPr>
          <w:lang w:val="en-CA"/>
        </w:rPr>
        <w:t xml:space="preserve">the plaintiff </w:t>
      </w:r>
      <w:r w:rsidR="003C6B72" w:rsidRPr="00C300E6">
        <w:rPr>
          <w:lang w:val="en-CA"/>
        </w:rPr>
        <w:t xml:space="preserve">may refer the matter </w:t>
      </w:r>
      <w:r w:rsidRPr="00C300E6">
        <w:rPr>
          <w:lang w:val="en-CA"/>
        </w:rPr>
        <w:t>has been identified</w:t>
      </w:r>
      <w:r w:rsidR="003C6B72" w:rsidRPr="00C300E6">
        <w:rPr>
          <w:lang w:val="en-CA"/>
        </w:rPr>
        <w:t xml:space="preserve">, the next question is in which </w:t>
      </w:r>
      <w:r w:rsidR="008B58C0" w:rsidRPr="00C300E6">
        <w:rPr>
          <w:lang w:val="en-CA"/>
        </w:rPr>
        <w:t>judicial</w:t>
      </w:r>
      <w:r w:rsidR="003C6B72" w:rsidRPr="00C300E6">
        <w:rPr>
          <w:lang w:val="en-CA"/>
        </w:rPr>
        <w:t xml:space="preserve"> </w:t>
      </w:r>
      <w:r w:rsidR="008B58C0" w:rsidRPr="00C300E6">
        <w:rPr>
          <w:lang w:val="en-CA"/>
        </w:rPr>
        <w:t xml:space="preserve">district </w:t>
      </w:r>
      <w:r w:rsidR="003C6B72" w:rsidRPr="00C300E6">
        <w:rPr>
          <w:lang w:val="en-CA"/>
        </w:rPr>
        <w:t xml:space="preserve">may </w:t>
      </w:r>
      <w:r w:rsidR="008B58C0" w:rsidRPr="00C300E6">
        <w:rPr>
          <w:lang w:val="en-CA"/>
        </w:rPr>
        <w:t>— o</w:t>
      </w:r>
      <w:r w:rsidR="00185E74" w:rsidRPr="00C300E6">
        <w:rPr>
          <w:lang w:val="en-CA"/>
        </w:rPr>
        <w:t>r must</w:t>
      </w:r>
      <w:r w:rsidR="008B58C0" w:rsidRPr="00C300E6">
        <w:rPr>
          <w:lang w:val="en-CA"/>
        </w:rPr>
        <w:t xml:space="preserve"> — </w:t>
      </w:r>
      <w:r w:rsidR="00185E74" w:rsidRPr="00C300E6">
        <w:rPr>
          <w:lang w:val="en-CA"/>
        </w:rPr>
        <w:t>the plaintiff institute its action</w:t>
      </w:r>
      <w:r w:rsidR="008B58C0" w:rsidRPr="00C300E6">
        <w:rPr>
          <w:lang w:val="en-CA"/>
        </w:rPr>
        <w:t xml:space="preserve"> (Québec, Montr</w:t>
      </w:r>
      <w:r w:rsidR="00185E74" w:rsidRPr="00C300E6">
        <w:rPr>
          <w:lang w:val="en-CA"/>
        </w:rPr>
        <w:t>e</w:t>
      </w:r>
      <w:r w:rsidR="008B58C0" w:rsidRPr="00C300E6">
        <w:rPr>
          <w:lang w:val="en-CA"/>
        </w:rPr>
        <w:t xml:space="preserve">al, Terrebonne, Gaspé, etc.). </w:t>
      </w:r>
      <w:r w:rsidR="00185E74" w:rsidRPr="00C300E6">
        <w:rPr>
          <w:lang w:val="en-CA"/>
        </w:rPr>
        <w:t xml:space="preserve">This </w:t>
      </w:r>
      <w:r w:rsidR="00720912" w:rsidRPr="00C300E6">
        <w:rPr>
          <w:lang w:val="en-CA"/>
        </w:rPr>
        <w:t xml:space="preserve">is the </w:t>
      </w:r>
      <w:r w:rsidR="00185E74" w:rsidRPr="00C300E6">
        <w:rPr>
          <w:lang w:val="en-CA"/>
        </w:rPr>
        <w:t xml:space="preserve">question </w:t>
      </w:r>
      <w:r w:rsidR="00720912" w:rsidRPr="00C300E6">
        <w:rPr>
          <w:lang w:val="en-CA"/>
        </w:rPr>
        <w:t xml:space="preserve">addressed by </w:t>
      </w:r>
      <w:r w:rsidR="00185E74" w:rsidRPr="00C300E6">
        <w:rPr>
          <w:lang w:val="en-CA"/>
        </w:rPr>
        <w:t xml:space="preserve">territorial </w:t>
      </w:r>
      <w:r w:rsidR="008B58C0" w:rsidRPr="00C300E6">
        <w:rPr>
          <w:lang w:val="en-CA"/>
        </w:rPr>
        <w:t>jurisdiction (o</w:t>
      </w:r>
      <w:r w:rsidR="00720912" w:rsidRPr="00C300E6">
        <w:rPr>
          <w:lang w:val="en-CA"/>
        </w:rPr>
        <w:t xml:space="preserve">r </w:t>
      </w:r>
      <w:r w:rsidR="008B58C0" w:rsidRPr="00C300E6">
        <w:rPr>
          <w:lang w:val="en-CA"/>
        </w:rPr>
        <w:t xml:space="preserve">jurisdiction </w:t>
      </w:r>
      <w:r w:rsidR="008B58C0" w:rsidRPr="00C300E6">
        <w:rPr>
          <w:i/>
          <w:lang w:val="en-CA"/>
        </w:rPr>
        <w:t>ratione personae</w:t>
      </w:r>
      <w:r w:rsidR="008B58C0" w:rsidRPr="00C300E6">
        <w:rPr>
          <w:lang w:val="en-CA"/>
        </w:rPr>
        <w:t xml:space="preserve">), </w:t>
      </w:r>
      <w:r w:rsidR="00720912" w:rsidRPr="00C300E6">
        <w:rPr>
          <w:lang w:val="en-CA"/>
        </w:rPr>
        <w:t xml:space="preserve">set out in </w:t>
      </w:r>
      <w:r w:rsidR="008B58C0" w:rsidRPr="00C300E6">
        <w:rPr>
          <w:lang w:val="en-CA"/>
        </w:rPr>
        <w:t xml:space="preserve">articles 40 </w:t>
      </w:r>
      <w:r w:rsidR="008B58C0" w:rsidRPr="00C300E6">
        <w:rPr>
          <w:i/>
          <w:lang w:val="en-CA"/>
        </w:rPr>
        <w:t>et s</w:t>
      </w:r>
      <w:r w:rsidR="00720912" w:rsidRPr="00C300E6">
        <w:rPr>
          <w:i/>
          <w:lang w:val="en-CA"/>
        </w:rPr>
        <w:t>eq</w:t>
      </w:r>
      <w:r w:rsidR="008B58C0" w:rsidRPr="00C300E6">
        <w:rPr>
          <w:lang w:val="en-CA"/>
        </w:rPr>
        <w:t>. C.C.P</w:t>
      </w:r>
      <w:r w:rsidR="008B58C0" w:rsidRPr="00C300E6">
        <w:rPr>
          <w:i/>
          <w:lang w:val="en-CA"/>
        </w:rPr>
        <w:t>.</w:t>
      </w:r>
    </w:p>
    <w:p w14:paraId="726C71C5" w14:textId="7C5249EE" w:rsidR="008B58C0" w:rsidRPr="00C300E6" w:rsidRDefault="00C91FE5" w:rsidP="008B58C0">
      <w:pPr>
        <w:pStyle w:val="Paragraphe"/>
        <w:spacing w:line="240" w:lineRule="auto"/>
        <w:rPr>
          <w:lang w:val="en-CA"/>
        </w:rPr>
      </w:pPr>
      <w:r w:rsidRPr="00C300E6">
        <w:rPr>
          <w:lang w:val="en-CA"/>
        </w:rPr>
        <w:t xml:space="preserve">A </w:t>
      </w:r>
      <w:r w:rsidR="008B58C0" w:rsidRPr="00C300E6">
        <w:rPr>
          <w:lang w:val="en-CA"/>
        </w:rPr>
        <w:t>forum</w:t>
      </w:r>
      <w:r w:rsidRPr="00C300E6">
        <w:rPr>
          <w:lang w:val="en-CA"/>
        </w:rPr>
        <w:t xml:space="preserve"> </w:t>
      </w:r>
      <w:r w:rsidR="008B58C0" w:rsidRPr="00C300E6">
        <w:rPr>
          <w:lang w:val="en-CA"/>
        </w:rPr>
        <w:t>selection</w:t>
      </w:r>
      <w:r w:rsidRPr="00C300E6">
        <w:rPr>
          <w:lang w:val="en-CA"/>
        </w:rPr>
        <w:t xml:space="preserve"> </w:t>
      </w:r>
      <w:r w:rsidR="008B58C0" w:rsidRPr="00C300E6">
        <w:rPr>
          <w:lang w:val="en-CA"/>
        </w:rPr>
        <w:t xml:space="preserve">clause </w:t>
      </w:r>
      <w:r w:rsidR="00311D58" w:rsidRPr="00C300E6">
        <w:rPr>
          <w:lang w:val="en-CA"/>
        </w:rPr>
        <w:t>has effect first and foremost</w:t>
      </w:r>
      <w:r w:rsidR="008B58C0" w:rsidRPr="00C300E6">
        <w:rPr>
          <w:rStyle w:val="Appelnotedebasdep"/>
          <w:rFonts w:cs="Arial"/>
          <w:szCs w:val="24"/>
          <w:lang w:val="en-CA"/>
        </w:rPr>
        <w:footnoteReference w:id="7"/>
      </w:r>
      <w:r w:rsidR="008E5BD6" w:rsidRPr="00C300E6">
        <w:rPr>
          <w:lang w:val="en-CA"/>
        </w:rPr>
        <w:t xml:space="preserve"> with respect to international </w:t>
      </w:r>
      <w:r w:rsidR="008B58C0" w:rsidRPr="00C300E6">
        <w:rPr>
          <w:lang w:val="en-CA"/>
        </w:rPr>
        <w:t>jurisdiction</w:t>
      </w:r>
      <w:r w:rsidR="008E5BD6" w:rsidRPr="00C300E6">
        <w:rPr>
          <w:lang w:val="en-CA"/>
        </w:rPr>
        <w:t>, because it expresses the</w:t>
      </w:r>
      <w:r w:rsidR="00AF7ABA">
        <w:rPr>
          <w:lang w:val="en-CA"/>
        </w:rPr>
        <w:t xml:space="preserve"> will of the</w:t>
      </w:r>
      <w:r w:rsidR="008E5BD6" w:rsidRPr="00C300E6">
        <w:rPr>
          <w:lang w:val="en-CA"/>
        </w:rPr>
        <w:t xml:space="preserve"> parties</w:t>
      </w:r>
      <w:r w:rsidR="00CA4262" w:rsidRPr="00C300E6">
        <w:rPr>
          <w:lang w:val="en-CA"/>
        </w:rPr>
        <w:t xml:space="preserve"> </w:t>
      </w:r>
      <w:r w:rsidR="008E5BD6" w:rsidRPr="00C300E6">
        <w:rPr>
          <w:lang w:val="en-CA"/>
        </w:rPr>
        <w:t>in regard to their ability to</w:t>
      </w:r>
      <w:r w:rsidR="008B58C0" w:rsidRPr="00C300E6">
        <w:rPr>
          <w:lang w:val="en-CA"/>
        </w:rPr>
        <w:t xml:space="preserve"> </w:t>
      </w:r>
      <w:r w:rsidR="00A50F48" w:rsidRPr="00C300E6">
        <w:rPr>
          <w:lang w:val="en-CA"/>
        </w:rPr>
        <w:t xml:space="preserve">access the civil </w:t>
      </w:r>
      <w:r w:rsidR="008B58C0" w:rsidRPr="00C300E6">
        <w:rPr>
          <w:lang w:val="en-CA"/>
        </w:rPr>
        <w:t>justice</w:t>
      </w:r>
      <w:r w:rsidR="00A50F48" w:rsidRPr="00C300E6">
        <w:rPr>
          <w:lang w:val="en-CA"/>
        </w:rPr>
        <w:t xml:space="preserve"> </w:t>
      </w:r>
      <w:r w:rsidR="008B58C0" w:rsidRPr="00C300E6">
        <w:rPr>
          <w:lang w:val="en-CA"/>
        </w:rPr>
        <w:t>system</w:t>
      </w:r>
      <w:r w:rsidR="00A50F48" w:rsidRPr="00C300E6">
        <w:rPr>
          <w:lang w:val="en-CA"/>
        </w:rPr>
        <w:t xml:space="preserve"> of one or more jurisdictions</w:t>
      </w:r>
      <w:r w:rsidR="008B58C0" w:rsidRPr="00C300E6">
        <w:rPr>
          <w:lang w:val="en-CA"/>
        </w:rPr>
        <w:t>.</w:t>
      </w:r>
      <w:r w:rsidR="0045480C" w:rsidRPr="00C300E6">
        <w:rPr>
          <w:lang w:val="en-CA"/>
        </w:rPr>
        <w:t xml:space="preserve"> When the clause seeks to confer </w:t>
      </w:r>
      <w:r w:rsidR="008B58C0" w:rsidRPr="00C300E6">
        <w:rPr>
          <w:lang w:val="en-CA"/>
        </w:rPr>
        <w:t>exclusive</w:t>
      </w:r>
      <w:r w:rsidR="0045480C" w:rsidRPr="00C300E6">
        <w:rPr>
          <w:lang w:val="en-CA"/>
        </w:rPr>
        <w:t xml:space="preserve"> </w:t>
      </w:r>
      <w:r w:rsidR="008B58C0" w:rsidRPr="00C300E6">
        <w:rPr>
          <w:lang w:val="en-CA"/>
        </w:rPr>
        <w:t>jurisdiction</w:t>
      </w:r>
      <w:r w:rsidR="0045480C" w:rsidRPr="00C300E6">
        <w:rPr>
          <w:lang w:val="en-CA"/>
        </w:rPr>
        <w:t xml:space="preserve"> on the </w:t>
      </w:r>
      <w:r w:rsidR="008B58C0" w:rsidRPr="00C300E6">
        <w:rPr>
          <w:lang w:val="en-CA"/>
        </w:rPr>
        <w:t>Quebec</w:t>
      </w:r>
      <w:r w:rsidR="0045480C" w:rsidRPr="00C300E6">
        <w:rPr>
          <w:lang w:val="en-CA"/>
        </w:rPr>
        <w:t xml:space="preserve"> </w:t>
      </w:r>
      <w:r w:rsidR="008B58C0" w:rsidRPr="00C300E6">
        <w:rPr>
          <w:lang w:val="en-CA"/>
        </w:rPr>
        <w:t>authorit</w:t>
      </w:r>
      <w:r w:rsidR="0045480C" w:rsidRPr="00C300E6">
        <w:rPr>
          <w:lang w:val="en-CA"/>
        </w:rPr>
        <w:t>ies, it</w:t>
      </w:r>
      <w:r w:rsidR="008B58C0" w:rsidRPr="00C300E6">
        <w:rPr>
          <w:lang w:val="en-CA"/>
        </w:rPr>
        <w:t xml:space="preserve"> </w:t>
      </w:r>
      <w:r w:rsidR="0045480C" w:rsidRPr="00C300E6">
        <w:rPr>
          <w:lang w:val="en-CA"/>
        </w:rPr>
        <w:t xml:space="preserve">reflects the parties’ agreement to refer to the civil justice system of Quebec, and no other, for a ruling on any dispute that falls within its </w:t>
      </w:r>
      <w:r w:rsidR="004A07C4">
        <w:rPr>
          <w:lang w:val="en-CA"/>
        </w:rPr>
        <w:t>scope</w:t>
      </w:r>
      <w:r w:rsidR="004A07C4" w:rsidRPr="00C300E6">
        <w:rPr>
          <w:lang w:val="en-CA"/>
        </w:rPr>
        <w:t xml:space="preserve"> </w:t>
      </w:r>
      <w:r w:rsidR="0045480C" w:rsidRPr="00C300E6">
        <w:rPr>
          <w:lang w:val="en-CA"/>
        </w:rPr>
        <w:t xml:space="preserve">of </w:t>
      </w:r>
      <w:r w:rsidR="008B58C0" w:rsidRPr="00C300E6">
        <w:rPr>
          <w:lang w:val="en-CA"/>
        </w:rPr>
        <w:t xml:space="preserve">application. </w:t>
      </w:r>
      <w:r w:rsidR="0045480C" w:rsidRPr="00C300E6">
        <w:rPr>
          <w:lang w:val="en-CA"/>
        </w:rPr>
        <w:t>When the clause</w:t>
      </w:r>
      <w:r w:rsidR="00393D3B" w:rsidRPr="00C300E6">
        <w:rPr>
          <w:lang w:val="en-CA"/>
        </w:rPr>
        <w:t xml:space="preserve"> seeks to confer </w:t>
      </w:r>
      <w:r w:rsidR="008B58C0" w:rsidRPr="00C300E6">
        <w:rPr>
          <w:lang w:val="en-CA"/>
        </w:rPr>
        <w:t>exclusive</w:t>
      </w:r>
      <w:r w:rsidR="00393D3B" w:rsidRPr="00C300E6">
        <w:rPr>
          <w:lang w:val="en-CA"/>
        </w:rPr>
        <w:t xml:space="preserve"> </w:t>
      </w:r>
      <w:r w:rsidR="008B58C0" w:rsidRPr="00C300E6">
        <w:rPr>
          <w:lang w:val="en-CA"/>
        </w:rPr>
        <w:t xml:space="preserve">jurisdiction </w:t>
      </w:r>
      <w:r w:rsidR="00393D3B" w:rsidRPr="00C300E6">
        <w:rPr>
          <w:lang w:val="en-CA"/>
        </w:rPr>
        <w:t xml:space="preserve">on the courts of another jurisdiction, it instead reflects the parties’ wishes to prohibit </w:t>
      </w:r>
      <w:r w:rsidR="006F362B">
        <w:rPr>
          <w:lang w:val="en-CA"/>
        </w:rPr>
        <w:t xml:space="preserve">the </w:t>
      </w:r>
      <w:r w:rsidR="00393D3B" w:rsidRPr="00C300E6">
        <w:rPr>
          <w:lang w:val="en-CA"/>
        </w:rPr>
        <w:t xml:space="preserve">use of the Quebec civil </w:t>
      </w:r>
      <w:r w:rsidR="008B58C0" w:rsidRPr="00C300E6">
        <w:rPr>
          <w:lang w:val="en-CA"/>
        </w:rPr>
        <w:t>justice</w:t>
      </w:r>
      <w:r w:rsidR="00393D3B" w:rsidRPr="00C300E6">
        <w:rPr>
          <w:lang w:val="en-CA"/>
        </w:rPr>
        <w:t xml:space="preserve"> </w:t>
      </w:r>
      <w:r w:rsidR="008B58C0" w:rsidRPr="00C300E6">
        <w:rPr>
          <w:lang w:val="en-CA"/>
        </w:rPr>
        <w:t>system.</w:t>
      </w:r>
    </w:p>
    <w:p w14:paraId="45557B64" w14:textId="37B85701" w:rsidR="008B58C0" w:rsidRPr="00C300E6" w:rsidRDefault="001B4917" w:rsidP="008B58C0">
      <w:pPr>
        <w:pStyle w:val="Paragraphe"/>
        <w:spacing w:line="240" w:lineRule="auto"/>
        <w:rPr>
          <w:lang w:val="en-CA"/>
        </w:rPr>
      </w:pPr>
      <w:r w:rsidRPr="00C300E6">
        <w:rPr>
          <w:lang w:val="en-CA"/>
        </w:rPr>
        <w:t xml:space="preserve">The fact that </w:t>
      </w:r>
      <w:r w:rsidR="008B58C0" w:rsidRPr="00C300E6">
        <w:rPr>
          <w:lang w:val="en-CA"/>
        </w:rPr>
        <w:t>forum</w:t>
      </w:r>
      <w:r w:rsidRPr="00C300E6">
        <w:rPr>
          <w:lang w:val="en-CA"/>
        </w:rPr>
        <w:t xml:space="preserve"> </w:t>
      </w:r>
      <w:r w:rsidR="008B58C0" w:rsidRPr="00C300E6">
        <w:rPr>
          <w:lang w:val="en-CA"/>
        </w:rPr>
        <w:t>selection</w:t>
      </w:r>
      <w:r w:rsidRPr="00C300E6">
        <w:rPr>
          <w:lang w:val="en-CA"/>
        </w:rPr>
        <w:t xml:space="preserve"> </w:t>
      </w:r>
      <w:r w:rsidR="008B58C0" w:rsidRPr="00C300E6">
        <w:rPr>
          <w:lang w:val="en-CA"/>
        </w:rPr>
        <w:t>clause</w:t>
      </w:r>
      <w:r w:rsidRPr="00C300E6">
        <w:rPr>
          <w:lang w:val="en-CA"/>
        </w:rPr>
        <w:t xml:space="preserve">s are concerned with international </w:t>
      </w:r>
      <w:r w:rsidR="008B58C0" w:rsidRPr="00C300E6">
        <w:rPr>
          <w:lang w:val="en-CA"/>
        </w:rPr>
        <w:t>jurisdiction</w:t>
      </w:r>
      <w:r w:rsidR="000A135D" w:rsidRPr="00C300E6">
        <w:rPr>
          <w:lang w:val="en-CA"/>
        </w:rPr>
        <w:t xml:space="preserve"> </w:t>
      </w:r>
      <w:r w:rsidRPr="00C300E6">
        <w:rPr>
          <w:lang w:val="en-CA"/>
        </w:rPr>
        <w:t xml:space="preserve">is clear from </w:t>
      </w:r>
      <w:r w:rsidR="008B58C0" w:rsidRPr="00C300E6">
        <w:rPr>
          <w:lang w:val="en-CA"/>
        </w:rPr>
        <w:t>article</w:t>
      </w:r>
      <w:r w:rsidRPr="00C300E6">
        <w:rPr>
          <w:lang w:val="en-CA"/>
        </w:rPr>
        <w:t xml:space="preserve"> </w:t>
      </w:r>
      <w:r w:rsidR="008B58C0" w:rsidRPr="00C300E6">
        <w:rPr>
          <w:lang w:val="en-CA"/>
        </w:rPr>
        <w:t>3148 C.C.Q</w:t>
      </w:r>
      <w:r w:rsidR="008B58C0" w:rsidRPr="00C300E6">
        <w:rPr>
          <w:i/>
          <w:lang w:val="en-CA"/>
        </w:rPr>
        <w:t>.</w:t>
      </w:r>
      <w:r w:rsidR="006F362B">
        <w:rPr>
          <w:lang w:val="en-CA"/>
        </w:rPr>
        <w:t>, and, especially</w:t>
      </w:r>
      <w:r w:rsidRPr="00C300E6">
        <w:rPr>
          <w:lang w:val="en-CA"/>
        </w:rPr>
        <w:t xml:space="preserve"> from the fact that this </w:t>
      </w:r>
      <w:r w:rsidR="008B58C0" w:rsidRPr="00C300E6">
        <w:rPr>
          <w:lang w:val="en-CA"/>
        </w:rPr>
        <w:t>provision</w:t>
      </w:r>
      <w:r w:rsidRPr="00C300E6">
        <w:rPr>
          <w:lang w:val="en-CA"/>
        </w:rPr>
        <w:t xml:space="preserve"> </w:t>
      </w:r>
      <w:r w:rsidR="000A135D" w:rsidRPr="00C300E6">
        <w:rPr>
          <w:lang w:val="en-CA"/>
        </w:rPr>
        <w:t>falls under the title of Book Ten precisely</w:t>
      </w:r>
      <w:r w:rsidR="003C3FA5" w:rsidRPr="00C300E6">
        <w:rPr>
          <w:lang w:val="en-CA"/>
        </w:rPr>
        <w:t xml:space="preserve"> called</w:t>
      </w:r>
      <w:r w:rsidR="008B58C0" w:rsidRPr="00C300E6">
        <w:rPr>
          <w:lang w:val="en-CA"/>
        </w:rPr>
        <w:t xml:space="preserve"> </w:t>
      </w:r>
      <w:r w:rsidR="000A135D" w:rsidRPr="00C300E6">
        <w:rPr>
          <w:lang w:val="en-CA"/>
        </w:rPr>
        <w:t>“</w:t>
      </w:r>
      <w:r w:rsidR="008B58C0" w:rsidRPr="00C300E6">
        <w:rPr>
          <w:lang w:val="en-CA"/>
        </w:rPr>
        <w:t>[i]nternational jurisdiction of Québec authorities</w:t>
      </w:r>
      <w:r w:rsidR="000A135D" w:rsidRPr="00C300E6">
        <w:rPr>
          <w:i/>
          <w:lang w:val="en-CA"/>
        </w:rPr>
        <w:t>/[d]e la compétence internationale des autorités du Québec</w:t>
      </w:r>
      <w:r w:rsidR="000A135D" w:rsidRPr="00C300E6">
        <w:rPr>
          <w:lang w:val="en-CA"/>
        </w:rPr>
        <w:t>”</w:t>
      </w:r>
      <w:r w:rsidR="008B58C0" w:rsidRPr="00C300E6">
        <w:rPr>
          <w:lang w:val="en-CA"/>
        </w:rPr>
        <w:t>:</w:t>
      </w:r>
    </w:p>
    <w:tbl>
      <w:tblPr>
        <w:tblStyle w:val="Grilledutableau"/>
        <w:tblW w:w="0" w:type="auto"/>
        <w:tblInd w:w="818" w:type="dxa"/>
        <w:tblLook w:val="04A0" w:firstRow="1" w:lastRow="0" w:firstColumn="1" w:lastColumn="0" w:noHBand="0" w:noVBand="1"/>
      </w:tblPr>
      <w:tblGrid>
        <w:gridCol w:w="3853"/>
        <w:gridCol w:w="3971"/>
      </w:tblGrid>
      <w:tr w:rsidR="00BA1ACE" w:rsidRPr="00C300E6" w14:paraId="0F1F77EC" w14:textId="77777777" w:rsidTr="008B58C0">
        <w:trPr>
          <w:trHeight w:val="707"/>
        </w:trPr>
        <w:tc>
          <w:tcPr>
            <w:tcW w:w="3853" w:type="dxa"/>
            <w:tcBorders>
              <w:top w:val="nil"/>
              <w:left w:val="nil"/>
              <w:bottom w:val="nil"/>
              <w:right w:val="nil"/>
            </w:tcBorders>
          </w:tcPr>
          <w:p w14:paraId="7B6B89A9" w14:textId="77777777" w:rsidR="00857050" w:rsidRPr="00C300E6" w:rsidRDefault="008B58C0" w:rsidP="00857050">
            <w:pPr>
              <w:pStyle w:val="Citationenretrait"/>
              <w:widowControl w:val="0"/>
              <w:snapToGrid w:val="0"/>
              <w:spacing w:line="240" w:lineRule="auto"/>
              <w:ind w:left="176" w:right="215"/>
              <w:rPr>
                <w:rStyle w:val="lawlabel"/>
                <w:rFonts w:ascii="Helvetica" w:hAnsi="Helvetica" w:cs="Helvetica"/>
                <w:bCs/>
                <w:szCs w:val="22"/>
                <w:lang w:val="en-CA"/>
              </w:rPr>
            </w:pPr>
            <w:r w:rsidRPr="00C300E6">
              <w:rPr>
                <w:b/>
                <w:szCs w:val="22"/>
                <w:lang w:val="en-CA"/>
              </w:rPr>
              <w:lastRenderedPageBreak/>
              <w:t>3148.</w:t>
            </w:r>
            <w:r w:rsidRPr="00C300E6">
              <w:rPr>
                <w:szCs w:val="22"/>
                <w:lang w:val="en-CA"/>
              </w:rPr>
              <w:t xml:space="preserve"> </w:t>
            </w:r>
            <w:r w:rsidR="00857050" w:rsidRPr="00C300E6">
              <w:rPr>
                <w:rStyle w:val="lawlabel"/>
                <w:rFonts w:ascii="Helvetica" w:hAnsi="Helvetica" w:cs="Helvetica"/>
                <w:bCs/>
                <w:szCs w:val="22"/>
                <w:lang w:val="en-CA"/>
              </w:rPr>
              <w:t xml:space="preserve">In personal actions of a patrimonial nature, Québec authorities </w:t>
            </w:r>
            <w:r w:rsidR="00857050" w:rsidRPr="00C300E6">
              <w:rPr>
                <w:rStyle w:val="lawlabel"/>
                <w:rFonts w:ascii="Helvetica" w:hAnsi="Helvetica" w:cs="Helvetica"/>
                <w:bCs/>
                <w:szCs w:val="22"/>
                <w:u w:val="single"/>
                <w:lang w:val="en-CA"/>
              </w:rPr>
              <w:t>have jurisdiction</w:t>
            </w:r>
            <w:r w:rsidR="00857050" w:rsidRPr="00C300E6">
              <w:rPr>
                <w:rStyle w:val="lawlabel"/>
                <w:rFonts w:ascii="Helvetica" w:hAnsi="Helvetica" w:cs="Helvetica"/>
                <w:bCs/>
                <w:szCs w:val="22"/>
                <w:lang w:val="en-CA"/>
              </w:rPr>
              <w:t xml:space="preserve"> in the following cases:</w:t>
            </w:r>
          </w:p>
          <w:p w14:paraId="678D0C88" w14:textId="77777777" w:rsidR="00857050" w:rsidRPr="00C300E6" w:rsidRDefault="00857050" w:rsidP="00857050">
            <w:pPr>
              <w:pStyle w:val="Citationenretrait"/>
              <w:widowControl w:val="0"/>
              <w:snapToGrid w:val="0"/>
              <w:spacing w:before="360" w:line="240" w:lineRule="auto"/>
              <w:ind w:left="176" w:right="215"/>
              <w:rPr>
                <w:rStyle w:val="lawlabel"/>
                <w:rFonts w:ascii="Helvetica" w:hAnsi="Helvetica" w:cs="Helvetica"/>
                <w:bCs/>
                <w:szCs w:val="22"/>
                <w:lang w:val="en-CA"/>
              </w:rPr>
            </w:pPr>
            <w:r w:rsidRPr="00C300E6">
              <w:rPr>
                <w:rStyle w:val="lawlabel"/>
                <w:rFonts w:ascii="Helvetica" w:hAnsi="Helvetica" w:cs="Helvetica"/>
                <w:bCs/>
                <w:szCs w:val="22"/>
                <w:lang w:val="en-CA"/>
              </w:rPr>
              <w:t>…</w:t>
            </w:r>
          </w:p>
          <w:p w14:paraId="2926AC3A" w14:textId="77777777" w:rsidR="00857050" w:rsidRPr="00C300E6" w:rsidRDefault="00857050" w:rsidP="00857050">
            <w:pPr>
              <w:pStyle w:val="Citationenretrait"/>
              <w:widowControl w:val="0"/>
              <w:snapToGrid w:val="0"/>
              <w:spacing w:line="240" w:lineRule="auto"/>
              <w:ind w:left="176" w:right="215"/>
              <w:rPr>
                <w:rStyle w:val="lawlabel"/>
                <w:rFonts w:ascii="Helvetica" w:hAnsi="Helvetica" w:cs="Helvetica"/>
                <w:bCs/>
                <w:szCs w:val="22"/>
                <w:lang w:val="en-CA"/>
              </w:rPr>
            </w:pPr>
            <w:r w:rsidRPr="00C300E6">
              <w:rPr>
                <w:rStyle w:val="lawlabel"/>
                <w:rFonts w:ascii="Helvetica" w:hAnsi="Helvetica" w:cs="Helvetica"/>
                <w:bCs/>
                <w:szCs w:val="22"/>
                <w:lang w:val="en-CA"/>
              </w:rPr>
              <w:t xml:space="preserve">(4)   the parties have </w:t>
            </w:r>
            <w:r w:rsidRPr="00C300E6">
              <w:rPr>
                <w:rStyle w:val="lawlabel"/>
                <w:rFonts w:ascii="Helvetica" w:hAnsi="Helvetica" w:cs="Helvetica"/>
                <w:bCs/>
                <w:szCs w:val="22"/>
                <w:u w:val="single"/>
                <w:lang w:val="en-CA"/>
              </w:rPr>
              <w:t>by agreement submitted to them the present or future disputes between themselves</w:t>
            </w:r>
            <w:r w:rsidRPr="00C300E6">
              <w:rPr>
                <w:rStyle w:val="lawlabel"/>
                <w:rFonts w:ascii="Helvetica" w:hAnsi="Helvetica" w:cs="Helvetica"/>
                <w:bCs/>
                <w:szCs w:val="22"/>
                <w:lang w:val="en-CA"/>
              </w:rPr>
              <w:t xml:space="preserve"> arising out of a specific legal relationship;</w:t>
            </w:r>
          </w:p>
          <w:p w14:paraId="4BA9F959" w14:textId="77777777" w:rsidR="00857050" w:rsidRPr="00C300E6" w:rsidRDefault="00857050" w:rsidP="00857050">
            <w:pPr>
              <w:pStyle w:val="Citationenretrait"/>
              <w:widowControl w:val="0"/>
              <w:snapToGrid w:val="0"/>
              <w:spacing w:line="240" w:lineRule="auto"/>
              <w:ind w:left="176" w:right="215"/>
              <w:rPr>
                <w:rStyle w:val="lawlabel"/>
                <w:rFonts w:ascii="Helvetica" w:hAnsi="Helvetica" w:cs="Helvetica"/>
                <w:bCs/>
                <w:szCs w:val="22"/>
                <w:lang w:val="en-CA"/>
              </w:rPr>
            </w:pPr>
            <w:r w:rsidRPr="00C300E6">
              <w:rPr>
                <w:rStyle w:val="lawlabel"/>
                <w:rFonts w:ascii="Helvetica" w:hAnsi="Helvetica" w:cs="Helvetica"/>
                <w:bCs/>
                <w:szCs w:val="22"/>
                <w:lang w:val="en-CA"/>
              </w:rPr>
              <w:t>…</w:t>
            </w:r>
          </w:p>
          <w:p w14:paraId="52CFA1B9" w14:textId="77777777" w:rsidR="00857050" w:rsidRPr="00C300E6" w:rsidRDefault="00857050" w:rsidP="00857050">
            <w:pPr>
              <w:pStyle w:val="Citationenretrait"/>
              <w:widowControl w:val="0"/>
              <w:snapToGrid w:val="0"/>
              <w:spacing w:line="240" w:lineRule="auto"/>
              <w:ind w:left="176" w:right="215"/>
              <w:rPr>
                <w:rStyle w:val="lawlabel"/>
                <w:rFonts w:ascii="Helvetica" w:hAnsi="Helvetica" w:cs="Helvetica"/>
                <w:bCs/>
                <w:szCs w:val="22"/>
                <w:lang w:val="en-CA"/>
              </w:rPr>
            </w:pPr>
            <w:r w:rsidRPr="00C300E6">
              <w:rPr>
                <w:rStyle w:val="lawlabel"/>
                <w:rFonts w:ascii="Helvetica" w:hAnsi="Helvetica" w:cs="Helvetica"/>
                <w:bCs/>
                <w:szCs w:val="22"/>
                <w:lang w:val="en-CA"/>
              </w:rPr>
              <w:t xml:space="preserve">However, Québec authorities </w:t>
            </w:r>
            <w:r w:rsidRPr="00C300E6">
              <w:rPr>
                <w:rStyle w:val="lawlabel"/>
                <w:rFonts w:ascii="Helvetica" w:hAnsi="Helvetica" w:cs="Helvetica"/>
                <w:bCs/>
                <w:szCs w:val="22"/>
                <w:u w:val="single"/>
                <w:lang w:val="en-CA"/>
              </w:rPr>
              <w:t>have no jurisdiction</w:t>
            </w:r>
            <w:r w:rsidRPr="00C300E6">
              <w:rPr>
                <w:rStyle w:val="lawlabel"/>
                <w:rFonts w:ascii="Helvetica" w:hAnsi="Helvetica" w:cs="Helvetica"/>
                <w:bCs/>
                <w:szCs w:val="22"/>
                <w:lang w:val="en-CA"/>
              </w:rPr>
              <w:t xml:space="preserve"> where the parties have chosen </w:t>
            </w:r>
            <w:r w:rsidRPr="00C300E6">
              <w:rPr>
                <w:rStyle w:val="lawlabel"/>
                <w:rFonts w:ascii="Helvetica" w:hAnsi="Helvetica" w:cs="Helvetica"/>
                <w:bCs/>
                <w:szCs w:val="22"/>
                <w:u w:val="single"/>
                <w:lang w:val="en-CA"/>
              </w:rPr>
              <w:t>by agreement to submit the present or future disputes between themselves</w:t>
            </w:r>
            <w:r w:rsidRPr="00C300E6">
              <w:rPr>
                <w:rStyle w:val="lawlabel"/>
                <w:rFonts w:ascii="Helvetica" w:hAnsi="Helvetica" w:cs="Helvetica"/>
                <w:bCs/>
                <w:szCs w:val="22"/>
                <w:lang w:val="en-CA"/>
              </w:rPr>
              <w:t xml:space="preserve"> relating to a specific legal relationship </w:t>
            </w:r>
            <w:r w:rsidRPr="00C300E6">
              <w:rPr>
                <w:rStyle w:val="lawlabel"/>
                <w:rFonts w:ascii="Helvetica" w:hAnsi="Helvetica" w:cs="Helvetica"/>
                <w:bCs/>
                <w:szCs w:val="22"/>
                <w:u w:val="single"/>
                <w:lang w:val="en-CA"/>
              </w:rPr>
              <w:t>to a foreign authority</w:t>
            </w:r>
            <w:r w:rsidRPr="00C300E6">
              <w:rPr>
                <w:rStyle w:val="lawlabel"/>
                <w:rFonts w:ascii="Helvetica" w:hAnsi="Helvetica" w:cs="Helvetica"/>
                <w:bCs/>
                <w:szCs w:val="22"/>
                <w:lang w:val="en-CA"/>
              </w:rPr>
              <w:t xml:space="preserve"> or to an arbitrator, unless the defendant submits to the jurisdiction of the Québec authorities.</w:t>
            </w:r>
          </w:p>
          <w:p w14:paraId="027C209C" w14:textId="77777777" w:rsidR="008B58C0" w:rsidRPr="00C300E6" w:rsidRDefault="008B58C0" w:rsidP="008B58C0">
            <w:pPr>
              <w:pStyle w:val="Citationenretrait"/>
              <w:widowControl w:val="0"/>
              <w:snapToGrid w:val="0"/>
              <w:spacing w:before="180" w:line="240" w:lineRule="auto"/>
              <w:ind w:left="176" w:right="215"/>
              <w:rPr>
                <w:szCs w:val="22"/>
                <w:lang w:val="en-CA"/>
              </w:rPr>
            </w:pPr>
          </w:p>
        </w:tc>
        <w:tc>
          <w:tcPr>
            <w:tcW w:w="3971" w:type="dxa"/>
            <w:tcBorders>
              <w:top w:val="nil"/>
              <w:left w:val="nil"/>
              <w:bottom w:val="nil"/>
              <w:right w:val="nil"/>
            </w:tcBorders>
          </w:tcPr>
          <w:p w14:paraId="6EFBB173" w14:textId="77777777" w:rsidR="00857050" w:rsidRPr="00760C05" w:rsidRDefault="008B58C0" w:rsidP="00857050">
            <w:pPr>
              <w:pStyle w:val="Citationenretrait"/>
              <w:widowControl w:val="0"/>
              <w:snapToGrid w:val="0"/>
              <w:spacing w:line="240" w:lineRule="auto"/>
              <w:ind w:left="178" w:right="215"/>
              <w:rPr>
                <w:szCs w:val="22"/>
              </w:rPr>
            </w:pPr>
            <w:r w:rsidRPr="00AA44D3">
              <w:rPr>
                <w:rStyle w:val="lawlabel"/>
                <w:rFonts w:ascii="Helvetica" w:hAnsi="Helvetica" w:cs="Helvetica"/>
                <w:b/>
                <w:bCs/>
                <w:szCs w:val="22"/>
              </w:rPr>
              <w:t>3148.</w:t>
            </w:r>
            <w:r w:rsidRPr="00AA44D3">
              <w:rPr>
                <w:rStyle w:val="lawlabel"/>
                <w:rFonts w:ascii="Helvetica" w:hAnsi="Helvetica" w:cs="Helvetica"/>
                <w:bCs/>
                <w:szCs w:val="22"/>
              </w:rPr>
              <w:t xml:space="preserve"> </w:t>
            </w:r>
            <w:r w:rsidR="00857050" w:rsidRPr="00760C05">
              <w:rPr>
                <w:szCs w:val="22"/>
              </w:rPr>
              <w:t xml:space="preserve">Dans les actions personnelles à caractère patrimonial, </w:t>
            </w:r>
            <w:r w:rsidR="00857050" w:rsidRPr="00760C05">
              <w:rPr>
                <w:rStyle w:val="lawlabel"/>
                <w:rFonts w:ascii="Helvetica" w:hAnsi="Helvetica" w:cs="Helvetica"/>
                <w:bCs/>
              </w:rPr>
              <w:t>les</w:t>
            </w:r>
            <w:r w:rsidR="00857050" w:rsidRPr="00760C05">
              <w:rPr>
                <w:szCs w:val="22"/>
              </w:rPr>
              <w:t xml:space="preserve"> autorités québécoises </w:t>
            </w:r>
            <w:r w:rsidR="00857050" w:rsidRPr="00760C05">
              <w:rPr>
                <w:szCs w:val="22"/>
                <w:u w:val="single"/>
              </w:rPr>
              <w:t>sont compétentes</w:t>
            </w:r>
            <w:r w:rsidR="00857050" w:rsidRPr="00760C05">
              <w:rPr>
                <w:szCs w:val="22"/>
              </w:rPr>
              <w:t xml:space="preserve"> dans les cas suivants:</w:t>
            </w:r>
          </w:p>
          <w:p w14:paraId="48D36C22" w14:textId="77777777" w:rsidR="00857050" w:rsidRPr="00760C05" w:rsidRDefault="00857050" w:rsidP="00857050">
            <w:pPr>
              <w:pStyle w:val="Citationenretrait"/>
              <w:widowControl w:val="0"/>
              <w:snapToGrid w:val="0"/>
              <w:spacing w:line="240" w:lineRule="auto"/>
              <w:ind w:left="178" w:right="215"/>
              <w:rPr>
                <w:szCs w:val="22"/>
              </w:rPr>
            </w:pPr>
            <w:r w:rsidRPr="00760C05">
              <w:rPr>
                <w:szCs w:val="22"/>
              </w:rPr>
              <w:t>[…]</w:t>
            </w:r>
          </w:p>
          <w:p w14:paraId="71E83FB9" w14:textId="77777777" w:rsidR="00857050" w:rsidRPr="00760C05" w:rsidRDefault="00857050" w:rsidP="00857050">
            <w:pPr>
              <w:pStyle w:val="Citationenretrait"/>
              <w:widowControl w:val="0"/>
              <w:snapToGrid w:val="0"/>
              <w:spacing w:line="240" w:lineRule="auto"/>
              <w:ind w:left="176" w:right="215"/>
              <w:rPr>
                <w:szCs w:val="22"/>
              </w:rPr>
            </w:pPr>
            <w:r w:rsidRPr="00760C05">
              <w:rPr>
                <w:szCs w:val="22"/>
              </w:rPr>
              <w:t xml:space="preserve">4°  Les parties, </w:t>
            </w:r>
            <w:r w:rsidRPr="00760C05">
              <w:rPr>
                <w:szCs w:val="22"/>
                <w:u w:val="single"/>
              </w:rPr>
              <w:t>par convention, leur ont soumis les litiges nés ou à naître entre elles</w:t>
            </w:r>
            <w:r w:rsidRPr="00760C05">
              <w:rPr>
                <w:szCs w:val="22"/>
              </w:rPr>
              <w:t xml:space="preserve"> à l’occasion d’un rapport de droit déterminé;</w:t>
            </w:r>
          </w:p>
          <w:p w14:paraId="75E18135" w14:textId="77777777" w:rsidR="00857050" w:rsidRPr="00760C05" w:rsidRDefault="00857050" w:rsidP="00857050">
            <w:pPr>
              <w:pStyle w:val="Citationenretrait"/>
              <w:widowControl w:val="0"/>
              <w:snapToGrid w:val="0"/>
              <w:spacing w:before="320" w:line="240" w:lineRule="auto"/>
              <w:ind w:left="176" w:right="215"/>
              <w:rPr>
                <w:szCs w:val="22"/>
              </w:rPr>
            </w:pPr>
            <w:r w:rsidRPr="00760C05">
              <w:rPr>
                <w:szCs w:val="22"/>
              </w:rPr>
              <w:t>[…]</w:t>
            </w:r>
          </w:p>
          <w:p w14:paraId="6726C8C2" w14:textId="77777777" w:rsidR="008B58C0" w:rsidRPr="00760C05" w:rsidRDefault="00857050" w:rsidP="00857050">
            <w:pPr>
              <w:pStyle w:val="Citationenretrait"/>
              <w:widowControl w:val="0"/>
              <w:snapToGrid w:val="0"/>
              <w:spacing w:line="240" w:lineRule="auto"/>
              <w:ind w:left="176" w:right="215"/>
              <w:rPr>
                <w:rStyle w:val="lawlabel"/>
                <w:rFonts w:ascii="Helvetica" w:hAnsi="Helvetica" w:cs="Helvetica"/>
                <w:bCs/>
                <w:szCs w:val="22"/>
              </w:rPr>
            </w:pPr>
            <w:r w:rsidRPr="00760C05">
              <w:rPr>
                <w:szCs w:val="22"/>
              </w:rPr>
              <w:t xml:space="preserve">Cependant, les autorités québécoises </w:t>
            </w:r>
            <w:r w:rsidRPr="00760C05">
              <w:rPr>
                <w:szCs w:val="22"/>
                <w:u w:val="single"/>
              </w:rPr>
              <w:t>ne sont pas compétentes</w:t>
            </w:r>
            <w:r w:rsidRPr="00760C05">
              <w:rPr>
                <w:szCs w:val="22"/>
              </w:rPr>
              <w:t xml:space="preserve"> lorsque les parties ont choisi, </w:t>
            </w:r>
            <w:r w:rsidRPr="00760C05">
              <w:rPr>
                <w:szCs w:val="22"/>
                <w:u w:val="single"/>
              </w:rPr>
              <w:t>par convention, de soumettre les litiges nés ou à naître entre elles</w:t>
            </w:r>
            <w:r w:rsidRPr="00760C05">
              <w:rPr>
                <w:szCs w:val="22"/>
              </w:rPr>
              <w:t xml:space="preserve">, à propos d’un rapport juridique déterminé, </w:t>
            </w:r>
            <w:r w:rsidRPr="00760C05">
              <w:rPr>
                <w:szCs w:val="22"/>
                <w:u w:val="single"/>
              </w:rPr>
              <w:t>à une autorité étrangère</w:t>
            </w:r>
            <w:r w:rsidRPr="00760C05">
              <w:rPr>
                <w:szCs w:val="22"/>
              </w:rPr>
              <w:t xml:space="preserve"> ou à un arbitre, à moins que le défendeur n’ait reconnu la compétence des autorités québécoises.</w:t>
            </w:r>
          </w:p>
          <w:p w14:paraId="55F0BA14" w14:textId="77777777" w:rsidR="008B58C0" w:rsidRPr="00C300E6" w:rsidRDefault="008B58C0" w:rsidP="00857050">
            <w:pPr>
              <w:pStyle w:val="Citationenretrait"/>
              <w:widowControl w:val="0"/>
              <w:snapToGrid w:val="0"/>
              <w:spacing w:line="240" w:lineRule="auto"/>
              <w:ind w:left="176" w:right="215"/>
              <w:jc w:val="right"/>
              <w:rPr>
                <w:rFonts w:ascii="Helvetica" w:hAnsi="Helvetica" w:cs="Helvetica"/>
                <w:bCs/>
                <w:szCs w:val="22"/>
                <w:lang w:val="en-CA"/>
              </w:rPr>
            </w:pPr>
            <w:r w:rsidRPr="00C300E6">
              <w:rPr>
                <w:rStyle w:val="lawlabel"/>
                <w:lang w:val="en-CA"/>
              </w:rPr>
              <w:t>[Emphasis</w:t>
            </w:r>
            <w:r w:rsidR="00857050" w:rsidRPr="00C300E6">
              <w:rPr>
                <w:rStyle w:val="lawlabel"/>
                <w:lang w:val="en-CA"/>
              </w:rPr>
              <w:t xml:space="preserve"> </w:t>
            </w:r>
            <w:r w:rsidRPr="00C300E6">
              <w:rPr>
                <w:rStyle w:val="lawlabel"/>
                <w:lang w:val="en-CA"/>
              </w:rPr>
              <w:t>added</w:t>
            </w:r>
            <w:r w:rsidR="00857050" w:rsidRPr="00C300E6">
              <w:rPr>
                <w:rStyle w:val="lawlabel"/>
                <w:lang w:val="en-CA"/>
              </w:rPr>
              <w:t>.</w:t>
            </w:r>
            <w:r w:rsidRPr="00C300E6">
              <w:rPr>
                <w:rStyle w:val="lawlabel"/>
                <w:lang w:val="en-CA"/>
              </w:rPr>
              <w:t>]</w:t>
            </w:r>
          </w:p>
        </w:tc>
      </w:tr>
    </w:tbl>
    <w:p w14:paraId="4548465E" w14:textId="30A9BF7D" w:rsidR="008B58C0" w:rsidRPr="00C300E6" w:rsidRDefault="00E72DC2" w:rsidP="008B58C0">
      <w:pPr>
        <w:pStyle w:val="Paragraphe"/>
        <w:spacing w:line="240" w:lineRule="auto"/>
        <w:rPr>
          <w:lang w:val="en-CA"/>
        </w:rPr>
      </w:pPr>
      <w:r w:rsidRPr="00C300E6">
        <w:rPr>
          <w:lang w:val="en-CA"/>
        </w:rPr>
        <w:t>In light of the</w:t>
      </w:r>
      <w:r w:rsidR="0040039B" w:rsidRPr="00C300E6">
        <w:rPr>
          <w:lang w:val="en-CA"/>
        </w:rPr>
        <w:t xml:space="preserve"> legislative e</w:t>
      </w:r>
      <w:r w:rsidR="008B58C0" w:rsidRPr="00C300E6">
        <w:rPr>
          <w:lang w:val="en-CA"/>
        </w:rPr>
        <w:t xml:space="preserve">volution </w:t>
      </w:r>
      <w:r w:rsidR="0040039B" w:rsidRPr="00C300E6">
        <w:rPr>
          <w:lang w:val="en-CA"/>
        </w:rPr>
        <w:t xml:space="preserve">over the past </w:t>
      </w:r>
      <w:r w:rsidR="008B58C0" w:rsidRPr="00C300E6">
        <w:rPr>
          <w:lang w:val="en-CA"/>
        </w:rPr>
        <w:t xml:space="preserve">25 </w:t>
      </w:r>
      <w:r w:rsidR="0040039B" w:rsidRPr="00C300E6">
        <w:rPr>
          <w:lang w:val="en-CA"/>
        </w:rPr>
        <w:t>years</w:t>
      </w:r>
      <w:r w:rsidR="008B58C0" w:rsidRPr="00C300E6">
        <w:rPr>
          <w:lang w:val="en-CA"/>
        </w:rPr>
        <w:t>,</w:t>
      </w:r>
      <w:r w:rsidR="0040039B" w:rsidRPr="00C300E6">
        <w:rPr>
          <w:lang w:val="en-CA"/>
        </w:rPr>
        <w:t xml:space="preserve"> the case law finding that forum selection clauses </w:t>
      </w:r>
      <w:r w:rsidR="00CC197C">
        <w:rPr>
          <w:lang w:val="en-CA"/>
        </w:rPr>
        <w:t>are</w:t>
      </w:r>
      <w:r w:rsidR="00CC197C" w:rsidRPr="00C300E6">
        <w:rPr>
          <w:lang w:val="en-CA"/>
        </w:rPr>
        <w:t xml:space="preserve"> </w:t>
      </w:r>
      <w:r w:rsidR="0040039B" w:rsidRPr="00C300E6">
        <w:rPr>
          <w:lang w:val="en-CA"/>
        </w:rPr>
        <w:t xml:space="preserve">concerned with territorial </w:t>
      </w:r>
      <w:r w:rsidR="008B58C0" w:rsidRPr="00C300E6">
        <w:rPr>
          <w:lang w:val="en-CA"/>
        </w:rPr>
        <w:t>jurisdiction</w:t>
      </w:r>
      <w:r w:rsidR="008B58C0" w:rsidRPr="00C300E6">
        <w:rPr>
          <w:rStyle w:val="Appelnotedebasdep"/>
          <w:rFonts w:cs="Arial"/>
          <w:szCs w:val="24"/>
          <w:lang w:val="en-CA"/>
        </w:rPr>
        <w:footnoteReference w:id="8"/>
      </w:r>
      <w:r w:rsidR="0040039B" w:rsidRPr="00C300E6">
        <w:rPr>
          <w:lang w:val="en-CA"/>
        </w:rPr>
        <w:t xml:space="preserve"> should be considered obsolete</w:t>
      </w:r>
      <w:r w:rsidR="008B58C0" w:rsidRPr="00C300E6">
        <w:rPr>
          <w:lang w:val="en-CA"/>
        </w:rPr>
        <w:t xml:space="preserve">. </w:t>
      </w:r>
      <w:r w:rsidR="0040039B" w:rsidRPr="00C300E6">
        <w:rPr>
          <w:lang w:val="en-CA"/>
        </w:rPr>
        <w:t xml:space="preserve">While that theory may have been </w:t>
      </w:r>
      <w:r w:rsidR="008B58C0" w:rsidRPr="00C300E6">
        <w:rPr>
          <w:lang w:val="en-CA"/>
        </w:rPr>
        <w:t>justifie</w:t>
      </w:r>
      <w:r w:rsidR="0040039B" w:rsidRPr="00C300E6">
        <w:rPr>
          <w:lang w:val="en-CA"/>
        </w:rPr>
        <w:t>d at a time whe</w:t>
      </w:r>
      <w:r w:rsidR="006B7265" w:rsidRPr="00C300E6">
        <w:rPr>
          <w:lang w:val="en-CA"/>
        </w:rPr>
        <w:t>re</w:t>
      </w:r>
      <w:r w:rsidR="0040039B" w:rsidRPr="00C300E6">
        <w:rPr>
          <w:lang w:val="en-CA"/>
        </w:rPr>
        <w:t xml:space="preserve"> the </w:t>
      </w:r>
      <w:r w:rsidR="008B58C0" w:rsidRPr="00C300E6">
        <w:rPr>
          <w:lang w:val="en-CA"/>
        </w:rPr>
        <w:t>legislature</w:t>
      </w:r>
      <w:r w:rsidR="0040039B" w:rsidRPr="00C300E6">
        <w:rPr>
          <w:lang w:val="en-CA"/>
        </w:rPr>
        <w:t xml:space="preserve"> recognized only two type</w:t>
      </w:r>
      <w:r w:rsidR="006F362B">
        <w:rPr>
          <w:lang w:val="en-CA"/>
        </w:rPr>
        <w:t>s</w:t>
      </w:r>
      <w:r w:rsidR="0040039B" w:rsidRPr="00C300E6">
        <w:rPr>
          <w:lang w:val="en-CA"/>
        </w:rPr>
        <w:t xml:space="preserve"> of </w:t>
      </w:r>
      <w:r w:rsidR="008B58C0" w:rsidRPr="00C300E6">
        <w:rPr>
          <w:lang w:val="en-CA"/>
        </w:rPr>
        <w:t xml:space="preserve">jurisdiction — </w:t>
      </w:r>
      <w:r w:rsidR="0040039B" w:rsidRPr="00C300E6">
        <w:rPr>
          <w:lang w:val="en-CA"/>
        </w:rPr>
        <w:t xml:space="preserve">subject matter and </w:t>
      </w:r>
      <w:r w:rsidR="008B58C0" w:rsidRPr="00C300E6">
        <w:rPr>
          <w:lang w:val="en-CA"/>
        </w:rPr>
        <w:t>territorial</w:t>
      </w:r>
      <w:r w:rsidR="006B7265" w:rsidRPr="00C300E6">
        <w:rPr>
          <w:lang w:val="en-CA"/>
        </w:rPr>
        <w:t xml:space="preserve"> —</w:t>
      </w:r>
      <w:r w:rsidR="008B58C0" w:rsidRPr="00C300E6">
        <w:rPr>
          <w:lang w:val="en-CA"/>
        </w:rPr>
        <w:t xml:space="preserve"> </w:t>
      </w:r>
      <w:r w:rsidR="006B7265" w:rsidRPr="00C300E6">
        <w:rPr>
          <w:lang w:val="en-CA"/>
        </w:rPr>
        <w:t xml:space="preserve">it is no longer </w:t>
      </w:r>
      <w:r w:rsidR="008B58C0" w:rsidRPr="00C300E6">
        <w:rPr>
          <w:lang w:val="en-CA"/>
        </w:rPr>
        <w:t>adapt</w:t>
      </w:r>
      <w:r w:rsidR="006B7265" w:rsidRPr="00C300E6">
        <w:rPr>
          <w:lang w:val="en-CA"/>
        </w:rPr>
        <w:t xml:space="preserve">ed to a time where </w:t>
      </w:r>
      <w:r w:rsidR="0029283D" w:rsidRPr="00C300E6">
        <w:rPr>
          <w:lang w:val="en-CA"/>
        </w:rPr>
        <w:t xml:space="preserve">there is no longer any doubt as to </w:t>
      </w:r>
      <w:r w:rsidR="006B7265" w:rsidRPr="00C300E6">
        <w:rPr>
          <w:lang w:val="en-CA"/>
        </w:rPr>
        <w:t>the [</w:t>
      </w:r>
      <w:r w:rsidR="006B7265" w:rsidRPr="00C300E6">
        <w:rPr>
          <w:smallCaps/>
          <w:lang w:val="en-CA"/>
        </w:rPr>
        <w:t>translation</w:t>
      </w:r>
      <w:r w:rsidR="006B7265" w:rsidRPr="00C300E6">
        <w:rPr>
          <w:lang w:val="en-CA"/>
        </w:rPr>
        <w:t>] “</w:t>
      </w:r>
      <w:r w:rsidR="008B58C0" w:rsidRPr="00C300E6">
        <w:rPr>
          <w:lang w:val="en-CA"/>
        </w:rPr>
        <w:t>autonom</w:t>
      </w:r>
      <w:r w:rsidR="0029283D" w:rsidRPr="00C300E6">
        <w:rPr>
          <w:lang w:val="en-CA"/>
        </w:rPr>
        <w:t>ous status”</w:t>
      </w:r>
      <w:r w:rsidR="008B58C0" w:rsidRPr="00C300E6">
        <w:rPr>
          <w:rStyle w:val="Appelnotedebasdep"/>
          <w:rFonts w:cs="Arial"/>
          <w:szCs w:val="24"/>
          <w:lang w:val="en-CA"/>
        </w:rPr>
        <w:footnoteReference w:id="9"/>
      </w:r>
      <w:r w:rsidR="008B58C0" w:rsidRPr="00C300E6">
        <w:rPr>
          <w:lang w:val="en-CA"/>
        </w:rPr>
        <w:t xml:space="preserve"> </w:t>
      </w:r>
      <w:r w:rsidR="0029283D" w:rsidRPr="00C300E6">
        <w:rPr>
          <w:lang w:val="en-CA"/>
        </w:rPr>
        <w:t xml:space="preserve">of international </w:t>
      </w:r>
      <w:r w:rsidR="008B58C0" w:rsidRPr="00C300E6">
        <w:rPr>
          <w:lang w:val="en-CA"/>
        </w:rPr>
        <w:t xml:space="preserve">jurisdiction. </w:t>
      </w:r>
    </w:p>
    <w:p w14:paraId="00C04F61" w14:textId="4CBF7015" w:rsidR="008B58C0" w:rsidRPr="00C300E6" w:rsidRDefault="00691906" w:rsidP="008B58C0">
      <w:pPr>
        <w:pStyle w:val="Paragraphe"/>
        <w:spacing w:line="240" w:lineRule="auto"/>
        <w:rPr>
          <w:lang w:val="en-CA"/>
        </w:rPr>
      </w:pPr>
      <w:r w:rsidRPr="00C300E6">
        <w:rPr>
          <w:lang w:val="en-CA"/>
        </w:rPr>
        <w:lastRenderedPageBreak/>
        <w:t xml:space="preserve">The </w:t>
      </w:r>
      <w:r w:rsidR="008B58C0" w:rsidRPr="00C300E6">
        <w:rPr>
          <w:lang w:val="en-CA"/>
        </w:rPr>
        <w:t>case</w:t>
      </w:r>
      <w:r w:rsidRPr="00C300E6">
        <w:rPr>
          <w:lang w:val="en-CA"/>
        </w:rPr>
        <w:t xml:space="preserve"> </w:t>
      </w:r>
      <w:r w:rsidR="008B58C0" w:rsidRPr="00C300E6">
        <w:rPr>
          <w:lang w:val="en-CA"/>
        </w:rPr>
        <w:t>law</w:t>
      </w:r>
      <w:r w:rsidRPr="00C300E6">
        <w:rPr>
          <w:lang w:val="en-CA"/>
        </w:rPr>
        <w:t xml:space="preserve"> findin</w:t>
      </w:r>
      <w:r w:rsidR="006D0335" w:rsidRPr="00C300E6">
        <w:rPr>
          <w:lang w:val="en-CA"/>
        </w:rPr>
        <w:t>g</w:t>
      </w:r>
      <w:r w:rsidRPr="00C300E6">
        <w:rPr>
          <w:lang w:val="en-CA"/>
        </w:rPr>
        <w:t xml:space="preserve"> that </w:t>
      </w:r>
      <w:r w:rsidR="008B58C0" w:rsidRPr="00C300E6">
        <w:rPr>
          <w:lang w:val="en-CA"/>
        </w:rPr>
        <w:t>forum</w:t>
      </w:r>
      <w:r w:rsidR="002541A1" w:rsidRPr="00C300E6">
        <w:rPr>
          <w:lang w:val="en-CA"/>
        </w:rPr>
        <w:t xml:space="preserve"> </w:t>
      </w:r>
      <w:r w:rsidR="008B58C0" w:rsidRPr="00C300E6">
        <w:rPr>
          <w:lang w:val="en-CA"/>
        </w:rPr>
        <w:t>selection</w:t>
      </w:r>
      <w:r w:rsidR="000141DF" w:rsidRPr="00C300E6">
        <w:rPr>
          <w:lang w:val="en-CA"/>
        </w:rPr>
        <w:t xml:space="preserve"> </w:t>
      </w:r>
      <w:r w:rsidR="008B58C0" w:rsidRPr="00C300E6">
        <w:rPr>
          <w:lang w:val="en-CA"/>
        </w:rPr>
        <w:t>clause</w:t>
      </w:r>
      <w:r w:rsidR="000141DF" w:rsidRPr="00C300E6">
        <w:rPr>
          <w:lang w:val="en-CA"/>
        </w:rPr>
        <w:t>s</w:t>
      </w:r>
      <w:r w:rsidR="008B58C0" w:rsidRPr="00C300E6">
        <w:rPr>
          <w:lang w:val="en-CA"/>
        </w:rPr>
        <w:t xml:space="preserve"> a</w:t>
      </w:r>
      <w:r w:rsidRPr="00C300E6">
        <w:rPr>
          <w:lang w:val="en-CA"/>
        </w:rPr>
        <w:t xml:space="preserve">re instead concerned </w:t>
      </w:r>
      <w:r w:rsidR="000141DF" w:rsidRPr="00C300E6">
        <w:rPr>
          <w:lang w:val="en-CA"/>
        </w:rPr>
        <w:t xml:space="preserve">with subject-matter </w:t>
      </w:r>
      <w:r w:rsidR="008B58C0" w:rsidRPr="00C300E6">
        <w:rPr>
          <w:lang w:val="en-CA"/>
        </w:rPr>
        <w:t>jurisdiction</w:t>
      </w:r>
      <w:r w:rsidRPr="00C300E6">
        <w:rPr>
          <w:lang w:val="en-CA"/>
        </w:rPr>
        <w:t xml:space="preserve"> must also be set aside</w:t>
      </w:r>
      <w:r w:rsidR="008B58C0" w:rsidRPr="00C300E6">
        <w:rPr>
          <w:lang w:val="en-CA"/>
        </w:rPr>
        <w:t xml:space="preserve">. </w:t>
      </w:r>
      <w:r w:rsidR="000141DF" w:rsidRPr="00C300E6">
        <w:rPr>
          <w:lang w:val="en-CA"/>
        </w:rPr>
        <w:t xml:space="preserve">Of course, that </w:t>
      </w:r>
      <w:r w:rsidR="008B58C0" w:rsidRPr="00C300E6">
        <w:rPr>
          <w:lang w:val="en-CA"/>
        </w:rPr>
        <w:t>characterization</w:t>
      </w:r>
      <w:r w:rsidR="000141DF" w:rsidRPr="00C300E6">
        <w:rPr>
          <w:lang w:val="en-CA"/>
        </w:rPr>
        <w:t xml:space="preserve"> was sometimes accepted even after the </w:t>
      </w:r>
      <w:r w:rsidR="008B58C0" w:rsidRPr="00C300E6">
        <w:rPr>
          <w:lang w:val="en-CA"/>
        </w:rPr>
        <w:t>coming</w:t>
      </w:r>
      <w:r w:rsidR="000141DF" w:rsidRPr="00C300E6">
        <w:rPr>
          <w:lang w:val="en-CA"/>
        </w:rPr>
        <w:t xml:space="preserve"> </w:t>
      </w:r>
      <w:r w:rsidR="008B58C0" w:rsidRPr="00C300E6">
        <w:rPr>
          <w:lang w:val="en-CA"/>
        </w:rPr>
        <w:t>into</w:t>
      </w:r>
      <w:r w:rsidR="000141DF" w:rsidRPr="00C300E6">
        <w:rPr>
          <w:lang w:val="en-CA"/>
        </w:rPr>
        <w:t xml:space="preserve"> </w:t>
      </w:r>
      <w:r w:rsidR="008B58C0" w:rsidRPr="00C300E6">
        <w:rPr>
          <w:lang w:val="en-CA"/>
        </w:rPr>
        <w:t>force</w:t>
      </w:r>
      <w:r w:rsidR="000141DF" w:rsidRPr="00C300E6">
        <w:rPr>
          <w:lang w:val="en-CA"/>
        </w:rPr>
        <w:t xml:space="preserve"> of the </w:t>
      </w:r>
      <w:r w:rsidR="008B58C0" w:rsidRPr="00C300E6">
        <w:rPr>
          <w:i/>
          <w:lang w:val="en-CA"/>
        </w:rPr>
        <w:t>Civil</w:t>
      </w:r>
      <w:r w:rsidR="001F3436" w:rsidRPr="00C300E6">
        <w:rPr>
          <w:i/>
          <w:lang w:val="en-CA"/>
        </w:rPr>
        <w:t xml:space="preserve"> </w:t>
      </w:r>
      <w:r w:rsidR="008B58C0" w:rsidRPr="00C300E6">
        <w:rPr>
          <w:i/>
          <w:lang w:val="en-CA"/>
        </w:rPr>
        <w:t>Code</w:t>
      </w:r>
      <w:r w:rsidR="001F3436" w:rsidRPr="00C300E6">
        <w:rPr>
          <w:i/>
          <w:lang w:val="en-CA"/>
        </w:rPr>
        <w:t xml:space="preserve"> </w:t>
      </w:r>
      <w:r w:rsidR="008B58C0" w:rsidRPr="00C300E6">
        <w:rPr>
          <w:i/>
          <w:lang w:val="en-CA"/>
        </w:rPr>
        <w:t>of</w:t>
      </w:r>
      <w:r w:rsidR="001F3436" w:rsidRPr="00C300E6">
        <w:rPr>
          <w:i/>
          <w:lang w:val="en-CA"/>
        </w:rPr>
        <w:t xml:space="preserve"> </w:t>
      </w:r>
      <w:r w:rsidR="008B58C0" w:rsidRPr="00C300E6">
        <w:rPr>
          <w:i/>
          <w:lang w:val="en-CA"/>
        </w:rPr>
        <w:t>Québec</w:t>
      </w:r>
      <w:r w:rsidR="001F3436" w:rsidRPr="00C300E6">
        <w:rPr>
          <w:lang w:val="en-CA"/>
        </w:rPr>
        <w:t>.</w:t>
      </w:r>
      <w:r w:rsidR="008B58C0" w:rsidRPr="00C300E6">
        <w:rPr>
          <w:rStyle w:val="Appelnotedebasdep"/>
          <w:rFonts w:cs="Arial"/>
          <w:szCs w:val="24"/>
          <w:lang w:val="en-CA"/>
        </w:rPr>
        <w:footnoteReference w:id="10"/>
      </w:r>
      <w:r w:rsidR="008B58C0" w:rsidRPr="00C300E6">
        <w:rPr>
          <w:lang w:val="en-CA"/>
        </w:rPr>
        <w:t xml:space="preserve"> </w:t>
      </w:r>
      <w:r w:rsidR="001F3436" w:rsidRPr="00C300E6">
        <w:rPr>
          <w:lang w:val="en-CA"/>
        </w:rPr>
        <w:t xml:space="preserve">However, the </w:t>
      </w:r>
      <w:r w:rsidR="008B58C0" w:rsidRPr="00C300E6">
        <w:rPr>
          <w:lang w:val="en-CA"/>
        </w:rPr>
        <w:t>case</w:t>
      </w:r>
      <w:r w:rsidR="001F3436" w:rsidRPr="00C300E6">
        <w:rPr>
          <w:lang w:val="en-CA"/>
        </w:rPr>
        <w:t xml:space="preserve"> </w:t>
      </w:r>
      <w:r w:rsidR="008B58C0" w:rsidRPr="00C300E6">
        <w:rPr>
          <w:lang w:val="en-CA"/>
        </w:rPr>
        <w:t>law</w:t>
      </w:r>
      <w:r w:rsidR="001F3436" w:rsidRPr="00C300E6">
        <w:rPr>
          <w:lang w:val="en-CA"/>
        </w:rPr>
        <w:t xml:space="preserve"> was never truly settled in this regard.</w:t>
      </w:r>
      <w:r w:rsidR="008B58C0" w:rsidRPr="00C300E6">
        <w:rPr>
          <w:rStyle w:val="Appelnotedebasdep"/>
          <w:rFonts w:cs="Arial"/>
          <w:szCs w:val="24"/>
          <w:lang w:val="en-CA"/>
        </w:rPr>
        <w:footnoteReference w:id="11"/>
      </w:r>
      <w:r w:rsidR="001F3436" w:rsidRPr="00C300E6">
        <w:rPr>
          <w:lang w:val="en-CA"/>
        </w:rPr>
        <w:t xml:space="preserve"> I</w:t>
      </w:r>
      <w:r w:rsidR="008B58C0" w:rsidRPr="00C300E6">
        <w:rPr>
          <w:lang w:val="en-CA"/>
        </w:rPr>
        <w:t>n</w:t>
      </w:r>
      <w:r w:rsidR="001F3436" w:rsidRPr="00C300E6">
        <w:rPr>
          <w:lang w:val="en-CA"/>
        </w:rPr>
        <w:t xml:space="preserve"> </w:t>
      </w:r>
      <w:r w:rsidR="008B58C0" w:rsidRPr="00C300E6">
        <w:rPr>
          <w:lang w:val="en-CA"/>
        </w:rPr>
        <w:t xml:space="preserve">addition, </w:t>
      </w:r>
      <w:r w:rsidR="0018109B" w:rsidRPr="00C300E6">
        <w:rPr>
          <w:lang w:val="en-CA"/>
        </w:rPr>
        <w:t xml:space="preserve">that view of the effect of </w:t>
      </w:r>
      <w:r w:rsidR="008B58C0" w:rsidRPr="00C300E6">
        <w:rPr>
          <w:lang w:val="en-CA"/>
        </w:rPr>
        <w:t>forum</w:t>
      </w:r>
      <w:r w:rsidR="0018109B" w:rsidRPr="00C300E6">
        <w:rPr>
          <w:lang w:val="en-CA"/>
        </w:rPr>
        <w:t xml:space="preserve"> </w:t>
      </w:r>
      <w:r w:rsidR="008B58C0" w:rsidRPr="00C300E6">
        <w:rPr>
          <w:lang w:val="en-CA"/>
        </w:rPr>
        <w:t>selection</w:t>
      </w:r>
      <w:r w:rsidR="0018109B" w:rsidRPr="00C300E6">
        <w:rPr>
          <w:lang w:val="en-CA"/>
        </w:rPr>
        <w:t xml:space="preserve"> </w:t>
      </w:r>
      <w:r w:rsidR="008B58C0" w:rsidRPr="00C300E6">
        <w:rPr>
          <w:lang w:val="en-CA"/>
        </w:rPr>
        <w:t>clause</w:t>
      </w:r>
      <w:r w:rsidR="0018109B" w:rsidRPr="00C300E6">
        <w:rPr>
          <w:lang w:val="en-CA"/>
        </w:rPr>
        <w:t xml:space="preserve"> </w:t>
      </w:r>
      <w:r w:rsidR="008B58C0" w:rsidRPr="00C300E6">
        <w:rPr>
          <w:lang w:val="en-CA"/>
        </w:rPr>
        <w:t>raises</w:t>
      </w:r>
      <w:r w:rsidR="0018109B" w:rsidRPr="00C300E6">
        <w:rPr>
          <w:lang w:val="en-CA"/>
        </w:rPr>
        <w:t xml:space="preserve"> serious conceptual and theoretical </w:t>
      </w:r>
      <w:r w:rsidR="008B58C0" w:rsidRPr="00C300E6">
        <w:rPr>
          <w:lang w:val="en-CA"/>
        </w:rPr>
        <w:t>difficult</w:t>
      </w:r>
      <w:r w:rsidR="0018109B" w:rsidRPr="00C300E6">
        <w:rPr>
          <w:lang w:val="en-CA"/>
        </w:rPr>
        <w:t>ies that the commentary has quite effectively pointed out.</w:t>
      </w:r>
      <w:r w:rsidR="008B58C0" w:rsidRPr="00C300E6">
        <w:rPr>
          <w:rStyle w:val="Appelnotedebasdep"/>
          <w:rFonts w:cs="Arial"/>
          <w:szCs w:val="24"/>
          <w:lang w:val="en-CA"/>
        </w:rPr>
        <w:footnoteReference w:id="12"/>
      </w:r>
    </w:p>
    <w:p w14:paraId="6CB1FDCC" w14:textId="1A7D0FAC" w:rsidR="008B58C0" w:rsidRPr="00C300E6" w:rsidRDefault="0018109B" w:rsidP="008B58C0">
      <w:pPr>
        <w:pStyle w:val="Paragraphe"/>
        <w:spacing w:line="240" w:lineRule="auto"/>
        <w:rPr>
          <w:lang w:val="en-CA"/>
        </w:rPr>
      </w:pPr>
      <w:r w:rsidRPr="00C300E6">
        <w:rPr>
          <w:lang w:val="en-CA"/>
        </w:rPr>
        <w:t xml:space="preserve">In short, </w:t>
      </w:r>
      <w:r w:rsidR="008B58C0" w:rsidRPr="00C300E6">
        <w:rPr>
          <w:lang w:val="en-CA"/>
        </w:rPr>
        <w:t>forum</w:t>
      </w:r>
      <w:r w:rsidRPr="00C300E6">
        <w:rPr>
          <w:lang w:val="en-CA"/>
        </w:rPr>
        <w:t xml:space="preserve"> </w:t>
      </w:r>
      <w:r w:rsidR="008B58C0" w:rsidRPr="00C300E6">
        <w:rPr>
          <w:lang w:val="en-CA"/>
        </w:rPr>
        <w:t>selection</w:t>
      </w:r>
      <w:r w:rsidRPr="00C300E6">
        <w:rPr>
          <w:lang w:val="en-CA"/>
        </w:rPr>
        <w:t xml:space="preserve"> </w:t>
      </w:r>
      <w:r w:rsidR="008B58C0" w:rsidRPr="00C300E6">
        <w:rPr>
          <w:lang w:val="en-CA"/>
        </w:rPr>
        <w:t>clause</w:t>
      </w:r>
      <w:r w:rsidR="006E10F9" w:rsidRPr="00C300E6">
        <w:rPr>
          <w:lang w:val="en-CA"/>
        </w:rPr>
        <w:t xml:space="preserve">s designating the </w:t>
      </w:r>
      <w:r w:rsidR="008B58C0" w:rsidRPr="00C300E6">
        <w:rPr>
          <w:lang w:val="en-CA"/>
        </w:rPr>
        <w:t>courts</w:t>
      </w:r>
      <w:r w:rsidR="006E10F9" w:rsidRPr="00C300E6">
        <w:rPr>
          <w:lang w:val="en-CA"/>
        </w:rPr>
        <w:t xml:space="preserve"> of a foreign jurisdiction affect the international </w:t>
      </w:r>
      <w:r w:rsidR="008B58C0" w:rsidRPr="00C300E6">
        <w:rPr>
          <w:lang w:val="en-CA"/>
        </w:rPr>
        <w:t>jurisdiction</w:t>
      </w:r>
      <w:r w:rsidR="006E10F9" w:rsidRPr="00C300E6">
        <w:rPr>
          <w:lang w:val="en-CA"/>
        </w:rPr>
        <w:t xml:space="preserve"> of the </w:t>
      </w:r>
      <w:r w:rsidR="008B58C0" w:rsidRPr="00C300E6">
        <w:rPr>
          <w:lang w:val="en-CA"/>
        </w:rPr>
        <w:t>Quebec</w:t>
      </w:r>
      <w:r w:rsidR="006E10F9" w:rsidRPr="00C300E6">
        <w:rPr>
          <w:lang w:val="en-CA"/>
        </w:rPr>
        <w:t xml:space="preserve"> </w:t>
      </w:r>
      <w:r w:rsidR="008B58C0" w:rsidRPr="00C300E6">
        <w:rPr>
          <w:lang w:val="en-CA"/>
        </w:rPr>
        <w:t>authorit</w:t>
      </w:r>
      <w:r w:rsidR="006E10F9" w:rsidRPr="00C300E6">
        <w:rPr>
          <w:lang w:val="en-CA"/>
        </w:rPr>
        <w:t xml:space="preserve">ies, not their subject-matter </w:t>
      </w:r>
      <w:r w:rsidR="008B58C0" w:rsidRPr="00C300E6">
        <w:rPr>
          <w:lang w:val="en-CA"/>
        </w:rPr>
        <w:t>jurisdiction</w:t>
      </w:r>
      <w:r w:rsidR="006E10F9" w:rsidRPr="00C300E6">
        <w:rPr>
          <w:lang w:val="en-CA"/>
        </w:rPr>
        <w:t xml:space="preserve"> or their territorial </w:t>
      </w:r>
      <w:r w:rsidR="008B58C0" w:rsidRPr="00C300E6">
        <w:rPr>
          <w:lang w:val="en-CA"/>
        </w:rPr>
        <w:t>jurisdiction.</w:t>
      </w:r>
    </w:p>
    <w:p w14:paraId="036278D8" w14:textId="1C79B150" w:rsidR="008B58C0" w:rsidRPr="00C300E6" w:rsidRDefault="002F3D89" w:rsidP="008B58C0">
      <w:pPr>
        <w:pStyle w:val="Paragraphe"/>
        <w:keepNext/>
        <w:numPr>
          <w:ilvl w:val="0"/>
          <w:numId w:val="25"/>
        </w:numPr>
        <w:spacing w:line="240" w:lineRule="auto"/>
        <w:ind w:left="850" w:hanging="357"/>
        <w:rPr>
          <w:b/>
          <w:lang w:val="en-CA"/>
        </w:rPr>
      </w:pPr>
      <w:r w:rsidRPr="00C300E6">
        <w:rPr>
          <w:b/>
          <w:lang w:val="en-CA"/>
        </w:rPr>
        <w:t>Th</w:t>
      </w:r>
      <w:r w:rsidR="008B58C0" w:rsidRPr="00C300E6">
        <w:rPr>
          <w:b/>
          <w:lang w:val="en-CA"/>
        </w:rPr>
        <w:t>e legal</w:t>
      </w:r>
      <w:r w:rsidRPr="00C300E6">
        <w:rPr>
          <w:b/>
          <w:lang w:val="en-CA"/>
        </w:rPr>
        <w:t xml:space="preserve"> </w:t>
      </w:r>
      <w:r w:rsidR="008B58C0" w:rsidRPr="00C300E6">
        <w:rPr>
          <w:b/>
          <w:lang w:val="en-CA"/>
        </w:rPr>
        <w:t>framework</w:t>
      </w:r>
      <w:r w:rsidRPr="00C300E6">
        <w:rPr>
          <w:b/>
          <w:lang w:val="en-CA"/>
        </w:rPr>
        <w:t xml:space="preserve"> governing </w:t>
      </w:r>
      <w:r w:rsidR="008B58C0" w:rsidRPr="00C300E6">
        <w:rPr>
          <w:b/>
          <w:lang w:val="en-CA"/>
        </w:rPr>
        <w:t>declinatory</w:t>
      </w:r>
      <w:r w:rsidRPr="00C300E6">
        <w:rPr>
          <w:b/>
          <w:lang w:val="en-CA"/>
        </w:rPr>
        <w:t xml:space="preserve"> </w:t>
      </w:r>
      <w:r w:rsidR="008B58C0" w:rsidRPr="00C300E6">
        <w:rPr>
          <w:b/>
          <w:lang w:val="en-CA"/>
        </w:rPr>
        <w:t>exceptions</w:t>
      </w:r>
      <w:r w:rsidRPr="00C300E6">
        <w:rPr>
          <w:b/>
          <w:lang w:val="en-CA"/>
        </w:rPr>
        <w:t xml:space="preserve"> </w:t>
      </w:r>
      <w:r w:rsidR="00CD69E9" w:rsidRPr="00C300E6">
        <w:rPr>
          <w:b/>
          <w:lang w:val="en-CA"/>
        </w:rPr>
        <w:t>invoki</w:t>
      </w:r>
      <w:r w:rsidRPr="00C300E6">
        <w:rPr>
          <w:b/>
          <w:lang w:val="en-CA"/>
        </w:rPr>
        <w:t xml:space="preserve">ng a </w:t>
      </w:r>
      <w:r w:rsidR="008B58C0" w:rsidRPr="00C300E6">
        <w:rPr>
          <w:b/>
          <w:lang w:val="en-CA"/>
        </w:rPr>
        <w:t>forum</w:t>
      </w:r>
      <w:r w:rsidRPr="00C300E6">
        <w:rPr>
          <w:b/>
          <w:lang w:val="en-CA"/>
        </w:rPr>
        <w:t xml:space="preserve"> </w:t>
      </w:r>
      <w:r w:rsidR="008B58C0" w:rsidRPr="00C300E6">
        <w:rPr>
          <w:b/>
          <w:lang w:val="en-CA"/>
        </w:rPr>
        <w:t>selection</w:t>
      </w:r>
      <w:r w:rsidRPr="00C300E6">
        <w:rPr>
          <w:b/>
          <w:lang w:val="en-CA"/>
        </w:rPr>
        <w:t xml:space="preserve"> </w:t>
      </w:r>
      <w:r w:rsidR="008B58C0" w:rsidRPr="00C300E6">
        <w:rPr>
          <w:b/>
          <w:lang w:val="en-CA"/>
        </w:rPr>
        <w:t>clause</w:t>
      </w:r>
      <w:r w:rsidR="008B58C0" w:rsidRPr="00C300E6">
        <w:rPr>
          <w:b/>
          <w:lang w:val="en-CA"/>
        </w:rPr>
        <w:tab/>
      </w:r>
    </w:p>
    <w:p w14:paraId="73C2AD8A" w14:textId="4EF25281" w:rsidR="008B58C0" w:rsidRPr="00C300E6" w:rsidRDefault="009A4C80" w:rsidP="008B58C0">
      <w:pPr>
        <w:pStyle w:val="Paragraphe"/>
        <w:spacing w:line="240" w:lineRule="auto"/>
        <w:rPr>
          <w:lang w:val="en-CA"/>
        </w:rPr>
      </w:pPr>
      <w:r w:rsidRPr="00C300E6">
        <w:rPr>
          <w:lang w:val="en-CA"/>
        </w:rPr>
        <w:t xml:space="preserve">Finding that </w:t>
      </w:r>
      <w:r w:rsidR="008B58C0" w:rsidRPr="00C300E6">
        <w:rPr>
          <w:lang w:val="en-CA"/>
        </w:rPr>
        <w:t>forum</w:t>
      </w:r>
      <w:r w:rsidR="00CD69E9" w:rsidRPr="00C300E6">
        <w:rPr>
          <w:lang w:val="en-CA"/>
        </w:rPr>
        <w:t xml:space="preserve"> </w:t>
      </w:r>
      <w:r w:rsidR="008B58C0" w:rsidRPr="00C300E6">
        <w:rPr>
          <w:lang w:val="en-CA"/>
        </w:rPr>
        <w:t>selection</w:t>
      </w:r>
      <w:r w:rsidR="00CD69E9" w:rsidRPr="00C300E6">
        <w:rPr>
          <w:lang w:val="en-CA"/>
        </w:rPr>
        <w:t xml:space="preserve"> </w:t>
      </w:r>
      <w:r w:rsidR="008B58C0" w:rsidRPr="00C300E6">
        <w:rPr>
          <w:lang w:val="en-CA"/>
        </w:rPr>
        <w:t>clause</w:t>
      </w:r>
      <w:r w:rsidR="00CD69E9" w:rsidRPr="00C300E6">
        <w:rPr>
          <w:lang w:val="en-CA"/>
        </w:rPr>
        <w:t xml:space="preserve">s affect international </w:t>
      </w:r>
      <w:r w:rsidR="008B58C0" w:rsidRPr="00C300E6">
        <w:rPr>
          <w:lang w:val="en-CA"/>
        </w:rPr>
        <w:t>jurisdiction</w:t>
      </w:r>
      <w:r w:rsidR="00CD69E9" w:rsidRPr="00C300E6">
        <w:rPr>
          <w:lang w:val="en-CA"/>
        </w:rPr>
        <w:t xml:space="preserve"> has significant </w:t>
      </w:r>
      <w:r w:rsidR="008B58C0" w:rsidRPr="00C300E6">
        <w:rPr>
          <w:lang w:val="en-CA"/>
        </w:rPr>
        <w:t>cons</w:t>
      </w:r>
      <w:r w:rsidR="00CD69E9" w:rsidRPr="00C300E6">
        <w:rPr>
          <w:lang w:val="en-CA"/>
        </w:rPr>
        <w:t>e</w:t>
      </w:r>
      <w:r w:rsidR="008B58C0" w:rsidRPr="00C300E6">
        <w:rPr>
          <w:lang w:val="en-CA"/>
        </w:rPr>
        <w:t xml:space="preserve">quences </w:t>
      </w:r>
      <w:r w:rsidR="00CD69E9" w:rsidRPr="00C300E6">
        <w:rPr>
          <w:lang w:val="en-CA"/>
        </w:rPr>
        <w:t xml:space="preserve">on the </w:t>
      </w:r>
      <w:r w:rsidR="008B58C0" w:rsidRPr="00C300E6">
        <w:rPr>
          <w:lang w:val="en-CA"/>
        </w:rPr>
        <w:t>legal</w:t>
      </w:r>
      <w:r w:rsidR="00CD69E9" w:rsidRPr="00C300E6">
        <w:rPr>
          <w:lang w:val="en-CA"/>
        </w:rPr>
        <w:t xml:space="preserve"> </w:t>
      </w:r>
      <w:r w:rsidR="008B58C0" w:rsidRPr="00C300E6">
        <w:rPr>
          <w:lang w:val="en-CA"/>
        </w:rPr>
        <w:t>framework</w:t>
      </w:r>
      <w:r w:rsidR="00CD69E9" w:rsidRPr="00C300E6">
        <w:rPr>
          <w:lang w:val="en-CA"/>
        </w:rPr>
        <w:t xml:space="preserve"> </w:t>
      </w:r>
      <w:r w:rsidR="008B58C0" w:rsidRPr="00C300E6">
        <w:rPr>
          <w:lang w:val="en-CA"/>
        </w:rPr>
        <w:t xml:space="preserve">applicable </w:t>
      </w:r>
      <w:r w:rsidR="00CD69E9" w:rsidRPr="00C300E6">
        <w:rPr>
          <w:lang w:val="en-CA"/>
        </w:rPr>
        <w:t xml:space="preserve">to </w:t>
      </w:r>
      <w:r w:rsidR="008B58C0" w:rsidRPr="00C300E6">
        <w:rPr>
          <w:lang w:val="en-CA"/>
        </w:rPr>
        <w:t>declinatory</w:t>
      </w:r>
      <w:r w:rsidR="00CD69E9" w:rsidRPr="00C300E6">
        <w:rPr>
          <w:lang w:val="en-CA"/>
        </w:rPr>
        <w:t xml:space="preserve"> </w:t>
      </w:r>
      <w:r w:rsidR="008B58C0" w:rsidRPr="00C300E6">
        <w:rPr>
          <w:lang w:val="en-CA"/>
        </w:rPr>
        <w:t>exceptions</w:t>
      </w:r>
      <w:r w:rsidR="00CD69E9" w:rsidRPr="00C300E6">
        <w:rPr>
          <w:lang w:val="en-CA"/>
        </w:rPr>
        <w:t xml:space="preserve"> invok</w:t>
      </w:r>
      <w:r w:rsidR="00F91B67" w:rsidRPr="00C300E6">
        <w:rPr>
          <w:lang w:val="en-CA"/>
        </w:rPr>
        <w:t>ing</w:t>
      </w:r>
      <w:r w:rsidR="00CD69E9" w:rsidRPr="00C300E6">
        <w:rPr>
          <w:lang w:val="en-CA"/>
        </w:rPr>
        <w:t xml:space="preserve"> them</w:t>
      </w:r>
      <w:r w:rsidR="008B58C0" w:rsidRPr="00C300E6">
        <w:rPr>
          <w:lang w:val="en-CA"/>
        </w:rPr>
        <w:t>.</w:t>
      </w:r>
    </w:p>
    <w:p w14:paraId="0E887462" w14:textId="670A7277" w:rsidR="008B58C0" w:rsidRPr="00C300E6" w:rsidRDefault="00CD69E9" w:rsidP="008B58C0">
      <w:pPr>
        <w:pStyle w:val="Paragraphe"/>
        <w:spacing w:line="240" w:lineRule="auto"/>
        <w:rPr>
          <w:lang w:val="en-CA"/>
        </w:rPr>
      </w:pPr>
      <w:r w:rsidRPr="00C300E6">
        <w:rPr>
          <w:lang w:val="en-CA"/>
        </w:rPr>
        <w:t>First</w:t>
      </w:r>
      <w:r w:rsidR="008B58C0" w:rsidRPr="00C300E6">
        <w:rPr>
          <w:lang w:val="en-CA"/>
        </w:rPr>
        <w:t xml:space="preserve"> — </w:t>
      </w:r>
      <w:r w:rsidR="00A8414E" w:rsidRPr="00C300E6">
        <w:rPr>
          <w:lang w:val="en-CA"/>
        </w:rPr>
        <w:t xml:space="preserve">and as the </w:t>
      </w:r>
      <w:r w:rsidR="008B58C0" w:rsidRPr="00C300E6">
        <w:rPr>
          <w:lang w:val="en-CA"/>
        </w:rPr>
        <w:t>trial</w:t>
      </w:r>
      <w:r w:rsidR="00A8414E" w:rsidRPr="00C300E6">
        <w:rPr>
          <w:lang w:val="en-CA"/>
        </w:rPr>
        <w:t xml:space="preserve"> </w:t>
      </w:r>
      <w:r w:rsidR="008B58C0" w:rsidRPr="00C300E6">
        <w:rPr>
          <w:lang w:val="en-CA"/>
        </w:rPr>
        <w:t>judge</w:t>
      </w:r>
      <w:r w:rsidR="00A8414E" w:rsidRPr="00C300E6">
        <w:rPr>
          <w:lang w:val="en-CA"/>
        </w:rPr>
        <w:t xml:space="preserve"> correctly noted </w:t>
      </w:r>
      <w:r w:rsidR="008B58C0" w:rsidRPr="00C300E6">
        <w:rPr>
          <w:lang w:val="en-CA"/>
        </w:rPr>
        <w:t xml:space="preserve">— </w:t>
      </w:r>
      <w:r w:rsidR="00A8414E" w:rsidRPr="00C300E6">
        <w:rPr>
          <w:lang w:val="en-CA"/>
        </w:rPr>
        <w:t xml:space="preserve">such </w:t>
      </w:r>
      <w:r w:rsidR="00C01113" w:rsidRPr="00C300E6">
        <w:rPr>
          <w:lang w:val="en-CA"/>
        </w:rPr>
        <w:t xml:space="preserve">exceptions are </w:t>
      </w:r>
      <w:r w:rsidR="000D553F" w:rsidRPr="00C300E6">
        <w:rPr>
          <w:lang w:val="en-CA"/>
        </w:rPr>
        <w:t xml:space="preserve">subject to </w:t>
      </w:r>
      <w:r w:rsidR="008B58C0" w:rsidRPr="00C300E6">
        <w:rPr>
          <w:lang w:val="en-CA"/>
        </w:rPr>
        <w:t>article 491 C.C.P</w:t>
      </w:r>
      <w:r w:rsidR="008B58C0" w:rsidRPr="00C300E6">
        <w:rPr>
          <w:i/>
          <w:lang w:val="en-CA"/>
        </w:rPr>
        <w:t>.</w:t>
      </w:r>
      <w:r w:rsidR="008B58C0" w:rsidRPr="00C300E6">
        <w:rPr>
          <w:szCs w:val="22"/>
          <w:lang w:val="en-CA"/>
        </w:rPr>
        <w:t xml:space="preserve"> </w:t>
      </w:r>
      <w:r w:rsidR="004765A3" w:rsidRPr="00C300E6">
        <w:rPr>
          <w:szCs w:val="22"/>
          <w:lang w:val="en-CA"/>
        </w:rPr>
        <w:t xml:space="preserve">The </w:t>
      </w:r>
      <w:r w:rsidR="008B58C0" w:rsidRPr="00C300E6">
        <w:rPr>
          <w:szCs w:val="22"/>
          <w:lang w:val="en-CA"/>
        </w:rPr>
        <w:t>legislature</w:t>
      </w:r>
      <w:r w:rsidR="004765A3" w:rsidRPr="00C300E6">
        <w:rPr>
          <w:szCs w:val="22"/>
          <w:lang w:val="en-CA"/>
        </w:rPr>
        <w:t xml:space="preserve"> states in the </w:t>
      </w:r>
      <w:r w:rsidR="008B58C0" w:rsidRPr="00C300E6">
        <w:rPr>
          <w:szCs w:val="22"/>
          <w:lang w:val="en-CA"/>
        </w:rPr>
        <w:t>first</w:t>
      </w:r>
      <w:r w:rsidR="004765A3" w:rsidRPr="00C300E6">
        <w:rPr>
          <w:szCs w:val="22"/>
          <w:lang w:val="en-CA"/>
        </w:rPr>
        <w:t xml:space="preserve"> </w:t>
      </w:r>
      <w:r w:rsidR="008B58C0" w:rsidRPr="00C300E6">
        <w:rPr>
          <w:szCs w:val="22"/>
          <w:lang w:val="en-CA"/>
        </w:rPr>
        <w:t>paragraph</w:t>
      </w:r>
      <w:r w:rsidR="004765A3" w:rsidRPr="00C300E6">
        <w:rPr>
          <w:szCs w:val="22"/>
          <w:lang w:val="en-CA"/>
        </w:rPr>
        <w:t xml:space="preserve"> of that article that “</w:t>
      </w:r>
      <w:r w:rsidR="004765A3" w:rsidRPr="00C300E6">
        <w:rPr>
          <w:rStyle w:val="lawlabel"/>
          <w:rFonts w:ascii="Helvetica" w:hAnsi="Helvetica" w:cs="Helvetica"/>
          <w:bCs/>
          <w:szCs w:val="22"/>
          <w:lang w:val="en-CA"/>
        </w:rPr>
        <w:t>[a]n application urging a Qu</w:t>
      </w:r>
      <w:r w:rsidR="00190FDF" w:rsidRPr="00C300E6">
        <w:rPr>
          <w:rStyle w:val="lawlabel"/>
          <w:rFonts w:ascii="Helvetica" w:hAnsi="Helvetica" w:cs="Helvetica"/>
          <w:bCs/>
          <w:szCs w:val="22"/>
          <w:lang w:val="en-CA"/>
        </w:rPr>
        <w:t>e</w:t>
      </w:r>
      <w:r w:rsidR="004765A3" w:rsidRPr="00C300E6">
        <w:rPr>
          <w:rStyle w:val="lawlabel"/>
          <w:rFonts w:ascii="Helvetica" w:hAnsi="Helvetica" w:cs="Helvetica"/>
          <w:bCs/>
          <w:szCs w:val="22"/>
          <w:lang w:val="en-CA"/>
        </w:rPr>
        <w:t>bec court to decline international jurisdiction … is made in the same way as any preliminary exception</w:t>
      </w:r>
      <w:r w:rsidR="004765A3" w:rsidRPr="00C300E6">
        <w:rPr>
          <w:szCs w:val="22"/>
          <w:lang w:val="en-CA"/>
        </w:rPr>
        <w:t>/</w:t>
      </w:r>
      <w:r w:rsidR="008B58C0" w:rsidRPr="00C300E6">
        <w:rPr>
          <w:i/>
          <w:szCs w:val="22"/>
          <w:lang w:val="en-CA"/>
        </w:rPr>
        <w:t>[l]a demande pour que le</w:t>
      </w:r>
      <w:r w:rsidR="004765A3" w:rsidRPr="00C300E6">
        <w:rPr>
          <w:i/>
          <w:szCs w:val="22"/>
          <w:lang w:val="en-CA"/>
        </w:rPr>
        <w:t xml:space="preserve"> </w:t>
      </w:r>
      <w:r w:rsidR="008B58C0" w:rsidRPr="00C300E6">
        <w:rPr>
          <w:i/>
          <w:szCs w:val="22"/>
          <w:lang w:val="en-CA"/>
        </w:rPr>
        <w:t>tribunal</w:t>
      </w:r>
      <w:r w:rsidR="004765A3" w:rsidRPr="00C300E6">
        <w:rPr>
          <w:i/>
          <w:szCs w:val="22"/>
          <w:lang w:val="en-CA"/>
        </w:rPr>
        <w:t xml:space="preserve"> </w:t>
      </w:r>
      <w:r w:rsidR="008B58C0" w:rsidRPr="00C300E6">
        <w:rPr>
          <w:i/>
          <w:szCs w:val="22"/>
          <w:lang w:val="en-CA"/>
        </w:rPr>
        <w:t xml:space="preserve">québécois </w:t>
      </w:r>
      <w:r w:rsidR="004765A3" w:rsidRPr="00C300E6">
        <w:rPr>
          <w:i/>
          <w:szCs w:val="22"/>
          <w:lang w:val="en-CA"/>
        </w:rPr>
        <w:t>d</w:t>
      </w:r>
      <w:r w:rsidR="008B58C0" w:rsidRPr="00C300E6">
        <w:rPr>
          <w:i/>
          <w:szCs w:val="22"/>
          <w:lang w:val="en-CA"/>
        </w:rPr>
        <w:t xml:space="preserve">écline sa </w:t>
      </w:r>
      <w:r w:rsidR="004765A3" w:rsidRPr="00C300E6">
        <w:rPr>
          <w:i/>
          <w:szCs w:val="22"/>
          <w:lang w:val="en-CA"/>
        </w:rPr>
        <w:t xml:space="preserve">competence </w:t>
      </w:r>
      <w:r w:rsidR="008B58C0" w:rsidRPr="00C300E6">
        <w:rPr>
          <w:i/>
          <w:szCs w:val="22"/>
          <w:lang w:val="en-CA"/>
        </w:rPr>
        <w:t>internationale … est proposée … comme tout moyen préliminaire</w:t>
      </w:r>
      <w:r w:rsidR="004765A3" w:rsidRPr="00C300E6">
        <w:rPr>
          <w:szCs w:val="22"/>
          <w:lang w:val="en-CA"/>
        </w:rPr>
        <w:t>”.</w:t>
      </w:r>
      <w:r w:rsidR="008B58C0" w:rsidRPr="00C300E6">
        <w:rPr>
          <w:lang w:val="en-CA"/>
        </w:rPr>
        <w:t xml:space="preserve"> </w:t>
      </w:r>
      <w:r w:rsidR="004765A3" w:rsidRPr="00C300E6">
        <w:rPr>
          <w:lang w:val="en-CA"/>
        </w:rPr>
        <w:t xml:space="preserve">Then, in the </w:t>
      </w:r>
      <w:r w:rsidR="008B58C0" w:rsidRPr="00C300E6">
        <w:rPr>
          <w:lang w:val="en-CA"/>
        </w:rPr>
        <w:t xml:space="preserve">second paragraph, </w:t>
      </w:r>
      <w:r w:rsidR="004765A3" w:rsidRPr="00C300E6">
        <w:rPr>
          <w:lang w:val="en-CA"/>
        </w:rPr>
        <w:t xml:space="preserve">the </w:t>
      </w:r>
      <w:r w:rsidR="008B58C0" w:rsidRPr="00C300E6">
        <w:rPr>
          <w:lang w:val="en-CA"/>
        </w:rPr>
        <w:t xml:space="preserve">legislature </w:t>
      </w:r>
      <w:r w:rsidR="004765A3" w:rsidRPr="00C300E6">
        <w:rPr>
          <w:lang w:val="en-CA"/>
        </w:rPr>
        <w:t xml:space="preserve">adds that </w:t>
      </w:r>
      <w:r w:rsidR="00190FDF" w:rsidRPr="00C300E6">
        <w:rPr>
          <w:lang w:val="en-CA"/>
        </w:rPr>
        <w:t xml:space="preserve">when ruling on its international jurisdiction, the court must consider the guiding principles of procedure set out in </w:t>
      </w:r>
      <w:r w:rsidR="008B58C0" w:rsidRPr="00C300E6">
        <w:rPr>
          <w:lang w:val="en-CA"/>
        </w:rPr>
        <w:t>articles</w:t>
      </w:r>
      <w:r w:rsidR="00190FDF" w:rsidRPr="00C300E6">
        <w:rPr>
          <w:lang w:val="en-CA"/>
        </w:rPr>
        <w:t xml:space="preserve"> </w:t>
      </w:r>
      <w:r w:rsidR="008B58C0" w:rsidRPr="00C300E6">
        <w:rPr>
          <w:lang w:val="en-CA"/>
        </w:rPr>
        <w:t xml:space="preserve">17 </w:t>
      </w:r>
      <w:r w:rsidR="00190FDF" w:rsidRPr="00C300E6">
        <w:rPr>
          <w:lang w:val="en-CA"/>
        </w:rPr>
        <w:t xml:space="preserve">to </w:t>
      </w:r>
      <w:r w:rsidR="008B58C0" w:rsidRPr="00C300E6">
        <w:rPr>
          <w:lang w:val="en-CA"/>
        </w:rPr>
        <w:t>24 C.C.P</w:t>
      </w:r>
      <w:r w:rsidR="008B58C0" w:rsidRPr="00C300E6">
        <w:rPr>
          <w:i/>
          <w:lang w:val="en-CA"/>
        </w:rPr>
        <w:t>.</w:t>
      </w:r>
    </w:p>
    <w:p w14:paraId="23E580C9" w14:textId="4F053EE1" w:rsidR="008B58C0" w:rsidRPr="00C300E6" w:rsidRDefault="00190FDF" w:rsidP="008B58C0">
      <w:pPr>
        <w:pStyle w:val="Paragraphe"/>
        <w:spacing w:line="240" w:lineRule="auto"/>
        <w:rPr>
          <w:lang w:val="en-CA"/>
        </w:rPr>
      </w:pPr>
      <w:r w:rsidRPr="00C300E6">
        <w:rPr>
          <w:lang w:val="en-CA"/>
        </w:rPr>
        <w:t xml:space="preserve">Let </w:t>
      </w:r>
      <w:r w:rsidR="001A5B78">
        <w:rPr>
          <w:lang w:val="en-CA"/>
        </w:rPr>
        <w:t xml:space="preserve">us </w:t>
      </w:r>
      <w:r w:rsidRPr="00C300E6">
        <w:rPr>
          <w:lang w:val="en-CA"/>
        </w:rPr>
        <w:t xml:space="preserve">examine each of these </w:t>
      </w:r>
      <w:r w:rsidR="009C1641" w:rsidRPr="00C300E6">
        <w:rPr>
          <w:lang w:val="en-CA"/>
        </w:rPr>
        <w:t>factors</w:t>
      </w:r>
      <w:r w:rsidRPr="00C300E6">
        <w:rPr>
          <w:lang w:val="en-CA"/>
        </w:rPr>
        <w:t xml:space="preserve"> in </w:t>
      </w:r>
      <w:r w:rsidR="009C1641" w:rsidRPr="00C300E6">
        <w:rPr>
          <w:lang w:val="en-CA"/>
        </w:rPr>
        <w:t>greater</w:t>
      </w:r>
      <w:r w:rsidRPr="00C300E6">
        <w:rPr>
          <w:lang w:val="en-CA"/>
        </w:rPr>
        <w:t xml:space="preserve"> detail</w:t>
      </w:r>
      <w:r w:rsidR="008B58C0" w:rsidRPr="00C300E6">
        <w:rPr>
          <w:lang w:val="en-CA"/>
        </w:rPr>
        <w:t>.</w:t>
      </w:r>
    </w:p>
    <w:p w14:paraId="368A66CD" w14:textId="32F6574C" w:rsidR="008B58C0" w:rsidRPr="00C300E6" w:rsidRDefault="00190FDF" w:rsidP="008B58C0">
      <w:pPr>
        <w:pStyle w:val="Titre3"/>
        <w:numPr>
          <w:ilvl w:val="0"/>
          <w:numId w:val="30"/>
        </w:numPr>
        <w:spacing w:before="120" w:after="120" w:line="240" w:lineRule="auto"/>
        <w:ind w:left="1134"/>
        <w:jc w:val="both"/>
        <w:rPr>
          <w:rFonts w:cs="Arial"/>
          <w:lang w:val="en-CA"/>
        </w:rPr>
      </w:pPr>
      <w:r w:rsidRPr="00C300E6">
        <w:rPr>
          <w:rFonts w:cs="Arial"/>
          <w:b/>
          <w:lang w:val="en-CA"/>
        </w:rPr>
        <w:lastRenderedPageBreak/>
        <w:t xml:space="preserve">Reference to the </w:t>
      </w:r>
      <w:r w:rsidR="008B58C0" w:rsidRPr="00C300E6">
        <w:rPr>
          <w:rFonts w:cs="Arial"/>
          <w:b/>
          <w:lang w:val="en-CA"/>
        </w:rPr>
        <w:t>provisions</w:t>
      </w:r>
      <w:r w:rsidRPr="00C300E6">
        <w:rPr>
          <w:rFonts w:cs="Arial"/>
          <w:b/>
          <w:lang w:val="en-CA"/>
        </w:rPr>
        <w:t xml:space="preserve"> of the </w:t>
      </w:r>
      <w:r w:rsidR="008B58C0" w:rsidRPr="00C300E6">
        <w:rPr>
          <w:rFonts w:cs="Arial"/>
          <w:b/>
          <w:i/>
          <w:lang w:val="en-CA"/>
        </w:rPr>
        <w:t>Code</w:t>
      </w:r>
      <w:r w:rsidRPr="00C300E6">
        <w:rPr>
          <w:rFonts w:cs="Arial"/>
          <w:b/>
          <w:i/>
          <w:lang w:val="en-CA"/>
        </w:rPr>
        <w:t xml:space="preserve"> </w:t>
      </w:r>
      <w:r w:rsidR="008B58C0" w:rsidRPr="00C300E6">
        <w:rPr>
          <w:rFonts w:cs="Arial"/>
          <w:b/>
          <w:i/>
          <w:lang w:val="en-CA"/>
        </w:rPr>
        <w:t>of</w:t>
      </w:r>
      <w:r w:rsidRPr="00C300E6">
        <w:rPr>
          <w:rFonts w:cs="Arial"/>
          <w:b/>
          <w:i/>
          <w:lang w:val="en-CA"/>
        </w:rPr>
        <w:t xml:space="preserve"> </w:t>
      </w:r>
      <w:r w:rsidR="008B58C0" w:rsidRPr="00C300E6">
        <w:rPr>
          <w:rFonts w:cs="Arial"/>
          <w:b/>
          <w:i/>
          <w:lang w:val="en-CA"/>
        </w:rPr>
        <w:t>Civil</w:t>
      </w:r>
      <w:r w:rsidRPr="00C300E6">
        <w:rPr>
          <w:rFonts w:cs="Arial"/>
          <w:b/>
          <w:i/>
          <w:lang w:val="en-CA"/>
        </w:rPr>
        <w:t xml:space="preserve"> </w:t>
      </w:r>
      <w:r w:rsidR="008B58C0" w:rsidRPr="00C300E6">
        <w:rPr>
          <w:rFonts w:cs="Arial"/>
          <w:b/>
          <w:i/>
          <w:lang w:val="en-CA"/>
        </w:rPr>
        <w:t>Procedure</w:t>
      </w:r>
      <w:r w:rsidR="008B58C0" w:rsidRPr="00C300E6">
        <w:rPr>
          <w:rFonts w:cs="Arial"/>
          <w:b/>
          <w:lang w:val="en-CA"/>
        </w:rPr>
        <w:t xml:space="preserve"> </w:t>
      </w:r>
      <w:r w:rsidR="00FB5B46" w:rsidRPr="00C300E6">
        <w:rPr>
          <w:rFonts w:cs="Arial"/>
          <w:b/>
          <w:lang w:val="en-CA"/>
        </w:rPr>
        <w:t xml:space="preserve">on </w:t>
      </w:r>
      <w:r w:rsidR="008B58C0" w:rsidRPr="00C300E6">
        <w:rPr>
          <w:rFonts w:cs="Arial"/>
          <w:b/>
          <w:lang w:val="en-CA"/>
        </w:rPr>
        <w:t>preliminary</w:t>
      </w:r>
      <w:r w:rsidR="00FB5B46" w:rsidRPr="00C300E6">
        <w:rPr>
          <w:rFonts w:cs="Arial"/>
          <w:b/>
          <w:lang w:val="en-CA"/>
        </w:rPr>
        <w:t xml:space="preserve"> </w:t>
      </w:r>
      <w:r w:rsidR="008B58C0" w:rsidRPr="00C300E6">
        <w:rPr>
          <w:rFonts w:cs="Arial"/>
          <w:b/>
          <w:lang w:val="en-CA"/>
        </w:rPr>
        <w:t>exceptions</w:t>
      </w:r>
    </w:p>
    <w:p w14:paraId="7696A0C2" w14:textId="1C60EDA6" w:rsidR="008B58C0" w:rsidRPr="00C300E6" w:rsidRDefault="00FF3B4C" w:rsidP="008B58C0">
      <w:pPr>
        <w:pStyle w:val="Paragraphe"/>
        <w:spacing w:line="240" w:lineRule="auto"/>
        <w:rPr>
          <w:lang w:val="en-CA"/>
        </w:rPr>
      </w:pPr>
      <w:r w:rsidRPr="00C300E6">
        <w:rPr>
          <w:lang w:val="en-CA"/>
        </w:rPr>
        <w:t xml:space="preserve">The first </w:t>
      </w:r>
      <w:r w:rsidR="001945A7" w:rsidRPr="00C300E6">
        <w:rPr>
          <w:lang w:val="en-CA"/>
        </w:rPr>
        <w:t xml:space="preserve">factor </w:t>
      </w:r>
      <w:r w:rsidR="006D6F64" w:rsidRPr="00C300E6">
        <w:rPr>
          <w:lang w:val="en-CA"/>
        </w:rPr>
        <w:t>is</w:t>
      </w:r>
      <w:r w:rsidRPr="00C300E6">
        <w:rPr>
          <w:lang w:val="en-CA"/>
        </w:rPr>
        <w:t xml:space="preserve"> a reference to the </w:t>
      </w:r>
      <w:r w:rsidR="008B58C0" w:rsidRPr="00C300E6">
        <w:rPr>
          <w:lang w:val="en-CA"/>
        </w:rPr>
        <w:t>provisions</w:t>
      </w:r>
      <w:r w:rsidRPr="00C300E6">
        <w:rPr>
          <w:lang w:val="en-CA"/>
        </w:rPr>
        <w:t xml:space="preserve"> of the </w:t>
      </w:r>
      <w:r w:rsidR="008B58C0" w:rsidRPr="00C300E6">
        <w:rPr>
          <w:i/>
          <w:lang w:val="en-CA"/>
        </w:rPr>
        <w:t>Code</w:t>
      </w:r>
      <w:r w:rsidRPr="00C300E6">
        <w:rPr>
          <w:i/>
          <w:lang w:val="en-CA"/>
        </w:rPr>
        <w:t xml:space="preserve"> </w:t>
      </w:r>
      <w:r w:rsidR="008B58C0" w:rsidRPr="00C300E6">
        <w:rPr>
          <w:i/>
          <w:lang w:val="en-CA"/>
        </w:rPr>
        <w:t>of</w:t>
      </w:r>
      <w:r w:rsidRPr="00C300E6">
        <w:rPr>
          <w:i/>
          <w:lang w:val="en-CA"/>
        </w:rPr>
        <w:t xml:space="preserve"> </w:t>
      </w:r>
      <w:r w:rsidR="008B58C0" w:rsidRPr="00C300E6">
        <w:rPr>
          <w:i/>
          <w:lang w:val="en-CA"/>
        </w:rPr>
        <w:t>Civil</w:t>
      </w:r>
      <w:r w:rsidRPr="00C300E6">
        <w:rPr>
          <w:i/>
          <w:lang w:val="en-CA"/>
        </w:rPr>
        <w:t xml:space="preserve"> </w:t>
      </w:r>
      <w:r w:rsidR="008B58C0" w:rsidRPr="00C300E6">
        <w:rPr>
          <w:i/>
          <w:lang w:val="en-CA"/>
        </w:rPr>
        <w:t>Procedure</w:t>
      </w:r>
      <w:r w:rsidRPr="00C300E6">
        <w:rPr>
          <w:i/>
          <w:lang w:val="en-CA"/>
        </w:rPr>
        <w:t xml:space="preserve"> </w:t>
      </w:r>
      <w:r w:rsidRPr="00C300E6">
        <w:rPr>
          <w:lang w:val="en-CA"/>
        </w:rPr>
        <w:t xml:space="preserve">on </w:t>
      </w:r>
      <w:r w:rsidR="008B58C0" w:rsidRPr="00C300E6">
        <w:rPr>
          <w:lang w:val="en-CA"/>
        </w:rPr>
        <w:t>preliminary</w:t>
      </w:r>
      <w:r w:rsidRPr="00C300E6">
        <w:rPr>
          <w:lang w:val="en-CA"/>
        </w:rPr>
        <w:t xml:space="preserve"> </w:t>
      </w:r>
      <w:r w:rsidR="008B58C0" w:rsidRPr="00C300E6">
        <w:rPr>
          <w:lang w:val="en-CA"/>
        </w:rPr>
        <w:t>exceptions, articles</w:t>
      </w:r>
      <w:r w:rsidRPr="00C300E6">
        <w:rPr>
          <w:lang w:val="en-CA"/>
        </w:rPr>
        <w:t xml:space="preserve"> </w:t>
      </w:r>
      <w:r w:rsidR="008B58C0" w:rsidRPr="00C300E6">
        <w:rPr>
          <w:lang w:val="en-CA"/>
        </w:rPr>
        <w:t xml:space="preserve">166 </w:t>
      </w:r>
      <w:r w:rsidRPr="00C300E6">
        <w:rPr>
          <w:lang w:val="en-CA"/>
        </w:rPr>
        <w:t>to</w:t>
      </w:r>
      <w:r w:rsidR="008B58C0" w:rsidRPr="00C300E6">
        <w:rPr>
          <w:lang w:val="en-CA"/>
        </w:rPr>
        <w:t xml:space="preserve"> 169. </w:t>
      </w:r>
      <w:r w:rsidR="006F4DDB" w:rsidRPr="00C300E6">
        <w:rPr>
          <w:lang w:val="en-CA"/>
        </w:rPr>
        <w:t>The last two</w:t>
      </w:r>
      <w:r w:rsidR="006D6F64" w:rsidRPr="00C300E6">
        <w:rPr>
          <w:lang w:val="en-CA"/>
        </w:rPr>
        <w:t xml:space="preserve"> articles</w:t>
      </w:r>
      <w:r w:rsidR="006F4DDB" w:rsidRPr="00C300E6">
        <w:rPr>
          <w:lang w:val="en-CA"/>
        </w:rPr>
        <w:t xml:space="preserve"> </w:t>
      </w:r>
      <w:r w:rsidR="008B58C0" w:rsidRPr="00C300E6">
        <w:rPr>
          <w:lang w:val="en-CA"/>
        </w:rPr>
        <w:t xml:space="preserve">— 168 </w:t>
      </w:r>
      <w:r w:rsidR="006F4DDB" w:rsidRPr="00C300E6">
        <w:rPr>
          <w:lang w:val="en-CA"/>
        </w:rPr>
        <w:t>and</w:t>
      </w:r>
      <w:r w:rsidR="008B58C0" w:rsidRPr="00C300E6">
        <w:rPr>
          <w:lang w:val="en-CA"/>
        </w:rPr>
        <w:t xml:space="preserve"> 169 C.C.P</w:t>
      </w:r>
      <w:r w:rsidR="008B58C0" w:rsidRPr="00C300E6">
        <w:rPr>
          <w:i/>
          <w:lang w:val="en-CA"/>
        </w:rPr>
        <w:t>.</w:t>
      </w:r>
      <w:r w:rsidR="008B58C0" w:rsidRPr="00C300E6">
        <w:rPr>
          <w:lang w:val="en-CA"/>
        </w:rPr>
        <w:t xml:space="preserve"> — </w:t>
      </w:r>
      <w:r w:rsidR="006F4DDB" w:rsidRPr="00C300E6">
        <w:rPr>
          <w:lang w:val="en-CA"/>
        </w:rPr>
        <w:t xml:space="preserve">are not </w:t>
      </w:r>
      <w:r w:rsidR="008B58C0" w:rsidRPr="00C300E6">
        <w:rPr>
          <w:lang w:val="en-CA"/>
        </w:rPr>
        <w:t>relevant,</w:t>
      </w:r>
      <w:r w:rsidR="006D6F64" w:rsidRPr="00C300E6">
        <w:rPr>
          <w:lang w:val="en-CA"/>
        </w:rPr>
        <w:t xml:space="preserve"> as they address issues that have nothing to do with the </w:t>
      </w:r>
      <w:r w:rsidR="008B58C0" w:rsidRPr="00C300E6">
        <w:rPr>
          <w:lang w:val="en-CA"/>
        </w:rPr>
        <w:t>jurisdiction</w:t>
      </w:r>
      <w:r w:rsidR="006D6F64" w:rsidRPr="00C300E6">
        <w:rPr>
          <w:lang w:val="en-CA"/>
        </w:rPr>
        <w:t xml:space="preserve"> of the </w:t>
      </w:r>
      <w:r w:rsidR="008B58C0" w:rsidRPr="00C300E6">
        <w:rPr>
          <w:lang w:val="en-CA"/>
        </w:rPr>
        <w:t>court</w:t>
      </w:r>
      <w:r w:rsidR="006D6F64" w:rsidRPr="00C300E6">
        <w:rPr>
          <w:lang w:val="en-CA"/>
        </w:rPr>
        <w:t xml:space="preserve"> </w:t>
      </w:r>
      <w:r w:rsidR="00A5186F" w:rsidRPr="00C300E6">
        <w:rPr>
          <w:lang w:val="en-CA"/>
        </w:rPr>
        <w:t>seized</w:t>
      </w:r>
      <w:r w:rsidR="008B58C0" w:rsidRPr="00C300E6">
        <w:rPr>
          <w:lang w:val="en-CA"/>
        </w:rPr>
        <w:t xml:space="preserve">. </w:t>
      </w:r>
      <w:r w:rsidR="006D6F64" w:rsidRPr="00C300E6">
        <w:rPr>
          <w:lang w:val="en-CA"/>
        </w:rPr>
        <w:t>The two provisions that warrant co</w:t>
      </w:r>
      <w:r w:rsidR="00F02B92" w:rsidRPr="00C300E6">
        <w:rPr>
          <w:lang w:val="en-CA"/>
        </w:rPr>
        <w:t xml:space="preserve">mment are therefore </w:t>
      </w:r>
      <w:r w:rsidR="008B58C0" w:rsidRPr="00C300E6">
        <w:rPr>
          <w:lang w:val="en-CA"/>
        </w:rPr>
        <w:t>articles</w:t>
      </w:r>
      <w:r w:rsidR="00F02B92" w:rsidRPr="00C300E6">
        <w:rPr>
          <w:lang w:val="en-CA"/>
        </w:rPr>
        <w:t xml:space="preserve"> </w:t>
      </w:r>
      <w:r w:rsidR="008B58C0" w:rsidRPr="00C300E6">
        <w:rPr>
          <w:lang w:val="en-CA"/>
        </w:rPr>
        <w:t xml:space="preserve">166 </w:t>
      </w:r>
      <w:r w:rsidR="00F02B92" w:rsidRPr="00C300E6">
        <w:rPr>
          <w:lang w:val="en-CA"/>
        </w:rPr>
        <w:t>and</w:t>
      </w:r>
      <w:r w:rsidR="008B58C0" w:rsidRPr="00C300E6">
        <w:rPr>
          <w:lang w:val="en-CA"/>
        </w:rPr>
        <w:t xml:space="preserve"> 167 C.C.P</w:t>
      </w:r>
      <w:r w:rsidR="008B58C0" w:rsidRPr="00C300E6">
        <w:rPr>
          <w:i/>
          <w:lang w:val="en-CA"/>
        </w:rPr>
        <w:t>.</w:t>
      </w:r>
    </w:p>
    <w:p w14:paraId="0BA22DF6" w14:textId="537F1B9C" w:rsidR="008B58C0" w:rsidRPr="00C300E6" w:rsidRDefault="00F02B92" w:rsidP="008B58C0">
      <w:pPr>
        <w:pStyle w:val="Paragraphe"/>
        <w:spacing w:line="240" w:lineRule="auto"/>
        <w:rPr>
          <w:lang w:val="en-CA"/>
        </w:rPr>
      </w:pPr>
      <w:r w:rsidRPr="00C300E6">
        <w:rPr>
          <w:lang w:val="en-CA"/>
        </w:rPr>
        <w:t xml:space="preserve">In </w:t>
      </w:r>
      <w:r w:rsidR="0025065C">
        <w:rPr>
          <w:lang w:val="en-CA"/>
        </w:rPr>
        <w:t>article</w:t>
      </w:r>
      <w:r w:rsidR="0025065C" w:rsidRPr="00C300E6">
        <w:rPr>
          <w:lang w:val="en-CA"/>
        </w:rPr>
        <w:t xml:space="preserve"> </w:t>
      </w:r>
      <w:r w:rsidR="008B58C0" w:rsidRPr="00C300E6">
        <w:rPr>
          <w:lang w:val="en-CA"/>
        </w:rPr>
        <w:t>166 C.C.P</w:t>
      </w:r>
      <w:r w:rsidR="008B58C0" w:rsidRPr="00C300E6">
        <w:rPr>
          <w:i/>
          <w:lang w:val="en-CA"/>
        </w:rPr>
        <w:t>.</w:t>
      </w:r>
      <w:r w:rsidR="008B58C0" w:rsidRPr="00C300E6">
        <w:rPr>
          <w:lang w:val="en-CA"/>
        </w:rPr>
        <w:t xml:space="preserve">, </w:t>
      </w:r>
      <w:r w:rsidRPr="00C300E6">
        <w:rPr>
          <w:lang w:val="en-CA"/>
        </w:rPr>
        <w:t xml:space="preserve">the </w:t>
      </w:r>
      <w:r w:rsidR="008B58C0" w:rsidRPr="00C300E6">
        <w:rPr>
          <w:lang w:val="en-CA"/>
        </w:rPr>
        <w:t xml:space="preserve">legislature </w:t>
      </w:r>
      <w:r w:rsidRPr="00C300E6">
        <w:rPr>
          <w:lang w:val="en-CA"/>
        </w:rPr>
        <w:t xml:space="preserve">states that </w:t>
      </w:r>
      <w:r w:rsidR="008B58C0" w:rsidRPr="00C300E6">
        <w:rPr>
          <w:lang w:val="en-CA"/>
        </w:rPr>
        <w:t>preliminary</w:t>
      </w:r>
      <w:r w:rsidR="00237C46" w:rsidRPr="00C300E6">
        <w:rPr>
          <w:lang w:val="en-CA"/>
        </w:rPr>
        <w:t xml:space="preserve"> </w:t>
      </w:r>
      <w:r w:rsidR="008B58C0" w:rsidRPr="00C300E6">
        <w:rPr>
          <w:lang w:val="en-CA"/>
        </w:rPr>
        <w:t>exceptions</w:t>
      </w:r>
      <w:r w:rsidR="00237C46" w:rsidRPr="00C300E6">
        <w:rPr>
          <w:lang w:val="en-CA"/>
        </w:rPr>
        <w:t xml:space="preserve"> must be “disclose[d] … in writing to the other party in sufficient time/</w:t>
      </w:r>
      <w:r w:rsidR="008B58C0" w:rsidRPr="00C300E6">
        <w:rPr>
          <w:i/>
          <w:lang w:val="en-CA"/>
        </w:rPr>
        <w:t>dénonc[és] par écrit à l’autre partie en temps utile</w:t>
      </w:r>
      <w:r w:rsidR="00237C46" w:rsidRPr="00C300E6">
        <w:rPr>
          <w:lang w:val="en-CA"/>
        </w:rPr>
        <w:t>”</w:t>
      </w:r>
      <w:r w:rsidR="008B58C0" w:rsidRPr="00C300E6">
        <w:rPr>
          <w:lang w:val="en-CA"/>
        </w:rPr>
        <w:t xml:space="preserve"> (article 166</w:t>
      </w:r>
      <w:r w:rsidR="00237C46" w:rsidRPr="00C300E6">
        <w:rPr>
          <w:lang w:val="en-CA"/>
        </w:rPr>
        <w:t>, para</w:t>
      </w:r>
      <w:r w:rsidR="008B58C0" w:rsidRPr="00C300E6">
        <w:rPr>
          <w:lang w:val="en-CA"/>
        </w:rPr>
        <w:t>. 1 C.C.P</w:t>
      </w:r>
      <w:r w:rsidR="008B58C0" w:rsidRPr="00C300E6">
        <w:rPr>
          <w:i/>
          <w:lang w:val="en-CA"/>
        </w:rPr>
        <w:t>.</w:t>
      </w:r>
      <w:r w:rsidR="008B58C0" w:rsidRPr="00C300E6">
        <w:rPr>
          <w:lang w:val="en-CA"/>
        </w:rPr>
        <w:t xml:space="preserve">). </w:t>
      </w:r>
      <w:r w:rsidR="00237C46" w:rsidRPr="00C300E6">
        <w:rPr>
          <w:lang w:val="en-CA"/>
        </w:rPr>
        <w:t xml:space="preserve">This </w:t>
      </w:r>
      <w:r w:rsidR="008B58C0" w:rsidRPr="00C300E6">
        <w:rPr>
          <w:lang w:val="en-CA"/>
        </w:rPr>
        <w:t>obligation</w:t>
      </w:r>
      <w:r w:rsidR="00237C46" w:rsidRPr="00C300E6">
        <w:rPr>
          <w:lang w:val="en-CA"/>
        </w:rPr>
        <w:t xml:space="preserve"> of </w:t>
      </w:r>
      <w:r w:rsidR="008B58C0" w:rsidRPr="00C300E6">
        <w:rPr>
          <w:lang w:val="en-CA"/>
        </w:rPr>
        <w:t xml:space="preserve">diligence </w:t>
      </w:r>
      <w:r w:rsidR="001945A7" w:rsidRPr="00C300E6">
        <w:rPr>
          <w:lang w:val="en-CA"/>
        </w:rPr>
        <w:t>incumbent</w:t>
      </w:r>
      <w:r w:rsidR="008B58C0" w:rsidRPr="00C300E6">
        <w:rPr>
          <w:lang w:val="en-CA"/>
        </w:rPr>
        <w:t xml:space="preserve"> </w:t>
      </w:r>
      <w:r w:rsidR="00237C46" w:rsidRPr="00C300E6">
        <w:rPr>
          <w:lang w:val="en-CA"/>
        </w:rPr>
        <w:t xml:space="preserve">on any party that </w:t>
      </w:r>
      <w:r w:rsidR="008B58C0" w:rsidRPr="00C300E6">
        <w:rPr>
          <w:lang w:val="en-CA"/>
        </w:rPr>
        <w:t>raises</w:t>
      </w:r>
      <w:r w:rsidR="00237C46" w:rsidRPr="00C300E6">
        <w:rPr>
          <w:lang w:val="en-CA"/>
        </w:rPr>
        <w:t xml:space="preserve"> such an exception is set out as follows in the </w:t>
      </w:r>
      <w:r w:rsidR="008B58C0" w:rsidRPr="00C300E6">
        <w:rPr>
          <w:lang w:val="en-CA"/>
        </w:rPr>
        <w:t>second</w:t>
      </w:r>
      <w:r w:rsidR="001945A7" w:rsidRPr="00C300E6">
        <w:rPr>
          <w:lang w:val="en-CA"/>
        </w:rPr>
        <w:t xml:space="preserve"> </w:t>
      </w:r>
      <w:r w:rsidR="008B58C0" w:rsidRPr="00C300E6">
        <w:rPr>
          <w:lang w:val="en-CA"/>
        </w:rPr>
        <w:t>paragraph:</w:t>
      </w:r>
    </w:p>
    <w:tbl>
      <w:tblPr>
        <w:tblStyle w:val="Grilledutableau"/>
        <w:tblW w:w="0" w:type="auto"/>
        <w:tblInd w:w="818" w:type="dxa"/>
        <w:tblLook w:val="04A0" w:firstRow="1" w:lastRow="0" w:firstColumn="1" w:lastColumn="0" w:noHBand="0" w:noVBand="1"/>
      </w:tblPr>
      <w:tblGrid>
        <w:gridCol w:w="3853"/>
        <w:gridCol w:w="3971"/>
      </w:tblGrid>
      <w:tr w:rsidR="00BA1ACE" w:rsidRPr="00C300E6" w14:paraId="65926C39" w14:textId="77777777" w:rsidTr="008B58C0">
        <w:trPr>
          <w:trHeight w:val="707"/>
        </w:trPr>
        <w:tc>
          <w:tcPr>
            <w:tcW w:w="3853" w:type="dxa"/>
            <w:tcBorders>
              <w:top w:val="nil"/>
              <w:left w:val="nil"/>
              <w:bottom w:val="nil"/>
              <w:right w:val="nil"/>
            </w:tcBorders>
          </w:tcPr>
          <w:p w14:paraId="67C9F707" w14:textId="77777777" w:rsidR="008B58C0" w:rsidRPr="00C300E6" w:rsidRDefault="00857050" w:rsidP="00857050">
            <w:pPr>
              <w:pStyle w:val="Citationenretrait"/>
              <w:widowControl w:val="0"/>
              <w:snapToGrid w:val="0"/>
              <w:spacing w:line="240" w:lineRule="auto"/>
              <w:ind w:left="176" w:right="215"/>
              <w:rPr>
                <w:szCs w:val="22"/>
                <w:lang w:val="en-CA"/>
              </w:rPr>
            </w:pPr>
            <w:r w:rsidRPr="00C300E6">
              <w:rPr>
                <w:rStyle w:val="lawlabel"/>
                <w:lang w:val="en-CA"/>
              </w:rPr>
              <w:t>The party must do so before the time limit for filing the case protocol or on the date specified in the case protocol, or at least three days before the date set by the court for the case management conference on the case protocol, or, if no case protocol is required, at least three days before the originating application is to be presented before the court. If an exception to dismiss an application or a defence is raised, the three-day time limit is extended to 10 days.</w:t>
            </w:r>
          </w:p>
        </w:tc>
        <w:tc>
          <w:tcPr>
            <w:tcW w:w="3971" w:type="dxa"/>
            <w:tcBorders>
              <w:top w:val="nil"/>
              <w:left w:val="nil"/>
              <w:bottom w:val="nil"/>
              <w:right w:val="nil"/>
            </w:tcBorders>
          </w:tcPr>
          <w:p w14:paraId="4A16BE61" w14:textId="77777777" w:rsidR="008B58C0" w:rsidRPr="00760C05" w:rsidRDefault="00857050" w:rsidP="00857050">
            <w:pPr>
              <w:pStyle w:val="Citationenretrait"/>
              <w:widowControl w:val="0"/>
              <w:snapToGrid w:val="0"/>
              <w:spacing w:line="240" w:lineRule="auto"/>
              <w:ind w:left="176" w:right="215"/>
            </w:pPr>
            <w:r w:rsidRPr="00760C05">
              <w:rPr>
                <w:szCs w:val="22"/>
              </w:rPr>
              <w:t>Elle doit le faire avant la date prévue pour le dépôt du protocole de l’instance ou à la date prévue au protocole ou au plus tard trois jours avant la date fixée par le tribunal pour la tenue de la conférence de gestion sur le protocole. Si aucun protocole n’est requis, elle doit le faire au moins trois jours avant la présentation au tribunal de la demande introductive d’instance. Lorsque l’irrecevabilité de la demande ou de la défense est invoquée, ces délais de trois jours sont portés à 10 jours.</w:t>
            </w:r>
          </w:p>
        </w:tc>
      </w:tr>
    </w:tbl>
    <w:p w14:paraId="3D4EB082" w14:textId="4A85C5FC" w:rsidR="008B58C0" w:rsidRPr="00C300E6" w:rsidRDefault="00833F8F" w:rsidP="008B58C0">
      <w:pPr>
        <w:pStyle w:val="Paragraphe"/>
        <w:numPr>
          <w:ilvl w:val="0"/>
          <w:numId w:val="0"/>
        </w:numPr>
        <w:spacing w:line="240" w:lineRule="auto"/>
        <w:rPr>
          <w:rStyle w:val="lawlabel"/>
          <w:lang w:val="en-CA"/>
        </w:rPr>
      </w:pPr>
      <w:r w:rsidRPr="00C300E6">
        <w:rPr>
          <w:lang w:val="en-CA"/>
        </w:rPr>
        <w:t xml:space="preserve">This </w:t>
      </w:r>
      <w:r w:rsidR="008B58C0" w:rsidRPr="00C300E6">
        <w:rPr>
          <w:lang w:val="en-CA"/>
        </w:rPr>
        <w:t>obligation</w:t>
      </w:r>
      <w:r w:rsidRPr="00C300E6">
        <w:rPr>
          <w:lang w:val="en-CA"/>
        </w:rPr>
        <w:t xml:space="preserve"> of </w:t>
      </w:r>
      <w:r w:rsidR="008B58C0" w:rsidRPr="00C300E6">
        <w:rPr>
          <w:lang w:val="en-CA"/>
        </w:rPr>
        <w:t xml:space="preserve">diligence </w:t>
      </w:r>
      <w:r w:rsidRPr="00C300E6">
        <w:rPr>
          <w:lang w:val="en-CA"/>
        </w:rPr>
        <w:t xml:space="preserve">is attenuated in the third </w:t>
      </w:r>
      <w:r w:rsidR="008B58C0" w:rsidRPr="00C300E6">
        <w:rPr>
          <w:lang w:val="en-CA"/>
        </w:rPr>
        <w:t>paragraph</w:t>
      </w:r>
      <w:r w:rsidRPr="00C300E6">
        <w:rPr>
          <w:lang w:val="en-CA"/>
        </w:rPr>
        <w:t xml:space="preserve"> </w:t>
      </w:r>
      <w:r w:rsidR="008B58C0" w:rsidRPr="00C300E6">
        <w:rPr>
          <w:lang w:val="en-CA"/>
        </w:rPr>
        <w:t>of</w:t>
      </w:r>
      <w:r w:rsidRPr="00C300E6">
        <w:rPr>
          <w:lang w:val="en-CA"/>
        </w:rPr>
        <w:t xml:space="preserve"> article </w:t>
      </w:r>
      <w:r w:rsidR="008B58C0" w:rsidRPr="00C300E6">
        <w:rPr>
          <w:lang w:val="en-CA"/>
        </w:rPr>
        <w:t>166 C.C.P</w:t>
      </w:r>
      <w:r w:rsidR="008B58C0" w:rsidRPr="00C300E6">
        <w:rPr>
          <w:i/>
          <w:lang w:val="en-CA"/>
        </w:rPr>
        <w:t>.</w:t>
      </w:r>
      <w:r w:rsidR="008B58C0" w:rsidRPr="00C300E6">
        <w:rPr>
          <w:szCs w:val="22"/>
          <w:lang w:val="en-CA"/>
        </w:rPr>
        <w:t xml:space="preserve">, </w:t>
      </w:r>
      <w:r w:rsidRPr="00C300E6">
        <w:rPr>
          <w:szCs w:val="22"/>
          <w:lang w:val="en-CA"/>
        </w:rPr>
        <w:t>in which the l</w:t>
      </w:r>
      <w:r w:rsidR="008B58C0" w:rsidRPr="00C300E6">
        <w:rPr>
          <w:szCs w:val="22"/>
          <w:lang w:val="en-CA"/>
        </w:rPr>
        <w:t>egislature</w:t>
      </w:r>
      <w:r w:rsidRPr="00C300E6">
        <w:rPr>
          <w:szCs w:val="22"/>
          <w:lang w:val="en-CA"/>
        </w:rPr>
        <w:t xml:space="preserve"> adds that </w:t>
      </w:r>
      <w:r w:rsidR="008B58C0" w:rsidRPr="00C300E6">
        <w:rPr>
          <w:szCs w:val="22"/>
          <w:lang w:val="en-CA"/>
        </w:rPr>
        <w:t>preliminary</w:t>
      </w:r>
      <w:r w:rsidRPr="00C300E6">
        <w:rPr>
          <w:szCs w:val="22"/>
          <w:lang w:val="en-CA"/>
        </w:rPr>
        <w:t xml:space="preserve"> </w:t>
      </w:r>
      <w:r w:rsidR="008B58C0" w:rsidRPr="00C300E6">
        <w:rPr>
          <w:szCs w:val="22"/>
          <w:lang w:val="en-CA"/>
        </w:rPr>
        <w:t>exception</w:t>
      </w:r>
      <w:r w:rsidRPr="00C300E6">
        <w:rPr>
          <w:szCs w:val="22"/>
          <w:lang w:val="en-CA"/>
        </w:rPr>
        <w:t>s may be</w:t>
      </w:r>
      <w:r w:rsidR="006C1D1B" w:rsidRPr="00C300E6">
        <w:rPr>
          <w:szCs w:val="22"/>
          <w:lang w:val="en-CA"/>
        </w:rPr>
        <w:t xml:space="preserve"> presented at another time in cases determined by law or “</w:t>
      </w:r>
      <w:r w:rsidR="006C1D1B" w:rsidRPr="00C300E6">
        <w:rPr>
          <w:rStyle w:val="lawlabel"/>
          <w:lang w:val="en-CA"/>
        </w:rPr>
        <w:t>with the authorization of the court if serious reasons so warrant/</w:t>
      </w:r>
      <w:r w:rsidR="008B58C0" w:rsidRPr="00C300E6">
        <w:rPr>
          <w:i/>
          <w:szCs w:val="22"/>
          <w:lang w:val="en-CA"/>
        </w:rPr>
        <w:t>avec l’autorisation du tribunal si des motifs sérieux le justifient</w:t>
      </w:r>
      <w:r w:rsidR="006C1D1B" w:rsidRPr="00C300E6">
        <w:rPr>
          <w:szCs w:val="22"/>
          <w:lang w:val="en-CA"/>
        </w:rPr>
        <w:t>”</w:t>
      </w:r>
      <w:r w:rsidR="008B58C0" w:rsidRPr="00C300E6">
        <w:rPr>
          <w:rStyle w:val="lawlabel"/>
          <w:lang w:val="en-CA"/>
        </w:rPr>
        <w:t>.</w:t>
      </w:r>
    </w:p>
    <w:p w14:paraId="0ED630FD" w14:textId="16248622" w:rsidR="008B58C0" w:rsidRPr="00C300E6" w:rsidRDefault="006C1D1B" w:rsidP="008B58C0">
      <w:pPr>
        <w:pStyle w:val="Paragraphe"/>
        <w:spacing w:line="240" w:lineRule="auto"/>
        <w:rPr>
          <w:rStyle w:val="lawlabel"/>
          <w:lang w:val="en-CA"/>
        </w:rPr>
      </w:pPr>
      <w:r w:rsidRPr="00C300E6">
        <w:rPr>
          <w:rStyle w:val="lawlabel"/>
          <w:lang w:val="en-CA"/>
        </w:rPr>
        <w:t>Let us no</w:t>
      </w:r>
      <w:r w:rsidR="003E5EB9" w:rsidRPr="00C300E6">
        <w:rPr>
          <w:rStyle w:val="lawlabel"/>
          <w:lang w:val="en-CA"/>
        </w:rPr>
        <w:t xml:space="preserve">w consider </w:t>
      </w:r>
      <w:r w:rsidR="008B58C0" w:rsidRPr="00C300E6">
        <w:rPr>
          <w:rStyle w:val="lawlabel"/>
          <w:lang w:val="en-CA"/>
        </w:rPr>
        <w:t>article 167 C.C.P</w:t>
      </w:r>
      <w:r w:rsidR="008B58C0" w:rsidRPr="00C300E6">
        <w:rPr>
          <w:rStyle w:val="lawlabel"/>
          <w:i/>
          <w:lang w:val="en-CA"/>
        </w:rPr>
        <w:t>.</w:t>
      </w:r>
      <w:r w:rsidR="008B58C0" w:rsidRPr="00C300E6">
        <w:rPr>
          <w:rStyle w:val="lawlabel"/>
          <w:lang w:val="en-CA"/>
        </w:rPr>
        <w:t>,</w:t>
      </w:r>
      <w:r w:rsidR="003E5EB9" w:rsidRPr="00C300E6">
        <w:rPr>
          <w:rStyle w:val="lawlabel"/>
          <w:lang w:val="en-CA"/>
        </w:rPr>
        <w:t xml:space="preserve"> which d</w:t>
      </w:r>
      <w:r w:rsidR="008B58C0" w:rsidRPr="00C300E6">
        <w:rPr>
          <w:rStyle w:val="lawlabel"/>
          <w:lang w:val="en-CA"/>
        </w:rPr>
        <w:t>eals</w:t>
      </w:r>
      <w:r w:rsidR="003E5EB9" w:rsidRPr="00C300E6">
        <w:rPr>
          <w:rStyle w:val="lawlabel"/>
          <w:lang w:val="en-CA"/>
        </w:rPr>
        <w:t xml:space="preserve"> </w:t>
      </w:r>
      <w:r w:rsidR="008B58C0" w:rsidRPr="00C300E6">
        <w:rPr>
          <w:rStyle w:val="lawlabel"/>
          <w:lang w:val="en-CA"/>
        </w:rPr>
        <w:t>sp</w:t>
      </w:r>
      <w:r w:rsidR="003E5EB9" w:rsidRPr="00C300E6">
        <w:rPr>
          <w:rStyle w:val="lawlabel"/>
          <w:lang w:val="en-CA"/>
        </w:rPr>
        <w:t>e</w:t>
      </w:r>
      <w:r w:rsidR="008B58C0" w:rsidRPr="00C300E6">
        <w:rPr>
          <w:rStyle w:val="lawlabel"/>
          <w:lang w:val="en-CA"/>
        </w:rPr>
        <w:t>cifi</w:t>
      </w:r>
      <w:r w:rsidR="003E5EB9" w:rsidRPr="00C300E6">
        <w:rPr>
          <w:rStyle w:val="lawlabel"/>
          <w:lang w:val="en-CA"/>
        </w:rPr>
        <w:t xml:space="preserve">cally with </w:t>
      </w:r>
      <w:r w:rsidR="008B58C0" w:rsidRPr="00C300E6">
        <w:rPr>
          <w:rStyle w:val="lawlabel"/>
          <w:lang w:val="en-CA"/>
        </w:rPr>
        <w:t>declinatory</w:t>
      </w:r>
      <w:r w:rsidR="003E5EB9" w:rsidRPr="00C300E6">
        <w:rPr>
          <w:rStyle w:val="lawlabel"/>
          <w:lang w:val="en-CA"/>
        </w:rPr>
        <w:t xml:space="preserve"> </w:t>
      </w:r>
      <w:r w:rsidR="008B58C0" w:rsidRPr="00C300E6">
        <w:rPr>
          <w:rStyle w:val="lawlabel"/>
          <w:lang w:val="en-CA"/>
        </w:rPr>
        <w:t>exceptions</w:t>
      </w:r>
      <w:r w:rsidR="003E5EB9" w:rsidRPr="00C300E6">
        <w:rPr>
          <w:rStyle w:val="lawlabel"/>
          <w:lang w:val="en-CA"/>
        </w:rPr>
        <w:t xml:space="preserve">. The </w:t>
      </w:r>
      <w:r w:rsidR="008B58C0" w:rsidRPr="00C300E6">
        <w:rPr>
          <w:rStyle w:val="lawlabel"/>
          <w:lang w:val="en-CA"/>
        </w:rPr>
        <w:t>first</w:t>
      </w:r>
      <w:r w:rsidR="003E5EB9" w:rsidRPr="00C300E6">
        <w:rPr>
          <w:rStyle w:val="lawlabel"/>
          <w:lang w:val="en-CA"/>
        </w:rPr>
        <w:t xml:space="preserve"> </w:t>
      </w:r>
      <w:r w:rsidR="008B58C0" w:rsidRPr="00C300E6">
        <w:rPr>
          <w:rStyle w:val="lawlabel"/>
          <w:lang w:val="en-CA"/>
        </w:rPr>
        <w:t>paragraph</w:t>
      </w:r>
      <w:r w:rsidR="003E5EB9" w:rsidRPr="00C300E6">
        <w:rPr>
          <w:rStyle w:val="lawlabel"/>
          <w:lang w:val="en-CA"/>
        </w:rPr>
        <w:t xml:space="preserve"> provides that the party invoking the lack of jurisdiction of the court </w:t>
      </w:r>
      <w:r w:rsidR="00A5186F" w:rsidRPr="00C300E6">
        <w:rPr>
          <w:lang w:val="en-CA"/>
        </w:rPr>
        <w:t>seized</w:t>
      </w:r>
      <w:r w:rsidR="003E5EB9" w:rsidRPr="00C300E6">
        <w:rPr>
          <w:rStyle w:val="lawlabel"/>
          <w:lang w:val="en-CA"/>
        </w:rPr>
        <w:t xml:space="preserve"> may ask that the application be referred to the competent </w:t>
      </w:r>
      <w:r w:rsidR="008B58C0" w:rsidRPr="00C300E6">
        <w:rPr>
          <w:rStyle w:val="lawlabel"/>
          <w:lang w:val="en-CA"/>
        </w:rPr>
        <w:t>court</w:t>
      </w:r>
      <w:r w:rsidR="003E5EB9" w:rsidRPr="00C300E6">
        <w:rPr>
          <w:rStyle w:val="lawlabel"/>
          <w:lang w:val="en-CA"/>
        </w:rPr>
        <w:t xml:space="preserve">, or, failing that, that it be dismissed. It should be noted that this option is not available when the exception </w:t>
      </w:r>
      <w:r w:rsidR="008B58C0" w:rsidRPr="00C300E6">
        <w:rPr>
          <w:rStyle w:val="lawlabel"/>
          <w:lang w:val="en-CA"/>
        </w:rPr>
        <w:t>raises</w:t>
      </w:r>
      <w:r w:rsidR="003E5EB9" w:rsidRPr="00C300E6">
        <w:rPr>
          <w:rStyle w:val="lawlabel"/>
          <w:lang w:val="en-CA"/>
        </w:rPr>
        <w:t xml:space="preserve"> the court’s lack of </w:t>
      </w:r>
      <w:r w:rsidR="008B58C0" w:rsidRPr="00C300E6">
        <w:rPr>
          <w:rStyle w:val="lawlabel"/>
          <w:lang w:val="en-CA"/>
        </w:rPr>
        <w:t>international</w:t>
      </w:r>
      <w:r w:rsidR="003E5EB9" w:rsidRPr="00C300E6">
        <w:rPr>
          <w:rStyle w:val="lawlabel"/>
          <w:lang w:val="en-CA"/>
        </w:rPr>
        <w:t xml:space="preserve"> jurisdiction, because a </w:t>
      </w:r>
      <w:r w:rsidR="008B58C0" w:rsidRPr="00C300E6">
        <w:rPr>
          <w:rStyle w:val="lawlabel"/>
          <w:lang w:val="en-CA"/>
        </w:rPr>
        <w:t>Quebec</w:t>
      </w:r>
      <w:r w:rsidR="00CE71BC" w:rsidRPr="00C300E6">
        <w:rPr>
          <w:rStyle w:val="lawlabel"/>
          <w:lang w:val="en-CA"/>
        </w:rPr>
        <w:t xml:space="preserve"> </w:t>
      </w:r>
      <w:r w:rsidR="008B58C0" w:rsidRPr="00C300E6">
        <w:rPr>
          <w:rStyle w:val="lawlabel"/>
          <w:lang w:val="en-CA"/>
        </w:rPr>
        <w:t>authority</w:t>
      </w:r>
      <w:r w:rsidR="00CE71BC" w:rsidRPr="00C300E6">
        <w:rPr>
          <w:rStyle w:val="lawlabel"/>
          <w:lang w:val="en-CA"/>
        </w:rPr>
        <w:t xml:space="preserve"> cannot, strictly speaking, refer a case to a foreign court. </w:t>
      </w:r>
      <w:r w:rsidR="00AB11BE">
        <w:rPr>
          <w:rStyle w:val="lawlabel"/>
          <w:lang w:val="en-CA"/>
        </w:rPr>
        <w:t>The finding that it</w:t>
      </w:r>
      <w:r w:rsidR="00AB11BE" w:rsidRPr="00C300E6">
        <w:rPr>
          <w:rStyle w:val="lawlabel"/>
          <w:lang w:val="en-CA"/>
        </w:rPr>
        <w:t xml:space="preserve"> </w:t>
      </w:r>
      <w:r w:rsidR="00CE71BC" w:rsidRPr="00C300E6">
        <w:rPr>
          <w:rStyle w:val="lawlabel"/>
          <w:lang w:val="en-CA"/>
        </w:rPr>
        <w:t>lack</w:t>
      </w:r>
      <w:r w:rsidR="00AB11BE">
        <w:rPr>
          <w:rStyle w:val="lawlabel"/>
          <w:lang w:val="en-CA"/>
        </w:rPr>
        <w:t>s</w:t>
      </w:r>
      <w:r w:rsidR="00CE71BC" w:rsidRPr="00C300E6">
        <w:rPr>
          <w:rStyle w:val="lawlabel"/>
          <w:lang w:val="en-CA"/>
        </w:rPr>
        <w:t xml:space="preserve"> internation</w:t>
      </w:r>
      <w:r w:rsidR="00C05337" w:rsidRPr="00C300E6">
        <w:rPr>
          <w:rStyle w:val="lawlabel"/>
          <w:lang w:val="en-CA"/>
        </w:rPr>
        <w:t>al</w:t>
      </w:r>
      <w:r w:rsidR="00CE71BC" w:rsidRPr="00C300E6">
        <w:rPr>
          <w:rStyle w:val="lawlabel"/>
          <w:lang w:val="en-CA"/>
        </w:rPr>
        <w:t xml:space="preserve"> jurisdiction will therefore lead to the dismissal of the </w:t>
      </w:r>
      <w:r w:rsidR="008B58C0" w:rsidRPr="00C300E6">
        <w:rPr>
          <w:rStyle w:val="lawlabel"/>
          <w:lang w:val="en-CA"/>
        </w:rPr>
        <w:t xml:space="preserve">application. </w:t>
      </w:r>
      <w:r w:rsidR="00C05337" w:rsidRPr="00C300E6">
        <w:rPr>
          <w:rStyle w:val="lawlabel"/>
          <w:lang w:val="en-CA"/>
        </w:rPr>
        <w:t>The s</w:t>
      </w:r>
      <w:r w:rsidR="008B58C0" w:rsidRPr="00C300E6">
        <w:rPr>
          <w:rStyle w:val="lawlabel"/>
          <w:lang w:val="en-CA"/>
        </w:rPr>
        <w:t>econd paragraph</w:t>
      </w:r>
      <w:r w:rsidR="00C05337" w:rsidRPr="00C300E6">
        <w:rPr>
          <w:rStyle w:val="lawlabel"/>
          <w:lang w:val="en-CA"/>
        </w:rPr>
        <w:t xml:space="preserve"> </w:t>
      </w:r>
      <w:r w:rsidR="008B58C0" w:rsidRPr="00C300E6">
        <w:rPr>
          <w:rStyle w:val="lawlabel"/>
          <w:lang w:val="en-CA"/>
        </w:rPr>
        <w:t>of</w:t>
      </w:r>
      <w:r w:rsidR="00C05337" w:rsidRPr="00C300E6">
        <w:rPr>
          <w:rStyle w:val="lawlabel"/>
          <w:lang w:val="en-CA"/>
        </w:rPr>
        <w:t xml:space="preserve"> article </w:t>
      </w:r>
      <w:r w:rsidR="008B58C0" w:rsidRPr="00C300E6">
        <w:rPr>
          <w:rStyle w:val="lawlabel"/>
          <w:lang w:val="en-CA"/>
        </w:rPr>
        <w:t>167 C.C.P</w:t>
      </w:r>
      <w:r w:rsidR="008B58C0" w:rsidRPr="00C300E6">
        <w:rPr>
          <w:rStyle w:val="lawlabel"/>
          <w:i/>
          <w:lang w:val="en-CA"/>
        </w:rPr>
        <w:t>.</w:t>
      </w:r>
      <w:r w:rsidR="00C05337" w:rsidRPr="00C300E6">
        <w:rPr>
          <w:rStyle w:val="lawlabel"/>
          <w:i/>
          <w:lang w:val="en-CA"/>
        </w:rPr>
        <w:t xml:space="preserve"> </w:t>
      </w:r>
      <w:r w:rsidR="00C05337" w:rsidRPr="00C300E6">
        <w:rPr>
          <w:rStyle w:val="lawlabel"/>
          <w:lang w:val="en-CA"/>
        </w:rPr>
        <w:t xml:space="preserve">is not </w:t>
      </w:r>
      <w:r w:rsidR="008B58C0" w:rsidRPr="00C300E6">
        <w:rPr>
          <w:rStyle w:val="lawlabel"/>
          <w:lang w:val="en-CA"/>
        </w:rPr>
        <w:t>relevant</w:t>
      </w:r>
      <w:r w:rsidR="00C05337" w:rsidRPr="00C300E6">
        <w:rPr>
          <w:rStyle w:val="lawlabel"/>
          <w:lang w:val="en-CA"/>
        </w:rPr>
        <w:t xml:space="preserve"> in matters of international </w:t>
      </w:r>
      <w:r w:rsidR="008B58C0" w:rsidRPr="00C300E6">
        <w:rPr>
          <w:rStyle w:val="lawlabel"/>
          <w:lang w:val="en-CA"/>
        </w:rPr>
        <w:t>jurisdiction,</w:t>
      </w:r>
      <w:r w:rsidR="00765DD1" w:rsidRPr="00C300E6">
        <w:rPr>
          <w:rStyle w:val="lawlabel"/>
          <w:lang w:val="en-CA"/>
        </w:rPr>
        <w:t xml:space="preserve"> as its scope is limited to exceptions raising the lack of subject-matter jurisdiction of the </w:t>
      </w:r>
      <w:r w:rsidR="008B58C0" w:rsidRPr="00C300E6">
        <w:rPr>
          <w:rStyle w:val="lawlabel"/>
          <w:lang w:val="en-CA"/>
        </w:rPr>
        <w:t>court</w:t>
      </w:r>
      <w:r w:rsidR="00765DD1" w:rsidRPr="00C300E6">
        <w:rPr>
          <w:rStyle w:val="lawlabel"/>
          <w:lang w:val="en-CA"/>
        </w:rPr>
        <w:t xml:space="preserve"> </w:t>
      </w:r>
      <w:r w:rsidR="00A5186F" w:rsidRPr="00C300E6">
        <w:rPr>
          <w:lang w:val="en-CA"/>
        </w:rPr>
        <w:t>seized</w:t>
      </w:r>
      <w:r w:rsidR="008B58C0" w:rsidRPr="00C300E6">
        <w:rPr>
          <w:rStyle w:val="lawlabel"/>
          <w:lang w:val="en-CA"/>
        </w:rPr>
        <w:t>.</w:t>
      </w:r>
    </w:p>
    <w:p w14:paraId="4A221182" w14:textId="1D55D252" w:rsidR="008B58C0" w:rsidRPr="00C300E6" w:rsidRDefault="008B58C0" w:rsidP="008B58C0">
      <w:pPr>
        <w:pStyle w:val="Paragraphe"/>
        <w:spacing w:line="240" w:lineRule="auto"/>
        <w:rPr>
          <w:rStyle w:val="lawlabel"/>
          <w:lang w:val="en-CA"/>
        </w:rPr>
      </w:pPr>
      <w:r w:rsidRPr="00C300E6">
        <w:rPr>
          <w:rStyle w:val="lawlabel"/>
          <w:lang w:val="en-CA"/>
        </w:rPr>
        <w:lastRenderedPageBreak/>
        <w:t xml:space="preserve"> </w:t>
      </w:r>
      <w:r w:rsidR="00AB11BE">
        <w:rPr>
          <w:rStyle w:val="lawlabel"/>
          <w:lang w:val="en-CA"/>
        </w:rPr>
        <w:t xml:space="preserve">It is therefore clear from </w:t>
      </w:r>
      <w:r w:rsidRPr="00C300E6">
        <w:rPr>
          <w:rStyle w:val="lawlabel"/>
          <w:lang w:val="en-CA"/>
        </w:rPr>
        <w:t>article 491 C.C.P</w:t>
      </w:r>
      <w:r w:rsidRPr="00C300E6">
        <w:rPr>
          <w:rStyle w:val="lawlabel"/>
          <w:i/>
          <w:lang w:val="en-CA"/>
        </w:rPr>
        <w:t>.</w:t>
      </w:r>
      <w:r w:rsidRPr="00C300E6">
        <w:rPr>
          <w:rStyle w:val="lawlabel"/>
          <w:lang w:val="en-CA"/>
        </w:rPr>
        <w:t xml:space="preserve"> </w:t>
      </w:r>
      <w:r w:rsidR="00D8039D" w:rsidRPr="00C300E6">
        <w:rPr>
          <w:rStyle w:val="lawlabel"/>
          <w:lang w:val="en-CA"/>
        </w:rPr>
        <w:t xml:space="preserve">and </w:t>
      </w:r>
      <w:r w:rsidRPr="00C300E6">
        <w:rPr>
          <w:rStyle w:val="lawlabel"/>
          <w:lang w:val="en-CA"/>
        </w:rPr>
        <w:t>article 166 C.C.P</w:t>
      </w:r>
      <w:r w:rsidRPr="00C300E6">
        <w:rPr>
          <w:rStyle w:val="lawlabel"/>
          <w:i/>
          <w:lang w:val="en-CA"/>
        </w:rPr>
        <w:t xml:space="preserve">. </w:t>
      </w:r>
      <w:r w:rsidR="00516E25" w:rsidRPr="00C300E6">
        <w:rPr>
          <w:rStyle w:val="lawlabel"/>
          <w:lang w:val="en-CA"/>
        </w:rPr>
        <w:t xml:space="preserve">that </w:t>
      </w:r>
      <w:r w:rsidR="00A5186F" w:rsidRPr="00C300E6">
        <w:rPr>
          <w:rStyle w:val="lawlabel"/>
          <w:lang w:val="en-CA"/>
        </w:rPr>
        <w:t>p</w:t>
      </w:r>
      <w:r w:rsidR="00134FB5" w:rsidRPr="00C300E6">
        <w:rPr>
          <w:rStyle w:val="lawlabel"/>
          <w:lang w:val="en-CA"/>
        </w:rPr>
        <w:t xml:space="preserve">reliminary </w:t>
      </w:r>
      <w:r w:rsidRPr="00C300E6">
        <w:rPr>
          <w:rStyle w:val="lawlabel"/>
          <w:lang w:val="en-CA"/>
        </w:rPr>
        <w:t>exception</w:t>
      </w:r>
      <w:r w:rsidR="00516E25" w:rsidRPr="00C300E6">
        <w:rPr>
          <w:rStyle w:val="lawlabel"/>
          <w:lang w:val="en-CA"/>
        </w:rPr>
        <w:t>s raising the lack of international jurisdiction of the court</w:t>
      </w:r>
      <w:r w:rsidR="00B43919" w:rsidRPr="00C300E6">
        <w:rPr>
          <w:rStyle w:val="lawlabel"/>
          <w:lang w:val="en-CA"/>
        </w:rPr>
        <w:t xml:space="preserve"> </w:t>
      </w:r>
      <w:r w:rsidR="00134FB5" w:rsidRPr="00C300E6">
        <w:rPr>
          <w:lang w:val="en-CA"/>
        </w:rPr>
        <w:t>seized</w:t>
      </w:r>
      <w:r w:rsidR="00516E25" w:rsidRPr="00C300E6">
        <w:rPr>
          <w:rStyle w:val="lawlabel"/>
          <w:lang w:val="en-CA"/>
        </w:rPr>
        <w:t xml:space="preserve"> </w:t>
      </w:r>
      <w:r w:rsidR="00474AD8" w:rsidRPr="00C300E6">
        <w:rPr>
          <w:rStyle w:val="lawlabel"/>
          <w:lang w:val="en-CA"/>
        </w:rPr>
        <w:t xml:space="preserve">must be raised promptly, subject to the two </w:t>
      </w:r>
      <w:r w:rsidRPr="00C300E6">
        <w:rPr>
          <w:rStyle w:val="lawlabel"/>
          <w:lang w:val="en-CA"/>
        </w:rPr>
        <w:t>exception</w:t>
      </w:r>
      <w:r w:rsidR="00A5186F" w:rsidRPr="00C300E6">
        <w:rPr>
          <w:rStyle w:val="lawlabel"/>
          <w:lang w:val="en-CA"/>
        </w:rPr>
        <w:t>s</w:t>
      </w:r>
      <w:r w:rsidRPr="00C300E6">
        <w:rPr>
          <w:rStyle w:val="lawlabel"/>
          <w:lang w:val="en-CA"/>
        </w:rPr>
        <w:t xml:space="preserve"> </w:t>
      </w:r>
      <w:r w:rsidR="00474AD8" w:rsidRPr="00C300E6">
        <w:rPr>
          <w:rStyle w:val="lawlabel"/>
          <w:lang w:val="en-CA"/>
        </w:rPr>
        <w:t xml:space="preserve">set out in the third paragraph of </w:t>
      </w:r>
      <w:r w:rsidRPr="00C300E6">
        <w:rPr>
          <w:rStyle w:val="lawlabel"/>
          <w:lang w:val="en-CA"/>
        </w:rPr>
        <w:t>article 166 C.C.P</w:t>
      </w:r>
      <w:r w:rsidRPr="00C300E6">
        <w:rPr>
          <w:rStyle w:val="lawlabel"/>
          <w:i/>
          <w:lang w:val="en-CA"/>
        </w:rPr>
        <w:t>.</w:t>
      </w:r>
      <w:r w:rsidRPr="00C300E6">
        <w:rPr>
          <w:rStyle w:val="lawlabel"/>
          <w:lang w:val="en-CA"/>
        </w:rPr>
        <w:t xml:space="preserve"> </w:t>
      </w:r>
      <w:r w:rsidR="00BE6EC7">
        <w:rPr>
          <w:rStyle w:val="lawlabel"/>
          <w:lang w:val="en-CA"/>
        </w:rPr>
        <w:t xml:space="preserve"> T</w:t>
      </w:r>
      <w:r w:rsidR="00474AD8" w:rsidRPr="00C300E6">
        <w:rPr>
          <w:rStyle w:val="lawlabel"/>
          <w:lang w:val="en-CA"/>
        </w:rPr>
        <w:t>hose exceptions may apply</w:t>
      </w:r>
      <w:r w:rsidR="00BE6EC7">
        <w:rPr>
          <w:rStyle w:val="lawlabel"/>
          <w:lang w:val="en-CA"/>
        </w:rPr>
        <w:t>, for example,</w:t>
      </w:r>
      <w:r w:rsidR="00474AD8" w:rsidRPr="00C300E6">
        <w:rPr>
          <w:rStyle w:val="lawlabel"/>
          <w:lang w:val="en-CA"/>
        </w:rPr>
        <w:t xml:space="preserve"> </w:t>
      </w:r>
      <w:r w:rsidR="00A57BB9" w:rsidRPr="00C300E6">
        <w:rPr>
          <w:rStyle w:val="lawlabel"/>
          <w:lang w:val="en-CA"/>
        </w:rPr>
        <w:t xml:space="preserve">in the event that the </w:t>
      </w:r>
      <w:r w:rsidRPr="00C300E6">
        <w:rPr>
          <w:rStyle w:val="lawlabel"/>
          <w:lang w:val="en-CA"/>
        </w:rPr>
        <w:t>declinatory</w:t>
      </w:r>
      <w:r w:rsidR="00A57BB9" w:rsidRPr="00C300E6">
        <w:rPr>
          <w:rStyle w:val="lawlabel"/>
          <w:lang w:val="en-CA"/>
        </w:rPr>
        <w:t xml:space="preserve"> </w:t>
      </w:r>
      <w:r w:rsidRPr="00C300E6">
        <w:rPr>
          <w:rStyle w:val="lawlabel"/>
          <w:lang w:val="en-CA"/>
        </w:rPr>
        <w:t>exception</w:t>
      </w:r>
      <w:r w:rsidR="00A57BB9" w:rsidRPr="00C300E6">
        <w:rPr>
          <w:rStyle w:val="lawlabel"/>
          <w:lang w:val="en-CA"/>
        </w:rPr>
        <w:t xml:space="preserve"> raised by the </w:t>
      </w:r>
      <w:r w:rsidRPr="00C300E6">
        <w:rPr>
          <w:rStyle w:val="lawlabel"/>
          <w:lang w:val="en-CA"/>
        </w:rPr>
        <w:t>defendant</w:t>
      </w:r>
      <w:r w:rsidR="00A57BB9" w:rsidRPr="00C300E6">
        <w:rPr>
          <w:rStyle w:val="lawlabel"/>
          <w:lang w:val="en-CA"/>
        </w:rPr>
        <w:t xml:space="preserve"> is based on public order considerations. T</w:t>
      </w:r>
      <w:r w:rsidR="00651527" w:rsidRPr="00C300E6">
        <w:rPr>
          <w:rStyle w:val="lawlabel"/>
          <w:lang w:val="en-CA"/>
        </w:rPr>
        <w:t>hat is not the case here</w:t>
      </w:r>
      <w:r w:rsidR="00A57BB9" w:rsidRPr="00C300E6">
        <w:rPr>
          <w:rStyle w:val="lawlabel"/>
          <w:lang w:val="en-CA"/>
        </w:rPr>
        <w:t xml:space="preserve">, however, as </w:t>
      </w:r>
      <w:r w:rsidR="00E263AF" w:rsidRPr="00C300E6">
        <w:rPr>
          <w:rStyle w:val="lawlabel"/>
          <w:lang w:val="en-CA"/>
        </w:rPr>
        <w:t xml:space="preserve">the </w:t>
      </w:r>
      <w:r w:rsidR="00A5186F" w:rsidRPr="00C300E6">
        <w:rPr>
          <w:rStyle w:val="lawlabel"/>
          <w:lang w:val="en-CA"/>
        </w:rPr>
        <w:t xml:space="preserve">preliminary </w:t>
      </w:r>
      <w:r w:rsidR="00E263AF" w:rsidRPr="00C300E6">
        <w:rPr>
          <w:rStyle w:val="lawlabel"/>
          <w:lang w:val="en-CA"/>
        </w:rPr>
        <w:t>exception</w:t>
      </w:r>
      <w:r w:rsidR="00A57BB9" w:rsidRPr="00C300E6">
        <w:rPr>
          <w:rStyle w:val="lawlabel"/>
          <w:lang w:val="en-CA"/>
        </w:rPr>
        <w:t xml:space="preserve"> is based solely on the </w:t>
      </w:r>
      <w:r w:rsidR="00E263AF" w:rsidRPr="00C300E6">
        <w:rPr>
          <w:rStyle w:val="lawlabel"/>
          <w:lang w:val="en-CA"/>
        </w:rPr>
        <w:t xml:space="preserve">will of the parties. Lack of international jurisdiction resulting from a </w:t>
      </w:r>
      <w:r w:rsidRPr="00C300E6">
        <w:rPr>
          <w:rStyle w:val="lawlabel"/>
          <w:lang w:val="en-CA"/>
        </w:rPr>
        <w:t>forum</w:t>
      </w:r>
      <w:r w:rsidR="00E263AF" w:rsidRPr="00C300E6">
        <w:rPr>
          <w:rStyle w:val="lawlabel"/>
          <w:lang w:val="en-CA"/>
        </w:rPr>
        <w:t xml:space="preserve"> </w:t>
      </w:r>
      <w:r w:rsidRPr="00C300E6">
        <w:rPr>
          <w:rStyle w:val="lawlabel"/>
          <w:lang w:val="en-CA"/>
        </w:rPr>
        <w:t>selection</w:t>
      </w:r>
      <w:r w:rsidR="00E263AF" w:rsidRPr="00C300E6">
        <w:rPr>
          <w:rStyle w:val="lawlabel"/>
          <w:lang w:val="en-CA"/>
        </w:rPr>
        <w:t xml:space="preserve"> </w:t>
      </w:r>
      <w:r w:rsidRPr="00C300E6">
        <w:rPr>
          <w:rStyle w:val="lawlabel"/>
          <w:lang w:val="en-CA"/>
        </w:rPr>
        <w:t>clause</w:t>
      </w:r>
      <w:r w:rsidR="00E263AF" w:rsidRPr="00C300E6">
        <w:rPr>
          <w:rStyle w:val="lawlabel"/>
          <w:lang w:val="en-CA"/>
        </w:rPr>
        <w:t xml:space="preserve"> is clearly not based on </w:t>
      </w:r>
      <w:r w:rsidRPr="00C300E6">
        <w:rPr>
          <w:rStyle w:val="lawlabel"/>
          <w:lang w:val="en-CA"/>
        </w:rPr>
        <w:t>public</w:t>
      </w:r>
      <w:r w:rsidR="00E263AF" w:rsidRPr="00C300E6">
        <w:rPr>
          <w:rStyle w:val="lawlabel"/>
          <w:lang w:val="en-CA"/>
        </w:rPr>
        <w:t xml:space="preserve"> </w:t>
      </w:r>
      <w:r w:rsidRPr="00C300E6">
        <w:rPr>
          <w:rStyle w:val="lawlabel"/>
          <w:lang w:val="en-CA"/>
        </w:rPr>
        <w:t>order.</w:t>
      </w:r>
    </w:p>
    <w:p w14:paraId="18067987" w14:textId="4A5A000F" w:rsidR="008B58C0" w:rsidRPr="00C300E6" w:rsidRDefault="00812924" w:rsidP="008B58C0">
      <w:pPr>
        <w:pStyle w:val="Paragraphe"/>
        <w:spacing w:line="240" w:lineRule="auto"/>
        <w:rPr>
          <w:rStyle w:val="lawlabel"/>
          <w:lang w:val="en-CA"/>
        </w:rPr>
      </w:pPr>
      <w:r w:rsidRPr="00C300E6">
        <w:rPr>
          <w:rStyle w:val="lawlabel"/>
          <w:lang w:val="en-CA"/>
        </w:rPr>
        <w:t xml:space="preserve">The preceding analysis leads to the conclusion, at least </w:t>
      </w:r>
      <w:r w:rsidRPr="00C300E6">
        <w:rPr>
          <w:rStyle w:val="lawlabel"/>
          <w:i/>
          <w:lang w:val="en-CA"/>
        </w:rPr>
        <w:t>a</w:t>
      </w:r>
      <w:r w:rsidR="008B58C0" w:rsidRPr="00C300E6">
        <w:rPr>
          <w:rStyle w:val="lawlabel"/>
          <w:i/>
          <w:lang w:val="en-CA"/>
        </w:rPr>
        <w:t xml:space="preserve"> priori</w:t>
      </w:r>
      <w:r w:rsidR="00134FB5" w:rsidRPr="00C300E6">
        <w:rPr>
          <w:rStyle w:val="lawlabel"/>
          <w:lang w:val="en-CA"/>
        </w:rPr>
        <w:t>,</w:t>
      </w:r>
      <w:r w:rsidR="008B58C0" w:rsidRPr="00C300E6">
        <w:rPr>
          <w:rStyle w:val="lawlabel"/>
          <w:lang w:val="en-CA"/>
        </w:rPr>
        <w:t xml:space="preserve"> </w:t>
      </w:r>
      <w:r w:rsidR="00134FB5" w:rsidRPr="00C300E6">
        <w:rPr>
          <w:rStyle w:val="lawlabel"/>
          <w:lang w:val="en-CA"/>
        </w:rPr>
        <w:t xml:space="preserve">that </w:t>
      </w:r>
      <w:r w:rsidR="008B58C0" w:rsidRPr="00C300E6">
        <w:rPr>
          <w:rStyle w:val="lawlabel"/>
          <w:lang w:val="en-CA"/>
        </w:rPr>
        <w:t>declinatory</w:t>
      </w:r>
      <w:r w:rsidR="00A5186F" w:rsidRPr="00C300E6">
        <w:rPr>
          <w:rStyle w:val="lawlabel"/>
          <w:lang w:val="en-CA"/>
        </w:rPr>
        <w:t xml:space="preserve"> </w:t>
      </w:r>
      <w:r w:rsidR="008B58C0" w:rsidRPr="00C300E6">
        <w:rPr>
          <w:rStyle w:val="lawlabel"/>
          <w:lang w:val="en-CA"/>
        </w:rPr>
        <w:t>exception</w:t>
      </w:r>
      <w:r w:rsidR="001D005E" w:rsidRPr="00C300E6">
        <w:rPr>
          <w:rStyle w:val="lawlabel"/>
          <w:lang w:val="en-CA"/>
        </w:rPr>
        <w:t>s</w:t>
      </w:r>
      <w:r w:rsidR="008B58C0" w:rsidRPr="00C300E6">
        <w:rPr>
          <w:rStyle w:val="lawlabel"/>
          <w:lang w:val="en-CA"/>
        </w:rPr>
        <w:t xml:space="preserve"> invo</w:t>
      </w:r>
      <w:r w:rsidR="00A5186F" w:rsidRPr="00C300E6">
        <w:rPr>
          <w:rStyle w:val="lawlabel"/>
          <w:lang w:val="en-CA"/>
        </w:rPr>
        <w:t xml:space="preserve">king a forum selection </w:t>
      </w:r>
      <w:r w:rsidR="008B58C0" w:rsidRPr="00C300E6">
        <w:rPr>
          <w:rStyle w:val="lawlabel"/>
          <w:lang w:val="en-CA"/>
        </w:rPr>
        <w:t xml:space="preserve">clause </w:t>
      </w:r>
      <w:r w:rsidR="001D005E" w:rsidRPr="00C300E6">
        <w:rPr>
          <w:rStyle w:val="lawlabel"/>
          <w:lang w:val="en-CA"/>
        </w:rPr>
        <w:t xml:space="preserve">exclusively designating the courts of a foreign jurisdiction are governed by </w:t>
      </w:r>
      <w:r w:rsidR="00791240" w:rsidRPr="00C300E6">
        <w:rPr>
          <w:rStyle w:val="lawlabel"/>
          <w:lang w:val="en-CA"/>
        </w:rPr>
        <w:t xml:space="preserve">the second paragraph of </w:t>
      </w:r>
      <w:r w:rsidR="008B58C0" w:rsidRPr="00C300E6">
        <w:rPr>
          <w:rStyle w:val="lawlabel"/>
          <w:lang w:val="en-CA"/>
        </w:rPr>
        <w:t>article</w:t>
      </w:r>
      <w:r w:rsidR="00791240" w:rsidRPr="00C300E6">
        <w:rPr>
          <w:rStyle w:val="lawlabel"/>
          <w:lang w:val="en-CA"/>
        </w:rPr>
        <w:t xml:space="preserve"> </w:t>
      </w:r>
      <w:r w:rsidR="008B58C0" w:rsidRPr="00C300E6">
        <w:rPr>
          <w:rStyle w:val="lawlabel"/>
          <w:lang w:val="en-CA"/>
        </w:rPr>
        <w:t>166 C.C.P</w:t>
      </w:r>
      <w:r w:rsidR="008B58C0" w:rsidRPr="00C300E6">
        <w:rPr>
          <w:rStyle w:val="lawlabel"/>
          <w:i/>
          <w:lang w:val="en-CA"/>
        </w:rPr>
        <w:t>.</w:t>
      </w:r>
    </w:p>
    <w:p w14:paraId="4B70E697" w14:textId="77777777" w:rsidR="008B58C0" w:rsidRPr="00C300E6" w:rsidRDefault="00651527" w:rsidP="008B58C0">
      <w:pPr>
        <w:pStyle w:val="Titre3"/>
        <w:numPr>
          <w:ilvl w:val="0"/>
          <w:numId w:val="30"/>
        </w:numPr>
        <w:spacing w:before="120" w:after="120" w:line="240" w:lineRule="auto"/>
        <w:ind w:left="1134"/>
        <w:jc w:val="both"/>
        <w:rPr>
          <w:rStyle w:val="lawlabel"/>
          <w:rFonts w:cs="Arial"/>
          <w:lang w:val="en-CA"/>
        </w:rPr>
      </w:pPr>
      <w:r w:rsidRPr="00C300E6">
        <w:rPr>
          <w:rFonts w:cs="Arial"/>
          <w:b/>
          <w:lang w:val="en-CA"/>
        </w:rPr>
        <w:t>Impact of the guiding principles of procedure</w:t>
      </w:r>
    </w:p>
    <w:p w14:paraId="454B11B0" w14:textId="7F9B8A7B" w:rsidR="008B58C0" w:rsidRPr="00C300E6" w:rsidRDefault="000C0E53" w:rsidP="008B58C0">
      <w:pPr>
        <w:pStyle w:val="Paragraphe"/>
        <w:spacing w:line="240" w:lineRule="auto"/>
        <w:rPr>
          <w:rStyle w:val="lawlabel"/>
          <w:lang w:val="en-CA"/>
        </w:rPr>
      </w:pPr>
      <w:r w:rsidRPr="00C300E6">
        <w:rPr>
          <w:rStyle w:val="lawlabel"/>
          <w:lang w:val="en-CA"/>
        </w:rPr>
        <w:t xml:space="preserve">What about the guiding </w:t>
      </w:r>
      <w:r w:rsidR="008B58C0" w:rsidRPr="00C300E6">
        <w:rPr>
          <w:rStyle w:val="lawlabel"/>
          <w:lang w:val="en-CA"/>
        </w:rPr>
        <w:t>principles</w:t>
      </w:r>
      <w:r w:rsidRPr="00C300E6">
        <w:rPr>
          <w:rStyle w:val="lawlabel"/>
          <w:lang w:val="en-CA"/>
        </w:rPr>
        <w:t xml:space="preserve"> of </w:t>
      </w:r>
      <w:r w:rsidR="008B58C0" w:rsidRPr="00C300E6">
        <w:rPr>
          <w:rStyle w:val="lawlabel"/>
          <w:lang w:val="en-CA"/>
        </w:rPr>
        <w:t>proc</w:t>
      </w:r>
      <w:r w:rsidRPr="00C300E6">
        <w:rPr>
          <w:rStyle w:val="lawlabel"/>
          <w:lang w:val="en-CA"/>
        </w:rPr>
        <w:t>e</w:t>
      </w:r>
      <w:r w:rsidR="008B58C0" w:rsidRPr="00C300E6">
        <w:rPr>
          <w:rStyle w:val="lawlabel"/>
          <w:lang w:val="en-CA"/>
        </w:rPr>
        <w:t>dure</w:t>
      </w:r>
      <w:r w:rsidRPr="00C300E6">
        <w:rPr>
          <w:rStyle w:val="lawlabel"/>
          <w:lang w:val="en-CA"/>
        </w:rPr>
        <w:t xml:space="preserve">, which must be taken into consideration in accordance with the second paragraph of </w:t>
      </w:r>
      <w:r w:rsidR="008B58C0" w:rsidRPr="00C300E6">
        <w:rPr>
          <w:rStyle w:val="lawlabel"/>
          <w:lang w:val="en-CA"/>
        </w:rPr>
        <w:t>article 491 C.C.P</w:t>
      </w:r>
      <w:r w:rsidR="008B58C0" w:rsidRPr="00C300E6">
        <w:rPr>
          <w:rStyle w:val="lawlabel"/>
          <w:i/>
          <w:lang w:val="en-CA"/>
        </w:rPr>
        <w:t>.</w:t>
      </w:r>
      <w:r w:rsidR="008B58C0" w:rsidRPr="00C300E6">
        <w:rPr>
          <w:rStyle w:val="lawlabel"/>
          <w:lang w:val="en-CA"/>
        </w:rPr>
        <w:t xml:space="preserve">? </w:t>
      </w:r>
    </w:p>
    <w:p w14:paraId="6BF256D0" w14:textId="308A8099" w:rsidR="008B58C0" w:rsidRPr="00C300E6" w:rsidRDefault="00B339F2" w:rsidP="008B58C0">
      <w:pPr>
        <w:pStyle w:val="Paragraphe"/>
        <w:spacing w:line="240" w:lineRule="auto"/>
        <w:rPr>
          <w:rStyle w:val="lawlabel"/>
          <w:lang w:val="en-CA"/>
        </w:rPr>
      </w:pPr>
      <w:r w:rsidRPr="00C300E6">
        <w:rPr>
          <w:rStyle w:val="lawlabel"/>
          <w:lang w:val="en-CA"/>
        </w:rPr>
        <w:t xml:space="preserve">The </w:t>
      </w:r>
      <w:r w:rsidR="008B58C0" w:rsidRPr="00C300E6">
        <w:rPr>
          <w:rStyle w:val="lawlabel"/>
          <w:lang w:val="en-CA"/>
        </w:rPr>
        <w:t>appel</w:t>
      </w:r>
      <w:r w:rsidRPr="00C300E6">
        <w:rPr>
          <w:rStyle w:val="lawlabel"/>
          <w:lang w:val="en-CA"/>
        </w:rPr>
        <w:t>l</w:t>
      </w:r>
      <w:r w:rsidR="008B58C0" w:rsidRPr="00C300E6">
        <w:rPr>
          <w:rStyle w:val="lawlabel"/>
          <w:lang w:val="en-CA"/>
        </w:rPr>
        <w:t>ant faults</w:t>
      </w:r>
      <w:r w:rsidRPr="00C300E6">
        <w:rPr>
          <w:rStyle w:val="lawlabel"/>
          <w:lang w:val="en-CA"/>
        </w:rPr>
        <w:t xml:space="preserve"> the </w:t>
      </w:r>
      <w:r w:rsidR="008B58C0" w:rsidRPr="00C300E6">
        <w:rPr>
          <w:rStyle w:val="lawlabel"/>
          <w:lang w:val="en-CA"/>
        </w:rPr>
        <w:t>judge</w:t>
      </w:r>
      <w:r w:rsidRPr="00C300E6">
        <w:rPr>
          <w:rStyle w:val="lawlabel"/>
          <w:lang w:val="en-CA"/>
        </w:rPr>
        <w:t xml:space="preserve"> for not having sufficiently considered the </w:t>
      </w:r>
      <w:r w:rsidR="008B58C0" w:rsidRPr="00C300E6">
        <w:rPr>
          <w:rStyle w:val="lawlabel"/>
          <w:lang w:val="en-CA"/>
        </w:rPr>
        <w:t xml:space="preserve">principle </w:t>
      </w:r>
      <w:r w:rsidRPr="00C300E6">
        <w:rPr>
          <w:rStyle w:val="lawlabel"/>
          <w:lang w:val="en-CA"/>
        </w:rPr>
        <w:t xml:space="preserve">of </w:t>
      </w:r>
      <w:r w:rsidR="008B58C0" w:rsidRPr="00C300E6">
        <w:rPr>
          <w:rStyle w:val="lawlabel"/>
          <w:lang w:val="en-CA"/>
        </w:rPr>
        <w:t>proportion</w:t>
      </w:r>
      <w:r w:rsidRPr="00C300E6">
        <w:rPr>
          <w:rStyle w:val="lawlabel"/>
          <w:lang w:val="en-CA"/>
        </w:rPr>
        <w:t xml:space="preserve">ality </w:t>
      </w:r>
      <w:r w:rsidR="008B58C0" w:rsidRPr="00C300E6">
        <w:rPr>
          <w:rStyle w:val="lawlabel"/>
          <w:lang w:val="en-CA"/>
        </w:rPr>
        <w:t>(article</w:t>
      </w:r>
      <w:r w:rsidRPr="00C300E6">
        <w:rPr>
          <w:rStyle w:val="lawlabel"/>
          <w:lang w:val="en-CA"/>
        </w:rPr>
        <w:t xml:space="preserve"> </w:t>
      </w:r>
      <w:r w:rsidR="008B58C0" w:rsidRPr="00C300E6">
        <w:rPr>
          <w:rStyle w:val="lawlabel"/>
          <w:lang w:val="en-CA"/>
        </w:rPr>
        <w:t>18 C.C.P</w:t>
      </w:r>
      <w:r w:rsidR="008B58C0" w:rsidRPr="00C300E6">
        <w:rPr>
          <w:rStyle w:val="lawlabel"/>
          <w:i/>
          <w:lang w:val="en-CA"/>
        </w:rPr>
        <w:t>.</w:t>
      </w:r>
      <w:r w:rsidR="008B58C0" w:rsidRPr="00C300E6">
        <w:rPr>
          <w:rStyle w:val="lawlabel"/>
          <w:lang w:val="en-CA"/>
        </w:rPr>
        <w:t xml:space="preserve">), </w:t>
      </w:r>
      <w:r w:rsidRPr="00C300E6">
        <w:rPr>
          <w:rStyle w:val="lawlabel"/>
          <w:lang w:val="en-CA"/>
        </w:rPr>
        <w:t xml:space="preserve">the requirements of </w:t>
      </w:r>
      <w:r w:rsidR="00A469F5" w:rsidRPr="00C300E6">
        <w:rPr>
          <w:rStyle w:val="lawlabel"/>
          <w:lang w:val="en-CA"/>
        </w:rPr>
        <w:t xml:space="preserve">the proper </w:t>
      </w:r>
      <w:r w:rsidR="008B58C0" w:rsidRPr="00C300E6">
        <w:rPr>
          <w:rStyle w:val="lawlabel"/>
          <w:lang w:val="en-CA"/>
        </w:rPr>
        <w:t>administration</w:t>
      </w:r>
      <w:r w:rsidR="008338C7" w:rsidRPr="00C300E6">
        <w:rPr>
          <w:rStyle w:val="lawlabel"/>
          <w:lang w:val="en-CA"/>
        </w:rPr>
        <w:t xml:space="preserve"> </w:t>
      </w:r>
      <w:r w:rsidR="008B58C0" w:rsidRPr="00C300E6">
        <w:rPr>
          <w:rStyle w:val="lawlabel"/>
          <w:lang w:val="en-CA"/>
        </w:rPr>
        <w:t>of</w:t>
      </w:r>
      <w:r w:rsidR="008338C7" w:rsidRPr="00C300E6">
        <w:rPr>
          <w:rStyle w:val="lawlabel"/>
          <w:lang w:val="en-CA"/>
        </w:rPr>
        <w:t xml:space="preserve"> </w:t>
      </w:r>
      <w:r w:rsidR="008B58C0" w:rsidRPr="00C300E6">
        <w:rPr>
          <w:rStyle w:val="lawlabel"/>
          <w:lang w:val="en-CA"/>
        </w:rPr>
        <w:t>justice (article</w:t>
      </w:r>
      <w:r w:rsidR="008338C7" w:rsidRPr="00C300E6">
        <w:rPr>
          <w:rStyle w:val="lawlabel"/>
          <w:lang w:val="en-CA"/>
        </w:rPr>
        <w:t xml:space="preserve"> </w:t>
      </w:r>
      <w:r w:rsidR="008B58C0" w:rsidRPr="00C300E6">
        <w:rPr>
          <w:rStyle w:val="lawlabel"/>
          <w:lang w:val="en-CA"/>
        </w:rPr>
        <w:t>9 C.C.P</w:t>
      </w:r>
      <w:r w:rsidR="008B58C0" w:rsidRPr="00C300E6">
        <w:rPr>
          <w:rStyle w:val="lawlabel"/>
          <w:i/>
          <w:lang w:val="en-CA"/>
        </w:rPr>
        <w:t>.</w:t>
      </w:r>
      <w:r w:rsidR="008B58C0" w:rsidRPr="00C300E6">
        <w:rPr>
          <w:rStyle w:val="lawlabel"/>
          <w:lang w:val="en-CA"/>
        </w:rPr>
        <w:t xml:space="preserve">), </w:t>
      </w:r>
      <w:r w:rsidR="008338C7" w:rsidRPr="00C300E6">
        <w:rPr>
          <w:rStyle w:val="lawlabel"/>
          <w:lang w:val="en-CA"/>
        </w:rPr>
        <w:t>th</w:t>
      </w:r>
      <w:r w:rsidR="008B58C0" w:rsidRPr="00C300E6">
        <w:rPr>
          <w:rStyle w:val="lawlabel"/>
          <w:lang w:val="en-CA"/>
        </w:rPr>
        <w:t xml:space="preserve">e principle </w:t>
      </w:r>
      <w:r w:rsidR="008338C7" w:rsidRPr="00C300E6">
        <w:rPr>
          <w:rStyle w:val="lawlabel"/>
          <w:lang w:val="en-CA"/>
        </w:rPr>
        <w:t xml:space="preserve">of the </w:t>
      </w:r>
      <w:r w:rsidR="008B58C0" w:rsidRPr="00C300E6">
        <w:rPr>
          <w:rStyle w:val="lawlabel"/>
          <w:lang w:val="en-CA"/>
        </w:rPr>
        <w:t>autonom</w:t>
      </w:r>
      <w:r w:rsidR="008338C7" w:rsidRPr="00C300E6">
        <w:rPr>
          <w:rStyle w:val="lawlabel"/>
          <w:lang w:val="en-CA"/>
        </w:rPr>
        <w:t xml:space="preserve">y of the </w:t>
      </w:r>
      <w:r w:rsidR="002621FF">
        <w:rPr>
          <w:rStyle w:val="lawlabel"/>
          <w:lang w:val="en-CA"/>
        </w:rPr>
        <w:t>parties</w:t>
      </w:r>
      <w:r w:rsidR="008B58C0" w:rsidRPr="00C300E6">
        <w:rPr>
          <w:rStyle w:val="lawlabel"/>
          <w:lang w:val="en-CA"/>
        </w:rPr>
        <w:t xml:space="preserve">, </w:t>
      </w:r>
      <w:r w:rsidR="008338C7" w:rsidRPr="00C300E6">
        <w:rPr>
          <w:rStyle w:val="lawlabel"/>
          <w:lang w:val="en-CA"/>
        </w:rPr>
        <w:t xml:space="preserve">and the </w:t>
      </w:r>
      <w:r w:rsidR="008B58C0" w:rsidRPr="00C300E6">
        <w:rPr>
          <w:rStyle w:val="lawlabel"/>
          <w:lang w:val="en-CA"/>
        </w:rPr>
        <w:t>principle</w:t>
      </w:r>
      <w:r w:rsidR="00D55664" w:rsidRPr="00C300E6">
        <w:rPr>
          <w:rStyle w:val="lawlabel"/>
          <w:lang w:val="en-CA"/>
        </w:rPr>
        <w:t xml:space="preserve"> that the rules of procedure are designed to bring out the substantive law and ensure that it is carried out</w:t>
      </w:r>
      <w:r w:rsidR="008B58C0" w:rsidRPr="00C300E6">
        <w:rPr>
          <w:rStyle w:val="lawlabel"/>
          <w:lang w:val="en-CA"/>
        </w:rPr>
        <w:t xml:space="preserve"> (article 25 C.C.P</w:t>
      </w:r>
      <w:r w:rsidR="008B58C0" w:rsidRPr="00C300E6">
        <w:rPr>
          <w:rStyle w:val="lawlabel"/>
          <w:i/>
          <w:lang w:val="en-CA"/>
        </w:rPr>
        <w:t>.</w:t>
      </w:r>
      <w:r w:rsidR="008B58C0" w:rsidRPr="00C300E6">
        <w:rPr>
          <w:rStyle w:val="lawlabel"/>
          <w:lang w:val="en-CA"/>
        </w:rPr>
        <w:t xml:space="preserve">). </w:t>
      </w:r>
      <w:r w:rsidR="00D55664" w:rsidRPr="00C300E6">
        <w:rPr>
          <w:rStyle w:val="lawlabel"/>
          <w:lang w:val="en-CA"/>
        </w:rPr>
        <w:t>I</w:t>
      </w:r>
      <w:r w:rsidR="008B58C0" w:rsidRPr="00C300E6">
        <w:rPr>
          <w:rStyle w:val="lawlabel"/>
          <w:lang w:val="en-CA"/>
        </w:rPr>
        <w:t>n</w:t>
      </w:r>
      <w:r w:rsidR="00D55664" w:rsidRPr="00C300E6">
        <w:rPr>
          <w:rStyle w:val="lawlabel"/>
          <w:lang w:val="en-CA"/>
        </w:rPr>
        <w:t xml:space="preserve"> </w:t>
      </w:r>
      <w:r w:rsidR="008B58C0" w:rsidRPr="00C300E6">
        <w:rPr>
          <w:rStyle w:val="lawlabel"/>
          <w:lang w:val="en-CA"/>
        </w:rPr>
        <w:t>addition,</w:t>
      </w:r>
      <w:r w:rsidR="00D55664" w:rsidRPr="00C300E6">
        <w:rPr>
          <w:rStyle w:val="lawlabel"/>
          <w:lang w:val="en-CA"/>
        </w:rPr>
        <w:t xml:space="preserve"> the appellant claims that the </w:t>
      </w:r>
      <w:r w:rsidR="008B58C0" w:rsidRPr="00C300E6">
        <w:rPr>
          <w:rStyle w:val="lawlabel"/>
          <w:lang w:val="en-CA"/>
        </w:rPr>
        <w:t>judge omi</w:t>
      </w:r>
      <w:r w:rsidR="00D55664" w:rsidRPr="00C300E6">
        <w:rPr>
          <w:rStyle w:val="lawlabel"/>
          <w:lang w:val="en-CA"/>
        </w:rPr>
        <w:t xml:space="preserve">tted to assign sufficient weight to </w:t>
      </w:r>
      <w:r w:rsidR="008B58C0" w:rsidRPr="00C300E6">
        <w:rPr>
          <w:rStyle w:val="lawlabel"/>
          <w:i/>
          <w:lang w:val="en-CA"/>
        </w:rPr>
        <w:t>GreCon</w:t>
      </w:r>
      <w:r w:rsidR="00D55664" w:rsidRPr="00C300E6">
        <w:rPr>
          <w:rStyle w:val="lawlabel"/>
          <w:lang w:val="en-CA"/>
        </w:rPr>
        <w:t>,</w:t>
      </w:r>
      <w:r w:rsidR="008B58C0" w:rsidRPr="00C300E6">
        <w:rPr>
          <w:rStyle w:val="Appelnotedebasdep"/>
          <w:rFonts w:cs="Arial"/>
          <w:szCs w:val="24"/>
          <w:lang w:val="en-CA"/>
        </w:rPr>
        <w:footnoteReference w:id="13"/>
      </w:r>
      <w:r w:rsidR="008B58C0" w:rsidRPr="00C300E6">
        <w:rPr>
          <w:rStyle w:val="lawlabel"/>
          <w:lang w:val="en-CA"/>
        </w:rPr>
        <w:t xml:space="preserve"> </w:t>
      </w:r>
      <w:r w:rsidR="00D55664" w:rsidRPr="00C300E6">
        <w:rPr>
          <w:rStyle w:val="lawlabel"/>
          <w:lang w:val="en-CA"/>
        </w:rPr>
        <w:t xml:space="preserve">in which </w:t>
      </w:r>
      <w:r w:rsidR="008B58C0" w:rsidRPr="00C300E6">
        <w:rPr>
          <w:rStyle w:val="lawlabel"/>
          <w:lang w:val="en-CA"/>
        </w:rPr>
        <w:t>the</w:t>
      </w:r>
      <w:r w:rsidR="00D55664" w:rsidRPr="00C300E6">
        <w:rPr>
          <w:rStyle w:val="lawlabel"/>
          <w:lang w:val="en-CA"/>
        </w:rPr>
        <w:t xml:space="preserve"> </w:t>
      </w:r>
      <w:r w:rsidR="008B58C0" w:rsidRPr="00C300E6">
        <w:rPr>
          <w:rStyle w:val="lawlabel"/>
          <w:lang w:val="en-CA"/>
        </w:rPr>
        <w:t>Supreme</w:t>
      </w:r>
      <w:r w:rsidR="00DA2F5E" w:rsidRPr="00C300E6">
        <w:rPr>
          <w:rStyle w:val="lawlabel"/>
          <w:lang w:val="en-CA"/>
        </w:rPr>
        <w:t xml:space="preserve"> </w:t>
      </w:r>
      <w:r w:rsidR="008B58C0" w:rsidRPr="00C300E6">
        <w:rPr>
          <w:rStyle w:val="lawlabel"/>
          <w:lang w:val="en-CA"/>
        </w:rPr>
        <w:t xml:space="preserve">Court </w:t>
      </w:r>
      <w:r w:rsidR="00DA2F5E" w:rsidRPr="00C300E6">
        <w:rPr>
          <w:rStyle w:val="lawlabel"/>
          <w:lang w:val="en-CA"/>
        </w:rPr>
        <w:t>noted</w:t>
      </w:r>
      <w:r w:rsidR="0081460E" w:rsidRPr="00C300E6">
        <w:rPr>
          <w:rStyle w:val="lawlabel"/>
          <w:lang w:val="en-CA"/>
        </w:rPr>
        <w:t xml:space="preserve"> the </w:t>
      </w:r>
      <w:r w:rsidR="008B58C0" w:rsidRPr="00C300E6">
        <w:rPr>
          <w:rStyle w:val="lawlabel"/>
          <w:lang w:val="en-CA"/>
        </w:rPr>
        <w:t xml:space="preserve">importance </w:t>
      </w:r>
      <w:r w:rsidR="0081460E" w:rsidRPr="00C300E6">
        <w:rPr>
          <w:rStyle w:val="lawlabel"/>
          <w:lang w:val="en-CA"/>
        </w:rPr>
        <w:t xml:space="preserve">of the autonomy of the parties in matters of international </w:t>
      </w:r>
      <w:r w:rsidR="008B58C0" w:rsidRPr="00C300E6">
        <w:rPr>
          <w:rStyle w:val="lawlabel"/>
          <w:lang w:val="en-CA"/>
        </w:rPr>
        <w:t>jurisdiction</w:t>
      </w:r>
      <w:r w:rsidR="0081460E" w:rsidRPr="00C300E6">
        <w:rPr>
          <w:rStyle w:val="lawlabel"/>
          <w:lang w:val="en-CA"/>
        </w:rPr>
        <w:t xml:space="preserve"> and stated that a </w:t>
      </w:r>
      <w:r w:rsidR="008B58C0" w:rsidRPr="00C300E6">
        <w:rPr>
          <w:rStyle w:val="lawlabel"/>
          <w:lang w:val="en-CA"/>
        </w:rPr>
        <w:t>statutory</w:t>
      </w:r>
      <w:r w:rsidR="0081460E" w:rsidRPr="00C300E6">
        <w:rPr>
          <w:rStyle w:val="lawlabel"/>
          <w:lang w:val="en-CA"/>
        </w:rPr>
        <w:t xml:space="preserve"> </w:t>
      </w:r>
      <w:r w:rsidR="008B58C0" w:rsidRPr="00C300E6">
        <w:rPr>
          <w:rStyle w:val="lawlabel"/>
          <w:lang w:val="en-CA"/>
        </w:rPr>
        <w:t xml:space="preserve">provision </w:t>
      </w:r>
      <w:r w:rsidR="006E5E2E" w:rsidRPr="00C300E6">
        <w:rPr>
          <w:rStyle w:val="lawlabel"/>
          <w:lang w:val="en-CA"/>
        </w:rPr>
        <w:t xml:space="preserve">should not be </w:t>
      </w:r>
      <w:r w:rsidR="008B58C0" w:rsidRPr="00C300E6">
        <w:rPr>
          <w:rStyle w:val="lawlabel"/>
          <w:lang w:val="en-CA"/>
        </w:rPr>
        <w:t>interpr</w:t>
      </w:r>
      <w:r w:rsidR="006E5E2E" w:rsidRPr="00C300E6">
        <w:rPr>
          <w:rStyle w:val="lawlabel"/>
          <w:lang w:val="en-CA"/>
        </w:rPr>
        <w:t xml:space="preserve">eted as limiting the </w:t>
      </w:r>
      <w:r w:rsidR="00553DD7" w:rsidRPr="00C300E6">
        <w:rPr>
          <w:rStyle w:val="lawlabel"/>
          <w:lang w:val="en-CA"/>
        </w:rPr>
        <w:t xml:space="preserve">effectiveness of a </w:t>
      </w:r>
      <w:r w:rsidR="008B58C0" w:rsidRPr="00C300E6">
        <w:rPr>
          <w:rStyle w:val="lawlabel"/>
          <w:lang w:val="en-CA"/>
        </w:rPr>
        <w:t>forum</w:t>
      </w:r>
      <w:r w:rsidR="00553DD7" w:rsidRPr="00C300E6">
        <w:rPr>
          <w:rStyle w:val="lawlabel"/>
          <w:lang w:val="en-CA"/>
        </w:rPr>
        <w:t xml:space="preserve"> </w:t>
      </w:r>
      <w:r w:rsidR="008B58C0" w:rsidRPr="00C300E6">
        <w:rPr>
          <w:rStyle w:val="lawlabel"/>
          <w:lang w:val="en-CA"/>
        </w:rPr>
        <w:t>selection</w:t>
      </w:r>
      <w:r w:rsidR="00553DD7" w:rsidRPr="00C300E6">
        <w:rPr>
          <w:rStyle w:val="lawlabel"/>
          <w:lang w:val="en-CA"/>
        </w:rPr>
        <w:t xml:space="preserve"> </w:t>
      </w:r>
      <w:r w:rsidR="008B58C0" w:rsidRPr="00C300E6">
        <w:rPr>
          <w:rStyle w:val="lawlabel"/>
          <w:lang w:val="en-CA"/>
        </w:rPr>
        <w:t>clause</w:t>
      </w:r>
      <w:r w:rsidR="00553DD7" w:rsidRPr="00C300E6">
        <w:rPr>
          <w:rStyle w:val="lawlabel"/>
          <w:lang w:val="en-CA"/>
        </w:rPr>
        <w:t xml:space="preserve"> in the absence of clear legislative intent</w:t>
      </w:r>
      <w:r w:rsidR="008B58C0" w:rsidRPr="00C300E6">
        <w:rPr>
          <w:rStyle w:val="lawlabel"/>
          <w:lang w:val="en-CA"/>
        </w:rPr>
        <w:t>.</w:t>
      </w:r>
    </w:p>
    <w:p w14:paraId="4AF96D83" w14:textId="13B70FE7" w:rsidR="008B58C0" w:rsidRPr="00C300E6" w:rsidRDefault="001945A7" w:rsidP="008B58C0">
      <w:pPr>
        <w:pStyle w:val="Paragraphe"/>
        <w:spacing w:line="240" w:lineRule="auto"/>
        <w:rPr>
          <w:rStyle w:val="lawlabel"/>
          <w:lang w:val="en-CA"/>
        </w:rPr>
      </w:pPr>
      <w:r w:rsidRPr="00C300E6">
        <w:rPr>
          <w:rStyle w:val="lawlabel"/>
          <w:lang w:val="en-CA"/>
        </w:rPr>
        <w:t>Acco</w:t>
      </w:r>
      <w:r w:rsidR="005A1325" w:rsidRPr="00C300E6">
        <w:rPr>
          <w:rStyle w:val="lawlabel"/>
          <w:lang w:val="en-CA"/>
        </w:rPr>
        <w:t>r</w:t>
      </w:r>
      <w:r w:rsidRPr="00C300E6">
        <w:rPr>
          <w:rStyle w:val="lawlabel"/>
          <w:lang w:val="en-CA"/>
        </w:rPr>
        <w:t xml:space="preserve">ding to the </w:t>
      </w:r>
      <w:r w:rsidR="008B58C0" w:rsidRPr="00C300E6">
        <w:rPr>
          <w:rStyle w:val="lawlabel"/>
          <w:lang w:val="en-CA"/>
        </w:rPr>
        <w:t>appel</w:t>
      </w:r>
      <w:r w:rsidRPr="00C300E6">
        <w:rPr>
          <w:rStyle w:val="lawlabel"/>
          <w:lang w:val="en-CA"/>
        </w:rPr>
        <w:t>l</w:t>
      </w:r>
      <w:r w:rsidR="008B58C0" w:rsidRPr="00C300E6">
        <w:rPr>
          <w:rStyle w:val="lawlabel"/>
          <w:lang w:val="en-CA"/>
        </w:rPr>
        <w:t>ant,</w:t>
      </w:r>
      <w:r w:rsidRPr="00C300E6">
        <w:rPr>
          <w:rStyle w:val="lawlabel"/>
          <w:lang w:val="en-CA"/>
        </w:rPr>
        <w:t xml:space="preserve"> these factors of analysis</w:t>
      </w:r>
      <w:r w:rsidR="005A1325" w:rsidRPr="00C300E6">
        <w:rPr>
          <w:rStyle w:val="lawlabel"/>
          <w:lang w:val="en-CA"/>
        </w:rPr>
        <w:t xml:space="preserve"> are such that </w:t>
      </w:r>
      <w:r w:rsidR="008B58C0" w:rsidRPr="00C300E6">
        <w:rPr>
          <w:rStyle w:val="lawlabel"/>
          <w:lang w:val="en-CA"/>
        </w:rPr>
        <w:t>article 166 C.C.P</w:t>
      </w:r>
      <w:r w:rsidR="008B58C0" w:rsidRPr="00C300E6">
        <w:rPr>
          <w:rStyle w:val="lawlabel"/>
          <w:i/>
          <w:lang w:val="en-CA"/>
        </w:rPr>
        <w:t>.</w:t>
      </w:r>
      <w:r w:rsidR="008B58C0" w:rsidRPr="00C300E6">
        <w:rPr>
          <w:rStyle w:val="lawlabel"/>
          <w:lang w:val="en-CA"/>
        </w:rPr>
        <w:t xml:space="preserve"> </w:t>
      </w:r>
      <w:r w:rsidR="005A1325" w:rsidRPr="00C300E6">
        <w:rPr>
          <w:rStyle w:val="lawlabel"/>
          <w:lang w:val="en-CA"/>
        </w:rPr>
        <w:t xml:space="preserve">should not be interpreted as having any </w:t>
      </w:r>
      <w:r w:rsidR="008B58C0" w:rsidRPr="00C300E6">
        <w:rPr>
          <w:rStyle w:val="lawlabel"/>
          <w:lang w:val="en-CA"/>
        </w:rPr>
        <w:t xml:space="preserve">impact </w:t>
      </w:r>
      <w:r w:rsidR="005A1325" w:rsidRPr="00C300E6">
        <w:rPr>
          <w:rStyle w:val="lawlabel"/>
          <w:lang w:val="en-CA"/>
        </w:rPr>
        <w:t xml:space="preserve">whatsoever on the effectiveness of </w:t>
      </w:r>
      <w:r w:rsidR="008B58C0" w:rsidRPr="00C300E6">
        <w:rPr>
          <w:rStyle w:val="lawlabel"/>
          <w:lang w:val="en-CA"/>
        </w:rPr>
        <w:t>forum</w:t>
      </w:r>
      <w:r w:rsidR="005A1325" w:rsidRPr="00C300E6">
        <w:rPr>
          <w:rStyle w:val="lawlabel"/>
          <w:lang w:val="en-CA"/>
        </w:rPr>
        <w:t xml:space="preserve"> </w:t>
      </w:r>
      <w:r w:rsidR="008B58C0" w:rsidRPr="00C300E6">
        <w:rPr>
          <w:rStyle w:val="lawlabel"/>
          <w:lang w:val="en-CA"/>
        </w:rPr>
        <w:t>selection</w:t>
      </w:r>
      <w:r w:rsidR="005A1325" w:rsidRPr="00C300E6">
        <w:rPr>
          <w:rStyle w:val="lawlabel"/>
          <w:lang w:val="en-CA"/>
        </w:rPr>
        <w:t xml:space="preserve"> </w:t>
      </w:r>
      <w:r w:rsidR="008B58C0" w:rsidRPr="00C300E6">
        <w:rPr>
          <w:rStyle w:val="lawlabel"/>
          <w:lang w:val="en-CA"/>
        </w:rPr>
        <w:t>clause</w:t>
      </w:r>
      <w:r w:rsidR="005A1325" w:rsidRPr="00C300E6">
        <w:rPr>
          <w:rStyle w:val="lawlabel"/>
          <w:lang w:val="en-CA"/>
        </w:rPr>
        <w:t>s</w:t>
      </w:r>
      <w:r w:rsidR="008B58C0" w:rsidRPr="00C300E6">
        <w:rPr>
          <w:rStyle w:val="lawlabel"/>
          <w:lang w:val="en-CA"/>
        </w:rPr>
        <w:t xml:space="preserve">. </w:t>
      </w:r>
      <w:r w:rsidR="00F91B67" w:rsidRPr="00C300E6">
        <w:rPr>
          <w:rStyle w:val="lawlabel"/>
          <w:lang w:val="en-CA"/>
        </w:rPr>
        <w:t>C</w:t>
      </w:r>
      <w:r w:rsidR="008B58C0" w:rsidRPr="00C300E6">
        <w:rPr>
          <w:rStyle w:val="lawlabel"/>
          <w:lang w:val="en-CA"/>
        </w:rPr>
        <w:t>oncr</w:t>
      </w:r>
      <w:r w:rsidR="00F91B67" w:rsidRPr="00C300E6">
        <w:rPr>
          <w:rStyle w:val="lawlabel"/>
          <w:lang w:val="en-CA"/>
        </w:rPr>
        <w:t xml:space="preserve">etely, it follows that failure to comply with the time limits set out in the second paragraph of </w:t>
      </w:r>
      <w:r w:rsidR="008B58C0" w:rsidRPr="00C300E6">
        <w:rPr>
          <w:rStyle w:val="lawlabel"/>
          <w:lang w:val="en-CA"/>
        </w:rPr>
        <w:t>article 166 C.C.P</w:t>
      </w:r>
      <w:r w:rsidR="008B58C0" w:rsidRPr="00C300E6">
        <w:rPr>
          <w:rStyle w:val="lawlabel"/>
          <w:i/>
          <w:lang w:val="en-CA"/>
        </w:rPr>
        <w:t>.</w:t>
      </w:r>
      <w:r w:rsidR="008B58C0" w:rsidRPr="00C300E6">
        <w:rPr>
          <w:rStyle w:val="lawlabel"/>
          <w:lang w:val="en-CA"/>
        </w:rPr>
        <w:t xml:space="preserve"> </w:t>
      </w:r>
      <w:r w:rsidR="00F91B67" w:rsidRPr="00C300E6">
        <w:rPr>
          <w:rStyle w:val="lawlabel"/>
          <w:lang w:val="en-CA"/>
        </w:rPr>
        <w:t xml:space="preserve">should not </w:t>
      </w:r>
      <w:r w:rsidR="008B58C0" w:rsidRPr="00C300E6">
        <w:rPr>
          <w:rStyle w:val="lawlabel"/>
          <w:lang w:val="en-CA"/>
        </w:rPr>
        <w:t>automati</w:t>
      </w:r>
      <w:r w:rsidR="00F91B67" w:rsidRPr="00C300E6">
        <w:rPr>
          <w:rStyle w:val="lawlabel"/>
          <w:lang w:val="en-CA"/>
        </w:rPr>
        <w:t xml:space="preserve">cally result in the inadmissibility of a </w:t>
      </w:r>
      <w:r w:rsidR="008B58C0" w:rsidRPr="00C300E6">
        <w:rPr>
          <w:rStyle w:val="lawlabel"/>
          <w:lang w:val="en-CA"/>
        </w:rPr>
        <w:t>declinatory</w:t>
      </w:r>
      <w:r w:rsidR="00F76DEC" w:rsidRPr="00C300E6">
        <w:rPr>
          <w:rStyle w:val="lawlabel"/>
          <w:lang w:val="en-CA"/>
        </w:rPr>
        <w:t xml:space="preserve"> </w:t>
      </w:r>
      <w:r w:rsidR="008B58C0" w:rsidRPr="00C300E6">
        <w:rPr>
          <w:rStyle w:val="lawlabel"/>
          <w:lang w:val="en-CA"/>
        </w:rPr>
        <w:t>exception invo</w:t>
      </w:r>
      <w:r w:rsidR="00F76DEC" w:rsidRPr="00C300E6">
        <w:rPr>
          <w:rStyle w:val="lawlabel"/>
          <w:lang w:val="en-CA"/>
        </w:rPr>
        <w:t xml:space="preserve">king such a </w:t>
      </w:r>
      <w:r w:rsidR="008B58C0" w:rsidRPr="00C300E6">
        <w:rPr>
          <w:rStyle w:val="lawlabel"/>
          <w:lang w:val="en-CA"/>
        </w:rPr>
        <w:t>clause.</w:t>
      </w:r>
      <w:r w:rsidR="00F76DEC" w:rsidRPr="00C300E6">
        <w:rPr>
          <w:rStyle w:val="lawlabel"/>
          <w:lang w:val="en-CA"/>
        </w:rPr>
        <w:t xml:space="preserve"> It is at most a </w:t>
      </w:r>
      <w:r w:rsidR="008B58C0" w:rsidRPr="00C300E6">
        <w:rPr>
          <w:rStyle w:val="lawlabel"/>
          <w:lang w:val="en-CA"/>
        </w:rPr>
        <w:t>relevant</w:t>
      </w:r>
      <w:r w:rsidR="00F76DEC" w:rsidRPr="00C300E6">
        <w:rPr>
          <w:rStyle w:val="lawlabel"/>
          <w:lang w:val="en-CA"/>
        </w:rPr>
        <w:t xml:space="preserve"> factor in the </w:t>
      </w:r>
      <w:r w:rsidR="008B58C0" w:rsidRPr="00C300E6">
        <w:rPr>
          <w:rStyle w:val="lawlabel"/>
          <w:lang w:val="en-CA"/>
        </w:rPr>
        <w:t>analys</w:t>
      </w:r>
      <w:r w:rsidR="00F76DEC" w:rsidRPr="00C300E6">
        <w:rPr>
          <w:rStyle w:val="lawlabel"/>
          <w:lang w:val="en-CA"/>
        </w:rPr>
        <w:t xml:space="preserve">is of whether the party raising the exception </w:t>
      </w:r>
      <w:r w:rsidR="006D6911" w:rsidRPr="00C300E6">
        <w:rPr>
          <w:rStyle w:val="lawlabel"/>
          <w:lang w:val="en-CA"/>
        </w:rPr>
        <w:t xml:space="preserve">submitted to the international </w:t>
      </w:r>
      <w:r w:rsidR="008B58C0" w:rsidRPr="00C300E6">
        <w:rPr>
          <w:rStyle w:val="lawlabel"/>
          <w:lang w:val="en-CA"/>
        </w:rPr>
        <w:t>jurisdiction</w:t>
      </w:r>
      <w:r w:rsidR="006D6911" w:rsidRPr="00C300E6">
        <w:rPr>
          <w:rStyle w:val="lawlabel"/>
          <w:lang w:val="en-CA"/>
        </w:rPr>
        <w:t xml:space="preserve"> of the </w:t>
      </w:r>
      <w:r w:rsidR="008B58C0" w:rsidRPr="00C300E6">
        <w:rPr>
          <w:rStyle w:val="lawlabel"/>
          <w:lang w:val="en-CA"/>
        </w:rPr>
        <w:t>Quebec</w:t>
      </w:r>
      <w:r w:rsidR="006D6911" w:rsidRPr="00C300E6">
        <w:rPr>
          <w:rStyle w:val="lawlabel"/>
          <w:lang w:val="en-CA"/>
        </w:rPr>
        <w:t xml:space="preserve"> </w:t>
      </w:r>
      <w:r w:rsidR="008B58C0" w:rsidRPr="00C300E6">
        <w:rPr>
          <w:rStyle w:val="lawlabel"/>
          <w:lang w:val="en-CA"/>
        </w:rPr>
        <w:t>authorit</w:t>
      </w:r>
      <w:r w:rsidR="006D6911" w:rsidRPr="00C300E6">
        <w:rPr>
          <w:rStyle w:val="lawlabel"/>
          <w:lang w:val="en-CA"/>
        </w:rPr>
        <w:t>ies</w:t>
      </w:r>
      <w:r w:rsidR="008B58C0" w:rsidRPr="00C300E6">
        <w:rPr>
          <w:rStyle w:val="lawlabel"/>
          <w:lang w:val="en-CA"/>
        </w:rPr>
        <w:t>.</w:t>
      </w:r>
    </w:p>
    <w:p w14:paraId="5DEB0F7B" w14:textId="2812BBE5" w:rsidR="008B58C0" w:rsidRPr="00C300E6" w:rsidRDefault="006D6911" w:rsidP="008B58C0">
      <w:pPr>
        <w:pStyle w:val="Paragraphe"/>
        <w:spacing w:line="240" w:lineRule="auto"/>
        <w:rPr>
          <w:rStyle w:val="lawlabel"/>
          <w:lang w:val="en-CA"/>
        </w:rPr>
      </w:pPr>
      <w:r w:rsidRPr="00C300E6">
        <w:rPr>
          <w:rStyle w:val="lawlabel"/>
          <w:lang w:val="en-CA"/>
        </w:rPr>
        <w:t xml:space="preserve">The appellant’s </w:t>
      </w:r>
      <w:r w:rsidR="008B58C0" w:rsidRPr="00C300E6">
        <w:rPr>
          <w:rStyle w:val="lawlabel"/>
          <w:lang w:val="en-CA"/>
        </w:rPr>
        <w:t xml:space="preserve">argument </w:t>
      </w:r>
      <w:r w:rsidRPr="00C300E6">
        <w:rPr>
          <w:rStyle w:val="lawlabel"/>
          <w:lang w:val="en-CA"/>
        </w:rPr>
        <w:t xml:space="preserve">is </w:t>
      </w:r>
      <w:r w:rsidR="008B58C0" w:rsidRPr="00C300E6">
        <w:rPr>
          <w:rStyle w:val="lawlabel"/>
          <w:lang w:val="en-CA"/>
        </w:rPr>
        <w:t xml:space="preserve">original </w:t>
      </w:r>
      <w:r w:rsidRPr="00C300E6">
        <w:rPr>
          <w:rStyle w:val="lawlabel"/>
          <w:lang w:val="en-CA"/>
        </w:rPr>
        <w:t>and serious</w:t>
      </w:r>
      <w:r w:rsidR="008B58C0" w:rsidRPr="00C300E6">
        <w:rPr>
          <w:rStyle w:val="lawlabel"/>
          <w:lang w:val="en-CA"/>
        </w:rPr>
        <w:t>.</w:t>
      </w:r>
      <w:r w:rsidRPr="00C300E6">
        <w:rPr>
          <w:rStyle w:val="lawlabel"/>
          <w:lang w:val="en-CA"/>
        </w:rPr>
        <w:t xml:space="preserve"> Upon reflection, however, the </w:t>
      </w:r>
      <w:r w:rsidR="008B58C0" w:rsidRPr="00C300E6">
        <w:rPr>
          <w:rStyle w:val="lawlabel"/>
          <w:lang w:val="en-CA"/>
        </w:rPr>
        <w:t xml:space="preserve">Court </w:t>
      </w:r>
      <w:r w:rsidRPr="00C300E6">
        <w:rPr>
          <w:rStyle w:val="lawlabel"/>
          <w:lang w:val="en-CA"/>
        </w:rPr>
        <w:t>is of the view that it cannot be accepted</w:t>
      </w:r>
      <w:r w:rsidR="008B58C0" w:rsidRPr="00C300E6">
        <w:rPr>
          <w:rStyle w:val="lawlabel"/>
          <w:lang w:val="en-CA"/>
        </w:rPr>
        <w:t>.</w:t>
      </w:r>
    </w:p>
    <w:p w14:paraId="1DBDDA2C" w14:textId="2DC5C418" w:rsidR="008B58C0" w:rsidRPr="00C300E6" w:rsidRDefault="0040340F" w:rsidP="008B58C0">
      <w:pPr>
        <w:pStyle w:val="Paragraphe"/>
        <w:spacing w:line="240" w:lineRule="auto"/>
        <w:rPr>
          <w:rStyle w:val="lawlabel"/>
          <w:lang w:val="en-CA"/>
        </w:rPr>
      </w:pPr>
      <w:r w:rsidRPr="00C300E6">
        <w:rPr>
          <w:rStyle w:val="lawlabel"/>
          <w:lang w:val="en-CA"/>
        </w:rPr>
        <w:t xml:space="preserve">The </w:t>
      </w:r>
      <w:r w:rsidR="008B58C0" w:rsidRPr="00C300E6">
        <w:rPr>
          <w:rStyle w:val="lawlabel"/>
          <w:lang w:val="en-CA"/>
        </w:rPr>
        <w:t>appel</w:t>
      </w:r>
      <w:r w:rsidRPr="00C300E6">
        <w:rPr>
          <w:rStyle w:val="lawlabel"/>
          <w:lang w:val="en-CA"/>
        </w:rPr>
        <w:t>l</w:t>
      </w:r>
      <w:r w:rsidR="008B58C0" w:rsidRPr="00C300E6">
        <w:rPr>
          <w:rStyle w:val="lawlabel"/>
          <w:lang w:val="en-CA"/>
        </w:rPr>
        <w:t>ant</w:t>
      </w:r>
      <w:r w:rsidRPr="00C300E6">
        <w:rPr>
          <w:rStyle w:val="lawlabel"/>
          <w:lang w:val="en-CA"/>
        </w:rPr>
        <w:t xml:space="preserve"> is correct to emphasize the </w:t>
      </w:r>
      <w:r w:rsidR="008B58C0" w:rsidRPr="00C300E6">
        <w:rPr>
          <w:rStyle w:val="lawlabel"/>
          <w:lang w:val="en-CA"/>
        </w:rPr>
        <w:t xml:space="preserve">importance </w:t>
      </w:r>
      <w:r w:rsidRPr="00C300E6">
        <w:rPr>
          <w:rStyle w:val="lawlabel"/>
          <w:lang w:val="en-CA"/>
        </w:rPr>
        <w:t xml:space="preserve">of </w:t>
      </w:r>
      <w:r w:rsidR="008B58C0" w:rsidRPr="00C300E6">
        <w:rPr>
          <w:rStyle w:val="lawlabel"/>
          <w:lang w:val="en-CA"/>
        </w:rPr>
        <w:t>respect</w:t>
      </w:r>
      <w:r w:rsidRPr="00C300E6">
        <w:rPr>
          <w:rStyle w:val="lawlabel"/>
          <w:lang w:val="en-CA"/>
        </w:rPr>
        <w:t xml:space="preserve">ing the choice made by the </w:t>
      </w:r>
      <w:r w:rsidR="008B58C0" w:rsidRPr="00C300E6">
        <w:rPr>
          <w:rStyle w:val="lawlabel"/>
          <w:lang w:val="en-CA"/>
        </w:rPr>
        <w:t>parties</w:t>
      </w:r>
      <w:r w:rsidRPr="00C300E6">
        <w:rPr>
          <w:rStyle w:val="lawlabel"/>
          <w:lang w:val="en-CA"/>
        </w:rPr>
        <w:t xml:space="preserve"> when they have agreed to a </w:t>
      </w:r>
      <w:r w:rsidR="008B58C0" w:rsidRPr="00C300E6">
        <w:rPr>
          <w:rStyle w:val="lawlabel"/>
          <w:lang w:val="en-CA"/>
        </w:rPr>
        <w:t>forum</w:t>
      </w:r>
      <w:r w:rsidRPr="00C300E6">
        <w:rPr>
          <w:rStyle w:val="lawlabel"/>
          <w:lang w:val="en-CA"/>
        </w:rPr>
        <w:t xml:space="preserve"> </w:t>
      </w:r>
      <w:r w:rsidR="008B58C0" w:rsidRPr="00C300E6">
        <w:rPr>
          <w:rStyle w:val="lawlabel"/>
          <w:lang w:val="en-CA"/>
        </w:rPr>
        <w:t>selection</w:t>
      </w:r>
      <w:r w:rsidRPr="00C300E6">
        <w:rPr>
          <w:rStyle w:val="lawlabel"/>
          <w:lang w:val="en-CA"/>
        </w:rPr>
        <w:t xml:space="preserve"> </w:t>
      </w:r>
      <w:r w:rsidR="008B58C0" w:rsidRPr="00C300E6">
        <w:rPr>
          <w:rStyle w:val="lawlabel"/>
          <w:lang w:val="en-CA"/>
        </w:rPr>
        <w:t>clause.</w:t>
      </w:r>
      <w:r w:rsidRPr="00C300E6">
        <w:rPr>
          <w:rStyle w:val="lawlabel"/>
          <w:lang w:val="en-CA"/>
        </w:rPr>
        <w:t xml:space="preserve"> As the </w:t>
      </w:r>
      <w:r w:rsidR="008B58C0" w:rsidRPr="00C300E6">
        <w:rPr>
          <w:rStyle w:val="lawlabel"/>
          <w:lang w:val="en-CA"/>
        </w:rPr>
        <w:t>Supreme</w:t>
      </w:r>
      <w:r w:rsidRPr="00C300E6">
        <w:rPr>
          <w:rStyle w:val="lawlabel"/>
          <w:lang w:val="en-CA"/>
        </w:rPr>
        <w:t xml:space="preserve"> </w:t>
      </w:r>
      <w:r w:rsidR="008B58C0" w:rsidRPr="00C300E6">
        <w:rPr>
          <w:rStyle w:val="lawlabel"/>
          <w:lang w:val="en-CA"/>
        </w:rPr>
        <w:lastRenderedPageBreak/>
        <w:t xml:space="preserve">Court </w:t>
      </w:r>
      <w:r w:rsidRPr="00C300E6">
        <w:rPr>
          <w:rStyle w:val="lawlabel"/>
          <w:lang w:val="en-CA"/>
        </w:rPr>
        <w:t xml:space="preserve">noted in </w:t>
      </w:r>
      <w:r w:rsidR="008B58C0" w:rsidRPr="00C300E6">
        <w:rPr>
          <w:rStyle w:val="lawlabel"/>
          <w:i/>
          <w:lang w:val="en-CA"/>
        </w:rPr>
        <w:t>GreCon</w:t>
      </w:r>
      <w:r w:rsidR="008B58C0" w:rsidRPr="00C300E6">
        <w:rPr>
          <w:rStyle w:val="lawlabel"/>
          <w:lang w:val="en-CA"/>
        </w:rPr>
        <w:t xml:space="preserve">, </w:t>
      </w:r>
      <w:r w:rsidRPr="00C300E6">
        <w:rPr>
          <w:rStyle w:val="lawlabel"/>
          <w:lang w:val="en-CA"/>
        </w:rPr>
        <w:t>ensuring the primacy of the a</w:t>
      </w:r>
      <w:r w:rsidR="008B58C0" w:rsidRPr="00C300E6">
        <w:rPr>
          <w:rStyle w:val="lawlabel"/>
          <w:lang w:val="en-CA"/>
        </w:rPr>
        <w:t>utonom</w:t>
      </w:r>
      <w:r w:rsidRPr="00C300E6">
        <w:rPr>
          <w:rStyle w:val="lawlabel"/>
          <w:lang w:val="en-CA"/>
        </w:rPr>
        <w:t xml:space="preserve">y of the parties in such a </w:t>
      </w:r>
      <w:r w:rsidR="008B58C0" w:rsidRPr="00C300E6">
        <w:rPr>
          <w:rStyle w:val="lawlabel"/>
          <w:lang w:val="en-CA"/>
        </w:rPr>
        <w:t xml:space="preserve">context </w:t>
      </w:r>
      <w:r w:rsidRPr="00C300E6">
        <w:rPr>
          <w:rStyle w:val="lawlabel"/>
          <w:lang w:val="en-CA"/>
        </w:rPr>
        <w:t xml:space="preserve">is </w:t>
      </w:r>
      <w:r w:rsidR="008B58C0" w:rsidRPr="00C300E6">
        <w:rPr>
          <w:rStyle w:val="lawlabel"/>
          <w:lang w:val="en-CA"/>
        </w:rPr>
        <w:t>essenti</w:t>
      </w:r>
      <w:r w:rsidRPr="00C300E6">
        <w:rPr>
          <w:rStyle w:val="lawlabel"/>
          <w:lang w:val="en-CA"/>
        </w:rPr>
        <w:t>a</w:t>
      </w:r>
      <w:r w:rsidR="008B58C0" w:rsidRPr="00C300E6">
        <w:rPr>
          <w:rStyle w:val="lawlabel"/>
          <w:lang w:val="en-CA"/>
        </w:rPr>
        <w:t>l</w:t>
      </w:r>
      <w:r w:rsidR="00C645B3" w:rsidRPr="00C300E6">
        <w:rPr>
          <w:rStyle w:val="lawlabel"/>
          <w:lang w:val="en-CA"/>
        </w:rPr>
        <w:t xml:space="preserve"> to support and </w:t>
      </w:r>
      <w:r w:rsidR="008B58C0" w:rsidRPr="00C300E6">
        <w:rPr>
          <w:rStyle w:val="lawlabel"/>
          <w:lang w:val="en-CA"/>
        </w:rPr>
        <w:t>promo</w:t>
      </w:r>
      <w:r w:rsidR="00C645B3" w:rsidRPr="00C300E6">
        <w:rPr>
          <w:rStyle w:val="lawlabel"/>
          <w:lang w:val="en-CA"/>
        </w:rPr>
        <w:t xml:space="preserve">te international </w:t>
      </w:r>
      <w:r w:rsidR="008B58C0" w:rsidRPr="00C300E6">
        <w:rPr>
          <w:rStyle w:val="lawlabel"/>
          <w:lang w:val="en-CA"/>
        </w:rPr>
        <w:t>commercial</w:t>
      </w:r>
      <w:r w:rsidR="00C645B3" w:rsidRPr="00C300E6">
        <w:rPr>
          <w:rStyle w:val="lawlabel"/>
          <w:lang w:val="en-CA"/>
        </w:rPr>
        <w:t xml:space="preserve"> relations:</w:t>
      </w:r>
      <w:r w:rsidR="008B58C0" w:rsidRPr="00C300E6">
        <w:rPr>
          <w:rStyle w:val="Appelnotedebasdep"/>
          <w:rFonts w:cs="Arial"/>
          <w:szCs w:val="24"/>
          <w:lang w:val="en-CA"/>
        </w:rPr>
        <w:footnoteReference w:id="14"/>
      </w:r>
    </w:p>
    <w:p w14:paraId="17678076" w14:textId="49D30FDC" w:rsidR="008B58C0" w:rsidRPr="00C300E6" w:rsidRDefault="00C645B3" w:rsidP="008B58C0">
      <w:pPr>
        <w:pStyle w:val="Paragraphe"/>
        <w:numPr>
          <w:ilvl w:val="0"/>
          <w:numId w:val="0"/>
        </w:numPr>
        <w:spacing w:line="240" w:lineRule="auto"/>
        <w:ind w:left="709" w:right="715"/>
        <w:rPr>
          <w:rStyle w:val="lawlabel"/>
          <w:sz w:val="22"/>
          <w:szCs w:val="22"/>
          <w:lang w:val="en-CA"/>
        </w:rPr>
      </w:pPr>
      <w:r w:rsidRPr="00C300E6">
        <w:rPr>
          <w:sz w:val="22"/>
          <w:szCs w:val="22"/>
          <w:lang w:val="en-CA"/>
        </w:rPr>
        <w:t>It should also be noted that respecting the autonomy of the parties makes it possible to implement the broader principle of achieving legal certainty in international transactions. The parties generally give effect to their intention to exclude a dispute from an authority’s jurisdiction by means of an arbitration clause or a choice of forum clause. These clauses foster certainty and foreseeability in international commercial relations, because they enable the parties to provide in advance for the forum to which they will submit their dispute. This Court has often stressed the importance of such clauses and the need to encourage them, because they provide international commercial relations with the stability and foreseeability required for purposes of the critical components of private international law, namely order and fairness. This shows how deferring to the contracting parties’ intention ensures the implementation of this policy of legal certainty that is an inherent feature of private international law. To recognize the usefulness and effectiveness of choice of forum clauses and arbitration clauses is therefore consistent with the general principles of private international law</w:t>
      </w:r>
      <w:r w:rsidR="008B58C0" w:rsidRPr="00C300E6">
        <w:rPr>
          <w:rStyle w:val="lawlabel"/>
          <w:sz w:val="22"/>
          <w:szCs w:val="22"/>
          <w:lang w:val="en-CA"/>
        </w:rPr>
        <w:t>.</w:t>
      </w:r>
    </w:p>
    <w:p w14:paraId="78B7E45D" w14:textId="77777777" w:rsidR="008B58C0" w:rsidRPr="00C300E6" w:rsidRDefault="00651527" w:rsidP="008B58C0">
      <w:pPr>
        <w:pStyle w:val="Paragraphe"/>
        <w:numPr>
          <w:ilvl w:val="0"/>
          <w:numId w:val="0"/>
        </w:numPr>
        <w:spacing w:line="240" w:lineRule="auto"/>
        <w:ind w:left="709" w:right="715"/>
        <w:jc w:val="right"/>
        <w:rPr>
          <w:rStyle w:val="lawlabel"/>
          <w:sz w:val="22"/>
          <w:szCs w:val="22"/>
          <w:lang w:val="en-CA"/>
        </w:rPr>
      </w:pPr>
      <w:r w:rsidRPr="00C300E6">
        <w:rPr>
          <w:rStyle w:val="lawlabel"/>
          <w:sz w:val="22"/>
          <w:szCs w:val="22"/>
          <w:lang w:val="en-CA"/>
        </w:rPr>
        <w:t>[Citations omitted.]</w:t>
      </w:r>
    </w:p>
    <w:p w14:paraId="41C0B826" w14:textId="1D79B33C" w:rsidR="008B58C0" w:rsidRPr="00C300E6" w:rsidRDefault="00586FB2" w:rsidP="008B58C0">
      <w:pPr>
        <w:pStyle w:val="Paragraphe"/>
        <w:spacing w:line="240" w:lineRule="auto"/>
        <w:rPr>
          <w:rStyle w:val="lawlabel"/>
          <w:lang w:val="en-CA"/>
        </w:rPr>
      </w:pPr>
      <w:r w:rsidRPr="00C300E6">
        <w:rPr>
          <w:rStyle w:val="lawlabel"/>
          <w:lang w:val="en-CA"/>
        </w:rPr>
        <w:t xml:space="preserve">The appellant is wrong, however, when it claims that applying the </w:t>
      </w:r>
      <w:r w:rsidR="008B58C0" w:rsidRPr="00C300E6">
        <w:rPr>
          <w:rStyle w:val="lawlabel"/>
          <w:lang w:val="en-CA"/>
        </w:rPr>
        <w:t>provisions</w:t>
      </w:r>
      <w:r w:rsidRPr="00C300E6">
        <w:rPr>
          <w:rStyle w:val="lawlabel"/>
          <w:lang w:val="en-CA"/>
        </w:rPr>
        <w:t xml:space="preserve"> of the second paragraph of </w:t>
      </w:r>
      <w:r w:rsidR="008B58C0" w:rsidRPr="00C300E6">
        <w:rPr>
          <w:rStyle w:val="lawlabel"/>
          <w:lang w:val="en-CA"/>
        </w:rPr>
        <w:t>article 166 C.C.P</w:t>
      </w:r>
      <w:r w:rsidR="008B58C0" w:rsidRPr="00C300E6">
        <w:rPr>
          <w:rStyle w:val="lawlabel"/>
          <w:i/>
          <w:lang w:val="en-CA"/>
        </w:rPr>
        <w:t>.</w:t>
      </w:r>
      <w:r w:rsidRPr="00C300E6">
        <w:rPr>
          <w:rStyle w:val="lawlabel"/>
          <w:i/>
          <w:lang w:val="en-CA"/>
        </w:rPr>
        <w:t xml:space="preserve"> </w:t>
      </w:r>
      <w:r w:rsidRPr="00C300E6">
        <w:rPr>
          <w:rStyle w:val="lawlabel"/>
          <w:lang w:val="en-CA"/>
        </w:rPr>
        <w:t xml:space="preserve">to </w:t>
      </w:r>
      <w:r w:rsidR="008B58C0" w:rsidRPr="00C300E6">
        <w:rPr>
          <w:rStyle w:val="lawlabel"/>
          <w:lang w:val="en-CA"/>
        </w:rPr>
        <w:t>declinatory</w:t>
      </w:r>
      <w:r w:rsidRPr="00C300E6">
        <w:rPr>
          <w:rStyle w:val="lawlabel"/>
          <w:lang w:val="en-CA"/>
        </w:rPr>
        <w:t xml:space="preserve"> </w:t>
      </w:r>
      <w:r w:rsidR="008B58C0" w:rsidRPr="00C300E6">
        <w:rPr>
          <w:rStyle w:val="lawlabel"/>
          <w:lang w:val="en-CA"/>
        </w:rPr>
        <w:t>exceptions</w:t>
      </w:r>
      <w:r w:rsidRPr="00C300E6">
        <w:rPr>
          <w:rStyle w:val="lawlabel"/>
          <w:lang w:val="en-CA"/>
        </w:rPr>
        <w:t xml:space="preserve"> based on </w:t>
      </w:r>
      <w:r w:rsidR="008B58C0" w:rsidRPr="00C300E6">
        <w:rPr>
          <w:rStyle w:val="lawlabel"/>
          <w:lang w:val="en-CA"/>
        </w:rPr>
        <w:t>forum</w:t>
      </w:r>
      <w:r w:rsidRPr="00C300E6">
        <w:rPr>
          <w:rStyle w:val="lawlabel"/>
          <w:lang w:val="en-CA"/>
        </w:rPr>
        <w:t xml:space="preserve"> </w:t>
      </w:r>
      <w:r w:rsidR="008B58C0" w:rsidRPr="00C300E6">
        <w:rPr>
          <w:rStyle w:val="lawlabel"/>
          <w:lang w:val="en-CA"/>
        </w:rPr>
        <w:t>selection</w:t>
      </w:r>
      <w:r w:rsidRPr="00C300E6">
        <w:rPr>
          <w:rStyle w:val="lawlabel"/>
          <w:lang w:val="en-CA"/>
        </w:rPr>
        <w:t xml:space="preserve"> </w:t>
      </w:r>
      <w:r w:rsidR="008B58C0" w:rsidRPr="00C300E6">
        <w:rPr>
          <w:rStyle w:val="lawlabel"/>
          <w:lang w:val="en-CA"/>
        </w:rPr>
        <w:t>clause</w:t>
      </w:r>
      <w:r w:rsidRPr="00C300E6">
        <w:rPr>
          <w:rStyle w:val="lawlabel"/>
          <w:lang w:val="en-CA"/>
        </w:rPr>
        <w:t xml:space="preserve">s would have the effect of </w:t>
      </w:r>
      <w:r w:rsidR="004F4241" w:rsidRPr="00C300E6">
        <w:rPr>
          <w:rStyle w:val="lawlabel"/>
          <w:lang w:val="en-CA"/>
        </w:rPr>
        <w:t xml:space="preserve">hindering their effectiveness to the point of </w:t>
      </w:r>
      <w:r w:rsidR="00042042" w:rsidRPr="00C300E6">
        <w:rPr>
          <w:rStyle w:val="lawlabel"/>
          <w:lang w:val="en-CA"/>
        </w:rPr>
        <w:t xml:space="preserve">thwarting the </w:t>
      </w:r>
      <w:r w:rsidR="008B58C0" w:rsidRPr="00C300E6">
        <w:rPr>
          <w:rStyle w:val="lawlabel"/>
          <w:lang w:val="en-CA"/>
        </w:rPr>
        <w:t>philosoph</w:t>
      </w:r>
      <w:r w:rsidR="00042042" w:rsidRPr="00C300E6">
        <w:rPr>
          <w:rStyle w:val="lawlabel"/>
          <w:lang w:val="en-CA"/>
        </w:rPr>
        <w:t>y that emerges from contemporary case law</w:t>
      </w:r>
      <w:r w:rsidR="008C5299" w:rsidRPr="00C300E6">
        <w:rPr>
          <w:rStyle w:val="lawlabel"/>
          <w:lang w:val="en-CA"/>
        </w:rPr>
        <w:t>, which is quite favourable to the autonomy of the parties</w:t>
      </w:r>
      <w:r w:rsidR="008B58C0" w:rsidRPr="00C300E6">
        <w:rPr>
          <w:rStyle w:val="lawlabel"/>
          <w:lang w:val="en-CA"/>
        </w:rPr>
        <w:t>.</w:t>
      </w:r>
    </w:p>
    <w:p w14:paraId="19656718" w14:textId="39AC3742" w:rsidR="008B58C0" w:rsidRPr="00C300E6" w:rsidRDefault="001D5124" w:rsidP="008B58C0">
      <w:pPr>
        <w:pStyle w:val="Paragraphe"/>
        <w:spacing w:line="240" w:lineRule="auto"/>
        <w:rPr>
          <w:rStyle w:val="lawlabel"/>
          <w:lang w:val="en-CA"/>
        </w:rPr>
      </w:pPr>
      <w:r w:rsidRPr="00C300E6">
        <w:rPr>
          <w:rStyle w:val="lawlabel"/>
          <w:lang w:val="en-CA"/>
        </w:rPr>
        <w:t>When</w:t>
      </w:r>
      <w:r w:rsidR="00591D61" w:rsidRPr="00C300E6">
        <w:rPr>
          <w:rStyle w:val="lawlabel"/>
          <w:lang w:val="en-CA"/>
        </w:rPr>
        <w:t xml:space="preserve"> stating</w:t>
      </w:r>
      <w:r w:rsidR="008B58C0" w:rsidRPr="00C300E6">
        <w:rPr>
          <w:rStyle w:val="lawlabel"/>
          <w:lang w:val="en-CA"/>
        </w:rPr>
        <w:t xml:space="preserve"> — </w:t>
      </w:r>
      <w:r w:rsidR="00591D61" w:rsidRPr="00C300E6">
        <w:rPr>
          <w:rStyle w:val="lawlabel"/>
          <w:lang w:val="en-CA"/>
        </w:rPr>
        <w:t>in</w:t>
      </w:r>
      <w:r w:rsidR="008B58C0" w:rsidRPr="00C300E6">
        <w:rPr>
          <w:rStyle w:val="lawlabel"/>
          <w:lang w:val="en-CA"/>
        </w:rPr>
        <w:t xml:space="preserve"> </w:t>
      </w:r>
      <w:r w:rsidR="008B58C0" w:rsidRPr="00C300E6">
        <w:rPr>
          <w:rStyle w:val="lawlabel"/>
          <w:i/>
          <w:lang w:val="en-CA"/>
        </w:rPr>
        <w:t xml:space="preserve">GreCon </w:t>
      </w:r>
      <w:r w:rsidR="008B58C0" w:rsidRPr="00C300E6">
        <w:rPr>
          <w:rStyle w:val="lawlabel"/>
          <w:lang w:val="en-CA"/>
        </w:rPr>
        <w:t xml:space="preserve">— </w:t>
      </w:r>
      <w:r w:rsidR="00591D61" w:rsidRPr="00C300E6">
        <w:rPr>
          <w:rStyle w:val="lawlabel"/>
          <w:lang w:val="en-CA"/>
        </w:rPr>
        <w:t xml:space="preserve">that the law must not be interpreted as limiting the effectiveness of </w:t>
      </w:r>
      <w:r w:rsidRPr="00C300E6">
        <w:rPr>
          <w:rStyle w:val="lawlabel"/>
          <w:lang w:val="en-CA"/>
        </w:rPr>
        <w:t xml:space="preserve">a </w:t>
      </w:r>
      <w:r w:rsidR="008B58C0" w:rsidRPr="00C300E6">
        <w:rPr>
          <w:rStyle w:val="lawlabel"/>
          <w:lang w:val="en-CA"/>
        </w:rPr>
        <w:t>forum</w:t>
      </w:r>
      <w:r w:rsidR="00591D61" w:rsidRPr="00C300E6">
        <w:rPr>
          <w:rStyle w:val="lawlabel"/>
          <w:lang w:val="en-CA"/>
        </w:rPr>
        <w:t xml:space="preserve"> </w:t>
      </w:r>
      <w:r w:rsidR="008B58C0" w:rsidRPr="00C300E6">
        <w:rPr>
          <w:rStyle w:val="lawlabel"/>
          <w:lang w:val="en-CA"/>
        </w:rPr>
        <w:t>selection</w:t>
      </w:r>
      <w:r w:rsidR="00591D61" w:rsidRPr="00C300E6">
        <w:rPr>
          <w:rStyle w:val="lawlabel"/>
          <w:lang w:val="en-CA"/>
        </w:rPr>
        <w:t xml:space="preserve"> </w:t>
      </w:r>
      <w:r w:rsidR="008B58C0" w:rsidRPr="00C300E6">
        <w:rPr>
          <w:rStyle w:val="lawlabel"/>
          <w:lang w:val="en-CA"/>
        </w:rPr>
        <w:t>clause</w:t>
      </w:r>
      <w:r w:rsidR="00591D61" w:rsidRPr="00C300E6">
        <w:rPr>
          <w:rStyle w:val="lawlabel"/>
          <w:lang w:val="en-CA"/>
        </w:rPr>
        <w:t xml:space="preserve"> in the absence of clearly expressed </w:t>
      </w:r>
      <w:r w:rsidRPr="00C300E6">
        <w:rPr>
          <w:rStyle w:val="lawlabel"/>
          <w:lang w:val="en-CA"/>
        </w:rPr>
        <w:t xml:space="preserve">legislative intent, </w:t>
      </w:r>
      <w:r w:rsidR="008B58C0" w:rsidRPr="00C300E6">
        <w:rPr>
          <w:rStyle w:val="lawlabel"/>
          <w:lang w:val="en-CA"/>
        </w:rPr>
        <w:t>the</w:t>
      </w:r>
      <w:r w:rsidRPr="00C300E6">
        <w:rPr>
          <w:rStyle w:val="lawlabel"/>
          <w:lang w:val="en-CA"/>
        </w:rPr>
        <w:t xml:space="preserve"> </w:t>
      </w:r>
      <w:r w:rsidR="008B58C0" w:rsidRPr="00C300E6">
        <w:rPr>
          <w:rStyle w:val="lawlabel"/>
          <w:lang w:val="en-CA"/>
        </w:rPr>
        <w:t>Supreme</w:t>
      </w:r>
      <w:r w:rsidRPr="00C300E6">
        <w:rPr>
          <w:rStyle w:val="lawlabel"/>
          <w:lang w:val="en-CA"/>
        </w:rPr>
        <w:t xml:space="preserve"> </w:t>
      </w:r>
      <w:r w:rsidR="008B58C0" w:rsidRPr="00C300E6">
        <w:rPr>
          <w:rStyle w:val="lawlabel"/>
          <w:lang w:val="en-CA"/>
        </w:rPr>
        <w:t>Court</w:t>
      </w:r>
      <w:r w:rsidRPr="00C300E6">
        <w:rPr>
          <w:rStyle w:val="lawlabel"/>
          <w:lang w:val="en-CA"/>
        </w:rPr>
        <w:t xml:space="preserve"> was contemplating the </w:t>
      </w:r>
      <w:r w:rsidR="008B58C0" w:rsidRPr="00C300E6">
        <w:rPr>
          <w:rStyle w:val="lawlabel"/>
          <w:lang w:val="en-CA"/>
        </w:rPr>
        <w:t xml:space="preserve">provisions </w:t>
      </w:r>
      <w:r w:rsidRPr="00C300E6">
        <w:rPr>
          <w:rStyle w:val="lawlabel"/>
          <w:lang w:val="en-CA"/>
        </w:rPr>
        <w:t xml:space="preserve">respecting international </w:t>
      </w:r>
      <w:r w:rsidR="008B58C0" w:rsidRPr="00C300E6">
        <w:rPr>
          <w:rStyle w:val="lawlabel"/>
          <w:lang w:val="en-CA"/>
        </w:rPr>
        <w:t>jurisdiction</w:t>
      </w:r>
      <w:r w:rsidRPr="00C300E6">
        <w:rPr>
          <w:rStyle w:val="lawlabel"/>
          <w:lang w:val="en-CA"/>
        </w:rPr>
        <w:t xml:space="preserve">, such as </w:t>
      </w:r>
      <w:r w:rsidR="008B58C0" w:rsidRPr="00C300E6">
        <w:rPr>
          <w:rStyle w:val="lawlabel"/>
          <w:lang w:val="en-CA"/>
        </w:rPr>
        <w:t>articles</w:t>
      </w:r>
      <w:r w:rsidRPr="00C300E6">
        <w:rPr>
          <w:rStyle w:val="lawlabel"/>
          <w:lang w:val="en-CA"/>
        </w:rPr>
        <w:t xml:space="preserve"> </w:t>
      </w:r>
      <w:r w:rsidR="008B58C0" w:rsidRPr="00C300E6">
        <w:rPr>
          <w:rStyle w:val="lawlabel"/>
          <w:lang w:val="en-CA"/>
        </w:rPr>
        <w:t>3139, 3149</w:t>
      </w:r>
      <w:r w:rsidRPr="00C300E6">
        <w:rPr>
          <w:rStyle w:val="lawlabel"/>
          <w:lang w:val="en-CA"/>
        </w:rPr>
        <w:t>, and</w:t>
      </w:r>
      <w:r w:rsidR="008B58C0" w:rsidRPr="00C300E6">
        <w:rPr>
          <w:rStyle w:val="lawlabel"/>
          <w:lang w:val="en-CA"/>
        </w:rPr>
        <w:t xml:space="preserve"> 3151 C.C.Q</w:t>
      </w:r>
      <w:r w:rsidR="008B58C0" w:rsidRPr="00C300E6">
        <w:rPr>
          <w:rStyle w:val="lawlabel"/>
          <w:i/>
          <w:lang w:val="en-CA"/>
        </w:rPr>
        <w:t>.</w:t>
      </w:r>
      <w:r w:rsidR="008B58C0" w:rsidRPr="00C300E6">
        <w:rPr>
          <w:rStyle w:val="lawlabel"/>
          <w:lang w:val="en-CA"/>
        </w:rPr>
        <w:t xml:space="preserve"> </w:t>
      </w:r>
      <w:r w:rsidRPr="00C300E6">
        <w:rPr>
          <w:rStyle w:val="lawlabel"/>
          <w:lang w:val="en-CA"/>
        </w:rPr>
        <w:t>But the provisions establishing the time limits within which</w:t>
      </w:r>
      <w:r w:rsidR="002B6127" w:rsidRPr="00C300E6">
        <w:rPr>
          <w:rStyle w:val="lawlabel"/>
          <w:lang w:val="en-CA"/>
        </w:rPr>
        <w:t xml:space="preserve"> </w:t>
      </w:r>
      <w:r w:rsidR="008B58C0" w:rsidRPr="00C300E6">
        <w:rPr>
          <w:rStyle w:val="lawlabel"/>
          <w:lang w:val="en-CA"/>
        </w:rPr>
        <w:t>declinatory</w:t>
      </w:r>
      <w:r w:rsidR="002B6127" w:rsidRPr="00C300E6">
        <w:rPr>
          <w:rStyle w:val="lawlabel"/>
          <w:lang w:val="en-CA"/>
        </w:rPr>
        <w:t xml:space="preserve"> </w:t>
      </w:r>
      <w:r w:rsidR="008B58C0" w:rsidRPr="00C300E6">
        <w:rPr>
          <w:rStyle w:val="lawlabel"/>
          <w:lang w:val="en-CA"/>
        </w:rPr>
        <w:t>exceptions</w:t>
      </w:r>
      <w:r w:rsidR="002B6127" w:rsidRPr="00C300E6">
        <w:rPr>
          <w:rStyle w:val="lawlabel"/>
          <w:lang w:val="en-CA"/>
        </w:rPr>
        <w:t xml:space="preserve"> must be presented are of a completely different </w:t>
      </w:r>
      <w:r w:rsidR="008B58C0" w:rsidRPr="00C300E6">
        <w:rPr>
          <w:rStyle w:val="lawlabel"/>
          <w:lang w:val="en-CA"/>
        </w:rPr>
        <w:t xml:space="preserve">nature, </w:t>
      </w:r>
      <w:r w:rsidR="002B6127" w:rsidRPr="00C300E6">
        <w:rPr>
          <w:rStyle w:val="lawlabel"/>
          <w:lang w:val="en-CA"/>
        </w:rPr>
        <w:t xml:space="preserve">as they are in no way intended to govern international </w:t>
      </w:r>
      <w:r w:rsidR="008B58C0" w:rsidRPr="00C300E6">
        <w:rPr>
          <w:rStyle w:val="lawlabel"/>
          <w:lang w:val="en-CA"/>
        </w:rPr>
        <w:t xml:space="preserve">jurisdiction. </w:t>
      </w:r>
      <w:r w:rsidR="002B6127" w:rsidRPr="00C300E6">
        <w:rPr>
          <w:rStyle w:val="lawlabel"/>
          <w:lang w:val="en-CA"/>
        </w:rPr>
        <w:t xml:space="preserve">Far from reflecting the legislature’s </w:t>
      </w:r>
      <w:r w:rsidR="008B58C0" w:rsidRPr="00C300E6">
        <w:rPr>
          <w:rStyle w:val="lawlabel"/>
          <w:lang w:val="en-CA"/>
        </w:rPr>
        <w:t>intention</w:t>
      </w:r>
      <w:r w:rsidR="002B6127" w:rsidRPr="00C300E6">
        <w:rPr>
          <w:rStyle w:val="lawlabel"/>
          <w:lang w:val="en-CA"/>
        </w:rPr>
        <w:t xml:space="preserve"> to specify the scope of the adjudicative </w:t>
      </w:r>
      <w:r w:rsidR="008B58C0" w:rsidRPr="00C300E6">
        <w:rPr>
          <w:rStyle w:val="lawlabel"/>
          <w:lang w:val="en-CA"/>
        </w:rPr>
        <w:t>jurisdiction</w:t>
      </w:r>
      <w:r w:rsidR="002B6127" w:rsidRPr="00C300E6">
        <w:rPr>
          <w:rStyle w:val="lawlabel"/>
          <w:lang w:val="en-CA"/>
        </w:rPr>
        <w:t xml:space="preserve"> of the </w:t>
      </w:r>
      <w:r w:rsidR="008B58C0" w:rsidRPr="00C300E6">
        <w:rPr>
          <w:rStyle w:val="lawlabel"/>
          <w:lang w:val="en-CA"/>
        </w:rPr>
        <w:t>Quebec</w:t>
      </w:r>
      <w:r w:rsidR="002B6127" w:rsidRPr="00C300E6">
        <w:rPr>
          <w:rStyle w:val="lawlabel"/>
          <w:lang w:val="en-CA"/>
        </w:rPr>
        <w:t xml:space="preserve"> </w:t>
      </w:r>
      <w:r w:rsidR="008B58C0" w:rsidRPr="00C300E6">
        <w:rPr>
          <w:rStyle w:val="lawlabel"/>
          <w:lang w:val="en-CA"/>
        </w:rPr>
        <w:t>authorit</w:t>
      </w:r>
      <w:r w:rsidR="002B6127" w:rsidRPr="00C300E6">
        <w:rPr>
          <w:rStyle w:val="lawlabel"/>
          <w:lang w:val="en-CA"/>
        </w:rPr>
        <w:t>ies, they are</w:t>
      </w:r>
      <w:r w:rsidR="003A6BD1" w:rsidRPr="00C300E6">
        <w:rPr>
          <w:rStyle w:val="lawlabel"/>
          <w:lang w:val="en-CA"/>
        </w:rPr>
        <w:t xml:space="preserve"> of a strictly procedural nature and </w:t>
      </w:r>
      <w:r w:rsidR="00B33A37" w:rsidRPr="00C300E6">
        <w:rPr>
          <w:rStyle w:val="lawlabel"/>
          <w:lang w:val="en-CA"/>
        </w:rPr>
        <w:t xml:space="preserve">respond to </w:t>
      </w:r>
      <w:r w:rsidR="008B58C0" w:rsidRPr="00C300E6">
        <w:rPr>
          <w:rStyle w:val="lawlabel"/>
          <w:lang w:val="en-CA"/>
        </w:rPr>
        <w:t>imp</w:t>
      </w:r>
      <w:r w:rsidR="00B33A37" w:rsidRPr="00C300E6">
        <w:rPr>
          <w:rStyle w:val="lawlabel"/>
          <w:lang w:val="en-CA"/>
        </w:rPr>
        <w:t>e</w:t>
      </w:r>
      <w:r w:rsidR="008B58C0" w:rsidRPr="00C300E6">
        <w:rPr>
          <w:rStyle w:val="lawlabel"/>
          <w:lang w:val="en-CA"/>
        </w:rPr>
        <w:t>rati</w:t>
      </w:r>
      <w:r w:rsidR="00B33A37" w:rsidRPr="00C300E6">
        <w:rPr>
          <w:rStyle w:val="lawlabel"/>
          <w:lang w:val="en-CA"/>
        </w:rPr>
        <w:t xml:space="preserve">ves related to the duty to cooperate, to </w:t>
      </w:r>
      <w:r w:rsidR="0048495F" w:rsidRPr="00C300E6">
        <w:rPr>
          <w:rStyle w:val="lawlabel"/>
          <w:lang w:val="en-CA"/>
        </w:rPr>
        <w:t xml:space="preserve">transparency in the use of </w:t>
      </w:r>
      <w:r w:rsidR="008B58C0" w:rsidRPr="00C300E6">
        <w:rPr>
          <w:rStyle w:val="lawlabel"/>
          <w:lang w:val="en-CA"/>
        </w:rPr>
        <w:t>proce</w:t>
      </w:r>
      <w:r w:rsidR="0048495F" w:rsidRPr="00C300E6">
        <w:rPr>
          <w:rStyle w:val="lawlabel"/>
          <w:lang w:val="en-CA"/>
        </w:rPr>
        <w:t xml:space="preserve">dure and to the </w:t>
      </w:r>
      <w:r w:rsidR="008B58C0" w:rsidRPr="00C300E6">
        <w:rPr>
          <w:rStyle w:val="lawlabel"/>
          <w:lang w:val="en-CA"/>
        </w:rPr>
        <w:t>proportionate</w:t>
      </w:r>
      <w:r w:rsidR="0048495F" w:rsidRPr="00C300E6">
        <w:rPr>
          <w:rStyle w:val="lawlabel"/>
          <w:lang w:val="en-CA"/>
        </w:rPr>
        <w:t xml:space="preserve"> use of the limited resources of the civil </w:t>
      </w:r>
      <w:r w:rsidR="008B58C0" w:rsidRPr="00C300E6">
        <w:rPr>
          <w:rStyle w:val="lawlabel"/>
          <w:lang w:val="en-CA"/>
        </w:rPr>
        <w:t>justice</w:t>
      </w:r>
      <w:r w:rsidR="0048495F" w:rsidRPr="00C300E6">
        <w:rPr>
          <w:rStyle w:val="lawlabel"/>
          <w:lang w:val="en-CA"/>
        </w:rPr>
        <w:t xml:space="preserve"> </w:t>
      </w:r>
      <w:r w:rsidR="008B58C0" w:rsidRPr="00C300E6">
        <w:rPr>
          <w:rStyle w:val="lawlabel"/>
          <w:lang w:val="en-CA"/>
        </w:rPr>
        <w:t>system.</w:t>
      </w:r>
      <w:r w:rsidR="0048495F" w:rsidRPr="00C300E6">
        <w:rPr>
          <w:rStyle w:val="lawlabel"/>
          <w:lang w:val="en-CA"/>
        </w:rPr>
        <w:t xml:space="preserve"> Moreover, it is relevant to mention that in the analogous </w:t>
      </w:r>
      <w:r w:rsidR="008B58C0" w:rsidRPr="00C300E6">
        <w:rPr>
          <w:rStyle w:val="lawlabel"/>
          <w:lang w:val="en-CA"/>
        </w:rPr>
        <w:t>context</w:t>
      </w:r>
      <w:r w:rsidR="0048495F" w:rsidRPr="00C300E6">
        <w:rPr>
          <w:rStyle w:val="lawlabel"/>
          <w:lang w:val="en-CA"/>
        </w:rPr>
        <w:t xml:space="preserve"> of </w:t>
      </w:r>
      <w:r w:rsidR="008B58C0" w:rsidRPr="00C300E6">
        <w:rPr>
          <w:rStyle w:val="lawlabel"/>
          <w:lang w:val="en-CA"/>
        </w:rPr>
        <w:t>arbitration</w:t>
      </w:r>
      <w:r w:rsidR="0048495F" w:rsidRPr="00C300E6">
        <w:rPr>
          <w:rStyle w:val="lawlabel"/>
          <w:lang w:val="en-CA"/>
        </w:rPr>
        <w:t xml:space="preserve"> clauses</w:t>
      </w:r>
      <w:r w:rsidR="008B58C0" w:rsidRPr="00C300E6">
        <w:rPr>
          <w:rStyle w:val="lawlabel"/>
          <w:lang w:val="en-CA"/>
        </w:rPr>
        <w:t xml:space="preserve">, </w:t>
      </w:r>
      <w:r w:rsidR="0048495F" w:rsidRPr="00C300E6">
        <w:rPr>
          <w:rStyle w:val="lawlabel"/>
          <w:lang w:val="en-CA"/>
        </w:rPr>
        <w:t xml:space="preserve">the </w:t>
      </w:r>
      <w:r w:rsidR="008B58C0" w:rsidRPr="00C300E6">
        <w:rPr>
          <w:rStyle w:val="lawlabel"/>
          <w:lang w:val="en-CA"/>
        </w:rPr>
        <w:t xml:space="preserve">legislature — </w:t>
      </w:r>
      <w:r w:rsidR="0048495F" w:rsidRPr="00C300E6">
        <w:rPr>
          <w:rStyle w:val="lawlabel"/>
          <w:lang w:val="en-CA"/>
        </w:rPr>
        <w:t xml:space="preserve">which is very </w:t>
      </w:r>
      <w:r w:rsidR="008B58C0" w:rsidRPr="00C300E6">
        <w:rPr>
          <w:rStyle w:val="lawlabel"/>
          <w:lang w:val="en-CA"/>
        </w:rPr>
        <w:t>favo</w:t>
      </w:r>
      <w:r w:rsidR="0048495F" w:rsidRPr="00C300E6">
        <w:rPr>
          <w:rStyle w:val="lawlabel"/>
          <w:lang w:val="en-CA"/>
        </w:rPr>
        <w:t>u</w:t>
      </w:r>
      <w:r w:rsidR="008B58C0" w:rsidRPr="00C300E6">
        <w:rPr>
          <w:rStyle w:val="lawlabel"/>
          <w:lang w:val="en-CA"/>
        </w:rPr>
        <w:t xml:space="preserve">rable </w:t>
      </w:r>
      <w:r w:rsidR="0048495F" w:rsidRPr="00C300E6">
        <w:rPr>
          <w:rStyle w:val="lawlabel"/>
          <w:lang w:val="en-CA"/>
        </w:rPr>
        <w:t>to the use of that private dispute resolution method</w:t>
      </w:r>
      <w:r w:rsidR="008B58C0" w:rsidRPr="00C300E6">
        <w:rPr>
          <w:rStyle w:val="Appelnotedebasdep"/>
          <w:rFonts w:cs="Arial"/>
          <w:szCs w:val="24"/>
          <w:lang w:val="en-CA"/>
        </w:rPr>
        <w:footnoteReference w:id="15"/>
      </w:r>
      <w:r w:rsidR="008B58C0" w:rsidRPr="00C300E6">
        <w:rPr>
          <w:rStyle w:val="lawlabel"/>
          <w:lang w:val="en-CA"/>
        </w:rPr>
        <w:t xml:space="preserve"> — </w:t>
      </w:r>
      <w:r w:rsidR="00B00115" w:rsidRPr="00C300E6">
        <w:rPr>
          <w:rStyle w:val="lawlabel"/>
          <w:lang w:val="en-CA"/>
        </w:rPr>
        <w:t xml:space="preserve">did </w:t>
      </w:r>
      <w:r w:rsidR="00B00115" w:rsidRPr="00C300E6">
        <w:rPr>
          <w:rStyle w:val="lawlabel"/>
          <w:lang w:val="en-CA"/>
        </w:rPr>
        <w:lastRenderedPageBreak/>
        <w:t xml:space="preserve">not hesitate to impose </w:t>
      </w:r>
      <w:r w:rsidR="003D136A" w:rsidRPr="00C300E6">
        <w:rPr>
          <w:rStyle w:val="lawlabel"/>
          <w:lang w:val="en-CA"/>
        </w:rPr>
        <w:t>a rather strict</w:t>
      </w:r>
      <w:r w:rsidR="00436ACF" w:rsidRPr="00C300E6">
        <w:rPr>
          <w:rStyle w:val="lawlabel"/>
          <w:lang w:val="en-CA"/>
        </w:rPr>
        <w:t xml:space="preserve"> </w:t>
      </w:r>
      <w:r w:rsidR="003D136A" w:rsidRPr="00C300E6">
        <w:rPr>
          <w:rStyle w:val="lawlabel"/>
          <w:lang w:val="en-CA"/>
        </w:rPr>
        <w:t xml:space="preserve">obligation of diligence </w:t>
      </w:r>
      <w:r w:rsidR="00B00115" w:rsidRPr="00C300E6">
        <w:rPr>
          <w:rStyle w:val="lawlabel"/>
          <w:lang w:val="en-CA"/>
        </w:rPr>
        <w:t xml:space="preserve">on the party seeking </w:t>
      </w:r>
      <w:r w:rsidR="003D136A" w:rsidRPr="00C300E6">
        <w:rPr>
          <w:rStyle w:val="lawlabel"/>
          <w:lang w:val="en-CA"/>
        </w:rPr>
        <w:t>to have the case referred to a</w:t>
      </w:r>
      <w:r w:rsidR="008B58C0" w:rsidRPr="00C300E6">
        <w:rPr>
          <w:rStyle w:val="lawlabel"/>
          <w:lang w:val="en-CA"/>
        </w:rPr>
        <w:t>n arbitral</w:t>
      </w:r>
      <w:r w:rsidR="003D136A" w:rsidRPr="00C300E6">
        <w:rPr>
          <w:rStyle w:val="lawlabel"/>
          <w:lang w:val="en-CA"/>
        </w:rPr>
        <w:t xml:space="preserve"> tribunal</w:t>
      </w:r>
      <w:r w:rsidR="008B58C0" w:rsidRPr="00C300E6">
        <w:rPr>
          <w:rStyle w:val="lawlabel"/>
          <w:lang w:val="en-CA"/>
        </w:rPr>
        <w:t xml:space="preserve">: 45 </w:t>
      </w:r>
      <w:r w:rsidR="003D136A" w:rsidRPr="00C300E6">
        <w:rPr>
          <w:rStyle w:val="lawlabel"/>
          <w:lang w:val="en-CA"/>
        </w:rPr>
        <w:t>days in domestic arbitration</w:t>
      </w:r>
      <w:r w:rsidR="00436ACF" w:rsidRPr="00C300E6">
        <w:rPr>
          <w:rStyle w:val="lawlabel"/>
          <w:lang w:val="en-CA"/>
        </w:rPr>
        <w:t xml:space="preserve"> matters and </w:t>
      </w:r>
      <w:r w:rsidR="008B58C0" w:rsidRPr="00C300E6">
        <w:rPr>
          <w:rStyle w:val="lawlabel"/>
          <w:lang w:val="en-CA"/>
        </w:rPr>
        <w:t xml:space="preserve">90 </w:t>
      </w:r>
      <w:r w:rsidR="00436ACF" w:rsidRPr="00C300E6">
        <w:rPr>
          <w:rStyle w:val="lawlabel"/>
          <w:lang w:val="en-CA"/>
        </w:rPr>
        <w:t xml:space="preserve">days in </w:t>
      </w:r>
      <w:r w:rsidR="008B58C0" w:rsidRPr="00C300E6">
        <w:rPr>
          <w:rStyle w:val="lawlabel"/>
          <w:lang w:val="en-CA"/>
        </w:rPr>
        <w:t xml:space="preserve">international </w:t>
      </w:r>
      <w:r w:rsidR="00436ACF" w:rsidRPr="00C300E6">
        <w:rPr>
          <w:rStyle w:val="lawlabel"/>
          <w:lang w:val="en-CA"/>
        </w:rPr>
        <w:t xml:space="preserve">arbitration matters </w:t>
      </w:r>
      <w:r w:rsidR="008B58C0" w:rsidRPr="00C300E6">
        <w:rPr>
          <w:rStyle w:val="lawlabel"/>
          <w:lang w:val="en-CA"/>
        </w:rPr>
        <w:t>(article 622</w:t>
      </w:r>
      <w:r w:rsidR="00436ACF" w:rsidRPr="00C300E6">
        <w:rPr>
          <w:rStyle w:val="lawlabel"/>
          <w:lang w:val="en-CA"/>
        </w:rPr>
        <w:t xml:space="preserve">, para. </w:t>
      </w:r>
      <w:r w:rsidR="008B58C0" w:rsidRPr="00C300E6">
        <w:rPr>
          <w:rStyle w:val="lawlabel"/>
          <w:lang w:val="en-CA"/>
        </w:rPr>
        <w:t>2 C.C.P</w:t>
      </w:r>
      <w:r w:rsidR="008B58C0" w:rsidRPr="00C300E6">
        <w:rPr>
          <w:rStyle w:val="lawlabel"/>
          <w:i/>
          <w:lang w:val="en-CA"/>
        </w:rPr>
        <w:t>.</w:t>
      </w:r>
      <w:r w:rsidR="008B58C0" w:rsidRPr="00C300E6">
        <w:rPr>
          <w:rStyle w:val="lawlabel"/>
          <w:lang w:val="en-CA"/>
        </w:rPr>
        <w:t>).</w:t>
      </w:r>
    </w:p>
    <w:p w14:paraId="6230BCAA" w14:textId="7818A603" w:rsidR="008B58C0" w:rsidRPr="00C300E6" w:rsidRDefault="00436ACF" w:rsidP="008B58C0">
      <w:pPr>
        <w:pStyle w:val="Paragraphe"/>
        <w:spacing w:line="240" w:lineRule="auto"/>
        <w:rPr>
          <w:rStyle w:val="lawlabel"/>
          <w:lang w:val="en-CA"/>
        </w:rPr>
      </w:pPr>
      <w:r w:rsidRPr="00C300E6">
        <w:rPr>
          <w:rStyle w:val="lawlabel"/>
          <w:lang w:val="en-CA"/>
        </w:rPr>
        <w:t xml:space="preserve">In </w:t>
      </w:r>
      <w:r w:rsidR="009E6E24" w:rsidRPr="00C300E6">
        <w:rPr>
          <w:rStyle w:val="lawlabel"/>
          <w:lang w:val="en-CA"/>
        </w:rPr>
        <w:t xml:space="preserve">short, it must therefore be concluded that the </w:t>
      </w:r>
      <w:r w:rsidR="008B58C0" w:rsidRPr="00C300E6">
        <w:rPr>
          <w:rStyle w:val="lawlabel"/>
          <w:lang w:val="en-CA"/>
        </w:rPr>
        <w:t xml:space="preserve">provisions </w:t>
      </w:r>
      <w:r w:rsidR="009E6E24" w:rsidRPr="00C300E6">
        <w:rPr>
          <w:rStyle w:val="lawlabel"/>
          <w:lang w:val="en-CA"/>
        </w:rPr>
        <w:t xml:space="preserve">of the second paragraph of </w:t>
      </w:r>
      <w:r w:rsidR="008B58C0" w:rsidRPr="00C300E6">
        <w:rPr>
          <w:rStyle w:val="lawlabel"/>
          <w:lang w:val="en-CA"/>
        </w:rPr>
        <w:t>article 166 C.C.P</w:t>
      </w:r>
      <w:r w:rsidR="008B58C0" w:rsidRPr="00C300E6">
        <w:rPr>
          <w:rStyle w:val="lawlabel"/>
          <w:i/>
          <w:lang w:val="en-CA"/>
        </w:rPr>
        <w:t xml:space="preserve">. </w:t>
      </w:r>
      <w:r w:rsidR="009E6E24" w:rsidRPr="00C300E6">
        <w:rPr>
          <w:rStyle w:val="lawlabel"/>
          <w:lang w:val="en-CA"/>
        </w:rPr>
        <w:t xml:space="preserve">remain fully </w:t>
      </w:r>
      <w:r w:rsidR="008B58C0" w:rsidRPr="00C300E6">
        <w:rPr>
          <w:lang w:val="en-CA"/>
        </w:rPr>
        <w:t xml:space="preserve">applicable </w:t>
      </w:r>
      <w:r w:rsidR="009E6E24" w:rsidRPr="00C300E6">
        <w:rPr>
          <w:lang w:val="en-CA"/>
        </w:rPr>
        <w:t xml:space="preserve">when the </w:t>
      </w:r>
      <w:r w:rsidR="008B58C0" w:rsidRPr="00C300E6">
        <w:rPr>
          <w:lang w:val="en-CA"/>
        </w:rPr>
        <w:t>declinatory</w:t>
      </w:r>
      <w:r w:rsidR="009E6E24" w:rsidRPr="00C300E6">
        <w:rPr>
          <w:lang w:val="en-CA"/>
        </w:rPr>
        <w:t xml:space="preserve"> </w:t>
      </w:r>
      <w:r w:rsidR="008B58C0" w:rsidRPr="00C300E6">
        <w:rPr>
          <w:lang w:val="en-CA"/>
        </w:rPr>
        <w:t>exception</w:t>
      </w:r>
      <w:r w:rsidR="009E6E24" w:rsidRPr="00C300E6">
        <w:rPr>
          <w:lang w:val="en-CA"/>
        </w:rPr>
        <w:t xml:space="preserve"> is based on a </w:t>
      </w:r>
      <w:r w:rsidR="008B58C0" w:rsidRPr="00C300E6">
        <w:rPr>
          <w:lang w:val="en-CA"/>
        </w:rPr>
        <w:t>forum</w:t>
      </w:r>
      <w:r w:rsidR="009E6E24" w:rsidRPr="00C300E6">
        <w:rPr>
          <w:lang w:val="en-CA"/>
        </w:rPr>
        <w:t xml:space="preserve"> </w:t>
      </w:r>
      <w:r w:rsidR="008B58C0" w:rsidRPr="00C300E6">
        <w:rPr>
          <w:lang w:val="en-CA"/>
        </w:rPr>
        <w:t>selection</w:t>
      </w:r>
      <w:r w:rsidR="009E6E24" w:rsidRPr="00C300E6">
        <w:rPr>
          <w:lang w:val="en-CA"/>
        </w:rPr>
        <w:t xml:space="preserve"> </w:t>
      </w:r>
      <w:r w:rsidR="008B58C0" w:rsidRPr="00C300E6">
        <w:rPr>
          <w:lang w:val="en-CA"/>
        </w:rPr>
        <w:t>clause.</w:t>
      </w:r>
    </w:p>
    <w:p w14:paraId="02C2A166" w14:textId="77777777" w:rsidR="008B58C0" w:rsidRPr="00C300E6" w:rsidRDefault="008B58C0" w:rsidP="008B58C0">
      <w:pPr>
        <w:pStyle w:val="Paragraphe"/>
        <w:keepNext/>
        <w:numPr>
          <w:ilvl w:val="0"/>
          <w:numId w:val="0"/>
        </w:numPr>
        <w:spacing w:line="240" w:lineRule="auto"/>
        <w:ind w:left="425" w:hanging="425"/>
        <w:rPr>
          <w:b/>
          <w:lang w:val="en-CA"/>
        </w:rPr>
      </w:pPr>
      <w:r w:rsidRPr="00C300E6">
        <w:rPr>
          <w:b/>
          <w:lang w:val="en-CA"/>
        </w:rPr>
        <w:t>II.</w:t>
      </w:r>
      <w:r w:rsidRPr="00C300E6">
        <w:rPr>
          <w:b/>
          <w:lang w:val="en-CA"/>
        </w:rPr>
        <w:tab/>
      </w:r>
      <w:r w:rsidR="00651527" w:rsidRPr="00C300E6">
        <w:rPr>
          <w:b/>
          <w:u w:val="single"/>
          <w:lang w:val="en-CA"/>
        </w:rPr>
        <w:t>Application to the facts of this case</w:t>
      </w:r>
    </w:p>
    <w:p w14:paraId="7FB67F26" w14:textId="6F28B9A7" w:rsidR="008B58C0" w:rsidRPr="00C300E6" w:rsidRDefault="00F2068B" w:rsidP="008B58C0">
      <w:pPr>
        <w:pStyle w:val="Paragraphe"/>
        <w:spacing w:line="240" w:lineRule="auto"/>
        <w:rPr>
          <w:lang w:val="en-CA"/>
        </w:rPr>
      </w:pPr>
      <w:r w:rsidRPr="00C300E6">
        <w:rPr>
          <w:lang w:val="en-CA"/>
        </w:rPr>
        <w:t xml:space="preserve">These details </w:t>
      </w:r>
      <w:r w:rsidR="00055A47">
        <w:rPr>
          <w:lang w:val="en-CA"/>
        </w:rPr>
        <w:t>of</w:t>
      </w:r>
      <w:r w:rsidRPr="00C300E6">
        <w:rPr>
          <w:lang w:val="en-CA"/>
        </w:rPr>
        <w:t xml:space="preserve"> the applicable </w:t>
      </w:r>
      <w:r w:rsidR="008B58C0" w:rsidRPr="00C300E6">
        <w:rPr>
          <w:lang w:val="en-CA"/>
        </w:rPr>
        <w:t>legal</w:t>
      </w:r>
      <w:r w:rsidRPr="00C300E6">
        <w:rPr>
          <w:lang w:val="en-CA"/>
        </w:rPr>
        <w:t xml:space="preserve"> </w:t>
      </w:r>
      <w:r w:rsidR="008B58C0" w:rsidRPr="00C300E6">
        <w:rPr>
          <w:lang w:val="en-CA"/>
        </w:rPr>
        <w:t>framework</w:t>
      </w:r>
      <w:r w:rsidRPr="00C300E6">
        <w:rPr>
          <w:lang w:val="en-CA"/>
        </w:rPr>
        <w:t xml:space="preserve"> </w:t>
      </w:r>
      <w:r w:rsidR="00082ED8" w:rsidRPr="00C300E6">
        <w:rPr>
          <w:lang w:val="en-CA"/>
        </w:rPr>
        <w:t xml:space="preserve">having been outlined, it is now necessary to apply it to the </w:t>
      </w:r>
      <w:r w:rsidR="008B58C0" w:rsidRPr="00C300E6">
        <w:rPr>
          <w:lang w:val="en-CA"/>
        </w:rPr>
        <w:t>circumstances</w:t>
      </w:r>
      <w:r w:rsidR="00082ED8" w:rsidRPr="00C300E6">
        <w:rPr>
          <w:lang w:val="en-CA"/>
        </w:rPr>
        <w:t xml:space="preserve"> of this case</w:t>
      </w:r>
      <w:r w:rsidR="008B58C0" w:rsidRPr="00C300E6">
        <w:rPr>
          <w:lang w:val="en-CA"/>
        </w:rPr>
        <w:t xml:space="preserve">. </w:t>
      </w:r>
    </w:p>
    <w:p w14:paraId="1738BE62" w14:textId="5758B32E" w:rsidR="008B58C0" w:rsidRPr="00C300E6" w:rsidRDefault="00082ED8" w:rsidP="008B58C0">
      <w:pPr>
        <w:pStyle w:val="Paragraphe"/>
        <w:keepNext/>
        <w:numPr>
          <w:ilvl w:val="0"/>
          <w:numId w:val="28"/>
        </w:numPr>
        <w:spacing w:line="240" w:lineRule="auto"/>
        <w:rPr>
          <w:b/>
          <w:lang w:val="en-CA"/>
        </w:rPr>
      </w:pPr>
      <w:r w:rsidRPr="00C300E6">
        <w:rPr>
          <w:b/>
          <w:lang w:val="en-CA"/>
        </w:rPr>
        <w:t xml:space="preserve">Did the </w:t>
      </w:r>
      <w:r w:rsidR="008B58C0" w:rsidRPr="00C300E6">
        <w:rPr>
          <w:b/>
          <w:lang w:val="en-CA"/>
        </w:rPr>
        <w:t>trial</w:t>
      </w:r>
      <w:r w:rsidRPr="00C300E6">
        <w:rPr>
          <w:b/>
          <w:lang w:val="en-CA"/>
        </w:rPr>
        <w:t xml:space="preserve"> </w:t>
      </w:r>
      <w:r w:rsidR="008B58C0" w:rsidRPr="00C300E6">
        <w:rPr>
          <w:b/>
          <w:lang w:val="en-CA"/>
        </w:rPr>
        <w:t xml:space="preserve">judge </w:t>
      </w:r>
      <w:r w:rsidRPr="00C300E6">
        <w:rPr>
          <w:b/>
          <w:lang w:val="en-CA"/>
        </w:rPr>
        <w:t xml:space="preserve">commit a </w:t>
      </w:r>
      <w:r w:rsidR="008B58C0" w:rsidRPr="00C300E6">
        <w:rPr>
          <w:b/>
          <w:lang w:val="en-CA"/>
        </w:rPr>
        <w:t>reviewable</w:t>
      </w:r>
      <w:r w:rsidRPr="00C300E6">
        <w:rPr>
          <w:b/>
          <w:lang w:val="en-CA"/>
        </w:rPr>
        <w:t xml:space="preserve"> </w:t>
      </w:r>
      <w:r w:rsidR="008B58C0" w:rsidRPr="00C300E6">
        <w:rPr>
          <w:b/>
          <w:lang w:val="en-CA"/>
        </w:rPr>
        <w:t xml:space="preserve">error </w:t>
      </w:r>
      <w:r w:rsidR="00AB5B21" w:rsidRPr="00C300E6">
        <w:rPr>
          <w:b/>
          <w:lang w:val="en-CA"/>
        </w:rPr>
        <w:t xml:space="preserve">in </w:t>
      </w:r>
      <w:r w:rsidR="00272DED" w:rsidRPr="00C300E6">
        <w:rPr>
          <w:b/>
          <w:lang w:val="en-CA"/>
        </w:rPr>
        <w:t>fin</w:t>
      </w:r>
      <w:r w:rsidR="00AB5B21" w:rsidRPr="00C300E6">
        <w:rPr>
          <w:b/>
          <w:lang w:val="en-CA"/>
        </w:rPr>
        <w:t xml:space="preserve">ding that the </w:t>
      </w:r>
      <w:r w:rsidR="00272DED" w:rsidRPr="00C300E6">
        <w:rPr>
          <w:b/>
          <w:lang w:val="en-CA"/>
        </w:rPr>
        <w:t xml:space="preserve">appellant’s </w:t>
      </w:r>
      <w:r w:rsidR="008B58C0" w:rsidRPr="00C300E6">
        <w:rPr>
          <w:b/>
          <w:lang w:val="en-CA"/>
        </w:rPr>
        <w:t>declinatory</w:t>
      </w:r>
      <w:r w:rsidR="00272DED" w:rsidRPr="00C300E6">
        <w:rPr>
          <w:b/>
          <w:lang w:val="en-CA"/>
        </w:rPr>
        <w:t xml:space="preserve"> </w:t>
      </w:r>
      <w:r w:rsidR="008B58C0" w:rsidRPr="00C300E6">
        <w:rPr>
          <w:b/>
          <w:lang w:val="en-CA"/>
        </w:rPr>
        <w:t>exception</w:t>
      </w:r>
      <w:r w:rsidR="00272DED" w:rsidRPr="00C300E6">
        <w:rPr>
          <w:b/>
          <w:lang w:val="en-CA"/>
        </w:rPr>
        <w:t xml:space="preserve"> was late</w:t>
      </w:r>
      <w:r w:rsidR="008B58C0" w:rsidRPr="00C300E6">
        <w:rPr>
          <w:b/>
          <w:lang w:val="en-CA"/>
        </w:rPr>
        <w:t>?</w:t>
      </w:r>
    </w:p>
    <w:p w14:paraId="76EC7D74" w14:textId="7C2A9D12" w:rsidR="008B58C0" w:rsidRPr="00C300E6" w:rsidRDefault="00272DED" w:rsidP="008B58C0">
      <w:pPr>
        <w:pStyle w:val="Paragraphe"/>
        <w:spacing w:line="240" w:lineRule="auto"/>
        <w:rPr>
          <w:lang w:val="en-CA"/>
        </w:rPr>
      </w:pPr>
      <w:r w:rsidRPr="00C300E6">
        <w:rPr>
          <w:lang w:val="en-CA"/>
        </w:rPr>
        <w:t xml:space="preserve">The first </w:t>
      </w:r>
      <w:r w:rsidR="00FD6CF4">
        <w:rPr>
          <w:lang w:val="en-CA"/>
        </w:rPr>
        <w:t xml:space="preserve">issue </w:t>
      </w:r>
      <w:r w:rsidRPr="00C300E6">
        <w:rPr>
          <w:lang w:val="en-CA"/>
        </w:rPr>
        <w:t xml:space="preserve">to decide is whether the </w:t>
      </w:r>
      <w:r w:rsidR="008B58C0" w:rsidRPr="00C300E6">
        <w:rPr>
          <w:lang w:val="en-CA"/>
        </w:rPr>
        <w:t>judge commi</w:t>
      </w:r>
      <w:r w:rsidRPr="00C300E6">
        <w:rPr>
          <w:lang w:val="en-CA"/>
        </w:rPr>
        <w:t xml:space="preserve">tted a </w:t>
      </w:r>
      <w:r w:rsidR="008B58C0" w:rsidRPr="00C300E6">
        <w:rPr>
          <w:lang w:val="en-CA"/>
        </w:rPr>
        <w:t>reviewable</w:t>
      </w:r>
      <w:r w:rsidRPr="00C300E6">
        <w:rPr>
          <w:lang w:val="en-CA"/>
        </w:rPr>
        <w:t xml:space="preserve"> </w:t>
      </w:r>
      <w:r w:rsidR="008B58C0" w:rsidRPr="00C300E6">
        <w:rPr>
          <w:lang w:val="en-CA"/>
        </w:rPr>
        <w:t>error</w:t>
      </w:r>
      <w:r w:rsidRPr="00C300E6">
        <w:rPr>
          <w:lang w:val="en-CA"/>
        </w:rPr>
        <w:t xml:space="preserve"> in finding that the appellant’s </w:t>
      </w:r>
      <w:r w:rsidR="008B58C0" w:rsidRPr="00C300E6">
        <w:rPr>
          <w:lang w:val="en-CA"/>
        </w:rPr>
        <w:t>declinatory</w:t>
      </w:r>
      <w:r w:rsidRPr="00C300E6">
        <w:rPr>
          <w:lang w:val="en-CA"/>
        </w:rPr>
        <w:t xml:space="preserve"> </w:t>
      </w:r>
      <w:r w:rsidR="008B58C0" w:rsidRPr="00C300E6">
        <w:rPr>
          <w:lang w:val="en-CA"/>
        </w:rPr>
        <w:t>exception</w:t>
      </w:r>
      <w:r w:rsidRPr="00C300E6">
        <w:rPr>
          <w:lang w:val="en-CA"/>
        </w:rPr>
        <w:t xml:space="preserve"> was late</w:t>
      </w:r>
      <w:r w:rsidR="008B58C0" w:rsidRPr="00C300E6">
        <w:rPr>
          <w:lang w:val="en-CA"/>
        </w:rPr>
        <w:t>.</w:t>
      </w:r>
    </w:p>
    <w:p w14:paraId="6995D2C2" w14:textId="174A93AE" w:rsidR="008B58C0" w:rsidRPr="00C300E6" w:rsidRDefault="00313E3B" w:rsidP="008B58C0">
      <w:pPr>
        <w:pStyle w:val="Paragraphe"/>
        <w:spacing w:line="240" w:lineRule="auto"/>
        <w:rPr>
          <w:lang w:val="en-CA"/>
        </w:rPr>
      </w:pPr>
      <w:r w:rsidRPr="00C300E6">
        <w:rPr>
          <w:lang w:val="en-CA"/>
        </w:rPr>
        <w:t xml:space="preserve">First, the </w:t>
      </w:r>
      <w:r w:rsidR="008B58C0" w:rsidRPr="00C300E6">
        <w:rPr>
          <w:lang w:val="en-CA"/>
        </w:rPr>
        <w:t>judge</w:t>
      </w:r>
      <w:r w:rsidRPr="00C300E6">
        <w:rPr>
          <w:lang w:val="en-CA"/>
        </w:rPr>
        <w:t xml:space="preserve"> found that the appellant had to raise its declinatory exception by </w:t>
      </w:r>
      <w:r w:rsidR="008B58C0" w:rsidRPr="00C300E6">
        <w:rPr>
          <w:lang w:val="en-CA"/>
        </w:rPr>
        <w:t>September</w:t>
      </w:r>
      <w:r w:rsidRPr="00C300E6">
        <w:rPr>
          <w:lang w:val="en-CA"/>
        </w:rPr>
        <w:t xml:space="preserve"> 30,</w:t>
      </w:r>
      <w:r w:rsidR="008B58C0" w:rsidRPr="00C300E6">
        <w:rPr>
          <w:lang w:val="en-CA"/>
        </w:rPr>
        <w:t xml:space="preserve"> 2020, </w:t>
      </w:r>
      <w:r w:rsidRPr="00C300E6">
        <w:rPr>
          <w:lang w:val="en-CA"/>
        </w:rPr>
        <w:t xml:space="preserve">the </w:t>
      </w:r>
      <w:r w:rsidR="008B58C0" w:rsidRPr="00C300E6">
        <w:rPr>
          <w:lang w:val="en-CA"/>
        </w:rPr>
        <w:t xml:space="preserve">date </w:t>
      </w:r>
      <w:r w:rsidRPr="00C300E6">
        <w:rPr>
          <w:lang w:val="en-CA"/>
        </w:rPr>
        <w:t xml:space="preserve">on which the case protocol was to be filed, but that it did not do so until </w:t>
      </w:r>
      <w:r w:rsidR="008B58C0" w:rsidRPr="00C300E6">
        <w:rPr>
          <w:lang w:val="en-CA"/>
        </w:rPr>
        <w:t xml:space="preserve">January 2021. </w:t>
      </w:r>
      <w:r w:rsidR="00DE5F56" w:rsidRPr="00C300E6">
        <w:rPr>
          <w:lang w:val="en-CA"/>
        </w:rPr>
        <w:t xml:space="preserve">In view of the </w:t>
      </w:r>
      <w:r w:rsidR="008B58C0" w:rsidRPr="00C300E6">
        <w:rPr>
          <w:lang w:val="en-CA"/>
        </w:rPr>
        <w:t>provisions</w:t>
      </w:r>
      <w:r w:rsidR="00DE5F56" w:rsidRPr="00C300E6">
        <w:rPr>
          <w:lang w:val="en-CA"/>
        </w:rPr>
        <w:t xml:space="preserve"> of </w:t>
      </w:r>
      <w:r w:rsidR="00910E62" w:rsidRPr="00C300E6">
        <w:rPr>
          <w:lang w:val="en-CA"/>
        </w:rPr>
        <w:t xml:space="preserve">the second paragraph of </w:t>
      </w:r>
      <w:r w:rsidR="008B58C0" w:rsidRPr="00C300E6">
        <w:rPr>
          <w:lang w:val="en-CA"/>
        </w:rPr>
        <w:t>article 166 C.C.P</w:t>
      </w:r>
      <w:r w:rsidR="008B58C0" w:rsidRPr="00C300E6">
        <w:rPr>
          <w:i/>
          <w:lang w:val="en-CA"/>
        </w:rPr>
        <w:t>.</w:t>
      </w:r>
      <w:r w:rsidR="008B58C0" w:rsidRPr="00C300E6">
        <w:rPr>
          <w:lang w:val="en-CA"/>
        </w:rPr>
        <w:t xml:space="preserve"> </w:t>
      </w:r>
      <w:r w:rsidR="00910E62" w:rsidRPr="00C300E6">
        <w:rPr>
          <w:lang w:val="en-CA"/>
        </w:rPr>
        <w:t>and the ele</w:t>
      </w:r>
      <w:r w:rsidR="008B58C0" w:rsidRPr="00C300E6">
        <w:rPr>
          <w:lang w:val="en-CA"/>
        </w:rPr>
        <w:t xml:space="preserve">ments </w:t>
      </w:r>
      <w:r w:rsidR="00910E62" w:rsidRPr="00C300E6">
        <w:rPr>
          <w:lang w:val="en-CA"/>
        </w:rPr>
        <w:t>in the file</w:t>
      </w:r>
      <w:r w:rsidR="008B58C0" w:rsidRPr="00C300E6">
        <w:rPr>
          <w:lang w:val="en-CA"/>
        </w:rPr>
        <w:t xml:space="preserve">, </w:t>
      </w:r>
      <w:r w:rsidR="00910E62" w:rsidRPr="00C300E6">
        <w:rPr>
          <w:lang w:val="en-CA"/>
        </w:rPr>
        <w:t xml:space="preserve">that </w:t>
      </w:r>
      <w:r w:rsidR="008B58C0" w:rsidRPr="00C300E6">
        <w:rPr>
          <w:lang w:val="en-CA"/>
        </w:rPr>
        <w:t>conclusion</w:t>
      </w:r>
      <w:r w:rsidR="00910E62" w:rsidRPr="00C300E6">
        <w:rPr>
          <w:lang w:val="en-CA"/>
        </w:rPr>
        <w:t xml:space="preserve"> contains no </w:t>
      </w:r>
      <w:r w:rsidR="008B58C0" w:rsidRPr="00C300E6">
        <w:rPr>
          <w:lang w:val="en-CA"/>
        </w:rPr>
        <w:t>error</w:t>
      </w:r>
      <w:r w:rsidR="00910E62" w:rsidRPr="00C300E6">
        <w:rPr>
          <w:lang w:val="en-CA"/>
        </w:rPr>
        <w:t xml:space="preserve"> of fact </w:t>
      </w:r>
      <w:r w:rsidR="008B58C0" w:rsidRPr="00C300E6">
        <w:rPr>
          <w:lang w:val="en-CA"/>
        </w:rPr>
        <w:t>or</w:t>
      </w:r>
      <w:r w:rsidR="00910E62" w:rsidRPr="00C300E6">
        <w:rPr>
          <w:lang w:val="en-CA"/>
        </w:rPr>
        <w:t xml:space="preserve"> </w:t>
      </w:r>
      <w:r w:rsidR="008B58C0" w:rsidRPr="00C300E6">
        <w:rPr>
          <w:lang w:val="en-CA"/>
        </w:rPr>
        <w:t>law</w:t>
      </w:r>
      <w:r w:rsidR="00910E62" w:rsidRPr="00C300E6">
        <w:rPr>
          <w:lang w:val="en-CA"/>
        </w:rPr>
        <w:t xml:space="preserve"> that would </w:t>
      </w:r>
      <w:r w:rsidR="008B58C0" w:rsidRPr="00C300E6">
        <w:rPr>
          <w:lang w:val="en-CA"/>
        </w:rPr>
        <w:t>justif</w:t>
      </w:r>
      <w:r w:rsidR="00910E62" w:rsidRPr="00C300E6">
        <w:rPr>
          <w:lang w:val="en-CA"/>
        </w:rPr>
        <w:t xml:space="preserve">y the </w:t>
      </w:r>
      <w:r w:rsidR="008B58C0" w:rsidRPr="00C300E6">
        <w:rPr>
          <w:lang w:val="en-CA"/>
        </w:rPr>
        <w:t xml:space="preserve">intervention </w:t>
      </w:r>
      <w:r w:rsidR="00910E62" w:rsidRPr="00C300E6">
        <w:rPr>
          <w:lang w:val="en-CA"/>
        </w:rPr>
        <w:t xml:space="preserve">of this </w:t>
      </w:r>
      <w:r w:rsidR="008B58C0" w:rsidRPr="00C300E6">
        <w:rPr>
          <w:lang w:val="en-CA"/>
        </w:rPr>
        <w:t>Court.</w:t>
      </w:r>
    </w:p>
    <w:p w14:paraId="33C353FD" w14:textId="00621D68" w:rsidR="008B58C0" w:rsidRPr="00C300E6" w:rsidRDefault="00A45E6F" w:rsidP="008B58C0">
      <w:pPr>
        <w:pStyle w:val="Paragraphe"/>
        <w:spacing w:line="240" w:lineRule="auto"/>
        <w:rPr>
          <w:lang w:val="en-CA"/>
        </w:rPr>
      </w:pPr>
      <w:r w:rsidRPr="00C300E6">
        <w:rPr>
          <w:lang w:val="en-CA"/>
        </w:rPr>
        <w:t xml:space="preserve">As for the judge’s refusal to authorize the appellant to raise its </w:t>
      </w:r>
      <w:r w:rsidR="008B58C0" w:rsidRPr="00C300E6">
        <w:rPr>
          <w:lang w:val="en-CA"/>
        </w:rPr>
        <w:t>declinatory</w:t>
      </w:r>
      <w:r w:rsidR="002C5A56" w:rsidRPr="00C300E6">
        <w:rPr>
          <w:lang w:val="en-CA"/>
        </w:rPr>
        <w:t xml:space="preserve"> </w:t>
      </w:r>
      <w:r w:rsidR="008B58C0" w:rsidRPr="00C300E6">
        <w:rPr>
          <w:lang w:val="en-CA"/>
        </w:rPr>
        <w:t>exception</w:t>
      </w:r>
      <w:r w:rsidR="002C5A56" w:rsidRPr="00C300E6">
        <w:rPr>
          <w:lang w:val="en-CA"/>
        </w:rPr>
        <w:t xml:space="preserve"> after the time limit set out in the second paragraph of </w:t>
      </w:r>
      <w:r w:rsidR="008B58C0" w:rsidRPr="00C300E6">
        <w:rPr>
          <w:lang w:val="en-CA"/>
        </w:rPr>
        <w:t>article</w:t>
      </w:r>
      <w:r w:rsidR="002C5A56" w:rsidRPr="00C300E6">
        <w:rPr>
          <w:lang w:val="en-CA"/>
        </w:rPr>
        <w:t xml:space="preserve"> </w:t>
      </w:r>
      <w:r w:rsidR="008B58C0" w:rsidRPr="00C300E6">
        <w:rPr>
          <w:lang w:val="en-CA"/>
        </w:rPr>
        <w:t>166 C.C.P</w:t>
      </w:r>
      <w:r w:rsidR="008B58C0" w:rsidRPr="00C300E6">
        <w:rPr>
          <w:i/>
          <w:lang w:val="en-CA"/>
        </w:rPr>
        <w:t>.</w:t>
      </w:r>
      <w:r w:rsidR="008B58C0" w:rsidRPr="00C300E6">
        <w:rPr>
          <w:lang w:val="en-CA"/>
        </w:rPr>
        <w:t xml:space="preserve">, </w:t>
      </w:r>
      <w:r w:rsidR="002C5A56" w:rsidRPr="00C300E6">
        <w:rPr>
          <w:lang w:val="en-CA"/>
        </w:rPr>
        <w:t xml:space="preserve">his finding that </w:t>
      </w:r>
      <w:r w:rsidR="00FD6CF4">
        <w:rPr>
          <w:lang w:val="en-CA"/>
        </w:rPr>
        <w:t>the appellant</w:t>
      </w:r>
      <w:r w:rsidR="00FD6CF4" w:rsidRPr="00C300E6">
        <w:rPr>
          <w:lang w:val="en-CA"/>
        </w:rPr>
        <w:t xml:space="preserve"> </w:t>
      </w:r>
      <w:r w:rsidR="002C5A56" w:rsidRPr="00C300E6">
        <w:rPr>
          <w:lang w:val="en-CA"/>
        </w:rPr>
        <w:t>did not establish, nor even allege</w:t>
      </w:r>
      <w:r w:rsidR="00035AEB">
        <w:rPr>
          <w:lang w:val="en-CA"/>
        </w:rPr>
        <w:t>,</w:t>
      </w:r>
      <w:r w:rsidR="002C5A56" w:rsidRPr="00C300E6">
        <w:rPr>
          <w:lang w:val="en-CA"/>
        </w:rPr>
        <w:t xml:space="preserve"> “serious reasons/</w:t>
      </w:r>
      <w:r w:rsidR="008B58C0" w:rsidRPr="00C300E6">
        <w:rPr>
          <w:i/>
          <w:lang w:val="en-CA"/>
        </w:rPr>
        <w:t>motifs sérieux</w:t>
      </w:r>
      <w:r w:rsidR="002C5A56" w:rsidRPr="00C300E6">
        <w:rPr>
          <w:lang w:val="en-CA"/>
        </w:rPr>
        <w:t>”</w:t>
      </w:r>
      <w:r w:rsidR="008B58C0" w:rsidRPr="00C300E6">
        <w:rPr>
          <w:lang w:val="en-CA"/>
        </w:rPr>
        <w:t xml:space="preserve"> </w:t>
      </w:r>
      <w:r w:rsidR="002C5A56" w:rsidRPr="00C300E6">
        <w:rPr>
          <w:lang w:val="en-CA"/>
        </w:rPr>
        <w:t xml:space="preserve">within the meaning of the third paragraph of </w:t>
      </w:r>
      <w:r w:rsidR="008B58C0" w:rsidRPr="00C300E6">
        <w:rPr>
          <w:lang w:val="en-CA"/>
        </w:rPr>
        <w:t>article 166 al</w:t>
      </w:r>
      <w:r w:rsidR="002C5A56" w:rsidRPr="00C300E6">
        <w:rPr>
          <w:lang w:val="en-CA"/>
        </w:rPr>
        <w:t xml:space="preserve">so contains no </w:t>
      </w:r>
      <w:r w:rsidR="008B58C0" w:rsidRPr="00C300E6">
        <w:rPr>
          <w:lang w:val="en-CA"/>
        </w:rPr>
        <w:t>reviewable</w:t>
      </w:r>
      <w:r w:rsidR="002C5A56" w:rsidRPr="00C300E6">
        <w:rPr>
          <w:lang w:val="en-CA"/>
        </w:rPr>
        <w:t xml:space="preserve"> </w:t>
      </w:r>
      <w:r w:rsidR="008B58C0" w:rsidRPr="00C300E6">
        <w:rPr>
          <w:lang w:val="en-CA"/>
        </w:rPr>
        <w:t>error.</w:t>
      </w:r>
    </w:p>
    <w:p w14:paraId="6779DFE2" w14:textId="7F4AC8E5" w:rsidR="008B58C0" w:rsidRPr="00C300E6" w:rsidRDefault="002C5A56" w:rsidP="008B58C0">
      <w:pPr>
        <w:pStyle w:val="Paragraphe"/>
        <w:spacing w:line="240" w:lineRule="auto"/>
        <w:rPr>
          <w:lang w:val="en-CA"/>
        </w:rPr>
      </w:pPr>
      <w:r w:rsidRPr="00C300E6">
        <w:rPr>
          <w:lang w:val="en-CA"/>
        </w:rPr>
        <w:t>In short, there is no reason to inte</w:t>
      </w:r>
      <w:r w:rsidR="00760C05">
        <w:rPr>
          <w:lang w:val="en-CA"/>
        </w:rPr>
        <w:t>r</w:t>
      </w:r>
      <w:r w:rsidRPr="00C300E6">
        <w:rPr>
          <w:lang w:val="en-CA"/>
        </w:rPr>
        <w:t xml:space="preserve">vene in the judge’s finding regarding the </w:t>
      </w:r>
      <w:r w:rsidR="00FC73E1">
        <w:rPr>
          <w:lang w:val="en-CA"/>
        </w:rPr>
        <w:t>tardiness</w:t>
      </w:r>
      <w:r w:rsidR="008B58C0" w:rsidRPr="00C300E6">
        <w:rPr>
          <w:lang w:val="en-CA"/>
        </w:rPr>
        <w:t xml:space="preserve"> </w:t>
      </w:r>
      <w:r w:rsidRPr="00C300E6">
        <w:rPr>
          <w:lang w:val="en-CA"/>
        </w:rPr>
        <w:t xml:space="preserve">of the appellant’s </w:t>
      </w:r>
      <w:r w:rsidR="008B58C0" w:rsidRPr="00C300E6">
        <w:rPr>
          <w:lang w:val="en-CA"/>
        </w:rPr>
        <w:t>declinatory</w:t>
      </w:r>
      <w:r w:rsidRPr="00C300E6">
        <w:rPr>
          <w:lang w:val="en-CA"/>
        </w:rPr>
        <w:t xml:space="preserve"> </w:t>
      </w:r>
      <w:r w:rsidR="008B58C0" w:rsidRPr="00C300E6">
        <w:rPr>
          <w:lang w:val="en-CA"/>
        </w:rPr>
        <w:t xml:space="preserve">exception.  </w:t>
      </w:r>
    </w:p>
    <w:p w14:paraId="498ECC2D" w14:textId="61BA3B6A" w:rsidR="008B58C0" w:rsidRPr="00C300E6" w:rsidRDefault="00FA5892" w:rsidP="008B58C0">
      <w:pPr>
        <w:pStyle w:val="Paragraphe"/>
        <w:keepNext/>
        <w:numPr>
          <w:ilvl w:val="0"/>
          <w:numId w:val="28"/>
        </w:numPr>
        <w:spacing w:line="240" w:lineRule="auto"/>
        <w:rPr>
          <w:b/>
          <w:lang w:val="en-CA"/>
        </w:rPr>
      </w:pPr>
      <w:r w:rsidRPr="00C300E6">
        <w:rPr>
          <w:b/>
          <w:lang w:val="en-CA"/>
        </w:rPr>
        <w:t xml:space="preserve">Did the </w:t>
      </w:r>
      <w:r w:rsidR="008B58C0" w:rsidRPr="00C300E6">
        <w:rPr>
          <w:b/>
          <w:lang w:val="en-CA"/>
        </w:rPr>
        <w:t>trial</w:t>
      </w:r>
      <w:r w:rsidRPr="00C300E6">
        <w:rPr>
          <w:b/>
          <w:lang w:val="en-CA"/>
        </w:rPr>
        <w:t xml:space="preserve"> </w:t>
      </w:r>
      <w:r w:rsidR="008B58C0" w:rsidRPr="00C300E6">
        <w:rPr>
          <w:b/>
          <w:lang w:val="en-CA"/>
        </w:rPr>
        <w:t>judge commi</w:t>
      </w:r>
      <w:r w:rsidRPr="00C300E6">
        <w:rPr>
          <w:b/>
          <w:lang w:val="en-CA"/>
        </w:rPr>
        <w:t xml:space="preserve">t a </w:t>
      </w:r>
      <w:r w:rsidR="008B58C0" w:rsidRPr="00C300E6">
        <w:rPr>
          <w:b/>
          <w:lang w:val="en-CA"/>
        </w:rPr>
        <w:t>reviewable</w:t>
      </w:r>
      <w:r w:rsidRPr="00C300E6">
        <w:rPr>
          <w:b/>
          <w:lang w:val="en-CA"/>
        </w:rPr>
        <w:t xml:space="preserve"> </w:t>
      </w:r>
      <w:r w:rsidR="008B58C0" w:rsidRPr="00C300E6">
        <w:rPr>
          <w:b/>
          <w:lang w:val="en-CA"/>
        </w:rPr>
        <w:t xml:space="preserve">error </w:t>
      </w:r>
      <w:r w:rsidRPr="00C300E6">
        <w:rPr>
          <w:b/>
          <w:lang w:val="en-CA"/>
        </w:rPr>
        <w:t>in</w:t>
      </w:r>
      <w:r w:rsidR="008B58C0" w:rsidRPr="00C300E6">
        <w:rPr>
          <w:b/>
          <w:lang w:val="en-CA"/>
        </w:rPr>
        <w:t xml:space="preserve"> </w:t>
      </w:r>
      <w:r w:rsidR="005B08FA" w:rsidRPr="00C300E6">
        <w:rPr>
          <w:b/>
          <w:lang w:val="en-CA"/>
        </w:rPr>
        <w:t>find</w:t>
      </w:r>
      <w:r w:rsidRPr="00C300E6">
        <w:rPr>
          <w:b/>
          <w:lang w:val="en-CA"/>
        </w:rPr>
        <w:t xml:space="preserve">ing that the </w:t>
      </w:r>
      <w:r w:rsidR="008B58C0" w:rsidRPr="00C300E6">
        <w:rPr>
          <w:b/>
          <w:lang w:val="en-CA"/>
        </w:rPr>
        <w:t>appe</w:t>
      </w:r>
      <w:r w:rsidRPr="00C300E6">
        <w:rPr>
          <w:b/>
          <w:lang w:val="en-CA"/>
        </w:rPr>
        <w:t>l</w:t>
      </w:r>
      <w:r w:rsidR="008B58C0" w:rsidRPr="00C300E6">
        <w:rPr>
          <w:b/>
          <w:lang w:val="en-CA"/>
        </w:rPr>
        <w:t xml:space="preserve">lant </w:t>
      </w:r>
      <w:r w:rsidR="00623DA4" w:rsidRPr="00C300E6">
        <w:rPr>
          <w:b/>
          <w:lang w:val="en-CA"/>
        </w:rPr>
        <w:t xml:space="preserve">submitted to the </w:t>
      </w:r>
      <w:r w:rsidR="008B58C0" w:rsidRPr="00C300E6">
        <w:rPr>
          <w:b/>
          <w:lang w:val="en-CA"/>
        </w:rPr>
        <w:t>jurisdiction</w:t>
      </w:r>
      <w:r w:rsidR="00623DA4" w:rsidRPr="00C300E6">
        <w:rPr>
          <w:b/>
          <w:lang w:val="en-CA"/>
        </w:rPr>
        <w:t xml:space="preserve"> </w:t>
      </w:r>
      <w:r w:rsidR="008B58C0" w:rsidRPr="00C300E6">
        <w:rPr>
          <w:b/>
          <w:lang w:val="en-CA"/>
        </w:rPr>
        <w:t>of</w:t>
      </w:r>
      <w:r w:rsidR="00623DA4" w:rsidRPr="00C300E6">
        <w:rPr>
          <w:b/>
          <w:lang w:val="en-CA"/>
        </w:rPr>
        <w:t xml:space="preserve"> the Quebec </w:t>
      </w:r>
      <w:r w:rsidR="008B58C0" w:rsidRPr="00C300E6">
        <w:rPr>
          <w:b/>
          <w:lang w:val="en-CA"/>
        </w:rPr>
        <w:t>authorities?</w:t>
      </w:r>
    </w:p>
    <w:p w14:paraId="063BA37B" w14:textId="47CF954E" w:rsidR="008B58C0" w:rsidRPr="00C300E6" w:rsidRDefault="00D02863" w:rsidP="008B58C0">
      <w:pPr>
        <w:pStyle w:val="Paragraphe"/>
        <w:spacing w:line="240" w:lineRule="auto"/>
        <w:rPr>
          <w:lang w:val="en-CA"/>
        </w:rPr>
      </w:pPr>
      <w:r w:rsidRPr="00C300E6">
        <w:rPr>
          <w:lang w:val="en-CA"/>
        </w:rPr>
        <w:t>Although the preceding c</w:t>
      </w:r>
      <w:r w:rsidR="008B58C0" w:rsidRPr="00C300E6">
        <w:rPr>
          <w:lang w:val="en-CA"/>
        </w:rPr>
        <w:t xml:space="preserve">onclusion </w:t>
      </w:r>
      <w:r w:rsidRPr="00C300E6">
        <w:rPr>
          <w:lang w:val="en-CA"/>
        </w:rPr>
        <w:t xml:space="preserve">is sufficient to decide the </w:t>
      </w:r>
      <w:r w:rsidR="008B58C0" w:rsidRPr="00C300E6">
        <w:rPr>
          <w:lang w:val="en-CA"/>
        </w:rPr>
        <w:t>appeal,</w:t>
      </w:r>
      <w:r w:rsidRPr="00C300E6">
        <w:rPr>
          <w:lang w:val="en-CA"/>
        </w:rPr>
        <w:t xml:space="preserve"> it is worth adding a few words on the judge’s </w:t>
      </w:r>
      <w:r w:rsidR="008B58C0" w:rsidRPr="00C300E6">
        <w:rPr>
          <w:i/>
          <w:lang w:val="en-CA"/>
        </w:rPr>
        <w:t>obiter dictum</w:t>
      </w:r>
      <w:r w:rsidR="008B58C0" w:rsidRPr="00C300E6">
        <w:rPr>
          <w:lang w:val="en-CA"/>
        </w:rPr>
        <w:t xml:space="preserve"> </w:t>
      </w:r>
      <w:r w:rsidRPr="00C300E6">
        <w:rPr>
          <w:lang w:val="en-CA"/>
        </w:rPr>
        <w:t xml:space="preserve">finding that the </w:t>
      </w:r>
      <w:r w:rsidR="008B58C0" w:rsidRPr="00C300E6">
        <w:rPr>
          <w:lang w:val="en-CA"/>
        </w:rPr>
        <w:t>appel</w:t>
      </w:r>
      <w:r w:rsidRPr="00C300E6">
        <w:rPr>
          <w:lang w:val="en-CA"/>
        </w:rPr>
        <w:t>l</w:t>
      </w:r>
      <w:r w:rsidR="008B58C0" w:rsidRPr="00C300E6">
        <w:rPr>
          <w:lang w:val="en-CA"/>
        </w:rPr>
        <w:t>ant</w:t>
      </w:r>
      <w:r w:rsidRPr="00C300E6">
        <w:rPr>
          <w:lang w:val="en-CA"/>
        </w:rPr>
        <w:t xml:space="preserve"> submitted to the </w:t>
      </w:r>
      <w:r w:rsidR="008B58C0" w:rsidRPr="00C300E6">
        <w:rPr>
          <w:lang w:val="en-CA"/>
        </w:rPr>
        <w:t>jurisdiction</w:t>
      </w:r>
      <w:r w:rsidRPr="00C300E6">
        <w:rPr>
          <w:lang w:val="en-CA"/>
        </w:rPr>
        <w:t xml:space="preserve"> of the Quebec </w:t>
      </w:r>
      <w:r w:rsidR="008B58C0" w:rsidRPr="00C300E6">
        <w:rPr>
          <w:lang w:val="en-CA"/>
        </w:rPr>
        <w:t>authorities.</w:t>
      </w:r>
    </w:p>
    <w:p w14:paraId="38FB63F3" w14:textId="759E3ABA" w:rsidR="008B58C0" w:rsidRPr="00C300E6" w:rsidRDefault="005B08FA" w:rsidP="008B58C0">
      <w:pPr>
        <w:pStyle w:val="Paragraphe"/>
        <w:spacing w:line="240" w:lineRule="auto"/>
        <w:rPr>
          <w:lang w:val="en-CA"/>
        </w:rPr>
      </w:pPr>
      <w:r w:rsidRPr="00C300E6">
        <w:rPr>
          <w:lang w:val="en-CA"/>
        </w:rPr>
        <w:t>Because that finding is one of mixed fact and law</w:t>
      </w:r>
      <w:r w:rsidR="008B58C0" w:rsidRPr="00C300E6">
        <w:rPr>
          <w:lang w:val="en-CA"/>
        </w:rPr>
        <w:t xml:space="preserve">, </w:t>
      </w:r>
      <w:r w:rsidR="00CB64C9" w:rsidRPr="00C300E6">
        <w:rPr>
          <w:lang w:val="en-CA"/>
        </w:rPr>
        <w:t xml:space="preserve">it </w:t>
      </w:r>
      <w:r w:rsidR="0024187A" w:rsidRPr="00C300E6">
        <w:rPr>
          <w:lang w:val="en-CA"/>
        </w:rPr>
        <w:t>calls for</w:t>
      </w:r>
      <w:r w:rsidR="00CB64C9" w:rsidRPr="00C300E6">
        <w:rPr>
          <w:lang w:val="en-CA"/>
        </w:rPr>
        <w:t xml:space="preserve"> defe</w:t>
      </w:r>
      <w:r w:rsidR="008B58C0" w:rsidRPr="00C300E6">
        <w:rPr>
          <w:lang w:val="en-CA"/>
        </w:rPr>
        <w:t>rence</w:t>
      </w:r>
      <w:r w:rsidR="00CB64C9" w:rsidRPr="00C300E6">
        <w:rPr>
          <w:lang w:val="en-CA"/>
        </w:rPr>
        <w:t>.</w:t>
      </w:r>
      <w:r w:rsidR="008B58C0" w:rsidRPr="00C300E6">
        <w:rPr>
          <w:rStyle w:val="Appelnotedebasdep"/>
          <w:rFonts w:cs="Arial"/>
          <w:szCs w:val="24"/>
          <w:lang w:val="en-CA"/>
        </w:rPr>
        <w:footnoteReference w:id="16"/>
      </w:r>
      <w:r w:rsidR="008B58C0" w:rsidRPr="00C300E6">
        <w:rPr>
          <w:lang w:val="en-CA"/>
        </w:rPr>
        <w:t xml:space="preserve"> </w:t>
      </w:r>
      <w:r w:rsidR="00515661" w:rsidRPr="00C300E6">
        <w:rPr>
          <w:lang w:val="en-CA"/>
        </w:rPr>
        <w:t>That being so, and w</w:t>
      </w:r>
      <w:r w:rsidR="008B58C0" w:rsidRPr="00C300E6">
        <w:rPr>
          <w:lang w:val="en-CA"/>
        </w:rPr>
        <w:t>ith</w:t>
      </w:r>
      <w:r w:rsidR="00515661" w:rsidRPr="00C300E6">
        <w:rPr>
          <w:lang w:val="en-CA"/>
        </w:rPr>
        <w:t xml:space="preserve"> </w:t>
      </w:r>
      <w:r w:rsidR="008B58C0" w:rsidRPr="00C300E6">
        <w:rPr>
          <w:lang w:val="en-CA"/>
        </w:rPr>
        <w:t>respect, the</w:t>
      </w:r>
      <w:r w:rsidR="00515661" w:rsidRPr="00C300E6">
        <w:rPr>
          <w:lang w:val="en-CA"/>
        </w:rPr>
        <w:t xml:space="preserve"> </w:t>
      </w:r>
      <w:r w:rsidR="008B58C0" w:rsidRPr="00C300E6">
        <w:rPr>
          <w:lang w:val="en-CA"/>
        </w:rPr>
        <w:t>Court</w:t>
      </w:r>
      <w:r w:rsidR="00515661" w:rsidRPr="00C300E6">
        <w:rPr>
          <w:lang w:val="en-CA"/>
        </w:rPr>
        <w:t xml:space="preserve"> is of the view that the </w:t>
      </w:r>
      <w:r w:rsidR="008B58C0" w:rsidRPr="00C300E6">
        <w:rPr>
          <w:lang w:val="en-CA"/>
        </w:rPr>
        <w:t>judge</w:t>
      </w:r>
      <w:r w:rsidR="00515661" w:rsidRPr="00C300E6">
        <w:rPr>
          <w:lang w:val="en-CA"/>
        </w:rPr>
        <w:t xml:space="preserve">’s analysis contains an </w:t>
      </w:r>
      <w:r w:rsidR="00515661" w:rsidRPr="00C300E6">
        <w:rPr>
          <w:lang w:val="en-CA"/>
        </w:rPr>
        <w:lastRenderedPageBreak/>
        <w:t xml:space="preserve">error that would have </w:t>
      </w:r>
      <w:r w:rsidR="008B58C0" w:rsidRPr="00C300E6">
        <w:rPr>
          <w:lang w:val="en-CA"/>
        </w:rPr>
        <w:t>justifi</w:t>
      </w:r>
      <w:r w:rsidR="00515661" w:rsidRPr="00C300E6">
        <w:rPr>
          <w:lang w:val="en-CA"/>
        </w:rPr>
        <w:t xml:space="preserve">ed its </w:t>
      </w:r>
      <w:r w:rsidR="008B58C0" w:rsidRPr="00C300E6">
        <w:rPr>
          <w:lang w:val="en-CA"/>
        </w:rPr>
        <w:t xml:space="preserve">intervention </w:t>
      </w:r>
      <w:r w:rsidR="00895F7C">
        <w:rPr>
          <w:lang w:val="en-CA"/>
        </w:rPr>
        <w:t>had</w:t>
      </w:r>
      <w:r w:rsidR="00515661" w:rsidRPr="00C300E6">
        <w:rPr>
          <w:lang w:val="en-CA"/>
        </w:rPr>
        <w:t xml:space="preserve"> the issue of </w:t>
      </w:r>
      <w:r w:rsidR="00515661" w:rsidRPr="00C300E6">
        <w:rPr>
          <w:color w:val="000000"/>
          <w:lang w:val="en-CA"/>
        </w:rPr>
        <w:t>submission to the jurisdiction of the Quebec authorities been determinative</w:t>
      </w:r>
      <w:r w:rsidR="008B58C0" w:rsidRPr="00C300E6">
        <w:rPr>
          <w:lang w:val="en-CA"/>
        </w:rPr>
        <w:t>.</w:t>
      </w:r>
    </w:p>
    <w:p w14:paraId="1F3638F2" w14:textId="7AABFEE8" w:rsidR="008B58C0" w:rsidRPr="00C300E6" w:rsidRDefault="009705FF" w:rsidP="008B58C0">
      <w:pPr>
        <w:pStyle w:val="Paragraphe"/>
        <w:spacing w:line="240" w:lineRule="auto"/>
        <w:rPr>
          <w:lang w:val="en-CA"/>
        </w:rPr>
      </w:pPr>
      <w:r w:rsidRPr="00C300E6">
        <w:rPr>
          <w:lang w:val="en-CA"/>
        </w:rPr>
        <w:t xml:space="preserve">Between the filing of its </w:t>
      </w:r>
      <w:r w:rsidR="008B58C0" w:rsidRPr="00C300E6">
        <w:rPr>
          <w:lang w:val="en-CA"/>
        </w:rPr>
        <w:t>originating</w:t>
      </w:r>
      <w:r w:rsidRPr="00C300E6">
        <w:rPr>
          <w:lang w:val="en-CA"/>
        </w:rPr>
        <w:t xml:space="preserve"> </w:t>
      </w:r>
      <w:r w:rsidR="008B58C0" w:rsidRPr="00C300E6">
        <w:rPr>
          <w:lang w:val="en-CA"/>
        </w:rPr>
        <w:t xml:space="preserve">application </w:t>
      </w:r>
      <w:r w:rsidRPr="00C300E6">
        <w:rPr>
          <w:lang w:val="en-CA"/>
        </w:rPr>
        <w:t xml:space="preserve">and the filing of its notice disclosing its </w:t>
      </w:r>
      <w:r w:rsidR="008B58C0" w:rsidRPr="00C300E6">
        <w:rPr>
          <w:lang w:val="en-CA"/>
        </w:rPr>
        <w:t>declinatory</w:t>
      </w:r>
      <w:r w:rsidRPr="00C300E6">
        <w:rPr>
          <w:lang w:val="en-CA"/>
        </w:rPr>
        <w:t xml:space="preserve"> </w:t>
      </w:r>
      <w:r w:rsidR="008B58C0" w:rsidRPr="00C300E6">
        <w:rPr>
          <w:lang w:val="en-CA"/>
        </w:rPr>
        <w:t xml:space="preserve">exception, </w:t>
      </w:r>
      <w:r w:rsidR="00F57540" w:rsidRPr="00C300E6">
        <w:rPr>
          <w:lang w:val="en-CA"/>
        </w:rPr>
        <w:t>the only step</w:t>
      </w:r>
      <w:r w:rsidR="00DE3102" w:rsidRPr="00C300E6">
        <w:rPr>
          <w:lang w:val="en-CA"/>
        </w:rPr>
        <w:t>s</w:t>
      </w:r>
      <w:r w:rsidR="00F57540" w:rsidRPr="00C300E6">
        <w:rPr>
          <w:lang w:val="en-CA"/>
        </w:rPr>
        <w:t xml:space="preserve"> the appellant accomplished </w:t>
      </w:r>
      <w:r w:rsidR="00ED573A" w:rsidRPr="00C300E6">
        <w:rPr>
          <w:lang w:val="en-CA"/>
        </w:rPr>
        <w:t>in</w:t>
      </w:r>
      <w:r w:rsidR="00F57540" w:rsidRPr="00C300E6">
        <w:rPr>
          <w:lang w:val="en-CA"/>
        </w:rPr>
        <w:t xml:space="preserve"> the proceedings </w:t>
      </w:r>
      <w:r w:rsidR="00ED573A" w:rsidRPr="00C300E6">
        <w:rPr>
          <w:lang w:val="en-CA"/>
        </w:rPr>
        <w:t>was filing its representation statement</w:t>
      </w:r>
      <w:r w:rsidR="008B58C0" w:rsidRPr="00C300E6">
        <w:rPr>
          <w:lang w:val="en-CA"/>
        </w:rPr>
        <w:t xml:space="preserve"> — </w:t>
      </w:r>
      <w:r w:rsidR="00A95C42" w:rsidRPr="00C300E6">
        <w:rPr>
          <w:lang w:val="en-CA"/>
        </w:rPr>
        <w:t xml:space="preserve">in </w:t>
      </w:r>
      <w:r w:rsidR="0009608F" w:rsidRPr="00C300E6">
        <w:rPr>
          <w:lang w:val="en-CA"/>
        </w:rPr>
        <w:t xml:space="preserve">which it in </w:t>
      </w:r>
      <w:r w:rsidR="008B58C0" w:rsidRPr="00C300E6">
        <w:rPr>
          <w:lang w:val="en-CA"/>
        </w:rPr>
        <w:t>fact</w:t>
      </w:r>
      <w:r w:rsidR="0009608F" w:rsidRPr="00C300E6">
        <w:rPr>
          <w:lang w:val="en-CA"/>
        </w:rPr>
        <w:t xml:space="preserve"> took care to reserve its </w:t>
      </w:r>
      <w:r w:rsidR="008B58C0" w:rsidRPr="00C300E6">
        <w:rPr>
          <w:lang w:val="en-CA"/>
        </w:rPr>
        <w:t xml:space="preserve">right </w:t>
      </w:r>
      <w:r w:rsidR="00DE3102" w:rsidRPr="00C300E6">
        <w:rPr>
          <w:lang w:val="en-CA"/>
        </w:rPr>
        <w:t xml:space="preserve">to </w:t>
      </w:r>
      <w:r w:rsidR="008B58C0" w:rsidRPr="00C300E6">
        <w:rPr>
          <w:lang w:val="en-CA"/>
        </w:rPr>
        <w:t>contest</w:t>
      </w:r>
      <w:r w:rsidR="00DE3102" w:rsidRPr="00C300E6">
        <w:rPr>
          <w:lang w:val="en-CA"/>
        </w:rPr>
        <w:t xml:space="preserve"> the </w:t>
      </w:r>
      <w:r w:rsidR="008B58C0" w:rsidRPr="00C300E6">
        <w:rPr>
          <w:lang w:val="en-CA"/>
        </w:rPr>
        <w:t>jurisdiction</w:t>
      </w:r>
      <w:r w:rsidR="00DE3102" w:rsidRPr="00C300E6">
        <w:rPr>
          <w:lang w:val="en-CA"/>
        </w:rPr>
        <w:t xml:space="preserve"> of the </w:t>
      </w:r>
      <w:r w:rsidR="008B58C0" w:rsidRPr="00C300E6">
        <w:rPr>
          <w:lang w:val="en-CA"/>
        </w:rPr>
        <w:t>Superior</w:t>
      </w:r>
      <w:r w:rsidR="00DE3102" w:rsidRPr="00C300E6">
        <w:rPr>
          <w:lang w:val="en-CA"/>
        </w:rPr>
        <w:t xml:space="preserve"> </w:t>
      </w:r>
      <w:r w:rsidR="008B58C0" w:rsidRPr="00C300E6">
        <w:rPr>
          <w:lang w:val="en-CA"/>
        </w:rPr>
        <w:t xml:space="preserve">Court — </w:t>
      </w:r>
      <w:r w:rsidR="00DE3102" w:rsidRPr="00C300E6">
        <w:rPr>
          <w:lang w:val="en-CA"/>
        </w:rPr>
        <w:t>and</w:t>
      </w:r>
      <w:r w:rsidR="0053573D" w:rsidRPr="00C300E6">
        <w:rPr>
          <w:lang w:val="en-CA"/>
        </w:rPr>
        <w:t xml:space="preserve"> the filing of a notice of </w:t>
      </w:r>
      <w:r w:rsidR="008B58C0" w:rsidRPr="00C300E6">
        <w:rPr>
          <w:lang w:val="en-CA"/>
        </w:rPr>
        <w:t>substitution</w:t>
      </w:r>
      <w:r w:rsidR="0053573D" w:rsidRPr="00C300E6">
        <w:rPr>
          <w:lang w:val="en-CA"/>
        </w:rPr>
        <w:t xml:space="preserve"> of</w:t>
      </w:r>
      <w:r w:rsidR="008B58C0" w:rsidRPr="00C300E6">
        <w:rPr>
          <w:lang w:val="en-CA"/>
        </w:rPr>
        <w:t xml:space="preserve"> counsel.</w:t>
      </w:r>
      <w:r w:rsidR="0053573D" w:rsidRPr="00C300E6">
        <w:rPr>
          <w:lang w:val="en-CA"/>
        </w:rPr>
        <w:t xml:space="preserve"> It did not </w:t>
      </w:r>
      <w:r w:rsidR="008B58C0" w:rsidRPr="00C300E6">
        <w:rPr>
          <w:lang w:val="en-CA"/>
        </w:rPr>
        <w:t>particip</w:t>
      </w:r>
      <w:r w:rsidR="0053573D" w:rsidRPr="00C300E6">
        <w:rPr>
          <w:lang w:val="en-CA"/>
        </w:rPr>
        <w:t>ate in this case in any other way</w:t>
      </w:r>
      <w:r w:rsidR="008B58C0" w:rsidRPr="00C300E6">
        <w:rPr>
          <w:lang w:val="en-CA"/>
        </w:rPr>
        <w:t xml:space="preserve">. </w:t>
      </w:r>
      <w:r w:rsidR="00D87C09" w:rsidRPr="00C300E6">
        <w:rPr>
          <w:lang w:val="en-CA"/>
        </w:rPr>
        <w:t xml:space="preserve">Of course, its counsel had </w:t>
      </w:r>
      <w:r w:rsidR="00B60425" w:rsidRPr="00C300E6">
        <w:rPr>
          <w:lang w:val="en-CA"/>
        </w:rPr>
        <w:t xml:space="preserve">certain discussions with counsel for the </w:t>
      </w:r>
      <w:r w:rsidR="008B58C0" w:rsidRPr="00C300E6">
        <w:rPr>
          <w:lang w:val="en-CA"/>
        </w:rPr>
        <w:t xml:space="preserve">respondent </w:t>
      </w:r>
      <w:r w:rsidR="00895F7C">
        <w:rPr>
          <w:lang w:val="en-CA"/>
        </w:rPr>
        <w:t xml:space="preserve">for the purpose of </w:t>
      </w:r>
      <w:r w:rsidR="00B60425" w:rsidRPr="00C300E6">
        <w:rPr>
          <w:lang w:val="en-CA"/>
        </w:rPr>
        <w:t>prepar</w:t>
      </w:r>
      <w:r w:rsidR="00895F7C">
        <w:rPr>
          <w:lang w:val="en-CA"/>
        </w:rPr>
        <w:t>ing</w:t>
      </w:r>
      <w:r w:rsidR="00B60425" w:rsidRPr="00C300E6">
        <w:rPr>
          <w:lang w:val="en-CA"/>
        </w:rPr>
        <w:t xml:space="preserve"> a </w:t>
      </w:r>
      <w:r w:rsidR="008B58C0" w:rsidRPr="00C300E6">
        <w:rPr>
          <w:lang w:val="en-CA"/>
        </w:rPr>
        <w:t>case</w:t>
      </w:r>
      <w:r w:rsidR="00B60425" w:rsidRPr="00C300E6">
        <w:rPr>
          <w:lang w:val="en-CA"/>
        </w:rPr>
        <w:t xml:space="preserve"> </w:t>
      </w:r>
      <w:r w:rsidR="008B58C0" w:rsidRPr="00C300E6">
        <w:rPr>
          <w:lang w:val="en-CA"/>
        </w:rPr>
        <w:t>protocol,</w:t>
      </w:r>
      <w:r w:rsidR="00B60425" w:rsidRPr="00C300E6">
        <w:rPr>
          <w:lang w:val="en-CA"/>
        </w:rPr>
        <w:t xml:space="preserve"> </w:t>
      </w:r>
      <w:r w:rsidR="00895F7C">
        <w:rPr>
          <w:lang w:val="en-CA"/>
        </w:rPr>
        <w:t>without ever</w:t>
      </w:r>
      <w:r w:rsidR="00B60425" w:rsidRPr="00C300E6">
        <w:rPr>
          <w:lang w:val="en-CA"/>
        </w:rPr>
        <w:t xml:space="preserve"> discuss</w:t>
      </w:r>
      <w:r w:rsidR="00895F7C">
        <w:rPr>
          <w:lang w:val="en-CA"/>
        </w:rPr>
        <w:t>ing</w:t>
      </w:r>
      <w:r w:rsidR="00B60425" w:rsidRPr="00C300E6">
        <w:rPr>
          <w:lang w:val="en-CA"/>
        </w:rPr>
        <w:t xml:space="preserve"> the international </w:t>
      </w:r>
      <w:r w:rsidR="008B58C0" w:rsidRPr="00C300E6">
        <w:rPr>
          <w:lang w:val="en-CA"/>
        </w:rPr>
        <w:t>jurisdiction</w:t>
      </w:r>
      <w:r w:rsidR="00D31109" w:rsidRPr="00C300E6">
        <w:rPr>
          <w:lang w:val="en-CA"/>
        </w:rPr>
        <w:t xml:space="preserve"> of the </w:t>
      </w:r>
      <w:r w:rsidR="008B58C0" w:rsidRPr="00C300E6">
        <w:rPr>
          <w:lang w:val="en-CA"/>
        </w:rPr>
        <w:t>Quebec</w:t>
      </w:r>
      <w:r w:rsidR="00D31109" w:rsidRPr="00C300E6">
        <w:rPr>
          <w:lang w:val="en-CA"/>
        </w:rPr>
        <w:t xml:space="preserve"> </w:t>
      </w:r>
      <w:r w:rsidR="008B58C0" w:rsidRPr="00C300E6">
        <w:rPr>
          <w:lang w:val="en-CA"/>
        </w:rPr>
        <w:t>authorit</w:t>
      </w:r>
      <w:r w:rsidR="00D31109" w:rsidRPr="00C300E6">
        <w:rPr>
          <w:lang w:val="en-CA"/>
        </w:rPr>
        <w:t>ies</w:t>
      </w:r>
      <w:r w:rsidR="008B58C0" w:rsidRPr="00C300E6">
        <w:rPr>
          <w:lang w:val="en-CA"/>
        </w:rPr>
        <w:t xml:space="preserve">. </w:t>
      </w:r>
      <w:bookmarkStart w:id="6" w:name="_GoBack"/>
      <w:bookmarkEnd w:id="6"/>
      <w:r w:rsidR="00895F7C">
        <w:rPr>
          <w:lang w:val="en-CA"/>
        </w:rPr>
        <w:t>T</w:t>
      </w:r>
      <w:r w:rsidR="00752E35" w:rsidRPr="00C300E6">
        <w:rPr>
          <w:lang w:val="en-CA"/>
        </w:rPr>
        <w:t xml:space="preserve">hose </w:t>
      </w:r>
      <w:r w:rsidR="008B58C0" w:rsidRPr="00C300E6">
        <w:rPr>
          <w:lang w:val="en-CA"/>
        </w:rPr>
        <w:t xml:space="preserve">discussions </w:t>
      </w:r>
      <w:r w:rsidR="00752E35" w:rsidRPr="00C300E6">
        <w:rPr>
          <w:lang w:val="en-CA"/>
        </w:rPr>
        <w:t xml:space="preserve">were inconclusive, </w:t>
      </w:r>
      <w:r w:rsidR="00895F7C">
        <w:rPr>
          <w:lang w:val="en-CA"/>
        </w:rPr>
        <w:t xml:space="preserve">however, </w:t>
      </w:r>
      <w:r w:rsidR="00752E35" w:rsidRPr="00C300E6">
        <w:rPr>
          <w:lang w:val="en-CA"/>
        </w:rPr>
        <w:t>and</w:t>
      </w:r>
      <w:r w:rsidR="00DD041A" w:rsidRPr="00C300E6">
        <w:rPr>
          <w:lang w:val="en-CA"/>
        </w:rPr>
        <w:t xml:space="preserve"> counsel for the </w:t>
      </w:r>
      <w:r w:rsidR="008B58C0" w:rsidRPr="00C300E6">
        <w:rPr>
          <w:lang w:val="en-CA"/>
        </w:rPr>
        <w:t xml:space="preserve">appellant </w:t>
      </w:r>
      <w:r w:rsidR="00DD041A" w:rsidRPr="00C300E6">
        <w:rPr>
          <w:lang w:val="en-CA"/>
        </w:rPr>
        <w:t xml:space="preserve">took care to specify that their </w:t>
      </w:r>
      <w:r w:rsidR="008B58C0" w:rsidRPr="00C300E6">
        <w:rPr>
          <w:lang w:val="en-CA"/>
        </w:rPr>
        <w:t>submissions</w:t>
      </w:r>
      <w:r w:rsidR="00DD041A" w:rsidRPr="00C300E6">
        <w:rPr>
          <w:lang w:val="en-CA"/>
        </w:rPr>
        <w:t xml:space="preserve"> were </w:t>
      </w:r>
      <w:r w:rsidR="008B58C0" w:rsidRPr="00C300E6">
        <w:rPr>
          <w:lang w:val="en-CA"/>
        </w:rPr>
        <w:t>condition</w:t>
      </w:r>
      <w:r w:rsidR="00DD041A" w:rsidRPr="00C300E6">
        <w:rPr>
          <w:lang w:val="en-CA"/>
        </w:rPr>
        <w:t>al on their client’s approval</w:t>
      </w:r>
      <w:r w:rsidR="008B58C0" w:rsidRPr="00C300E6">
        <w:rPr>
          <w:lang w:val="en-CA"/>
        </w:rPr>
        <w:t>.</w:t>
      </w:r>
    </w:p>
    <w:p w14:paraId="7E336351" w14:textId="347FBEC6" w:rsidR="008B58C0" w:rsidRPr="00C300E6" w:rsidRDefault="00DD041A" w:rsidP="008B58C0">
      <w:pPr>
        <w:pStyle w:val="Paragraphe"/>
        <w:spacing w:line="240" w:lineRule="auto"/>
        <w:rPr>
          <w:lang w:val="en-CA"/>
        </w:rPr>
      </w:pPr>
      <w:r w:rsidRPr="00C300E6">
        <w:rPr>
          <w:lang w:val="en-CA"/>
        </w:rPr>
        <w:t xml:space="preserve">In the </w:t>
      </w:r>
      <w:r w:rsidR="008B58C0" w:rsidRPr="00C300E6">
        <w:rPr>
          <w:lang w:val="en-CA"/>
        </w:rPr>
        <w:t>circumstances, the</w:t>
      </w:r>
      <w:r w:rsidRPr="00C300E6">
        <w:rPr>
          <w:lang w:val="en-CA"/>
        </w:rPr>
        <w:t xml:space="preserve"> </w:t>
      </w:r>
      <w:r w:rsidR="008B58C0" w:rsidRPr="00C300E6">
        <w:rPr>
          <w:lang w:val="en-CA"/>
        </w:rPr>
        <w:t xml:space="preserve">Court </w:t>
      </w:r>
      <w:r w:rsidRPr="00C300E6">
        <w:rPr>
          <w:lang w:val="en-CA"/>
        </w:rPr>
        <w:t xml:space="preserve">finds that the </w:t>
      </w:r>
      <w:r w:rsidR="008B58C0" w:rsidRPr="00C300E6">
        <w:rPr>
          <w:lang w:val="en-CA"/>
        </w:rPr>
        <w:t xml:space="preserve">judge </w:t>
      </w:r>
      <w:r w:rsidRPr="00C300E6">
        <w:rPr>
          <w:lang w:val="en-CA"/>
        </w:rPr>
        <w:t xml:space="preserve">could not have </w:t>
      </w:r>
      <w:r w:rsidR="008B58C0" w:rsidRPr="00C300E6">
        <w:rPr>
          <w:lang w:val="en-CA"/>
        </w:rPr>
        <w:t>reasonably</w:t>
      </w:r>
      <w:r w:rsidRPr="00C300E6">
        <w:rPr>
          <w:lang w:val="en-CA"/>
        </w:rPr>
        <w:t xml:space="preserve"> found that the appellant had </w:t>
      </w:r>
      <w:r w:rsidRPr="00C300E6">
        <w:rPr>
          <w:i/>
          <w:lang w:val="en-CA"/>
        </w:rPr>
        <w:t xml:space="preserve">clearly </w:t>
      </w:r>
      <w:r w:rsidRPr="00C300E6">
        <w:rPr>
          <w:lang w:val="en-CA"/>
        </w:rPr>
        <w:t xml:space="preserve">submitted to the </w:t>
      </w:r>
      <w:r w:rsidR="008B58C0" w:rsidRPr="00C300E6">
        <w:rPr>
          <w:lang w:val="en-CA"/>
        </w:rPr>
        <w:t>jurisdiction</w:t>
      </w:r>
      <w:r w:rsidRPr="00C300E6">
        <w:rPr>
          <w:lang w:val="en-CA"/>
        </w:rPr>
        <w:t xml:space="preserve"> of the Quebec </w:t>
      </w:r>
      <w:r w:rsidR="008B58C0" w:rsidRPr="00C300E6">
        <w:rPr>
          <w:lang w:val="en-CA"/>
        </w:rPr>
        <w:t>authorities</w:t>
      </w:r>
      <w:r w:rsidRPr="00C300E6">
        <w:rPr>
          <w:lang w:val="en-CA"/>
        </w:rPr>
        <w:t>.</w:t>
      </w:r>
      <w:r w:rsidR="008B58C0" w:rsidRPr="00C300E6">
        <w:rPr>
          <w:rStyle w:val="Appelnotedebasdep"/>
          <w:rFonts w:cs="Arial"/>
          <w:szCs w:val="24"/>
          <w:lang w:val="en-CA"/>
        </w:rPr>
        <w:footnoteReference w:id="17"/>
      </w:r>
    </w:p>
    <w:p w14:paraId="14761E9A" w14:textId="77777777" w:rsidR="008B58C0" w:rsidRPr="00C300E6" w:rsidRDefault="00651527" w:rsidP="008B58C0">
      <w:pPr>
        <w:pStyle w:val="Paragraphe"/>
        <w:keepNext/>
        <w:numPr>
          <w:ilvl w:val="0"/>
          <w:numId w:val="0"/>
        </w:numPr>
        <w:spacing w:line="240" w:lineRule="auto"/>
        <w:rPr>
          <w:b/>
          <w:lang w:val="en-CA"/>
        </w:rPr>
      </w:pPr>
      <w:r w:rsidRPr="00C300E6">
        <w:rPr>
          <w:b/>
          <w:lang w:val="en-CA"/>
        </w:rPr>
        <w:t>FOR THESE REASONS, THE COURT:</w:t>
      </w:r>
    </w:p>
    <w:p w14:paraId="1280BD4F" w14:textId="77777777" w:rsidR="008B58C0" w:rsidRPr="00C300E6" w:rsidRDefault="00651527" w:rsidP="00D37141">
      <w:pPr>
        <w:pStyle w:val="Paragraphe"/>
        <w:spacing w:line="240" w:lineRule="auto"/>
        <w:rPr>
          <w:lang w:val="en-CA"/>
        </w:rPr>
      </w:pPr>
      <w:r w:rsidRPr="00C300E6">
        <w:rPr>
          <w:b/>
          <w:lang w:val="en-CA"/>
        </w:rPr>
        <w:t>DISMISSES</w:t>
      </w:r>
      <w:r w:rsidRPr="00C300E6">
        <w:rPr>
          <w:lang w:val="en-CA"/>
        </w:rPr>
        <w:t xml:space="preserve"> the appeal, with legal costs.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843"/>
        <w:gridCol w:w="2839"/>
        <w:gridCol w:w="4680"/>
      </w:tblGrid>
      <w:tr w:rsidR="00BA1ACE" w:rsidRPr="00AA44D3" w14:paraId="2EC9237E" w14:textId="77777777" w:rsidTr="00D37141">
        <w:trPr>
          <w:trHeight w:val="682"/>
        </w:trPr>
        <w:tc>
          <w:tcPr>
            <w:tcW w:w="9362" w:type="dxa"/>
            <w:gridSpan w:val="3"/>
            <w:tcBorders>
              <w:top w:val="nil"/>
              <w:bottom w:val="nil"/>
            </w:tcBorders>
          </w:tcPr>
          <w:p w14:paraId="6FEB3E7D" w14:textId="77777777" w:rsidR="008B58C0" w:rsidRPr="00C300E6" w:rsidRDefault="008B58C0" w:rsidP="008B58C0">
            <w:pPr>
              <w:keepNext/>
              <w:spacing w:line="360" w:lineRule="auto"/>
              <w:rPr>
                <w:lang w:val="en-CA"/>
              </w:rPr>
            </w:pPr>
          </w:p>
        </w:tc>
      </w:tr>
      <w:tr w:rsidR="00BA1ACE" w:rsidRPr="00AA44D3" w14:paraId="2C35A40C" w14:textId="77777777" w:rsidTr="008B58C0">
        <w:trPr>
          <w:trHeight w:val="283"/>
        </w:trPr>
        <w:tc>
          <w:tcPr>
            <w:tcW w:w="4682" w:type="dxa"/>
            <w:gridSpan w:val="2"/>
            <w:tcBorders>
              <w:top w:val="nil"/>
              <w:bottom w:val="nil"/>
            </w:tcBorders>
          </w:tcPr>
          <w:p w14:paraId="756369C5" w14:textId="77777777" w:rsidR="008B58C0" w:rsidRPr="00C300E6" w:rsidRDefault="008B58C0">
            <w:pPr>
              <w:keepNext/>
              <w:rPr>
                <w:lang w:val="en-CA"/>
              </w:rPr>
            </w:pPr>
          </w:p>
        </w:tc>
        <w:tc>
          <w:tcPr>
            <w:tcW w:w="4680" w:type="dxa"/>
            <w:tcBorders>
              <w:top w:val="nil"/>
              <w:bottom w:val="single" w:sz="8" w:space="0" w:color="auto"/>
            </w:tcBorders>
          </w:tcPr>
          <w:p w14:paraId="01DD91F9" w14:textId="77777777" w:rsidR="008B58C0" w:rsidRPr="00C300E6" w:rsidRDefault="008B58C0">
            <w:pPr>
              <w:keepNext/>
              <w:rPr>
                <w:lang w:val="en-CA"/>
              </w:rPr>
            </w:pPr>
          </w:p>
        </w:tc>
      </w:tr>
      <w:tr w:rsidR="00BA1ACE" w:rsidRPr="00C300E6" w14:paraId="7A9DFDB0" w14:textId="77777777" w:rsidTr="008B58C0">
        <w:trPr>
          <w:trHeight w:val="283"/>
        </w:trPr>
        <w:tc>
          <w:tcPr>
            <w:tcW w:w="4682" w:type="dxa"/>
            <w:gridSpan w:val="2"/>
            <w:tcBorders>
              <w:top w:val="nil"/>
            </w:tcBorders>
          </w:tcPr>
          <w:p w14:paraId="20E328BF" w14:textId="77777777" w:rsidR="008B58C0" w:rsidRPr="00C300E6" w:rsidRDefault="008B58C0">
            <w:pPr>
              <w:keepNext/>
              <w:rPr>
                <w:lang w:val="en-CA"/>
              </w:rPr>
            </w:pPr>
          </w:p>
        </w:tc>
        <w:tc>
          <w:tcPr>
            <w:tcW w:w="4680" w:type="dxa"/>
            <w:tcBorders>
              <w:top w:val="single" w:sz="8" w:space="0" w:color="auto"/>
            </w:tcBorders>
          </w:tcPr>
          <w:p w14:paraId="459EDD56" w14:textId="77777777" w:rsidR="008B58C0" w:rsidRPr="00AA44D3" w:rsidRDefault="008B58C0" w:rsidP="00651527">
            <w:r w:rsidRPr="00AA44D3">
              <w:t>JACQUES J. LEVESQUE, J.A.</w:t>
            </w:r>
          </w:p>
        </w:tc>
      </w:tr>
      <w:tr w:rsidR="00BA1ACE" w:rsidRPr="00C300E6" w14:paraId="3DF56B0B" w14:textId="77777777" w:rsidTr="008B58C0">
        <w:trPr>
          <w:trHeight w:val="283"/>
        </w:trPr>
        <w:tc>
          <w:tcPr>
            <w:tcW w:w="4682" w:type="dxa"/>
            <w:gridSpan w:val="2"/>
            <w:tcBorders>
              <w:top w:val="nil"/>
            </w:tcBorders>
          </w:tcPr>
          <w:p w14:paraId="1A1A33CA" w14:textId="77777777" w:rsidR="008B58C0" w:rsidRPr="00AA44D3" w:rsidRDefault="008B58C0">
            <w:pPr>
              <w:keepNext/>
            </w:pPr>
            <w:bookmarkStart w:id="7" w:name="Signature2"/>
          </w:p>
        </w:tc>
        <w:tc>
          <w:tcPr>
            <w:tcW w:w="4680" w:type="dxa"/>
            <w:tcBorders>
              <w:top w:val="nil"/>
            </w:tcBorders>
          </w:tcPr>
          <w:p w14:paraId="7A4180C1" w14:textId="77777777" w:rsidR="008B58C0" w:rsidRPr="00AA44D3" w:rsidRDefault="008B58C0">
            <w:pPr>
              <w:keepNext/>
            </w:pPr>
          </w:p>
        </w:tc>
      </w:tr>
      <w:tr w:rsidR="00BA1ACE" w:rsidRPr="00C300E6" w14:paraId="7FD62183" w14:textId="77777777" w:rsidTr="008B58C0">
        <w:trPr>
          <w:trHeight w:val="283"/>
        </w:trPr>
        <w:tc>
          <w:tcPr>
            <w:tcW w:w="4682" w:type="dxa"/>
            <w:gridSpan w:val="2"/>
            <w:tcBorders>
              <w:top w:val="nil"/>
              <w:bottom w:val="nil"/>
            </w:tcBorders>
          </w:tcPr>
          <w:p w14:paraId="0B185373" w14:textId="77777777" w:rsidR="008B58C0" w:rsidRPr="00AA44D3" w:rsidRDefault="008B58C0">
            <w:pPr>
              <w:keepNext/>
            </w:pPr>
          </w:p>
        </w:tc>
        <w:tc>
          <w:tcPr>
            <w:tcW w:w="4680" w:type="dxa"/>
            <w:tcBorders>
              <w:top w:val="nil"/>
              <w:bottom w:val="single" w:sz="8" w:space="0" w:color="auto"/>
            </w:tcBorders>
          </w:tcPr>
          <w:p w14:paraId="3F461D12" w14:textId="77777777" w:rsidR="008B58C0" w:rsidRPr="00AA44D3" w:rsidRDefault="008B58C0">
            <w:pPr>
              <w:keepNext/>
            </w:pPr>
          </w:p>
        </w:tc>
      </w:tr>
      <w:tr w:rsidR="00BA1ACE" w:rsidRPr="00C300E6" w14:paraId="574D2F57" w14:textId="77777777" w:rsidTr="008B58C0">
        <w:trPr>
          <w:trHeight w:val="283"/>
        </w:trPr>
        <w:tc>
          <w:tcPr>
            <w:tcW w:w="4682" w:type="dxa"/>
            <w:gridSpan w:val="2"/>
            <w:tcBorders>
              <w:top w:val="nil"/>
            </w:tcBorders>
          </w:tcPr>
          <w:p w14:paraId="54D0A6F5" w14:textId="77777777" w:rsidR="008B58C0" w:rsidRPr="00AA44D3" w:rsidRDefault="008B58C0">
            <w:pPr>
              <w:keepNext/>
            </w:pPr>
          </w:p>
        </w:tc>
        <w:tc>
          <w:tcPr>
            <w:tcW w:w="4680" w:type="dxa"/>
            <w:tcBorders>
              <w:top w:val="single" w:sz="8" w:space="0" w:color="auto"/>
            </w:tcBorders>
          </w:tcPr>
          <w:p w14:paraId="63A1F552" w14:textId="77777777" w:rsidR="008B58C0" w:rsidRPr="00C300E6" w:rsidRDefault="008B58C0" w:rsidP="00651527">
            <w:pPr>
              <w:keepNext/>
              <w:rPr>
                <w:lang w:val="en-CA"/>
              </w:rPr>
            </w:pPr>
            <w:r w:rsidRPr="00C300E6">
              <w:rPr>
                <w:lang w:val="en-CA"/>
              </w:rPr>
              <w:t>BENOÎT MOORE, J.A.</w:t>
            </w:r>
          </w:p>
        </w:tc>
      </w:tr>
      <w:tr w:rsidR="00BA1ACE" w:rsidRPr="00C300E6" w14:paraId="63A087BD" w14:textId="77777777" w:rsidTr="008B58C0">
        <w:trPr>
          <w:trHeight w:val="283"/>
        </w:trPr>
        <w:tc>
          <w:tcPr>
            <w:tcW w:w="4682" w:type="dxa"/>
            <w:gridSpan w:val="2"/>
            <w:tcBorders>
              <w:top w:val="nil"/>
            </w:tcBorders>
          </w:tcPr>
          <w:p w14:paraId="471E13AB" w14:textId="77777777" w:rsidR="008B58C0" w:rsidRPr="00C300E6" w:rsidRDefault="008B58C0">
            <w:pPr>
              <w:keepNext/>
              <w:rPr>
                <w:lang w:val="en-CA"/>
              </w:rPr>
            </w:pPr>
            <w:bookmarkStart w:id="8" w:name="Signature3"/>
            <w:bookmarkEnd w:id="7"/>
          </w:p>
        </w:tc>
        <w:tc>
          <w:tcPr>
            <w:tcW w:w="4680" w:type="dxa"/>
            <w:tcBorders>
              <w:top w:val="nil"/>
            </w:tcBorders>
          </w:tcPr>
          <w:p w14:paraId="67E552A6" w14:textId="77777777" w:rsidR="008B58C0" w:rsidRPr="00C300E6" w:rsidRDefault="008B58C0">
            <w:pPr>
              <w:keepNext/>
              <w:rPr>
                <w:lang w:val="en-CA"/>
              </w:rPr>
            </w:pPr>
          </w:p>
        </w:tc>
      </w:tr>
      <w:tr w:rsidR="00BA1ACE" w:rsidRPr="00C300E6" w14:paraId="745AC20D" w14:textId="77777777" w:rsidTr="008B58C0">
        <w:trPr>
          <w:trHeight w:val="283"/>
        </w:trPr>
        <w:tc>
          <w:tcPr>
            <w:tcW w:w="4682" w:type="dxa"/>
            <w:gridSpan w:val="2"/>
            <w:tcBorders>
              <w:top w:val="nil"/>
              <w:bottom w:val="nil"/>
            </w:tcBorders>
          </w:tcPr>
          <w:p w14:paraId="20844AE8" w14:textId="77777777" w:rsidR="008B58C0" w:rsidRPr="00C300E6" w:rsidRDefault="008B58C0">
            <w:pPr>
              <w:keepNext/>
              <w:rPr>
                <w:lang w:val="en-CA"/>
              </w:rPr>
            </w:pPr>
          </w:p>
        </w:tc>
        <w:tc>
          <w:tcPr>
            <w:tcW w:w="4680" w:type="dxa"/>
            <w:tcBorders>
              <w:top w:val="nil"/>
              <w:bottom w:val="single" w:sz="8" w:space="0" w:color="auto"/>
            </w:tcBorders>
          </w:tcPr>
          <w:p w14:paraId="0E3A79AE" w14:textId="77777777" w:rsidR="008B58C0" w:rsidRPr="00C300E6" w:rsidRDefault="008B58C0">
            <w:pPr>
              <w:keepNext/>
              <w:rPr>
                <w:lang w:val="en-CA"/>
              </w:rPr>
            </w:pPr>
          </w:p>
        </w:tc>
      </w:tr>
      <w:tr w:rsidR="00BA1ACE" w:rsidRPr="00C300E6" w14:paraId="08FDE726" w14:textId="77777777" w:rsidTr="008B58C0">
        <w:trPr>
          <w:trHeight w:val="283"/>
        </w:trPr>
        <w:tc>
          <w:tcPr>
            <w:tcW w:w="4682" w:type="dxa"/>
            <w:gridSpan w:val="2"/>
            <w:tcBorders>
              <w:top w:val="nil"/>
            </w:tcBorders>
          </w:tcPr>
          <w:p w14:paraId="58D3759E" w14:textId="77777777" w:rsidR="008B58C0" w:rsidRPr="00C300E6" w:rsidRDefault="008B58C0">
            <w:pPr>
              <w:keepNext/>
              <w:rPr>
                <w:lang w:val="en-CA"/>
              </w:rPr>
            </w:pPr>
          </w:p>
        </w:tc>
        <w:tc>
          <w:tcPr>
            <w:tcW w:w="4680" w:type="dxa"/>
            <w:tcBorders>
              <w:top w:val="single" w:sz="8" w:space="0" w:color="auto"/>
            </w:tcBorders>
          </w:tcPr>
          <w:p w14:paraId="435402D8" w14:textId="77777777" w:rsidR="008B58C0" w:rsidRPr="00C300E6" w:rsidRDefault="008B58C0" w:rsidP="00651527">
            <w:pPr>
              <w:keepNext/>
              <w:rPr>
                <w:lang w:val="en-CA"/>
              </w:rPr>
            </w:pPr>
            <w:r w:rsidRPr="00C300E6">
              <w:rPr>
                <w:lang w:val="en-CA"/>
              </w:rPr>
              <w:t>FRÉDÉRIC BACHAND, J.A.</w:t>
            </w:r>
          </w:p>
        </w:tc>
      </w:tr>
      <w:bookmarkEnd w:id="8"/>
      <w:tr w:rsidR="00BA1ACE" w:rsidRPr="00C300E6" w14:paraId="06117E32" w14:textId="77777777" w:rsidTr="008B58C0">
        <w:tc>
          <w:tcPr>
            <w:tcW w:w="9362" w:type="dxa"/>
            <w:gridSpan w:val="3"/>
          </w:tcPr>
          <w:p w14:paraId="0F9945A5" w14:textId="77777777" w:rsidR="008B58C0" w:rsidRPr="00C300E6" w:rsidRDefault="008B58C0" w:rsidP="008B58C0">
            <w:pPr>
              <w:rPr>
                <w:lang w:val="en-CA"/>
              </w:rPr>
            </w:pPr>
          </w:p>
        </w:tc>
      </w:tr>
      <w:tr w:rsidR="00BA1ACE" w:rsidRPr="00C300E6" w14:paraId="21E79037" w14:textId="77777777" w:rsidTr="008B58C0">
        <w:tc>
          <w:tcPr>
            <w:tcW w:w="9362" w:type="dxa"/>
            <w:gridSpan w:val="3"/>
          </w:tcPr>
          <w:p w14:paraId="682300EE" w14:textId="77777777" w:rsidR="008B58C0" w:rsidRPr="00C300E6" w:rsidRDefault="008B58C0" w:rsidP="00651527">
            <w:pPr>
              <w:rPr>
                <w:lang w:val="en-CA"/>
              </w:rPr>
            </w:pPr>
            <w:r w:rsidRPr="00C300E6">
              <w:rPr>
                <w:lang w:val="en-CA"/>
              </w:rPr>
              <w:t>Mtre Lev Alexeev</w:t>
            </w:r>
          </w:p>
        </w:tc>
      </w:tr>
      <w:tr w:rsidR="00BA1ACE" w:rsidRPr="00C300E6" w14:paraId="15770AF3" w14:textId="77777777" w:rsidTr="008B58C0">
        <w:tc>
          <w:tcPr>
            <w:tcW w:w="9362" w:type="dxa"/>
            <w:gridSpan w:val="3"/>
          </w:tcPr>
          <w:p w14:paraId="4B945B15" w14:textId="77777777" w:rsidR="008B58C0" w:rsidRPr="00C300E6" w:rsidRDefault="008B58C0" w:rsidP="00651527">
            <w:pPr>
              <w:rPr>
                <w:lang w:val="en-CA"/>
              </w:rPr>
            </w:pPr>
            <w:r w:rsidRPr="00C300E6">
              <w:rPr>
                <w:lang w:val="en-CA"/>
              </w:rPr>
              <w:t>Mtre Élise Veillette</w:t>
            </w:r>
          </w:p>
        </w:tc>
      </w:tr>
      <w:tr w:rsidR="00BA1ACE" w:rsidRPr="00C300E6" w14:paraId="7A98103A" w14:textId="77777777" w:rsidTr="008B58C0">
        <w:tc>
          <w:tcPr>
            <w:tcW w:w="9362" w:type="dxa"/>
            <w:gridSpan w:val="3"/>
          </w:tcPr>
          <w:p w14:paraId="12EBC959" w14:textId="77777777" w:rsidR="008B58C0" w:rsidRPr="00C300E6" w:rsidRDefault="008B58C0" w:rsidP="008B58C0">
            <w:pPr>
              <w:rPr>
                <w:lang w:val="en-CA"/>
              </w:rPr>
            </w:pPr>
            <w:r w:rsidRPr="00C300E6">
              <w:rPr>
                <w:lang w:val="en-CA"/>
              </w:rPr>
              <w:t>CABINET D’AVOCATS NOVALEX</w:t>
            </w:r>
          </w:p>
        </w:tc>
      </w:tr>
      <w:tr w:rsidR="00BA1ACE" w:rsidRPr="00C300E6" w14:paraId="20D1DC67" w14:textId="77777777" w:rsidTr="00D37141">
        <w:tc>
          <w:tcPr>
            <w:tcW w:w="9362" w:type="dxa"/>
            <w:gridSpan w:val="3"/>
            <w:tcBorders>
              <w:bottom w:val="nil"/>
            </w:tcBorders>
          </w:tcPr>
          <w:p w14:paraId="36B38A6A" w14:textId="77777777" w:rsidR="008B58C0" w:rsidRPr="00C300E6" w:rsidRDefault="00651527" w:rsidP="008B58C0">
            <w:pPr>
              <w:rPr>
                <w:lang w:val="en-CA"/>
              </w:rPr>
            </w:pPr>
            <w:r w:rsidRPr="00C300E6">
              <w:rPr>
                <w:lang w:val="en-CA"/>
              </w:rPr>
              <w:t>Counsel for the appellant</w:t>
            </w:r>
          </w:p>
        </w:tc>
      </w:tr>
      <w:tr w:rsidR="00BA1ACE" w:rsidRPr="00C300E6" w14:paraId="7A041498" w14:textId="77777777" w:rsidTr="008B58C0">
        <w:tc>
          <w:tcPr>
            <w:tcW w:w="9362" w:type="dxa"/>
            <w:gridSpan w:val="3"/>
            <w:tcBorders>
              <w:top w:val="nil"/>
              <w:bottom w:val="nil"/>
            </w:tcBorders>
            <w:shd w:val="clear" w:color="auto" w:fill="auto"/>
          </w:tcPr>
          <w:p w14:paraId="2E01115E" w14:textId="77777777" w:rsidR="008B58C0" w:rsidRPr="00C300E6" w:rsidRDefault="008B58C0" w:rsidP="008B58C0">
            <w:pPr>
              <w:pStyle w:val="zSoquijlblProcureurDem"/>
              <w:rPr>
                <w:lang w:val="en-CA"/>
              </w:rPr>
            </w:pPr>
          </w:p>
        </w:tc>
      </w:tr>
      <w:tr w:rsidR="00BA1ACE" w:rsidRPr="00C300E6" w14:paraId="7F6AC4E9" w14:textId="77777777" w:rsidTr="00D37141">
        <w:tc>
          <w:tcPr>
            <w:tcW w:w="9362" w:type="dxa"/>
            <w:gridSpan w:val="3"/>
            <w:tcBorders>
              <w:top w:val="nil"/>
              <w:bottom w:val="nil"/>
            </w:tcBorders>
            <w:shd w:val="clear" w:color="auto" w:fill="auto"/>
          </w:tcPr>
          <w:p w14:paraId="0996F612" w14:textId="77777777" w:rsidR="008B58C0" w:rsidRPr="00C300E6" w:rsidRDefault="008B58C0" w:rsidP="00D37141">
            <w:pPr>
              <w:pStyle w:val="zSoquijlblProcureurDem"/>
              <w:keepNext/>
              <w:keepLines/>
              <w:rPr>
                <w:lang w:val="en-CA"/>
              </w:rPr>
            </w:pPr>
            <w:r w:rsidRPr="00C300E6">
              <w:rPr>
                <w:lang w:val="en-CA"/>
              </w:rPr>
              <w:lastRenderedPageBreak/>
              <w:t>Mtre Antoine Van Audenrode</w:t>
            </w:r>
          </w:p>
        </w:tc>
      </w:tr>
      <w:tr w:rsidR="00BA1ACE" w:rsidRPr="00C300E6" w14:paraId="31A85EDA" w14:textId="77777777" w:rsidTr="00D37141">
        <w:tc>
          <w:tcPr>
            <w:tcW w:w="9362" w:type="dxa"/>
            <w:gridSpan w:val="3"/>
            <w:tcBorders>
              <w:top w:val="nil"/>
              <w:bottom w:val="nil"/>
            </w:tcBorders>
            <w:shd w:val="clear" w:color="auto" w:fill="auto"/>
          </w:tcPr>
          <w:p w14:paraId="3E111D93" w14:textId="77777777" w:rsidR="008B58C0" w:rsidRPr="00C300E6" w:rsidRDefault="008B58C0" w:rsidP="00D37141">
            <w:pPr>
              <w:pStyle w:val="zSoquijlblProcureurDem"/>
              <w:keepNext/>
              <w:keepLines/>
              <w:rPr>
                <w:lang w:val="en-CA"/>
              </w:rPr>
            </w:pPr>
            <w:r w:rsidRPr="00C300E6">
              <w:rPr>
                <w:lang w:val="en-CA"/>
              </w:rPr>
              <w:t>Mtre Neil Gary Oberman</w:t>
            </w:r>
          </w:p>
        </w:tc>
      </w:tr>
      <w:tr w:rsidR="00BA1ACE" w:rsidRPr="00C300E6" w14:paraId="29F2DE2D" w14:textId="77777777" w:rsidTr="00D37141">
        <w:tc>
          <w:tcPr>
            <w:tcW w:w="9362" w:type="dxa"/>
            <w:gridSpan w:val="3"/>
            <w:tcBorders>
              <w:top w:val="nil"/>
            </w:tcBorders>
          </w:tcPr>
          <w:p w14:paraId="234BB1DB" w14:textId="77777777" w:rsidR="008B58C0" w:rsidRPr="00C300E6" w:rsidRDefault="008B58C0" w:rsidP="00D37141">
            <w:pPr>
              <w:pStyle w:val="zSoquijdatCabinetProcureurDef"/>
              <w:keepLines/>
              <w:rPr>
                <w:lang w:val="en-CA"/>
              </w:rPr>
            </w:pPr>
            <w:r w:rsidRPr="00C300E6">
              <w:rPr>
                <w:lang w:val="en-CA"/>
              </w:rPr>
              <w:t>SPIEGEL, SOHMER</w:t>
            </w:r>
          </w:p>
        </w:tc>
      </w:tr>
      <w:tr w:rsidR="00BA1ACE" w:rsidRPr="00C300E6" w14:paraId="34D21D3B" w14:textId="77777777" w:rsidTr="00D37141">
        <w:tc>
          <w:tcPr>
            <w:tcW w:w="9362" w:type="dxa"/>
            <w:gridSpan w:val="3"/>
            <w:tcBorders>
              <w:top w:val="nil"/>
            </w:tcBorders>
          </w:tcPr>
          <w:p w14:paraId="65421FFD" w14:textId="77777777" w:rsidR="008B58C0" w:rsidRPr="00C300E6" w:rsidRDefault="00651527" w:rsidP="008B58C0">
            <w:pPr>
              <w:pStyle w:val="zSoquijlblProcureurDef"/>
              <w:rPr>
                <w:lang w:val="en-CA"/>
              </w:rPr>
            </w:pPr>
            <w:r w:rsidRPr="00C300E6">
              <w:rPr>
                <w:lang w:val="en-CA"/>
              </w:rPr>
              <w:t>Counsel for the respondent</w:t>
            </w:r>
          </w:p>
        </w:tc>
      </w:tr>
      <w:tr w:rsidR="00BA1ACE" w:rsidRPr="00C300E6" w14:paraId="617BB0D2" w14:textId="77777777" w:rsidTr="00D37141">
        <w:tc>
          <w:tcPr>
            <w:tcW w:w="9362" w:type="dxa"/>
            <w:gridSpan w:val="3"/>
            <w:tcBorders>
              <w:top w:val="nil"/>
            </w:tcBorders>
          </w:tcPr>
          <w:p w14:paraId="7BB81E9F" w14:textId="77777777" w:rsidR="008B58C0" w:rsidRPr="00C300E6" w:rsidRDefault="008B58C0" w:rsidP="008B58C0">
            <w:pPr>
              <w:rPr>
                <w:lang w:val="en-CA"/>
              </w:rPr>
            </w:pPr>
          </w:p>
        </w:tc>
      </w:tr>
      <w:tr w:rsidR="00BA1ACE" w:rsidRPr="00C300E6" w14:paraId="1D5E0694" w14:textId="77777777" w:rsidTr="00651527">
        <w:tc>
          <w:tcPr>
            <w:tcW w:w="1843" w:type="dxa"/>
          </w:tcPr>
          <w:p w14:paraId="613B5A41" w14:textId="77777777" w:rsidR="008B58C0" w:rsidRPr="00C300E6" w:rsidRDefault="00651527" w:rsidP="008B58C0">
            <w:pPr>
              <w:pStyle w:val="zSoquijlblDateAudience"/>
              <w:rPr>
                <w:lang w:val="en-CA"/>
              </w:rPr>
            </w:pPr>
            <w:r w:rsidRPr="00C300E6">
              <w:rPr>
                <w:lang w:val="en-CA"/>
              </w:rPr>
              <w:t>Date of hearing:</w:t>
            </w:r>
          </w:p>
        </w:tc>
        <w:tc>
          <w:tcPr>
            <w:tcW w:w="7519" w:type="dxa"/>
            <w:gridSpan w:val="2"/>
          </w:tcPr>
          <w:p w14:paraId="3D025405" w14:textId="77777777" w:rsidR="008B58C0" w:rsidRPr="00C300E6" w:rsidRDefault="008B58C0" w:rsidP="00651527">
            <w:pPr>
              <w:pStyle w:val="zSoquijdatDateAudience"/>
              <w:rPr>
                <w:lang w:val="en-CA"/>
              </w:rPr>
            </w:pPr>
            <w:r w:rsidRPr="00C300E6">
              <w:rPr>
                <w:lang w:val="en-CA"/>
              </w:rPr>
              <w:t>January</w:t>
            </w:r>
            <w:r w:rsidR="00651527" w:rsidRPr="00C300E6">
              <w:rPr>
                <w:lang w:val="en-CA"/>
              </w:rPr>
              <w:t xml:space="preserve"> 28, </w:t>
            </w:r>
            <w:r w:rsidRPr="00C300E6">
              <w:rPr>
                <w:lang w:val="en-CA"/>
              </w:rPr>
              <w:t>2022</w:t>
            </w:r>
          </w:p>
        </w:tc>
      </w:tr>
      <w:bookmarkEnd w:id="5"/>
    </w:tbl>
    <w:p w14:paraId="3B2F2F89" w14:textId="77777777" w:rsidR="008B58C0" w:rsidRPr="00C300E6" w:rsidRDefault="008B58C0" w:rsidP="008B58C0">
      <w:pPr>
        <w:rPr>
          <w:lang w:val="en-CA"/>
        </w:rPr>
      </w:pPr>
    </w:p>
    <w:p w14:paraId="1C3F7775" w14:textId="77777777" w:rsidR="008B58C0" w:rsidRPr="00C300E6" w:rsidRDefault="008B58C0">
      <w:pPr>
        <w:rPr>
          <w:lang w:val="en-CA"/>
        </w:rPr>
      </w:pPr>
    </w:p>
    <w:sectPr w:rsidR="008B58C0" w:rsidRPr="00C300E6" w:rsidSect="008B58C0">
      <w:headerReference w:type="default" r:id="rId8"/>
      <w:pgSz w:w="12242" w:h="15842" w:code="1"/>
      <w:pgMar w:top="1440" w:right="1008" w:bottom="1440" w:left="1872" w:header="1247" w:footer="79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258DF" w14:textId="77777777" w:rsidR="00607840" w:rsidRDefault="00607840">
      <w:pPr>
        <w:spacing w:line="240" w:lineRule="auto"/>
      </w:pPr>
      <w:r>
        <w:separator/>
      </w:r>
    </w:p>
  </w:endnote>
  <w:endnote w:type="continuationSeparator" w:id="0">
    <w:p w14:paraId="0B8CA0ED" w14:textId="77777777" w:rsidR="00607840" w:rsidRDefault="00607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0EA2B" w14:textId="77777777" w:rsidR="00607840" w:rsidRDefault="00607840">
      <w:r>
        <w:separator/>
      </w:r>
    </w:p>
  </w:footnote>
  <w:footnote w:type="continuationSeparator" w:id="0">
    <w:p w14:paraId="0FE8D0C0" w14:textId="77777777" w:rsidR="00607840" w:rsidRDefault="00607840">
      <w:r>
        <w:continuationSeparator/>
      </w:r>
    </w:p>
  </w:footnote>
  <w:footnote w:id="1">
    <w:p w14:paraId="19A6A559" w14:textId="77777777"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C300E6">
        <w:rPr>
          <w:rFonts w:cs="Arial"/>
          <w:lang w:val="en-CA"/>
        </w:rPr>
        <w:tab/>
      </w:r>
      <w:r w:rsidRPr="00C300E6">
        <w:rPr>
          <w:rFonts w:cs="Arial"/>
          <w:i/>
          <w:lang w:val="en-CA"/>
        </w:rPr>
        <w:t>Ernst &amp; Young c. Ormuco inc.</w:t>
      </w:r>
      <w:r w:rsidRPr="00C300E6">
        <w:rPr>
          <w:rFonts w:cs="Arial"/>
          <w:lang w:val="en-CA"/>
        </w:rPr>
        <w:t>, 2021 QCCS 2543.</w:t>
      </w:r>
    </w:p>
  </w:footnote>
  <w:footnote w:id="2">
    <w:p w14:paraId="29220154" w14:textId="77777777" w:rsidR="00FD6CF4" w:rsidRPr="00AA44D3" w:rsidRDefault="00FD6CF4" w:rsidP="008B58C0">
      <w:pPr>
        <w:pStyle w:val="Notedebasdepage"/>
        <w:ind w:left="284" w:hanging="284"/>
        <w:rPr>
          <w:rFonts w:cs="Arial"/>
        </w:rPr>
      </w:pPr>
      <w:r w:rsidRPr="00C300E6">
        <w:rPr>
          <w:rStyle w:val="Appelnotedebasdep"/>
          <w:rFonts w:cs="Arial"/>
          <w:lang w:val="en-CA"/>
        </w:rPr>
        <w:footnoteRef/>
      </w:r>
      <w:r w:rsidRPr="00AA44D3">
        <w:rPr>
          <w:rFonts w:cs="Arial"/>
        </w:rPr>
        <w:tab/>
      </w:r>
      <w:r w:rsidRPr="00AA44D3">
        <w:rPr>
          <w:rFonts w:cs="Arial"/>
          <w:i/>
        </w:rPr>
        <w:t>GreCon Dimter inc. v. J.R. Normand inc.</w:t>
      </w:r>
      <w:r w:rsidRPr="00AA44D3">
        <w:rPr>
          <w:rFonts w:cs="Arial"/>
        </w:rPr>
        <w:t xml:space="preserve">, 2005 SCC 46 at para. 20 </w:t>
      </w:r>
      <w:r w:rsidRPr="00AA44D3">
        <w:rPr>
          <w:rFonts w:cs="Arial"/>
          <w:i/>
        </w:rPr>
        <w:t>et seq</w:t>
      </w:r>
      <w:r w:rsidRPr="00AA44D3">
        <w:rPr>
          <w:rFonts w:cs="Arial"/>
        </w:rPr>
        <w:t>.</w:t>
      </w:r>
    </w:p>
  </w:footnote>
  <w:footnote w:id="3">
    <w:p w14:paraId="1899BD9F" w14:textId="77777777"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C300E6">
        <w:rPr>
          <w:rFonts w:cs="Arial"/>
          <w:lang w:val="en-CA"/>
        </w:rPr>
        <w:tab/>
        <w:t>See article 491 C.C.P.</w:t>
      </w:r>
    </w:p>
  </w:footnote>
  <w:footnote w:id="4">
    <w:p w14:paraId="5D0C48E3" w14:textId="77777777"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C300E6">
        <w:rPr>
          <w:rFonts w:cs="Arial"/>
          <w:lang w:val="en-CA"/>
        </w:rPr>
        <w:tab/>
        <w:t xml:space="preserve">See e.g., section 28 of the </w:t>
      </w:r>
      <w:r w:rsidRPr="00C300E6">
        <w:rPr>
          <w:rFonts w:cs="Arial"/>
          <w:i/>
          <w:lang w:val="en-CA"/>
        </w:rPr>
        <w:t>Act respecting the Administrative Housing Tribunal</w:t>
      </w:r>
      <w:r w:rsidRPr="00C300E6">
        <w:rPr>
          <w:rFonts w:cs="Arial"/>
          <w:lang w:val="en-CA"/>
        </w:rPr>
        <w:t>, CQLR, c. T-15.01.</w:t>
      </w:r>
    </w:p>
  </w:footnote>
  <w:footnote w:id="5">
    <w:p w14:paraId="3B551B49" w14:textId="77777777" w:rsidR="00FD6CF4" w:rsidRPr="00AA44D3" w:rsidRDefault="00FD6CF4" w:rsidP="008B58C0">
      <w:pPr>
        <w:pStyle w:val="Notedebasdepage"/>
        <w:ind w:left="284" w:hanging="284"/>
        <w:rPr>
          <w:rFonts w:cs="Arial"/>
        </w:rPr>
      </w:pPr>
      <w:r w:rsidRPr="00C300E6">
        <w:rPr>
          <w:rStyle w:val="Appelnotedebasdep"/>
          <w:rFonts w:cs="Arial"/>
          <w:lang w:val="en-CA"/>
        </w:rPr>
        <w:footnoteRef/>
      </w:r>
      <w:r w:rsidRPr="00AA44D3">
        <w:rPr>
          <w:rFonts w:cs="Arial"/>
        </w:rPr>
        <w:tab/>
        <w:t xml:space="preserve">Sylvette Guillemard, “Les problèmes de qualification de la compétence internationale des tribunaux québécois : la solution réside dans l’alliance du </w:t>
      </w:r>
      <w:r w:rsidRPr="00AA44D3">
        <w:rPr>
          <w:rFonts w:cs="Arial"/>
          <w:i/>
        </w:rPr>
        <w:t>Code de procédure civile</w:t>
      </w:r>
      <w:r w:rsidRPr="00AA44D3">
        <w:rPr>
          <w:rFonts w:cs="Arial"/>
        </w:rPr>
        <w:t xml:space="preserve"> et du </w:t>
      </w:r>
      <w:r w:rsidRPr="00AA44D3">
        <w:rPr>
          <w:rFonts w:cs="Arial"/>
          <w:i/>
        </w:rPr>
        <w:t>Code civil du Québec</w:t>
      </w:r>
      <w:r w:rsidRPr="00AA44D3">
        <w:rPr>
          <w:rFonts w:cs="Arial"/>
        </w:rPr>
        <w:t xml:space="preserve">” (2019) 60 </w:t>
      </w:r>
      <w:r w:rsidRPr="00F371E3">
        <w:rPr>
          <w:rFonts w:cs="Arial"/>
        </w:rPr>
        <w:t>C. de D.</w:t>
      </w:r>
      <w:r w:rsidRPr="00AA44D3">
        <w:rPr>
          <w:rFonts w:cs="Arial"/>
        </w:rPr>
        <w:t xml:space="preserve"> 219 at 227.</w:t>
      </w:r>
    </w:p>
  </w:footnote>
  <w:footnote w:id="6">
    <w:p w14:paraId="4B048BCC" w14:textId="70332914" w:rsidR="00FD6CF4" w:rsidRPr="00AA44D3" w:rsidRDefault="00FD6CF4" w:rsidP="008B58C0">
      <w:pPr>
        <w:pStyle w:val="Notedebasdepage"/>
        <w:ind w:left="284" w:hanging="284"/>
        <w:rPr>
          <w:rFonts w:cs="Arial"/>
          <w:i/>
        </w:rPr>
      </w:pPr>
      <w:r w:rsidRPr="00C300E6">
        <w:rPr>
          <w:rStyle w:val="Appelnotedebasdep"/>
          <w:rFonts w:cs="Arial"/>
          <w:lang w:val="en-CA"/>
        </w:rPr>
        <w:footnoteRef/>
      </w:r>
      <w:r w:rsidRPr="00AA44D3">
        <w:rPr>
          <w:rFonts w:cs="Arial"/>
        </w:rPr>
        <w:tab/>
        <w:t>Article 167, para. 2 C.C.P</w:t>
      </w:r>
      <w:r w:rsidRPr="00AA44D3">
        <w:rPr>
          <w:rFonts w:cs="Arial"/>
          <w:i/>
        </w:rPr>
        <w:t>.</w:t>
      </w:r>
    </w:p>
  </w:footnote>
  <w:footnote w:id="7">
    <w:p w14:paraId="0873E781" w14:textId="7D974DDE"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C300E6">
        <w:rPr>
          <w:rFonts w:cs="Arial"/>
          <w:lang w:val="en-CA"/>
        </w:rPr>
        <w:tab/>
        <w:t>[</w:t>
      </w:r>
      <w:r w:rsidRPr="00C300E6">
        <w:rPr>
          <w:rFonts w:cs="Arial"/>
          <w:smallCaps/>
          <w:lang w:val="en-CA"/>
        </w:rPr>
        <w:t>translation</w:t>
      </w:r>
      <w:r w:rsidRPr="00C300E6">
        <w:rPr>
          <w:rFonts w:cs="Arial"/>
          <w:lang w:val="en-CA"/>
        </w:rPr>
        <w:t>] “First and foremost” because the wording of some clauses may raise questions as to their potential impact on other types of adjudicative jurisdiction (e.g., [</w:t>
      </w:r>
      <w:r w:rsidRPr="00C300E6">
        <w:rPr>
          <w:rFonts w:cs="Arial"/>
          <w:smallCaps/>
          <w:lang w:val="en-CA"/>
        </w:rPr>
        <w:t>translation</w:t>
      </w:r>
      <w:r w:rsidRPr="00C300E6">
        <w:rPr>
          <w:rFonts w:cs="Arial"/>
          <w:lang w:val="en-CA"/>
        </w:rPr>
        <w:t xml:space="preserve">] “disputes arising from or related to this contract fall under the exclusive jurisdiction of the Tribunal de grande instance de Paris”). That is not the </w:t>
      </w:r>
      <w:r>
        <w:rPr>
          <w:rFonts w:cs="Arial"/>
          <w:lang w:val="en-CA"/>
        </w:rPr>
        <w:t>situation</w:t>
      </w:r>
      <w:r w:rsidRPr="00C300E6">
        <w:rPr>
          <w:rFonts w:cs="Arial"/>
          <w:lang w:val="en-CA"/>
        </w:rPr>
        <w:t xml:space="preserve"> for the clauses at issue in this case, which refer only to the Ontario courts.</w:t>
      </w:r>
    </w:p>
  </w:footnote>
  <w:footnote w:id="8">
    <w:p w14:paraId="618503E5" w14:textId="77777777" w:rsidR="00FD6CF4" w:rsidRPr="00AA44D3" w:rsidRDefault="00FD6CF4" w:rsidP="008B58C0">
      <w:pPr>
        <w:pStyle w:val="Notedebasdepage"/>
        <w:ind w:left="284" w:hanging="284"/>
        <w:rPr>
          <w:rFonts w:cs="Arial"/>
        </w:rPr>
      </w:pPr>
      <w:r w:rsidRPr="00C300E6">
        <w:rPr>
          <w:rStyle w:val="Appelnotedebasdep"/>
          <w:rFonts w:cs="Arial"/>
          <w:lang w:val="en-CA"/>
        </w:rPr>
        <w:footnoteRef/>
      </w:r>
      <w:r w:rsidRPr="00AA44D3">
        <w:rPr>
          <w:rFonts w:cs="Arial"/>
        </w:rPr>
        <w:tab/>
        <w:t xml:space="preserve">See e.g., </w:t>
      </w:r>
      <w:r w:rsidRPr="00AA44D3">
        <w:rPr>
          <w:rFonts w:cs="Arial"/>
          <w:i/>
        </w:rPr>
        <w:t>Importations Cimel Ltée c. Pier Augé Produits de Beauté</w:t>
      </w:r>
      <w:r w:rsidRPr="00AA44D3">
        <w:rPr>
          <w:rFonts w:cs="Arial"/>
        </w:rPr>
        <w:t>, J.E. 87-1187, 1987 CanLII 1165 (C.A.) at para. 22.</w:t>
      </w:r>
    </w:p>
  </w:footnote>
  <w:footnote w:id="9">
    <w:p w14:paraId="46F365B2" w14:textId="0C124AA8" w:rsidR="00FD6CF4" w:rsidRPr="00AA44D3" w:rsidRDefault="00FD6CF4" w:rsidP="008B58C0">
      <w:pPr>
        <w:pStyle w:val="Notedebasdepage"/>
        <w:ind w:left="284" w:hanging="284"/>
        <w:rPr>
          <w:rFonts w:cs="Arial"/>
        </w:rPr>
      </w:pPr>
      <w:r w:rsidRPr="00C300E6">
        <w:rPr>
          <w:rStyle w:val="Appelnotedebasdep"/>
          <w:rFonts w:cs="Arial"/>
          <w:lang w:val="en-CA"/>
        </w:rPr>
        <w:footnoteRef/>
      </w:r>
      <w:r w:rsidRPr="00AA44D3">
        <w:rPr>
          <w:rFonts w:cs="Arial"/>
        </w:rPr>
        <w:tab/>
        <w:t xml:space="preserve">H. Patrick Glenn, “Droit international privé” in Barreau du Québec et Chambre des notaires du Québec, </w:t>
      </w:r>
      <w:r w:rsidRPr="00AA44D3">
        <w:rPr>
          <w:rFonts w:cs="Arial"/>
          <w:i/>
        </w:rPr>
        <w:t>La réforme du Code civil, t. 3, Priorités et hypothèques, preuve et prescription, publicité des droits, droit international privé, dispositions transitoires</w:t>
      </w:r>
      <w:r w:rsidRPr="00AA44D3">
        <w:rPr>
          <w:rFonts w:cs="Arial"/>
        </w:rPr>
        <w:t xml:space="preserve"> (Sainte-Foy, Qc.: Presses de l’Université Laval, 1993) 669 at 743 (No. 71). </w:t>
      </w:r>
      <w:r w:rsidRPr="009851B5">
        <w:rPr>
          <w:rFonts w:cs="Arial"/>
        </w:rPr>
        <w:t xml:space="preserve">On the specific nature of international jurisdiction, see also Gérald Goldstein &amp; Ethel Groffier, </w:t>
      </w:r>
      <w:r w:rsidRPr="009851B5">
        <w:rPr>
          <w:rFonts w:cs="Arial"/>
          <w:i/>
        </w:rPr>
        <w:t>Droit international privé, t. I</w:t>
      </w:r>
      <w:r w:rsidRPr="00AA44D3">
        <w:rPr>
          <w:rFonts w:cs="Arial"/>
          <w:i/>
        </w:rPr>
        <w:t xml:space="preserve">, Théorie générale </w:t>
      </w:r>
      <w:r w:rsidRPr="00AA44D3">
        <w:rPr>
          <w:rFonts w:cs="Arial"/>
        </w:rPr>
        <w:t xml:space="preserve">(Cowansville, Qc.: Yvon Blais, 1998) at 299–301 (No. 126); </w:t>
      </w:r>
      <w:r w:rsidRPr="00AA44D3">
        <w:rPr>
          <w:rFonts w:cs="Arial"/>
          <w:i/>
        </w:rPr>
        <w:t>Shamji c. Tajdin</w:t>
      </w:r>
      <w:r w:rsidRPr="00AA44D3">
        <w:rPr>
          <w:rFonts w:cs="Arial"/>
        </w:rPr>
        <w:t xml:space="preserve">, 2006 QCCA 314 at para. 20; </w:t>
      </w:r>
      <w:r w:rsidRPr="00AA44D3">
        <w:rPr>
          <w:rFonts w:cs="Arial"/>
          <w:i/>
        </w:rPr>
        <w:t>Droit de la famille — 211290</w:t>
      </w:r>
      <w:r w:rsidRPr="00AA44D3">
        <w:rPr>
          <w:rFonts w:cs="Arial"/>
        </w:rPr>
        <w:t>, 2021 QCCA 1123 at para. 33.</w:t>
      </w:r>
    </w:p>
  </w:footnote>
  <w:footnote w:id="10">
    <w:p w14:paraId="02914106" w14:textId="77777777" w:rsidR="00FD6CF4" w:rsidRPr="00AA44D3" w:rsidRDefault="00FD6CF4" w:rsidP="008B58C0">
      <w:pPr>
        <w:pStyle w:val="Notedebasdepage"/>
        <w:ind w:left="284" w:hanging="284"/>
        <w:rPr>
          <w:rFonts w:cs="Arial"/>
        </w:rPr>
      </w:pPr>
      <w:r w:rsidRPr="00C300E6">
        <w:rPr>
          <w:rStyle w:val="Appelnotedebasdep"/>
          <w:rFonts w:cs="Arial"/>
          <w:lang w:val="en-CA"/>
        </w:rPr>
        <w:footnoteRef/>
      </w:r>
      <w:r w:rsidRPr="00AA44D3">
        <w:rPr>
          <w:rFonts w:cs="Arial"/>
        </w:rPr>
        <w:tab/>
        <w:t xml:space="preserve">See e.g., </w:t>
      </w:r>
      <w:r w:rsidRPr="00AA44D3">
        <w:rPr>
          <w:rFonts w:cs="Arial"/>
          <w:i/>
        </w:rPr>
        <w:t>171486 Canada Inc. c. Rogers Cantel Inc.</w:t>
      </w:r>
      <w:r w:rsidRPr="00AA44D3">
        <w:rPr>
          <w:rFonts w:cs="Arial"/>
        </w:rPr>
        <w:t xml:space="preserve">, [1995] R.D.J. 91, 1994 CanLII 3644 (QC CS.); </w:t>
      </w:r>
      <w:r w:rsidRPr="00AA44D3">
        <w:rPr>
          <w:rFonts w:cs="Arial"/>
          <w:i/>
        </w:rPr>
        <w:t>Sony Music Canada Inc. c. Kardiak Productions Inc.</w:t>
      </w:r>
      <w:r w:rsidRPr="00AA44D3">
        <w:rPr>
          <w:rFonts w:cs="Arial"/>
        </w:rPr>
        <w:t xml:space="preserve">, J.E. 97-1395, 1997 CanLII 10719 (QC CA.); </w:t>
      </w:r>
      <w:r w:rsidRPr="00AA44D3">
        <w:rPr>
          <w:rFonts w:cs="Arial"/>
          <w:i/>
        </w:rPr>
        <w:t>Forest Fibers Inc. c. CSAV Norasia Container Lines Ltd.</w:t>
      </w:r>
      <w:r w:rsidRPr="00AA44D3">
        <w:rPr>
          <w:rFonts w:cs="Arial"/>
        </w:rPr>
        <w:t>, 2007 QCCS 4794.</w:t>
      </w:r>
    </w:p>
  </w:footnote>
  <w:footnote w:id="11">
    <w:p w14:paraId="1978311D" w14:textId="54210B5B"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C300E6">
        <w:rPr>
          <w:rFonts w:cs="Arial"/>
          <w:lang w:val="en-CA"/>
        </w:rPr>
        <w:tab/>
        <w:t xml:space="preserve">See e.g., </w:t>
      </w:r>
      <w:r w:rsidRPr="00C300E6">
        <w:rPr>
          <w:rFonts w:cs="Arial"/>
          <w:i/>
          <w:lang w:val="en-CA"/>
        </w:rPr>
        <w:t>Shamji c. Tajdin</w:t>
      </w:r>
      <w:r w:rsidRPr="00C300E6">
        <w:rPr>
          <w:rFonts w:cs="Arial"/>
          <w:lang w:val="en-CA"/>
        </w:rPr>
        <w:t>, 2006 QCCA 314, in which, after noting the presence in the file of a forum selection clause exclusively designating the Congolese courts, the Court found that the defendant’s declinatory exception was related to the international jurisdiction — not the territorial jurisdiction — of the Quebec authorities.</w:t>
      </w:r>
    </w:p>
  </w:footnote>
  <w:footnote w:id="12">
    <w:p w14:paraId="3300E647" w14:textId="4BA9AB13"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AA44D3">
        <w:rPr>
          <w:rFonts w:cs="Arial"/>
        </w:rPr>
        <w:tab/>
        <w:t xml:space="preserve">See especially Sylvette Guillemard, “Les problèmes de qualification de la compétence internationale des tribunaux québécois : la solution réside dans l’alliance du </w:t>
      </w:r>
      <w:r w:rsidRPr="00AA44D3">
        <w:rPr>
          <w:rFonts w:cs="Arial"/>
          <w:i/>
        </w:rPr>
        <w:t>Code de procédure civile</w:t>
      </w:r>
      <w:r w:rsidRPr="00AA44D3">
        <w:rPr>
          <w:rFonts w:cs="Arial"/>
        </w:rPr>
        <w:t xml:space="preserve"> et du </w:t>
      </w:r>
      <w:r w:rsidRPr="00AA44D3">
        <w:rPr>
          <w:rFonts w:cs="Arial"/>
          <w:i/>
        </w:rPr>
        <w:t>Code civil du Québec</w:t>
      </w:r>
      <w:r w:rsidRPr="00AA44D3">
        <w:rPr>
          <w:rFonts w:cs="Arial"/>
        </w:rPr>
        <w:t xml:space="preserve">” (2019) 60 </w:t>
      </w:r>
      <w:r w:rsidRPr="00F371E3">
        <w:rPr>
          <w:rFonts w:cs="Arial"/>
        </w:rPr>
        <w:t>C. de D.</w:t>
      </w:r>
      <w:r w:rsidRPr="00AA44D3">
        <w:rPr>
          <w:rFonts w:cs="Arial"/>
        </w:rPr>
        <w:t xml:space="preserve"> 219. </w:t>
      </w:r>
      <w:r w:rsidRPr="00C300E6">
        <w:rPr>
          <w:rFonts w:cs="Arial"/>
          <w:lang w:val="en-CA"/>
        </w:rPr>
        <w:t xml:space="preserve">See also Gérald Goldstein &amp; Ethel Groffier, </w:t>
      </w:r>
      <w:r w:rsidRPr="00C300E6">
        <w:rPr>
          <w:rFonts w:cs="Arial"/>
          <w:i/>
          <w:lang w:val="en-CA"/>
        </w:rPr>
        <w:t>Droit international privé</w:t>
      </w:r>
      <w:r w:rsidRPr="00C300E6">
        <w:rPr>
          <w:rFonts w:cs="Arial"/>
          <w:lang w:val="en-CA"/>
        </w:rPr>
        <w:t xml:space="preserve">, </w:t>
      </w:r>
      <w:r w:rsidRPr="00C300E6">
        <w:rPr>
          <w:rFonts w:cs="Arial"/>
          <w:i/>
          <w:lang w:val="en-CA"/>
        </w:rPr>
        <w:t>t. I, Théorie générale</w:t>
      </w:r>
      <w:r w:rsidRPr="00C300E6">
        <w:rPr>
          <w:rFonts w:cs="Arial"/>
          <w:lang w:val="en-CA"/>
        </w:rPr>
        <w:t xml:space="preserve"> (Cowansville, Qc.: Yvon Blais, 1998) at 300 (No. 126); Geneviève Saumier &amp; Jeffrey Bagg, “Forum Selection Clauses Before Canadian Courts: A Tale of Two (or Three?) Solitudes” (2013) 46 </w:t>
      </w:r>
      <w:r w:rsidRPr="00F371E3">
        <w:rPr>
          <w:rFonts w:cs="Arial"/>
          <w:lang w:val="en-CA"/>
        </w:rPr>
        <w:t>U.B.C. L. Rev.</w:t>
      </w:r>
      <w:r w:rsidRPr="00C300E6">
        <w:rPr>
          <w:rFonts w:cs="Arial"/>
          <w:i/>
          <w:lang w:val="en-CA"/>
        </w:rPr>
        <w:t xml:space="preserve"> </w:t>
      </w:r>
      <w:r w:rsidRPr="00C300E6">
        <w:rPr>
          <w:lang w:val="en-CA"/>
        </w:rPr>
        <w:t>439 at 451 and 453, rejecting the position that forum selection clauses affect subject-matter jurisdiction.</w:t>
      </w:r>
    </w:p>
  </w:footnote>
  <w:footnote w:id="13">
    <w:p w14:paraId="448EF9E0" w14:textId="77777777"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C300E6">
        <w:rPr>
          <w:rFonts w:cs="Arial"/>
          <w:lang w:val="en-CA"/>
        </w:rPr>
        <w:tab/>
      </w:r>
      <w:r w:rsidRPr="00C300E6">
        <w:rPr>
          <w:rFonts w:cs="Arial"/>
          <w:i/>
          <w:lang w:val="en-CA"/>
        </w:rPr>
        <w:t>GreCon Dimter inc. v. J.R. Normand inc.</w:t>
      </w:r>
      <w:r w:rsidRPr="00C300E6">
        <w:rPr>
          <w:lang w:val="en-CA"/>
        </w:rPr>
        <w:t>, 2005 SCC 46.</w:t>
      </w:r>
    </w:p>
  </w:footnote>
  <w:footnote w:id="14">
    <w:p w14:paraId="3C14D62D" w14:textId="77777777"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C300E6">
        <w:rPr>
          <w:rFonts w:cs="Arial"/>
          <w:lang w:val="en-CA"/>
        </w:rPr>
        <w:tab/>
      </w:r>
      <w:r w:rsidRPr="00C300E6">
        <w:rPr>
          <w:rFonts w:cs="Arial"/>
          <w:i/>
          <w:lang w:val="en-CA"/>
        </w:rPr>
        <w:t xml:space="preserve">Ibid. </w:t>
      </w:r>
      <w:r w:rsidRPr="00C300E6">
        <w:rPr>
          <w:rFonts w:cs="Arial"/>
          <w:lang w:val="en-CA"/>
        </w:rPr>
        <w:t>at</w:t>
      </w:r>
      <w:r w:rsidRPr="00C300E6">
        <w:rPr>
          <w:lang w:val="en-CA"/>
        </w:rPr>
        <w:t xml:space="preserve"> para. 22. See also </w:t>
      </w:r>
      <w:r w:rsidRPr="00C300E6">
        <w:rPr>
          <w:i/>
          <w:lang w:val="en-CA"/>
        </w:rPr>
        <w:t>Douez v. Facebook, Inc.</w:t>
      </w:r>
      <w:r w:rsidRPr="00C300E6">
        <w:rPr>
          <w:lang w:val="en-CA"/>
        </w:rPr>
        <w:t>, 2017 SCC 33 at para. 31.</w:t>
      </w:r>
    </w:p>
  </w:footnote>
  <w:footnote w:id="15">
    <w:p w14:paraId="066940FC" w14:textId="680D3B57" w:rsidR="00FD6CF4" w:rsidRPr="00AA44D3" w:rsidRDefault="00FD6CF4" w:rsidP="008B58C0">
      <w:pPr>
        <w:pStyle w:val="Notedebasdepage"/>
        <w:ind w:left="284" w:hanging="284"/>
        <w:rPr>
          <w:rFonts w:cs="Arial"/>
        </w:rPr>
      </w:pPr>
      <w:r w:rsidRPr="00C300E6">
        <w:rPr>
          <w:rStyle w:val="Appelnotedebasdep"/>
          <w:rFonts w:cs="Arial"/>
          <w:lang w:val="en-CA"/>
        </w:rPr>
        <w:footnoteRef/>
      </w:r>
      <w:r w:rsidRPr="00C300E6">
        <w:rPr>
          <w:lang w:val="en-CA"/>
        </w:rPr>
        <w:tab/>
        <w:t xml:space="preserve">See e.g., </w:t>
      </w:r>
      <w:r w:rsidRPr="00C300E6">
        <w:rPr>
          <w:i/>
          <w:lang w:val="en-CA"/>
        </w:rPr>
        <w:t>Desputeaux v. Éditions Chouette (1987) inc.</w:t>
      </w:r>
      <w:r w:rsidRPr="00C300E6">
        <w:rPr>
          <w:lang w:val="en-CA"/>
        </w:rPr>
        <w:t xml:space="preserve">, 2003 SCC 17 at para. 38, with respect to the “trend in the case law and legislation, which has been, for several decades, to accept and even encourage the use of civil and commercial arbitration, particularly in modern western legal systems, both common law and civil law”. </w:t>
      </w:r>
      <w:r w:rsidRPr="00AA44D3">
        <w:t xml:space="preserve">On the legislative evolution in Quebec, see in particular John E.C. Brierley, “Une nouvelle loi pour le Québec en matière d’arbitrage” (1987) 47 </w:t>
      </w:r>
      <w:r w:rsidRPr="00F371E3">
        <w:t>R. du B.</w:t>
      </w:r>
      <w:r w:rsidRPr="00AA44D3">
        <w:t xml:space="preserve"> 259; Alain Prujiner, “Les nouvelles règles de l’arbitrage au Québec” [1987] </w:t>
      </w:r>
      <w:r w:rsidRPr="00F371E3">
        <w:t>Rev. arb.</w:t>
      </w:r>
      <w:r w:rsidRPr="00AA44D3">
        <w:rPr>
          <w:i/>
        </w:rPr>
        <w:t xml:space="preserve"> </w:t>
      </w:r>
      <w:r w:rsidRPr="00AA44D3">
        <w:t>425.</w:t>
      </w:r>
    </w:p>
  </w:footnote>
  <w:footnote w:id="16">
    <w:p w14:paraId="0EEEC5B6" w14:textId="77777777"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C300E6">
        <w:rPr>
          <w:rFonts w:cs="Arial"/>
          <w:lang w:val="en-CA"/>
        </w:rPr>
        <w:tab/>
      </w:r>
      <w:r w:rsidRPr="00C300E6">
        <w:rPr>
          <w:rFonts w:cs="Arial"/>
          <w:i/>
          <w:lang w:val="en-CA"/>
        </w:rPr>
        <w:t>Hydro-Québec v. Matta</w:t>
      </w:r>
      <w:r w:rsidRPr="00C300E6">
        <w:rPr>
          <w:lang w:val="en-CA"/>
        </w:rPr>
        <w:t>, 2020 SCC 37 at para. 33.</w:t>
      </w:r>
    </w:p>
  </w:footnote>
  <w:footnote w:id="17">
    <w:p w14:paraId="79239980" w14:textId="5BCE4B53" w:rsidR="00FD6CF4" w:rsidRPr="00C300E6" w:rsidRDefault="00FD6CF4" w:rsidP="008B58C0">
      <w:pPr>
        <w:pStyle w:val="Notedebasdepage"/>
        <w:ind w:left="284" w:hanging="284"/>
        <w:rPr>
          <w:rFonts w:cs="Arial"/>
          <w:lang w:val="en-CA"/>
        </w:rPr>
      </w:pPr>
      <w:r w:rsidRPr="00C300E6">
        <w:rPr>
          <w:rStyle w:val="Appelnotedebasdep"/>
          <w:rFonts w:cs="Arial"/>
          <w:lang w:val="en-CA"/>
        </w:rPr>
        <w:footnoteRef/>
      </w:r>
      <w:r w:rsidRPr="00C300E6">
        <w:rPr>
          <w:rFonts w:cs="Arial"/>
          <w:lang w:val="en-CA"/>
        </w:rPr>
        <w:tab/>
        <w:t xml:space="preserve">See </w:t>
      </w:r>
      <w:r w:rsidRPr="00C300E6">
        <w:rPr>
          <w:rFonts w:cs="Arial"/>
          <w:i/>
          <w:lang w:val="en-CA"/>
        </w:rPr>
        <w:t>Barer v. Knight Brothers LLC</w:t>
      </w:r>
      <w:r w:rsidRPr="00C300E6">
        <w:rPr>
          <w:lang w:val="en-CA"/>
        </w:rPr>
        <w:t xml:space="preserve">, 2019 SCC 13 at para. 52, where the Supreme Court emphasized the fact that only clear submission to the international jurisdiction of the Quebec authorities meets the requirements of article 3148 </w:t>
      </w:r>
      <w:r w:rsidRPr="00C300E6">
        <w:rPr>
          <w:i/>
          <w:lang w:val="en-CA"/>
        </w:rPr>
        <w:t xml:space="preserve">in fine </w:t>
      </w:r>
      <w:r w:rsidRPr="00C300E6">
        <w:rPr>
          <w:lang w:val="en-CA"/>
        </w:rPr>
        <w:t>C.C.Q</w:t>
      </w:r>
      <w:r w:rsidRPr="00C300E6">
        <w:rPr>
          <w:i/>
          <w:lang w:val="en-CA"/>
        </w:rPr>
        <w:t>.</w:t>
      </w:r>
      <w:r w:rsidRPr="00C300E6">
        <w:rPr>
          <w:lang w:val="en-CA"/>
        </w:rPr>
        <w:t xml:space="preserve"> See also </w:t>
      </w:r>
      <w:r w:rsidRPr="00C300E6">
        <w:rPr>
          <w:i/>
          <w:lang w:val="en-CA"/>
        </w:rPr>
        <w:t>Groupe SNC-Lavalin inc. c. Siegrist</w:t>
      </w:r>
      <w:r w:rsidRPr="00C300E6">
        <w:rPr>
          <w:lang w:val="en-CA"/>
        </w:rPr>
        <w:t xml:space="preserve">, 2020 QCCA 1004 at para. 113; </w:t>
      </w:r>
      <w:r w:rsidRPr="00C300E6">
        <w:rPr>
          <w:i/>
          <w:lang w:val="en-CA"/>
        </w:rPr>
        <w:t>Chandler c. Volkswagen Aktiengesellschaft</w:t>
      </w:r>
      <w:r w:rsidRPr="00C300E6">
        <w:rPr>
          <w:lang w:val="en-CA"/>
        </w:rPr>
        <w:t>, 2022 QCCA 272 at para.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8DB7" w14:textId="2633D160" w:rsidR="00FD6CF4" w:rsidRDefault="00FD6CF4" w:rsidP="008B58C0">
    <w:pPr>
      <w:tabs>
        <w:tab w:val="center" w:pos="4709"/>
        <w:tab w:val="right" w:pos="9360"/>
      </w:tabs>
      <w:spacing w:line="360" w:lineRule="auto"/>
      <w:ind w:right="524"/>
    </w:pPr>
    <w:bookmarkStart w:id="9" w:name="EntDossier"/>
    <w:r>
      <w:t>500-09-029625-217</w:t>
    </w:r>
    <w:bookmarkEnd w:id="9"/>
    <w:r>
      <w:t xml:space="preserve"> </w:t>
    </w:r>
    <w:r>
      <w:tab/>
    </w:r>
    <w:r>
      <w:tab/>
    </w:r>
    <w:r w:rsidRPr="00C300E6">
      <w:t>PAGE:</w:t>
    </w:r>
    <w:r>
      <w:t xml:space="preserve"> </w:t>
    </w:r>
    <w:r>
      <w:fldChar w:fldCharType="begin"/>
    </w:r>
    <w:r>
      <w:instrText xml:space="preserve"> PAGE </w:instrText>
    </w:r>
    <w:r>
      <w:fldChar w:fldCharType="separate"/>
    </w:r>
    <w:r w:rsidR="00D37141">
      <w:rPr>
        <w:noProof/>
      </w:rPr>
      <w:t>11</w:t>
    </w:r>
    <w:r>
      <w:fldChar w:fldCharType="end"/>
    </w:r>
  </w:p>
  <w:p w14:paraId="653A7859" w14:textId="77777777" w:rsidR="00FD6CF4" w:rsidRDefault="00FD6CF4" w:rsidP="008B58C0">
    <w:pPr>
      <w:tabs>
        <w:tab w:val="center" w:pos="4709"/>
        <w:tab w:val="right" w:pos="9360"/>
      </w:tabs>
      <w:spacing w:line="360" w:lineRule="auto"/>
      <w:ind w:right="5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64167BB"/>
    <w:multiLevelType w:val="hybridMultilevel"/>
    <w:tmpl w:val="3E64E0B8"/>
    <w:lvl w:ilvl="0" w:tplc="C90673A8">
      <w:start w:val="1"/>
      <w:numFmt w:val="upperLetter"/>
      <w:lvlText w:val="%1."/>
      <w:lvlJc w:val="left"/>
      <w:pPr>
        <w:ind w:left="720" w:hanging="360"/>
      </w:pPr>
      <w:rPr>
        <w:rFonts w:hint="default"/>
      </w:rPr>
    </w:lvl>
    <w:lvl w:ilvl="1" w:tplc="678A7C40" w:tentative="1">
      <w:start w:val="1"/>
      <w:numFmt w:val="lowerLetter"/>
      <w:lvlText w:val="%2."/>
      <w:lvlJc w:val="left"/>
      <w:pPr>
        <w:ind w:left="1440" w:hanging="360"/>
      </w:pPr>
    </w:lvl>
    <w:lvl w:ilvl="2" w:tplc="31BA046A" w:tentative="1">
      <w:start w:val="1"/>
      <w:numFmt w:val="lowerRoman"/>
      <w:lvlText w:val="%3."/>
      <w:lvlJc w:val="right"/>
      <w:pPr>
        <w:ind w:left="2160" w:hanging="180"/>
      </w:pPr>
    </w:lvl>
    <w:lvl w:ilvl="3" w:tplc="8E20D1A4" w:tentative="1">
      <w:start w:val="1"/>
      <w:numFmt w:val="decimal"/>
      <w:lvlText w:val="%4."/>
      <w:lvlJc w:val="left"/>
      <w:pPr>
        <w:ind w:left="2880" w:hanging="360"/>
      </w:pPr>
    </w:lvl>
    <w:lvl w:ilvl="4" w:tplc="F7426A6A" w:tentative="1">
      <w:start w:val="1"/>
      <w:numFmt w:val="lowerLetter"/>
      <w:lvlText w:val="%5."/>
      <w:lvlJc w:val="left"/>
      <w:pPr>
        <w:ind w:left="3600" w:hanging="360"/>
      </w:pPr>
    </w:lvl>
    <w:lvl w:ilvl="5" w:tplc="E1A86C02" w:tentative="1">
      <w:start w:val="1"/>
      <w:numFmt w:val="lowerRoman"/>
      <w:lvlText w:val="%6."/>
      <w:lvlJc w:val="right"/>
      <w:pPr>
        <w:ind w:left="4320" w:hanging="180"/>
      </w:pPr>
    </w:lvl>
    <w:lvl w:ilvl="6" w:tplc="1B3C3FBE" w:tentative="1">
      <w:start w:val="1"/>
      <w:numFmt w:val="decimal"/>
      <w:lvlText w:val="%7."/>
      <w:lvlJc w:val="left"/>
      <w:pPr>
        <w:ind w:left="5040" w:hanging="360"/>
      </w:pPr>
    </w:lvl>
    <w:lvl w:ilvl="7" w:tplc="EBFEFEB8" w:tentative="1">
      <w:start w:val="1"/>
      <w:numFmt w:val="lowerLetter"/>
      <w:lvlText w:val="%8."/>
      <w:lvlJc w:val="left"/>
      <w:pPr>
        <w:ind w:left="5760" w:hanging="360"/>
      </w:pPr>
    </w:lvl>
    <w:lvl w:ilvl="8" w:tplc="6D3650F4" w:tentative="1">
      <w:start w:val="1"/>
      <w:numFmt w:val="lowerRoman"/>
      <w:lvlText w:val="%9."/>
      <w:lvlJc w:val="right"/>
      <w:pPr>
        <w:ind w:left="6480" w:hanging="180"/>
      </w:pPr>
    </w:lvl>
  </w:abstractNum>
  <w:abstractNum w:abstractNumId="12" w15:restartNumberingAfterBreak="0">
    <w:nsid w:val="48AD4EBD"/>
    <w:multiLevelType w:val="hybridMultilevel"/>
    <w:tmpl w:val="98D6E258"/>
    <w:lvl w:ilvl="0" w:tplc="610EC89A">
      <w:start w:val="1"/>
      <w:numFmt w:val="decimal"/>
      <w:lvlText w:val="%1."/>
      <w:lvlJc w:val="left"/>
      <w:pPr>
        <w:ind w:left="1426" w:hanging="360"/>
      </w:pPr>
      <w:rPr>
        <w:rFonts w:eastAsia="Times New Roman" w:hint="default"/>
        <w:b/>
      </w:rPr>
    </w:lvl>
    <w:lvl w:ilvl="1" w:tplc="6B94A34E" w:tentative="1">
      <w:start w:val="1"/>
      <w:numFmt w:val="lowerLetter"/>
      <w:lvlText w:val="%2."/>
      <w:lvlJc w:val="left"/>
      <w:pPr>
        <w:ind w:left="2146" w:hanging="360"/>
      </w:pPr>
    </w:lvl>
    <w:lvl w:ilvl="2" w:tplc="690665D2" w:tentative="1">
      <w:start w:val="1"/>
      <w:numFmt w:val="lowerRoman"/>
      <w:lvlText w:val="%3."/>
      <w:lvlJc w:val="right"/>
      <w:pPr>
        <w:ind w:left="2866" w:hanging="180"/>
      </w:pPr>
    </w:lvl>
    <w:lvl w:ilvl="3" w:tplc="921CBE5A" w:tentative="1">
      <w:start w:val="1"/>
      <w:numFmt w:val="decimal"/>
      <w:lvlText w:val="%4."/>
      <w:lvlJc w:val="left"/>
      <w:pPr>
        <w:ind w:left="3586" w:hanging="360"/>
      </w:pPr>
    </w:lvl>
    <w:lvl w:ilvl="4" w:tplc="218075F0" w:tentative="1">
      <w:start w:val="1"/>
      <w:numFmt w:val="lowerLetter"/>
      <w:lvlText w:val="%5."/>
      <w:lvlJc w:val="left"/>
      <w:pPr>
        <w:ind w:left="4306" w:hanging="360"/>
      </w:pPr>
    </w:lvl>
    <w:lvl w:ilvl="5" w:tplc="E724D81C" w:tentative="1">
      <w:start w:val="1"/>
      <w:numFmt w:val="lowerRoman"/>
      <w:lvlText w:val="%6."/>
      <w:lvlJc w:val="right"/>
      <w:pPr>
        <w:ind w:left="5026" w:hanging="180"/>
      </w:pPr>
    </w:lvl>
    <w:lvl w:ilvl="6" w:tplc="6C6AB07C" w:tentative="1">
      <w:start w:val="1"/>
      <w:numFmt w:val="decimal"/>
      <w:lvlText w:val="%7."/>
      <w:lvlJc w:val="left"/>
      <w:pPr>
        <w:ind w:left="5746" w:hanging="360"/>
      </w:pPr>
    </w:lvl>
    <w:lvl w:ilvl="7" w:tplc="25F6BE64" w:tentative="1">
      <w:start w:val="1"/>
      <w:numFmt w:val="lowerLetter"/>
      <w:lvlText w:val="%8."/>
      <w:lvlJc w:val="left"/>
      <w:pPr>
        <w:ind w:left="6466" w:hanging="360"/>
      </w:pPr>
    </w:lvl>
    <w:lvl w:ilvl="8" w:tplc="A20E5F76" w:tentative="1">
      <w:start w:val="1"/>
      <w:numFmt w:val="lowerRoman"/>
      <w:lvlText w:val="%9."/>
      <w:lvlJc w:val="right"/>
      <w:pPr>
        <w:ind w:left="7186" w:hanging="180"/>
      </w:pPr>
    </w:lvl>
  </w:abstractNum>
  <w:abstractNum w:abstractNumId="13"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44A4FDD"/>
    <w:multiLevelType w:val="hybridMultilevel"/>
    <w:tmpl w:val="3E64E0B8"/>
    <w:lvl w:ilvl="0" w:tplc="36EA3B54">
      <w:start w:val="1"/>
      <w:numFmt w:val="upperLetter"/>
      <w:lvlText w:val="%1."/>
      <w:lvlJc w:val="left"/>
      <w:pPr>
        <w:ind w:left="720" w:hanging="360"/>
      </w:pPr>
      <w:rPr>
        <w:rFonts w:hint="default"/>
      </w:rPr>
    </w:lvl>
    <w:lvl w:ilvl="1" w:tplc="618CA1C2" w:tentative="1">
      <w:start w:val="1"/>
      <w:numFmt w:val="lowerLetter"/>
      <w:lvlText w:val="%2."/>
      <w:lvlJc w:val="left"/>
      <w:pPr>
        <w:ind w:left="1440" w:hanging="360"/>
      </w:pPr>
    </w:lvl>
    <w:lvl w:ilvl="2" w:tplc="2E526858" w:tentative="1">
      <w:start w:val="1"/>
      <w:numFmt w:val="lowerRoman"/>
      <w:lvlText w:val="%3."/>
      <w:lvlJc w:val="right"/>
      <w:pPr>
        <w:ind w:left="2160" w:hanging="180"/>
      </w:pPr>
    </w:lvl>
    <w:lvl w:ilvl="3" w:tplc="4F56105E" w:tentative="1">
      <w:start w:val="1"/>
      <w:numFmt w:val="decimal"/>
      <w:lvlText w:val="%4."/>
      <w:lvlJc w:val="left"/>
      <w:pPr>
        <w:ind w:left="2880" w:hanging="360"/>
      </w:pPr>
    </w:lvl>
    <w:lvl w:ilvl="4" w:tplc="62CA64DE" w:tentative="1">
      <w:start w:val="1"/>
      <w:numFmt w:val="lowerLetter"/>
      <w:lvlText w:val="%5."/>
      <w:lvlJc w:val="left"/>
      <w:pPr>
        <w:ind w:left="3600" w:hanging="360"/>
      </w:pPr>
    </w:lvl>
    <w:lvl w:ilvl="5" w:tplc="03B6BFF0" w:tentative="1">
      <w:start w:val="1"/>
      <w:numFmt w:val="lowerRoman"/>
      <w:lvlText w:val="%6."/>
      <w:lvlJc w:val="right"/>
      <w:pPr>
        <w:ind w:left="4320" w:hanging="180"/>
      </w:pPr>
    </w:lvl>
    <w:lvl w:ilvl="6" w:tplc="13702458" w:tentative="1">
      <w:start w:val="1"/>
      <w:numFmt w:val="decimal"/>
      <w:lvlText w:val="%7."/>
      <w:lvlJc w:val="left"/>
      <w:pPr>
        <w:ind w:left="5040" w:hanging="360"/>
      </w:pPr>
    </w:lvl>
    <w:lvl w:ilvl="7" w:tplc="97C4BEF4" w:tentative="1">
      <w:start w:val="1"/>
      <w:numFmt w:val="lowerLetter"/>
      <w:lvlText w:val="%8."/>
      <w:lvlJc w:val="left"/>
      <w:pPr>
        <w:ind w:left="5760" w:hanging="360"/>
      </w:pPr>
    </w:lvl>
    <w:lvl w:ilvl="8" w:tplc="465CC64A" w:tentative="1">
      <w:start w:val="1"/>
      <w:numFmt w:val="lowerRoman"/>
      <w:lvlText w:val="%9."/>
      <w:lvlJc w:val="right"/>
      <w:pPr>
        <w:ind w:left="6480" w:hanging="180"/>
      </w:pPr>
    </w:lvl>
  </w:abstractNum>
  <w:abstractNum w:abstractNumId="15"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15"/>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5"/>
  </w:num>
  <w:num w:numId="16">
    <w:abstractNumId w:val="15"/>
  </w:num>
  <w:num w:numId="17">
    <w:abstractNumId w:val="13"/>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4"/>
  </w:num>
  <w:num w:numId="26">
    <w:abstractNumId w:val="10"/>
  </w:num>
  <w:num w:numId="27">
    <w:abstractNumId w:val="10"/>
  </w:num>
  <w:num w:numId="28">
    <w:abstractNumId w:val="11"/>
  </w:num>
  <w:num w:numId="29">
    <w:abstractNumId w:val="10"/>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U JUGE"/>
    <w:docVar w:name="MotifJuge2" w:val="MOTIFS DU JUGE"/>
    <w:docVar w:name="MotifJuge3" w:val="MOTIFS DU JUGE"/>
    <w:docVar w:name="NomFamJuge1" w:val="LEVESQUE"/>
    <w:docVar w:name="NomFamJuge2" w:val="MOORE"/>
    <w:docVar w:name="NomFamJuge3" w:val="BACHAND"/>
    <w:docVar w:name="NomFamJuge4" w:val="MAILHOT"/>
    <w:docVar w:name="NomFamJuge5" w:val="BAUDOUIN"/>
    <w:docVar w:name="QteJuge1" w:val=", J.C.A."/>
    <w:docVar w:name="QteJuge2" w:val=", J.C.A."/>
    <w:docVar w:name="QteJuge3" w:val=", J.C.A."/>
    <w:docVar w:name="stPremiereFois" w:val="Non"/>
  </w:docVars>
  <w:rsids>
    <w:rsidRoot w:val="00BA1ACE"/>
    <w:rsid w:val="000141DF"/>
    <w:rsid w:val="00023451"/>
    <w:rsid w:val="00027365"/>
    <w:rsid w:val="00030A6A"/>
    <w:rsid w:val="00035AEB"/>
    <w:rsid w:val="00042042"/>
    <w:rsid w:val="00047FDC"/>
    <w:rsid w:val="00055A47"/>
    <w:rsid w:val="0007660A"/>
    <w:rsid w:val="00082ED8"/>
    <w:rsid w:val="00093286"/>
    <w:rsid w:val="0009608F"/>
    <w:rsid w:val="00096640"/>
    <w:rsid w:val="000A135D"/>
    <w:rsid w:val="000B7B49"/>
    <w:rsid w:val="000C0E53"/>
    <w:rsid w:val="000C3FD4"/>
    <w:rsid w:val="000D553F"/>
    <w:rsid w:val="00116C09"/>
    <w:rsid w:val="00124FB9"/>
    <w:rsid w:val="00134FB5"/>
    <w:rsid w:val="001361D4"/>
    <w:rsid w:val="0014692D"/>
    <w:rsid w:val="0018109B"/>
    <w:rsid w:val="00185E74"/>
    <w:rsid w:val="00190FDF"/>
    <w:rsid w:val="001945A7"/>
    <w:rsid w:val="001A0DB3"/>
    <w:rsid w:val="001A5B78"/>
    <w:rsid w:val="001B4917"/>
    <w:rsid w:val="001B4C57"/>
    <w:rsid w:val="001D005E"/>
    <w:rsid w:val="001D5124"/>
    <w:rsid w:val="001F3436"/>
    <w:rsid w:val="002132B7"/>
    <w:rsid w:val="00223A83"/>
    <w:rsid w:val="0023231F"/>
    <w:rsid w:val="002379F5"/>
    <w:rsid w:val="00237C46"/>
    <w:rsid w:val="0024187A"/>
    <w:rsid w:val="0025065C"/>
    <w:rsid w:val="002541A1"/>
    <w:rsid w:val="0026013E"/>
    <w:rsid w:val="002621FF"/>
    <w:rsid w:val="00272DED"/>
    <w:rsid w:val="0029283D"/>
    <w:rsid w:val="002A1C13"/>
    <w:rsid w:val="002B6127"/>
    <w:rsid w:val="002C5A56"/>
    <w:rsid w:val="002D0ECC"/>
    <w:rsid w:val="002D34A1"/>
    <w:rsid w:val="002E09A4"/>
    <w:rsid w:val="002E4DEA"/>
    <w:rsid w:val="002F3D89"/>
    <w:rsid w:val="00311D58"/>
    <w:rsid w:val="00313E3B"/>
    <w:rsid w:val="003335F1"/>
    <w:rsid w:val="00367304"/>
    <w:rsid w:val="00371376"/>
    <w:rsid w:val="00393D3B"/>
    <w:rsid w:val="003A05F9"/>
    <w:rsid w:val="003A655F"/>
    <w:rsid w:val="003A6BD1"/>
    <w:rsid w:val="003C20C8"/>
    <w:rsid w:val="003C3FA5"/>
    <w:rsid w:val="003C6B72"/>
    <w:rsid w:val="003C7339"/>
    <w:rsid w:val="003D136A"/>
    <w:rsid w:val="003E5EB9"/>
    <w:rsid w:val="003E658B"/>
    <w:rsid w:val="003E7E6D"/>
    <w:rsid w:val="0040039B"/>
    <w:rsid w:val="0040340F"/>
    <w:rsid w:val="00404F43"/>
    <w:rsid w:val="00404F89"/>
    <w:rsid w:val="00436ACF"/>
    <w:rsid w:val="0045480C"/>
    <w:rsid w:val="004711DF"/>
    <w:rsid w:val="00474AD8"/>
    <w:rsid w:val="0047504A"/>
    <w:rsid w:val="004765A3"/>
    <w:rsid w:val="0048495F"/>
    <w:rsid w:val="004A07C4"/>
    <w:rsid w:val="004A382C"/>
    <w:rsid w:val="004F4241"/>
    <w:rsid w:val="00502812"/>
    <w:rsid w:val="00515661"/>
    <w:rsid w:val="00516E25"/>
    <w:rsid w:val="00517601"/>
    <w:rsid w:val="0053573D"/>
    <w:rsid w:val="005368DC"/>
    <w:rsid w:val="00547BDD"/>
    <w:rsid w:val="00553DD7"/>
    <w:rsid w:val="00564A1F"/>
    <w:rsid w:val="005744C8"/>
    <w:rsid w:val="00586FB2"/>
    <w:rsid w:val="00591D61"/>
    <w:rsid w:val="005934A7"/>
    <w:rsid w:val="005A1325"/>
    <w:rsid w:val="005B08FA"/>
    <w:rsid w:val="005E1B5F"/>
    <w:rsid w:val="006033F9"/>
    <w:rsid w:val="00604D8F"/>
    <w:rsid w:val="00607840"/>
    <w:rsid w:val="006120A4"/>
    <w:rsid w:val="00623DA4"/>
    <w:rsid w:val="00651527"/>
    <w:rsid w:val="00665F43"/>
    <w:rsid w:val="006722BF"/>
    <w:rsid w:val="00691906"/>
    <w:rsid w:val="006A2DBF"/>
    <w:rsid w:val="006B7265"/>
    <w:rsid w:val="006C1D1B"/>
    <w:rsid w:val="006D0335"/>
    <w:rsid w:val="006D6911"/>
    <w:rsid w:val="006D6F64"/>
    <w:rsid w:val="006E10F9"/>
    <w:rsid w:val="006E5E2E"/>
    <w:rsid w:val="006F362B"/>
    <w:rsid w:val="006F4DDB"/>
    <w:rsid w:val="00711359"/>
    <w:rsid w:val="00715B1A"/>
    <w:rsid w:val="00720912"/>
    <w:rsid w:val="00742D39"/>
    <w:rsid w:val="00752E35"/>
    <w:rsid w:val="0075422D"/>
    <w:rsid w:val="00755C95"/>
    <w:rsid w:val="00760C05"/>
    <w:rsid w:val="00765DD1"/>
    <w:rsid w:val="007706AA"/>
    <w:rsid w:val="00791240"/>
    <w:rsid w:val="007A1560"/>
    <w:rsid w:val="007F4A4E"/>
    <w:rsid w:val="00804703"/>
    <w:rsid w:val="00812924"/>
    <w:rsid w:val="0081460E"/>
    <w:rsid w:val="00827901"/>
    <w:rsid w:val="008338C7"/>
    <w:rsid w:val="00833F8F"/>
    <w:rsid w:val="00835EAA"/>
    <w:rsid w:val="008401C8"/>
    <w:rsid w:val="00854007"/>
    <w:rsid w:val="00857050"/>
    <w:rsid w:val="00895F7C"/>
    <w:rsid w:val="008A771C"/>
    <w:rsid w:val="008B58C0"/>
    <w:rsid w:val="008C5299"/>
    <w:rsid w:val="008E5BD6"/>
    <w:rsid w:val="00910E62"/>
    <w:rsid w:val="009705FF"/>
    <w:rsid w:val="00973CF5"/>
    <w:rsid w:val="009851B5"/>
    <w:rsid w:val="00986750"/>
    <w:rsid w:val="009A3CC2"/>
    <w:rsid w:val="009A4C80"/>
    <w:rsid w:val="009B3784"/>
    <w:rsid w:val="009C1641"/>
    <w:rsid w:val="009C755E"/>
    <w:rsid w:val="009D67FA"/>
    <w:rsid w:val="009E6E24"/>
    <w:rsid w:val="00A10CC3"/>
    <w:rsid w:val="00A17B72"/>
    <w:rsid w:val="00A3764F"/>
    <w:rsid w:val="00A45E6F"/>
    <w:rsid w:val="00A469F5"/>
    <w:rsid w:val="00A50F48"/>
    <w:rsid w:val="00A5186F"/>
    <w:rsid w:val="00A57BB9"/>
    <w:rsid w:val="00A77558"/>
    <w:rsid w:val="00A8414E"/>
    <w:rsid w:val="00A85688"/>
    <w:rsid w:val="00A95C42"/>
    <w:rsid w:val="00AA44D3"/>
    <w:rsid w:val="00AB11BE"/>
    <w:rsid w:val="00AB5B21"/>
    <w:rsid w:val="00AF7ABA"/>
    <w:rsid w:val="00B00115"/>
    <w:rsid w:val="00B339F2"/>
    <w:rsid w:val="00B33A37"/>
    <w:rsid w:val="00B43919"/>
    <w:rsid w:val="00B60425"/>
    <w:rsid w:val="00BA1ACE"/>
    <w:rsid w:val="00BE4D39"/>
    <w:rsid w:val="00BE6EC7"/>
    <w:rsid w:val="00C01113"/>
    <w:rsid w:val="00C05337"/>
    <w:rsid w:val="00C11AAA"/>
    <w:rsid w:val="00C300E6"/>
    <w:rsid w:val="00C4320F"/>
    <w:rsid w:val="00C45C89"/>
    <w:rsid w:val="00C645B3"/>
    <w:rsid w:val="00C91FE5"/>
    <w:rsid w:val="00CA4262"/>
    <w:rsid w:val="00CB64C9"/>
    <w:rsid w:val="00CC197C"/>
    <w:rsid w:val="00CC2AE9"/>
    <w:rsid w:val="00CD5523"/>
    <w:rsid w:val="00CD69E9"/>
    <w:rsid w:val="00CE4642"/>
    <w:rsid w:val="00CE71BC"/>
    <w:rsid w:val="00D02863"/>
    <w:rsid w:val="00D16098"/>
    <w:rsid w:val="00D31109"/>
    <w:rsid w:val="00D37141"/>
    <w:rsid w:val="00D55664"/>
    <w:rsid w:val="00D639B0"/>
    <w:rsid w:val="00D718FD"/>
    <w:rsid w:val="00D8039D"/>
    <w:rsid w:val="00D87C09"/>
    <w:rsid w:val="00D91BD5"/>
    <w:rsid w:val="00D923C0"/>
    <w:rsid w:val="00DA2F5E"/>
    <w:rsid w:val="00DA313F"/>
    <w:rsid w:val="00DC2DEC"/>
    <w:rsid w:val="00DD041A"/>
    <w:rsid w:val="00DE3102"/>
    <w:rsid w:val="00DE393A"/>
    <w:rsid w:val="00DE5F56"/>
    <w:rsid w:val="00DF0302"/>
    <w:rsid w:val="00E1212E"/>
    <w:rsid w:val="00E212AC"/>
    <w:rsid w:val="00E263AF"/>
    <w:rsid w:val="00E72DC2"/>
    <w:rsid w:val="00E72F14"/>
    <w:rsid w:val="00EA0244"/>
    <w:rsid w:val="00EA4BAE"/>
    <w:rsid w:val="00ED573A"/>
    <w:rsid w:val="00EF40EC"/>
    <w:rsid w:val="00EF7967"/>
    <w:rsid w:val="00F02B92"/>
    <w:rsid w:val="00F2068B"/>
    <w:rsid w:val="00F31878"/>
    <w:rsid w:val="00F371E3"/>
    <w:rsid w:val="00F40F8C"/>
    <w:rsid w:val="00F57540"/>
    <w:rsid w:val="00F76DEC"/>
    <w:rsid w:val="00F80AE5"/>
    <w:rsid w:val="00F838CE"/>
    <w:rsid w:val="00F91B67"/>
    <w:rsid w:val="00FA5233"/>
    <w:rsid w:val="00FA5892"/>
    <w:rsid w:val="00FB1E4C"/>
    <w:rsid w:val="00FB5B46"/>
    <w:rsid w:val="00FC73E1"/>
    <w:rsid w:val="00FD6CF4"/>
    <w:rsid w:val="00FF3B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09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link w:val="Titre3Car"/>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 Char1 Char1 Char Char, Char1 Char1 Char1, Char1 Char2 Char, Char1 Char3,Footnote Text Char Char Char,Footnote Text Char Char1,Footnote Text Char1 Char,Footnote Text Char2,fn"/>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5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aliases w:val=" Char1 Char1 Char Char Car, Char1 Char1 Char1 Car, Char1 Char2 Char Car, Char1 Char3 Car,Footnote Text Char Char Char Car,Footnote Text Char Char1 Car,Footnote Text Char1 Char Car,Footnote Text Char2 Car,fn Car"/>
    <w:basedOn w:val="Policepardfaut"/>
    <w:link w:val="Notedebasdepage"/>
    <w:rsid w:val="00232A51"/>
    <w:rPr>
      <w:rFonts w:ascii="Arial" w:hAnsi="Arial"/>
      <w:lang w:eastAsia="fr-FR"/>
    </w:rPr>
  </w:style>
  <w:style w:type="character" w:customStyle="1" w:styleId="ParagrapheCar">
    <w:name w:val="Paragraphe Car"/>
    <w:link w:val="Paragraphe"/>
    <w:rsid w:val="00977C25"/>
    <w:rPr>
      <w:rFonts w:ascii="Arial" w:hAnsi="Arial"/>
      <w:kern w:val="28"/>
      <w:sz w:val="24"/>
      <w:lang w:eastAsia="fr-FR"/>
    </w:rPr>
  </w:style>
  <w:style w:type="character" w:customStyle="1" w:styleId="lawlabel">
    <w:name w:val="lawlabel"/>
    <w:basedOn w:val="Policepardfaut"/>
    <w:rsid w:val="00C75946"/>
  </w:style>
  <w:style w:type="character" w:customStyle="1" w:styleId="Titre3Car">
    <w:name w:val="Titre 3 Car"/>
    <w:basedOn w:val="Policepardfaut"/>
    <w:link w:val="Titre3"/>
    <w:rsid w:val="00FE62EF"/>
    <w:rPr>
      <w:rFonts w:ascii="Arial" w:hAnsi="Arial"/>
      <w:sz w:val="24"/>
      <w:lang w:eastAsia="fr-FR"/>
    </w:rPr>
  </w:style>
  <w:style w:type="character" w:styleId="Marquedecommentaire">
    <w:name w:val="annotation reference"/>
    <w:basedOn w:val="Policepardfaut"/>
    <w:uiPriority w:val="99"/>
    <w:semiHidden/>
    <w:unhideWhenUsed/>
    <w:rsid w:val="00096640"/>
    <w:rPr>
      <w:sz w:val="16"/>
      <w:szCs w:val="16"/>
    </w:rPr>
  </w:style>
  <w:style w:type="paragraph" w:styleId="Commentaire">
    <w:name w:val="annotation text"/>
    <w:basedOn w:val="Normal"/>
    <w:link w:val="CommentaireCar"/>
    <w:uiPriority w:val="99"/>
    <w:semiHidden/>
    <w:unhideWhenUsed/>
    <w:rsid w:val="00096640"/>
    <w:pPr>
      <w:spacing w:line="240" w:lineRule="auto"/>
    </w:pPr>
    <w:rPr>
      <w:sz w:val="20"/>
    </w:rPr>
  </w:style>
  <w:style w:type="character" w:customStyle="1" w:styleId="CommentaireCar">
    <w:name w:val="Commentaire Car"/>
    <w:basedOn w:val="Policepardfaut"/>
    <w:link w:val="Commentaire"/>
    <w:uiPriority w:val="99"/>
    <w:semiHidden/>
    <w:rsid w:val="00096640"/>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096640"/>
    <w:rPr>
      <w:b/>
      <w:bCs/>
    </w:rPr>
  </w:style>
  <w:style w:type="character" w:customStyle="1" w:styleId="ObjetducommentaireCar">
    <w:name w:val="Objet du commentaire Car"/>
    <w:basedOn w:val="CommentaireCar"/>
    <w:link w:val="Objetducommentaire"/>
    <w:uiPriority w:val="99"/>
    <w:semiHidden/>
    <w:rsid w:val="00096640"/>
    <w:rPr>
      <w:rFonts w:ascii="Arial" w:hAnsi="Arial"/>
      <w:b/>
      <w:bCs/>
      <w:lang w:eastAsia="fr-FR"/>
    </w:rPr>
  </w:style>
  <w:style w:type="character" w:styleId="Lienhypertexte">
    <w:name w:val="Hyperlink"/>
    <w:basedOn w:val="Policepardfaut"/>
    <w:uiPriority w:val="99"/>
    <w:semiHidden/>
    <w:unhideWhenUsed/>
    <w:rsid w:val="00096640"/>
    <w:rPr>
      <w:color w:val="0000FF"/>
      <w:u w:val="single"/>
    </w:rPr>
  </w:style>
  <w:style w:type="character" w:styleId="Lienhypertextesuivivisit">
    <w:name w:val="FollowedHyperlink"/>
    <w:basedOn w:val="Policepardfaut"/>
    <w:uiPriority w:val="99"/>
    <w:semiHidden/>
    <w:unhideWhenUsed/>
    <w:rsid w:val="00E12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00ED-7F88-4FF0-AE7A-274F487B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3333</Words>
  <Characters>19001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2022-04-22T12:04:00Z</dcterms:created>
  <dcterms:modified xsi:type="dcterms:W3CDTF">2022-04-25T16:01:00Z</dcterms:modified>
</cp:coreProperties>
</file>