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tblLayout w:type="fixed"/>
        <w:tblCellMar>
          <w:left w:w="0" w:type="dxa"/>
          <w:right w:w="0" w:type="dxa"/>
        </w:tblCellMar>
        <w:tblLook w:val="0000" w:firstRow="0" w:lastRow="0" w:firstColumn="0" w:lastColumn="0" w:noHBand="0" w:noVBand="0"/>
      </w:tblPr>
      <w:tblGrid>
        <w:gridCol w:w="1030"/>
        <w:gridCol w:w="410"/>
        <w:gridCol w:w="180"/>
        <w:gridCol w:w="2350"/>
        <w:gridCol w:w="3402"/>
        <w:gridCol w:w="1988"/>
      </w:tblGrid>
      <w:tr w:rsidR="00500140" w14:paraId="30914B6E" w14:textId="77777777" w:rsidTr="009E7299">
        <w:trPr>
          <w:trHeight w:val="248"/>
        </w:trPr>
        <w:tc>
          <w:tcPr>
            <w:tcW w:w="7372" w:type="dxa"/>
            <w:gridSpan w:val="5"/>
          </w:tcPr>
          <w:p w14:paraId="2386901F" w14:textId="451A56E3" w:rsidR="008F364A" w:rsidRPr="00BD178A" w:rsidRDefault="00BD178A" w:rsidP="00BD178A">
            <w:pPr>
              <w:pStyle w:val="zSoquijdatRepertorie"/>
              <w:rPr>
                <w:rFonts w:cs="Arial"/>
              </w:rPr>
            </w:pPr>
            <w:bookmarkStart w:id="0" w:name="_GoBack"/>
            <w:bookmarkEnd w:id="0"/>
            <w:r>
              <w:rPr>
                <w:rFonts w:cs="Arial"/>
              </w:rPr>
              <w:t>Plamondon c. Procureur général du Québec</w:t>
            </w:r>
          </w:p>
        </w:tc>
        <w:tc>
          <w:tcPr>
            <w:tcW w:w="1988" w:type="dxa"/>
          </w:tcPr>
          <w:p w14:paraId="7C53A942" w14:textId="68EAFD5D" w:rsidR="008F364A" w:rsidRPr="005D6572" w:rsidRDefault="005D6572" w:rsidP="005D6572">
            <w:pPr>
              <w:pStyle w:val="zSoquijdatRefNeutre"/>
              <w:jc w:val="right"/>
              <w:rPr>
                <w:rFonts w:cs="Arial"/>
              </w:rPr>
            </w:pPr>
            <w:r w:rsidRPr="005D6572">
              <w:rPr>
                <w:rFonts w:cs="Arial"/>
              </w:rPr>
              <w:t>2022 QCCA 882</w:t>
            </w:r>
          </w:p>
        </w:tc>
      </w:tr>
      <w:tr w:rsidR="00500140" w14:paraId="26834095" w14:textId="77777777" w:rsidTr="009E7299">
        <w:trPr>
          <w:trHeight w:val="247"/>
        </w:trPr>
        <w:tc>
          <w:tcPr>
            <w:tcW w:w="9360" w:type="dxa"/>
            <w:gridSpan w:val="6"/>
          </w:tcPr>
          <w:p w14:paraId="51077794" w14:textId="77777777" w:rsidR="008F364A" w:rsidRDefault="00BD178A">
            <w:pPr>
              <w:pStyle w:val="zSoquijlblCour"/>
            </w:pPr>
            <w:r>
              <w:t>COUR D’APPEL</w:t>
            </w:r>
          </w:p>
        </w:tc>
      </w:tr>
      <w:tr w:rsidR="00500140" w14:paraId="12481C87" w14:textId="77777777" w:rsidTr="009E7299">
        <w:trPr>
          <w:trHeight w:val="540"/>
        </w:trPr>
        <w:tc>
          <w:tcPr>
            <w:tcW w:w="9360" w:type="dxa"/>
            <w:gridSpan w:val="6"/>
          </w:tcPr>
          <w:p w14:paraId="1451697A" w14:textId="77777777" w:rsidR="008F364A" w:rsidRDefault="008F364A">
            <w:pPr>
              <w:pStyle w:val="zSoquijdatDivision"/>
            </w:pPr>
          </w:p>
        </w:tc>
      </w:tr>
      <w:tr w:rsidR="00500140" w14:paraId="57335547" w14:textId="77777777" w:rsidTr="009E7299">
        <w:tc>
          <w:tcPr>
            <w:tcW w:w="9360" w:type="dxa"/>
            <w:gridSpan w:val="6"/>
          </w:tcPr>
          <w:p w14:paraId="737B2B26" w14:textId="77777777" w:rsidR="008F364A" w:rsidRDefault="00BD178A">
            <w:pPr>
              <w:pStyle w:val="zSoquijlblPays"/>
            </w:pPr>
            <w:r>
              <w:t>CANADA</w:t>
            </w:r>
          </w:p>
        </w:tc>
      </w:tr>
      <w:tr w:rsidR="00500140" w14:paraId="38193536" w14:textId="77777777" w:rsidTr="009E7299">
        <w:tc>
          <w:tcPr>
            <w:tcW w:w="9360" w:type="dxa"/>
            <w:gridSpan w:val="6"/>
          </w:tcPr>
          <w:p w14:paraId="675B6406" w14:textId="77777777" w:rsidR="008F364A" w:rsidRDefault="00BD178A">
            <w:pPr>
              <w:pStyle w:val="zSoquijlblProvince"/>
            </w:pPr>
            <w:r>
              <w:t>PROVINCE DE QUÉBEC</w:t>
            </w:r>
          </w:p>
        </w:tc>
      </w:tr>
      <w:tr w:rsidR="00500140" w14:paraId="77505A3E" w14:textId="77777777" w:rsidTr="009E7299">
        <w:tc>
          <w:tcPr>
            <w:tcW w:w="1440" w:type="dxa"/>
            <w:gridSpan w:val="2"/>
          </w:tcPr>
          <w:p w14:paraId="3A1B3C33" w14:textId="77777777" w:rsidR="008F364A" w:rsidRDefault="00BD178A">
            <w:pPr>
              <w:pStyle w:val="zSoquijlblGreffe"/>
            </w:pPr>
            <w:r>
              <w:t>GREFFE DE</w:t>
            </w:r>
          </w:p>
          <w:p w14:paraId="41E1335D" w14:textId="77777777" w:rsidR="008F364A" w:rsidRDefault="008F364A">
            <w:pPr>
              <w:pStyle w:val="zSoquijlblGreffe"/>
            </w:pPr>
          </w:p>
        </w:tc>
        <w:tc>
          <w:tcPr>
            <w:tcW w:w="7920" w:type="dxa"/>
            <w:gridSpan w:val="4"/>
          </w:tcPr>
          <w:p w14:paraId="777C5185" w14:textId="77777777" w:rsidR="008F364A" w:rsidRDefault="00BD178A">
            <w:pPr>
              <w:pStyle w:val="zSoquijdatGreffe"/>
            </w:pPr>
            <w:bookmarkStart w:id="1" w:name="NomGreffe"/>
            <w:r>
              <w:t>QUÉBEC</w:t>
            </w:r>
            <w:bookmarkEnd w:id="1"/>
          </w:p>
        </w:tc>
      </w:tr>
      <w:tr w:rsidR="00500140" w14:paraId="415C4D67" w14:textId="77777777" w:rsidTr="009E7299">
        <w:tc>
          <w:tcPr>
            <w:tcW w:w="1030" w:type="dxa"/>
          </w:tcPr>
          <w:p w14:paraId="60A2F156" w14:textId="77777777" w:rsidR="008F364A" w:rsidRDefault="00BD178A">
            <w:pPr>
              <w:pStyle w:val="zSoquijlblNoDossier"/>
            </w:pPr>
            <w:r>
              <w:t>N° :</w:t>
            </w:r>
          </w:p>
        </w:tc>
        <w:tc>
          <w:tcPr>
            <w:tcW w:w="8330" w:type="dxa"/>
            <w:gridSpan w:val="5"/>
          </w:tcPr>
          <w:p w14:paraId="661150F9" w14:textId="77777777" w:rsidR="008F364A" w:rsidRDefault="00BD178A">
            <w:pPr>
              <w:pStyle w:val="zSoquijdatNoDossier"/>
            </w:pPr>
            <w:bookmarkStart w:id="2" w:name="NoDossier"/>
            <w:r>
              <w:t>200-09-700001-206</w:t>
            </w:r>
            <w:bookmarkEnd w:id="2"/>
          </w:p>
        </w:tc>
      </w:tr>
      <w:tr w:rsidR="00500140" w14:paraId="111FE8AB" w14:textId="77777777" w:rsidTr="009E7299">
        <w:tc>
          <w:tcPr>
            <w:tcW w:w="9360" w:type="dxa"/>
            <w:gridSpan w:val="6"/>
          </w:tcPr>
          <w:p w14:paraId="0D12464E" w14:textId="77777777" w:rsidR="006B7CE5" w:rsidRDefault="00BD178A" w:rsidP="006B7CE5">
            <w:pPr>
              <w:pStyle w:val="zSoquijdatNoDossierAnt"/>
            </w:pPr>
            <w:r>
              <w:t>(200-17-021802-152)</w:t>
            </w:r>
          </w:p>
        </w:tc>
      </w:tr>
      <w:tr w:rsidR="00500140" w14:paraId="41CB01D7" w14:textId="77777777" w:rsidTr="009E7299">
        <w:tc>
          <w:tcPr>
            <w:tcW w:w="9360" w:type="dxa"/>
            <w:gridSpan w:val="6"/>
          </w:tcPr>
          <w:p w14:paraId="102DA2CB" w14:textId="77777777" w:rsidR="008F364A" w:rsidRDefault="008F364A"/>
        </w:tc>
      </w:tr>
      <w:tr w:rsidR="00500140" w14:paraId="431BA908" w14:textId="77777777" w:rsidTr="009E7299">
        <w:tc>
          <w:tcPr>
            <w:tcW w:w="1030" w:type="dxa"/>
          </w:tcPr>
          <w:p w14:paraId="24126282" w14:textId="77777777" w:rsidR="008F364A" w:rsidRDefault="00BD178A">
            <w:pPr>
              <w:pStyle w:val="zSoquijlblDateJugement"/>
            </w:pPr>
            <w:r>
              <w:t>DATE :</w:t>
            </w:r>
          </w:p>
        </w:tc>
        <w:tc>
          <w:tcPr>
            <w:tcW w:w="8330" w:type="dxa"/>
            <w:gridSpan w:val="5"/>
          </w:tcPr>
          <w:p w14:paraId="7059E10D" w14:textId="5F774C39" w:rsidR="008F364A" w:rsidRDefault="00BD178A" w:rsidP="001A4521">
            <w:pPr>
              <w:pStyle w:val="zSoquijdatDateJugement"/>
            </w:pPr>
            <w:r>
              <w:t>17 juin 2022</w:t>
            </w:r>
          </w:p>
        </w:tc>
      </w:tr>
      <w:tr w:rsidR="00500140" w14:paraId="38FB78E3" w14:textId="77777777" w:rsidTr="009E7299">
        <w:tc>
          <w:tcPr>
            <w:tcW w:w="9360" w:type="dxa"/>
            <w:gridSpan w:val="6"/>
            <w:tcBorders>
              <w:bottom w:val="single" w:sz="8" w:space="0" w:color="auto"/>
            </w:tcBorders>
          </w:tcPr>
          <w:p w14:paraId="173074BF" w14:textId="77777777" w:rsidR="008F364A" w:rsidRDefault="008F364A"/>
        </w:tc>
      </w:tr>
      <w:tr w:rsidR="00500140" w14:paraId="5B563471" w14:textId="77777777" w:rsidTr="009E7299">
        <w:tc>
          <w:tcPr>
            <w:tcW w:w="9360" w:type="dxa"/>
            <w:gridSpan w:val="6"/>
            <w:tcBorders>
              <w:top w:val="single" w:sz="8" w:space="0" w:color="auto"/>
            </w:tcBorders>
          </w:tcPr>
          <w:p w14:paraId="22596A78" w14:textId="77777777" w:rsidR="008F364A" w:rsidRDefault="008F364A" w:rsidP="001A4521">
            <w:pPr>
              <w:jc w:val="center"/>
            </w:pPr>
          </w:p>
        </w:tc>
      </w:tr>
      <w:tr w:rsidR="00500140" w14:paraId="181C39F5" w14:textId="77777777" w:rsidTr="009E7299">
        <w:tc>
          <w:tcPr>
            <w:tcW w:w="1620" w:type="dxa"/>
            <w:gridSpan w:val="3"/>
          </w:tcPr>
          <w:p w14:paraId="1526AB65" w14:textId="5C55D5F6" w:rsidR="008F364A" w:rsidRDefault="00BD178A" w:rsidP="00423DF1">
            <w:pPr>
              <w:pStyle w:val="zSoquijlblJuge"/>
              <w:ind w:right="-142"/>
            </w:pPr>
            <w:bookmarkStart w:id="3" w:name="FORMATION"/>
            <w:r>
              <w:t>FORMATION</w:t>
            </w:r>
            <w:r w:rsidR="00B513C9">
              <w:t> </w:t>
            </w:r>
            <w:r w:rsidR="00740A17">
              <w:t>:</w:t>
            </w:r>
            <w:bookmarkEnd w:id="3"/>
          </w:p>
        </w:tc>
        <w:tc>
          <w:tcPr>
            <w:tcW w:w="2350" w:type="dxa"/>
          </w:tcPr>
          <w:p w14:paraId="0789FB17" w14:textId="5D996B55" w:rsidR="008F364A" w:rsidRDefault="00BD178A">
            <w:pPr>
              <w:pStyle w:val="zSoquijdatQteJuge"/>
            </w:pPr>
            <w:bookmarkStart w:id="4" w:name="Honorables"/>
            <w:r>
              <w:t xml:space="preserve"> </w:t>
            </w:r>
            <w:r w:rsidR="00740A17">
              <w:t>LES HONORABLES</w:t>
            </w:r>
            <w:bookmarkEnd w:id="4"/>
          </w:p>
        </w:tc>
        <w:tc>
          <w:tcPr>
            <w:tcW w:w="5390" w:type="dxa"/>
            <w:gridSpan w:val="2"/>
          </w:tcPr>
          <w:p w14:paraId="53725A13" w14:textId="77777777" w:rsidR="008F364A" w:rsidRDefault="00BD178A">
            <w:pPr>
              <w:pStyle w:val="zSoquijdatJuge"/>
            </w:pPr>
            <w:bookmarkStart w:id="5" w:name="NomJuge1"/>
            <w:r>
              <w:t>MARIE-FRANCE BICH, J.C.A.</w:t>
            </w:r>
            <w:bookmarkEnd w:id="5"/>
          </w:p>
          <w:p w14:paraId="64F677FF" w14:textId="77777777" w:rsidR="008F364A" w:rsidRDefault="00BD178A">
            <w:pPr>
              <w:pStyle w:val="zSoquijdatJuge"/>
            </w:pPr>
            <w:bookmarkStart w:id="6" w:name="NomJuge2"/>
            <w:r>
              <w:t>DOMINIQUE BÉLANGER, J.C.A.</w:t>
            </w:r>
            <w:bookmarkEnd w:id="6"/>
          </w:p>
          <w:p w14:paraId="5E665D75" w14:textId="77777777" w:rsidR="005A78BF" w:rsidRDefault="00BD178A" w:rsidP="006B7CE5">
            <w:pPr>
              <w:pStyle w:val="zSoquijdatJuge"/>
              <w:rPr>
                <w:lang w:val="de-DE"/>
              </w:rPr>
            </w:pPr>
            <w:bookmarkStart w:id="7" w:name="_Hlt520513784"/>
            <w:bookmarkStart w:id="8" w:name="NomJuge3"/>
            <w:bookmarkEnd w:id="7"/>
            <w:r>
              <w:t>SOPHIE LAVALLÉE, J.C.A.</w:t>
            </w:r>
            <w:bookmarkEnd w:id="8"/>
          </w:p>
        </w:tc>
      </w:tr>
      <w:tr w:rsidR="00500140" w14:paraId="1E3D35A6" w14:textId="77777777" w:rsidTr="009E7299">
        <w:tc>
          <w:tcPr>
            <w:tcW w:w="9360" w:type="dxa"/>
            <w:gridSpan w:val="6"/>
            <w:tcBorders>
              <w:bottom w:val="single" w:sz="8" w:space="0" w:color="auto"/>
            </w:tcBorders>
          </w:tcPr>
          <w:p w14:paraId="0DE8276D" w14:textId="77777777" w:rsidR="008F364A" w:rsidRDefault="008F364A">
            <w:pPr>
              <w:rPr>
                <w:lang w:val="de-DE"/>
              </w:rPr>
            </w:pPr>
          </w:p>
        </w:tc>
      </w:tr>
      <w:tr w:rsidR="00500140" w14:paraId="08482680" w14:textId="77777777" w:rsidTr="009E7299">
        <w:tc>
          <w:tcPr>
            <w:tcW w:w="9360" w:type="dxa"/>
            <w:gridSpan w:val="6"/>
          </w:tcPr>
          <w:p w14:paraId="2D3FEBDC" w14:textId="77777777" w:rsidR="008F364A" w:rsidRDefault="008F364A">
            <w:pPr>
              <w:pStyle w:val="zSoquijlblTitrePartie"/>
              <w:rPr>
                <w:lang w:val="de-DE"/>
              </w:rPr>
            </w:pPr>
          </w:p>
        </w:tc>
      </w:tr>
      <w:tr w:rsidR="00500140" w14:paraId="4F5121F5" w14:textId="77777777" w:rsidTr="009E7299">
        <w:tc>
          <w:tcPr>
            <w:tcW w:w="9360" w:type="dxa"/>
            <w:gridSpan w:val="6"/>
          </w:tcPr>
          <w:p w14:paraId="52F9AC3A" w14:textId="77777777" w:rsidR="008F364A" w:rsidRDefault="00BD178A">
            <w:pPr>
              <w:pStyle w:val="zSoquijdatNomPartieDem"/>
              <w:rPr>
                <w:lang w:val="de-DE"/>
              </w:rPr>
            </w:pPr>
            <w:r>
              <w:t>YVES PLAMONDON</w:t>
            </w:r>
          </w:p>
        </w:tc>
      </w:tr>
      <w:tr w:rsidR="00500140" w14:paraId="24AF5159" w14:textId="77777777" w:rsidTr="009E7299">
        <w:tc>
          <w:tcPr>
            <w:tcW w:w="9360" w:type="dxa"/>
            <w:gridSpan w:val="6"/>
          </w:tcPr>
          <w:p w14:paraId="76909BA0" w14:textId="77777777" w:rsidR="008F364A" w:rsidRDefault="00BD178A">
            <w:pPr>
              <w:pStyle w:val="zSoquijdatQtePartieDem"/>
              <w:rPr>
                <w:lang w:val="de-DE"/>
              </w:rPr>
            </w:pPr>
            <w:r>
              <w:t xml:space="preserve">APPELANT – demandeur </w:t>
            </w:r>
          </w:p>
        </w:tc>
      </w:tr>
      <w:tr w:rsidR="00500140" w14:paraId="7DB825DE" w14:textId="77777777" w:rsidTr="009E7299">
        <w:tc>
          <w:tcPr>
            <w:tcW w:w="9360" w:type="dxa"/>
            <w:gridSpan w:val="6"/>
          </w:tcPr>
          <w:p w14:paraId="74D07F7F" w14:textId="77777777" w:rsidR="008F364A" w:rsidRDefault="00BD178A">
            <w:pPr>
              <w:pStyle w:val="zSoquijlblLienParties"/>
              <w:rPr>
                <w:lang w:val="en-CA"/>
              </w:rPr>
            </w:pPr>
            <w:r>
              <w:rPr>
                <w:lang w:val="en-CA"/>
              </w:rPr>
              <w:t>c.</w:t>
            </w:r>
          </w:p>
        </w:tc>
      </w:tr>
      <w:tr w:rsidR="00500140" w14:paraId="1A485CFC" w14:textId="77777777" w:rsidTr="009E7299">
        <w:tc>
          <w:tcPr>
            <w:tcW w:w="9360" w:type="dxa"/>
            <w:gridSpan w:val="6"/>
          </w:tcPr>
          <w:p w14:paraId="1C91A3DF" w14:textId="77777777" w:rsidR="008F364A" w:rsidRDefault="008F364A">
            <w:pPr>
              <w:rPr>
                <w:lang w:val="en-CA"/>
              </w:rPr>
            </w:pPr>
          </w:p>
        </w:tc>
      </w:tr>
      <w:tr w:rsidR="00500140" w14:paraId="2C815216" w14:textId="77777777" w:rsidTr="009E7299">
        <w:tc>
          <w:tcPr>
            <w:tcW w:w="9360" w:type="dxa"/>
            <w:gridSpan w:val="6"/>
          </w:tcPr>
          <w:p w14:paraId="6523E126" w14:textId="77777777" w:rsidR="008F364A" w:rsidRDefault="00BD178A">
            <w:pPr>
              <w:pStyle w:val="zSoquijdatNomPartieDef"/>
              <w:rPr>
                <w:lang w:val="en-CA"/>
              </w:rPr>
            </w:pPr>
            <w:r>
              <w:t>PROCUREUR GÉNÉRAL DU QUÉBEC</w:t>
            </w:r>
          </w:p>
        </w:tc>
      </w:tr>
      <w:tr w:rsidR="00500140" w14:paraId="6CBB85A5" w14:textId="77777777" w:rsidTr="009E7299">
        <w:tc>
          <w:tcPr>
            <w:tcW w:w="9360" w:type="dxa"/>
            <w:gridSpan w:val="6"/>
          </w:tcPr>
          <w:p w14:paraId="7836E351" w14:textId="77777777" w:rsidR="008F364A" w:rsidRDefault="00BD178A">
            <w:pPr>
              <w:pStyle w:val="zSoquijdatQtePartieDef"/>
              <w:rPr>
                <w:lang w:val="en-CA"/>
              </w:rPr>
            </w:pPr>
            <w:r>
              <w:t xml:space="preserve">INTIMÉ – défendeur </w:t>
            </w:r>
          </w:p>
        </w:tc>
      </w:tr>
      <w:tr w:rsidR="00500140" w14:paraId="1C67E0D9" w14:textId="77777777" w:rsidTr="009E7299">
        <w:tc>
          <w:tcPr>
            <w:tcW w:w="9360" w:type="dxa"/>
            <w:gridSpan w:val="6"/>
          </w:tcPr>
          <w:p w14:paraId="71030872" w14:textId="77777777" w:rsidR="008F364A" w:rsidRDefault="008F364A">
            <w:pPr>
              <w:rPr>
                <w:lang w:val="en-CA"/>
              </w:rPr>
            </w:pPr>
          </w:p>
        </w:tc>
      </w:tr>
      <w:tr w:rsidR="00500140" w14:paraId="0F60BBB8" w14:textId="77777777" w:rsidTr="009E7299">
        <w:tc>
          <w:tcPr>
            <w:tcW w:w="9360" w:type="dxa"/>
            <w:gridSpan w:val="6"/>
            <w:tcBorders>
              <w:bottom w:val="single" w:sz="8" w:space="0" w:color="auto"/>
            </w:tcBorders>
          </w:tcPr>
          <w:p w14:paraId="4EFE5DC9" w14:textId="77777777" w:rsidR="006F0572" w:rsidRDefault="006F0572" w:rsidP="00EA7758">
            <w:bookmarkStart w:id="9" w:name="Opinion"/>
          </w:p>
        </w:tc>
      </w:tr>
      <w:tr w:rsidR="00500140" w14:paraId="74824392" w14:textId="77777777" w:rsidTr="009E7299">
        <w:tc>
          <w:tcPr>
            <w:tcW w:w="9360" w:type="dxa"/>
            <w:gridSpan w:val="6"/>
            <w:tcBorders>
              <w:top w:val="single" w:sz="8" w:space="0" w:color="auto"/>
            </w:tcBorders>
          </w:tcPr>
          <w:p w14:paraId="0D0E3134" w14:textId="77777777" w:rsidR="006F0572" w:rsidRDefault="006F0572" w:rsidP="00EA7758"/>
        </w:tc>
      </w:tr>
      <w:tr w:rsidR="00500140" w14:paraId="464D1B33" w14:textId="77777777" w:rsidTr="009E7299">
        <w:tc>
          <w:tcPr>
            <w:tcW w:w="9360" w:type="dxa"/>
            <w:gridSpan w:val="6"/>
          </w:tcPr>
          <w:p w14:paraId="44673445" w14:textId="77777777" w:rsidR="006F0572" w:rsidRDefault="00BD178A" w:rsidP="00EA7758">
            <w:pPr>
              <w:pStyle w:val="zSoquijlblOpinionJuge"/>
            </w:pPr>
            <w:r>
              <w:t>ARRÊT</w:t>
            </w:r>
          </w:p>
        </w:tc>
      </w:tr>
      <w:tr w:rsidR="00500140" w14:paraId="40FBFDD9" w14:textId="77777777" w:rsidTr="009E7299">
        <w:tc>
          <w:tcPr>
            <w:tcW w:w="9360" w:type="dxa"/>
            <w:gridSpan w:val="6"/>
            <w:tcBorders>
              <w:bottom w:val="single" w:sz="8" w:space="0" w:color="auto"/>
            </w:tcBorders>
          </w:tcPr>
          <w:p w14:paraId="17194F18" w14:textId="77777777" w:rsidR="006F0572" w:rsidRDefault="006F0572" w:rsidP="00EA7758"/>
        </w:tc>
      </w:tr>
      <w:tr w:rsidR="00500140" w14:paraId="0672631B" w14:textId="77777777" w:rsidTr="009E7299">
        <w:tc>
          <w:tcPr>
            <w:tcW w:w="9360" w:type="dxa"/>
            <w:gridSpan w:val="6"/>
            <w:tcBorders>
              <w:top w:val="single" w:sz="8" w:space="0" w:color="auto"/>
            </w:tcBorders>
          </w:tcPr>
          <w:p w14:paraId="5E77DB0C" w14:textId="77777777" w:rsidR="006F0572" w:rsidRPr="00BF3B46" w:rsidRDefault="006F0572" w:rsidP="00EA7758">
            <w:pPr>
              <w:rPr>
                <w:rFonts w:cs="Arial"/>
              </w:rPr>
            </w:pPr>
            <w:bookmarkStart w:id="10" w:name="_Hlk106269459"/>
          </w:p>
          <w:p w14:paraId="371B3832" w14:textId="0374A033" w:rsidR="00A327AF" w:rsidRPr="00BF3B46" w:rsidRDefault="00BD178A" w:rsidP="00A327AF">
            <w:pPr>
              <w:spacing w:line="240" w:lineRule="auto"/>
              <w:jc w:val="both"/>
              <w:rPr>
                <w:rFonts w:eastAsiaTheme="minorHAnsi" w:cs="Arial"/>
                <w:b/>
                <w:bCs/>
                <w:szCs w:val="24"/>
                <w:lang w:eastAsia="en-US"/>
              </w:rPr>
            </w:pPr>
            <w:r w:rsidRPr="00BF3B46">
              <w:rPr>
                <w:rFonts w:eastAsiaTheme="minorHAnsi" w:cs="Arial"/>
                <w:b/>
                <w:bCs/>
                <w:szCs w:val="24"/>
                <w:u w:val="single"/>
                <w:lang w:eastAsia="en-US"/>
              </w:rPr>
              <w:t>MISE EN GARDE</w:t>
            </w:r>
            <w:r w:rsidRPr="00BF3B46">
              <w:rPr>
                <w:rFonts w:eastAsiaTheme="minorHAnsi" w:cs="Arial"/>
                <w:b/>
                <w:bCs/>
                <w:szCs w:val="24"/>
                <w:lang w:eastAsia="en-US"/>
              </w:rPr>
              <w:t xml:space="preserve"> : Une ordonnance limitant la publication </w:t>
            </w:r>
            <w:r w:rsidR="00BA3A35" w:rsidRPr="00BF3B46">
              <w:rPr>
                <w:rFonts w:eastAsiaTheme="minorHAnsi" w:cs="Arial"/>
                <w:b/>
                <w:bCs/>
                <w:szCs w:val="24"/>
                <w:lang w:eastAsia="en-US"/>
              </w:rPr>
              <w:t xml:space="preserve">et la diffusion </w:t>
            </w:r>
            <w:r w:rsidRPr="00BF3B46">
              <w:rPr>
                <w:rFonts w:eastAsiaTheme="minorHAnsi" w:cs="Arial"/>
                <w:b/>
                <w:bCs/>
                <w:szCs w:val="24"/>
                <w:lang w:eastAsia="en-US"/>
              </w:rPr>
              <w:t xml:space="preserve">a été prononcée </w:t>
            </w:r>
            <w:r w:rsidR="005B093B">
              <w:rPr>
                <w:rFonts w:eastAsiaTheme="minorHAnsi" w:cs="Arial"/>
                <w:b/>
                <w:bCs/>
                <w:szCs w:val="24"/>
                <w:lang w:eastAsia="en-US"/>
              </w:rPr>
              <w:t xml:space="preserve">le 18 novembre 2019 </w:t>
            </w:r>
            <w:r w:rsidRPr="00BF3B46">
              <w:rPr>
                <w:rFonts w:eastAsiaTheme="minorHAnsi" w:cs="Arial"/>
                <w:b/>
                <w:bCs/>
                <w:szCs w:val="24"/>
                <w:lang w:eastAsia="en-US"/>
              </w:rPr>
              <w:t xml:space="preserve">par la Cour </w:t>
            </w:r>
            <w:r w:rsidRPr="00BF3B46">
              <w:rPr>
                <w:rFonts w:eastAsiaTheme="minorHAnsi" w:cs="Arial"/>
                <w:b/>
                <w:szCs w:val="24"/>
                <w:lang w:eastAsia="en-US"/>
              </w:rPr>
              <w:t>supérieure</w:t>
            </w:r>
            <w:r w:rsidRPr="00BF3B46">
              <w:rPr>
                <w:rFonts w:eastAsiaTheme="minorHAnsi" w:cs="Arial"/>
                <w:b/>
                <w:bCs/>
                <w:szCs w:val="24"/>
                <w:lang w:eastAsia="en-US"/>
              </w:rPr>
              <w:t xml:space="preserve">, district de </w:t>
            </w:r>
            <w:r w:rsidRPr="00BF3B46">
              <w:rPr>
                <w:rFonts w:eastAsiaTheme="minorHAnsi" w:cs="Arial"/>
                <w:b/>
                <w:szCs w:val="24"/>
                <w:lang w:eastAsia="en-US"/>
              </w:rPr>
              <w:t>Québec</w:t>
            </w:r>
            <w:r w:rsidR="00BA3A35" w:rsidRPr="00BF3B46">
              <w:rPr>
                <w:rFonts w:eastAsiaTheme="minorHAnsi" w:cs="Arial"/>
                <w:b/>
                <w:bCs/>
                <w:szCs w:val="24"/>
                <w:lang w:eastAsia="en-US"/>
              </w:rPr>
              <w:t>.</w:t>
            </w:r>
          </w:p>
          <w:p w14:paraId="1E46352B" w14:textId="784732E1" w:rsidR="00A327AF" w:rsidRPr="00BF3B46" w:rsidRDefault="00A327AF" w:rsidP="00EA7758">
            <w:pPr>
              <w:rPr>
                <w:rFonts w:cs="Arial"/>
              </w:rPr>
            </w:pPr>
          </w:p>
        </w:tc>
      </w:tr>
    </w:tbl>
    <w:bookmarkEnd w:id="10"/>
    <w:p w14:paraId="1038B718" w14:textId="7BB30A10" w:rsidR="00D73E34" w:rsidRPr="006A525F" w:rsidRDefault="00BD178A" w:rsidP="00A06898">
      <w:pPr>
        <w:pStyle w:val="Paragraphe"/>
        <w:spacing w:line="280" w:lineRule="exact"/>
        <w:rPr>
          <w:lang w:eastAsia="fr-CA"/>
        </w:rPr>
      </w:pPr>
      <w:r w:rsidRPr="006A525F">
        <w:rPr>
          <w:lang w:eastAsia="fr-CA"/>
        </w:rPr>
        <w:t>L’appelant Yves Plamondon porte en appel un jugement rendu le 14</w:t>
      </w:r>
      <w:r w:rsidR="00E27374" w:rsidRPr="006A525F">
        <w:rPr>
          <w:lang w:eastAsia="fr-CA"/>
        </w:rPr>
        <w:t> </w:t>
      </w:r>
      <w:r w:rsidRPr="006A525F">
        <w:rPr>
          <w:lang w:eastAsia="fr-CA"/>
        </w:rPr>
        <w:t>avril</w:t>
      </w:r>
      <w:r w:rsidR="00E27374" w:rsidRPr="006A525F">
        <w:rPr>
          <w:lang w:eastAsia="fr-CA"/>
        </w:rPr>
        <w:t> </w:t>
      </w:r>
      <w:r w:rsidRPr="006A525F">
        <w:rPr>
          <w:lang w:eastAsia="fr-CA"/>
        </w:rPr>
        <w:t>2020 par la Cour supérieure</w:t>
      </w:r>
      <w:r w:rsidR="00B00A40">
        <w:rPr>
          <w:lang w:eastAsia="fr-CA"/>
        </w:rPr>
        <w:t>,</w:t>
      </w:r>
      <w:r w:rsidRPr="006A525F">
        <w:rPr>
          <w:lang w:eastAsia="fr-CA"/>
        </w:rPr>
        <w:t xml:space="preserve"> district de Québec</w:t>
      </w:r>
      <w:r w:rsidR="00970AC6" w:rsidRPr="006A525F">
        <w:rPr>
          <w:lang w:eastAsia="fr-CA"/>
        </w:rPr>
        <w:t xml:space="preserve">, sous la plume de </w:t>
      </w:r>
      <w:r w:rsidRPr="006A525F">
        <w:rPr>
          <w:lang w:eastAsia="fr-CA"/>
        </w:rPr>
        <w:t>l’honorable Jean-François Émond</w:t>
      </w:r>
      <w:r>
        <w:rPr>
          <w:rStyle w:val="Appelnotedebasdep"/>
          <w:lang w:eastAsia="fr-CA"/>
        </w:rPr>
        <w:footnoteReference w:id="1"/>
      </w:r>
      <w:r w:rsidRPr="006A525F">
        <w:rPr>
          <w:lang w:eastAsia="fr-CA"/>
        </w:rPr>
        <w:t xml:space="preserve">. </w:t>
      </w:r>
    </w:p>
    <w:p w14:paraId="6AD4D102" w14:textId="1E96095E" w:rsidR="00D73E34" w:rsidRPr="006A525F" w:rsidRDefault="00BD178A" w:rsidP="00A06898">
      <w:pPr>
        <w:pStyle w:val="Paragraphe"/>
        <w:keepNext/>
        <w:keepLines/>
        <w:spacing w:line="280" w:lineRule="exact"/>
        <w:rPr>
          <w:lang w:eastAsia="fr-CA"/>
        </w:rPr>
      </w:pPr>
      <w:r w:rsidRPr="006A525F">
        <w:rPr>
          <w:lang w:eastAsia="fr-CA"/>
        </w:rPr>
        <w:lastRenderedPageBreak/>
        <w:t xml:space="preserve">Ce pourvoi est le dernier d’une série de procédures judiciaires s’étant échelonnées sur plus de </w:t>
      </w:r>
      <w:r w:rsidR="00B76944" w:rsidRPr="006A525F">
        <w:rPr>
          <w:lang w:eastAsia="fr-CA"/>
        </w:rPr>
        <w:t xml:space="preserve">30 </w:t>
      </w:r>
      <w:r w:rsidRPr="006A525F">
        <w:rPr>
          <w:lang w:eastAsia="fr-CA"/>
        </w:rPr>
        <w:t>ans. Le</w:t>
      </w:r>
      <w:r w:rsidR="00BC2FC8" w:rsidRPr="006A525F">
        <w:rPr>
          <w:lang w:eastAsia="fr-CA"/>
        </w:rPr>
        <w:t>ur</w:t>
      </w:r>
      <w:r w:rsidRPr="006A525F">
        <w:rPr>
          <w:lang w:eastAsia="fr-CA"/>
        </w:rPr>
        <w:t xml:space="preserve"> point de départ est un procès devant juge et jury ayant eu lieu au printemps 1986, au terme duquel l</w:t>
      </w:r>
      <w:r w:rsidRPr="006A525F">
        <w:t xml:space="preserve">’appelant a été trouvé coupable des meurtres au premier degré de Claude Simard, Denis Ouellet et Armand Sanschagrin. Ces derniers étaient des revendeurs de stupéfiants qui avaient des dettes de drogue envers lui. </w:t>
      </w:r>
    </w:p>
    <w:p w14:paraId="29798F4C" w14:textId="77777777" w:rsidR="00FF19DA" w:rsidRPr="006A525F" w:rsidRDefault="00BD178A" w:rsidP="00A06898">
      <w:pPr>
        <w:pStyle w:val="Paragraphe"/>
        <w:spacing w:line="280" w:lineRule="exact"/>
      </w:pPr>
      <w:r w:rsidRPr="006A525F">
        <w:t xml:space="preserve">Après avoir purgé </w:t>
      </w:r>
      <w:r w:rsidR="000D5DEC" w:rsidRPr="006A525F">
        <w:t xml:space="preserve">près de </w:t>
      </w:r>
      <w:r w:rsidRPr="006A525F">
        <w:t>28 ans de prison</w:t>
      </w:r>
      <w:r w:rsidR="0035196B" w:rsidRPr="006A525F">
        <w:t xml:space="preserve"> et avoir été libéré</w:t>
      </w:r>
      <w:r w:rsidR="00E36897" w:rsidRPr="006A525F">
        <w:t xml:space="preserve">, </w:t>
      </w:r>
      <w:r w:rsidR="0035196B" w:rsidRPr="006A525F">
        <w:t>en 2014, des accusations portées contre lui dans les circonstances que l’on verra</w:t>
      </w:r>
      <w:r w:rsidRPr="006A525F">
        <w:t>, l’appelant a intenté des procédures contre l’État, soutenant avoir été victime d’une erreur judiciaire.</w:t>
      </w:r>
    </w:p>
    <w:p w14:paraId="016329E6" w14:textId="5325EAE2" w:rsidR="00D73E34" w:rsidRPr="006A525F" w:rsidRDefault="00BD178A" w:rsidP="00A06898">
      <w:pPr>
        <w:pStyle w:val="Paragraphe"/>
        <w:spacing w:line="280" w:lineRule="exact"/>
      </w:pPr>
      <w:r w:rsidRPr="006A525F">
        <w:t xml:space="preserve">L’appelant </w:t>
      </w:r>
      <w:r w:rsidR="00B00A40">
        <w:t>prétendait</w:t>
      </w:r>
      <w:r w:rsidR="00B00A40" w:rsidRPr="006A525F">
        <w:t xml:space="preserve"> </w:t>
      </w:r>
      <w:r w:rsidRPr="006A525F">
        <w:t xml:space="preserve">que </w:t>
      </w:r>
      <w:r w:rsidR="00FF19DA" w:rsidRPr="006A525F">
        <w:t>cette erreur résultai</w:t>
      </w:r>
      <w:r w:rsidRPr="006A525F">
        <w:t xml:space="preserve">t de l’omission délibérée de la poursuite de lui </w:t>
      </w:r>
      <w:r w:rsidR="00FF19DA" w:rsidRPr="006A525F">
        <w:t>avoir divulgué</w:t>
      </w:r>
      <w:r w:rsidRPr="006A525F">
        <w:t xml:space="preserve"> des éléments de preuve essentiels</w:t>
      </w:r>
      <w:r w:rsidR="00FF19DA" w:rsidRPr="006A525F">
        <w:t>,</w:t>
      </w:r>
      <w:r w:rsidR="00875ECA" w:rsidRPr="006A525F">
        <w:t xml:space="preserve"> malgré une ordonnance prononcée par le juge </w:t>
      </w:r>
      <w:r w:rsidR="00C8216F" w:rsidRPr="006A525F">
        <w:t xml:space="preserve">Ducros lors </w:t>
      </w:r>
      <w:r w:rsidR="00875ECA" w:rsidRPr="006A525F">
        <w:t>du procès</w:t>
      </w:r>
      <w:r w:rsidR="00C8216F" w:rsidRPr="006A525F">
        <w:t xml:space="preserve"> en</w:t>
      </w:r>
      <w:r w:rsidR="00970AC6" w:rsidRPr="006A525F">
        <w:t xml:space="preserve"> 1986</w:t>
      </w:r>
      <w:r w:rsidRPr="006A525F">
        <w:t>. Celle-ci</w:t>
      </w:r>
      <w:r w:rsidR="00FF19DA" w:rsidRPr="006A525F">
        <w:t xml:space="preserve"> enjoignait</w:t>
      </w:r>
      <w:r w:rsidR="00875ECA" w:rsidRPr="006A525F">
        <w:t xml:space="preserve"> la Couronne </w:t>
      </w:r>
      <w:r w:rsidR="00970AC6" w:rsidRPr="006A525F">
        <w:t xml:space="preserve">de </w:t>
      </w:r>
      <w:r w:rsidR="00FF19DA" w:rsidRPr="006A525F">
        <w:t xml:space="preserve">lui </w:t>
      </w:r>
      <w:r w:rsidR="00875ECA" w:rsidRPr="006A525F">
        <w:t>communiquer les déclarations antérieures des témoins</w:t>
      </w:r>
      <w:r w:rsidR="00DC47CD" w:rsidRPr="006A525F">
        <w:t>, suivant l</w:t>
      </w:r>
      <w:r w:rsidR="00C8216F" w:rsidRPr="006A525F">
        <w:t>eurs témoignages respectifs</w:t>
      </w:r>
      <w:r w:rsidR="00FF19DA" w:rsidRPr="006A525F">
        <w:t xml:space="preserve"> au procès</w:t>
      </w:r>
      <w:r w:rsidR="00C8216F" w:rsidRPr="006A525F">
        <w:t>, afin</w:t>
      </w:r>
      <w:r w:rsidR="00DC47CD" w:rsidRPr="006A525F">
        <w:t xml:space="preserve"> </w:t>
      </w:r>
      <w:r w:rsidR="00C8216F" w:rsidRPr="006A525F">
        <w:t>d’</w:t>
      </w:r>
      <w:r w:rsidR="00970AC6" w:rsidRPr="006A525F">
        <w:t>assurer leur</w:t>
      </w:r>
      <w:r w:rsidR="00DC47CD" w:rsidRPr="006A525F">
        <w:t xml:space="preserve"> protection et </w:t>
      </w:r>
      <w:r w:rsidR="00970AC6" w:rsidRPr="006A525F">
        <w:t xml:space="preserve">leur </w:t>
      </w:r>
      <w:r w:rsidR="00DC47CD" w:rsidRPr="006A525F">
        <w:t>sécurité</w:t>
      </w:r>
      <w:r w:rsidRPr="006A525F">
        <w:t xml:space="preserve">. </w:t>
      </w:r>
      <w:r w:rsidR="00B00A40">
        <w:t>Selon l’appelant,</w:t>
      </w:r>
      <w:r w:rsidRPr="006A525F">
        <w:t xml:space="preserve"> cette omission a porté atteinte à son droit à une défense pleine et entière, contrevenant ainsi à l’article 7 de la </w:t>
      </w:r>
      <w:r w:rsidRPr="006A525F">
        <w:rPr>
          <w:i/>
        </w:rPr>
        <w:t>Charte canadienne des droits et libertés</w:t>
      </w:r>
      <w:r>
        <w:rPr>
          <w:rStyle w:val="Appelnotedebasdep"/>
        </w:rPr>
        <w:footnoteReference w:id="2"/>
      </w:r>
      <w:r w:rsidRPr="006A525F">
        <w:t xml:space="preserve"> (« </w:t>
      </w:r>
      <w:r w:rsidRPr="006A525F">
        <w:rPr>
          <w:i/>
        </w:rPr>
        <w:t>Charte</w:t>
      </w:r>
      <w:r w:rsidR="00745D19" w:rsidRPr="006A525F">
        <w:t> </w:t>
      </w:r>
      <w:r w:rsidRPr="006A525F">
        <w:t xml:space="preserve">») et donnant ouverture à une réclamation en dommages compensatoires et punitifs sur le fondement du paragraphe 24 (1) de la </w:t>
      </w:r>
      <w:r w:rsidRPr="006A525F">
        <w:rPr>
          <w:i/>
        </w:rPr>
        <w:t>Charte</w:t>
      </w:r>
      <w:r w:rsidRPr="006A525F">
        <w:t xml:space="preserve">. </w:t>
      </w:r>
    </w:p>
    <w:p w14:paraId="544B0CE2" w14:textId="43541FA9" w:rsidR="00D73E34" w:rsidRPr="006A525F" w:rsidRDefault="00BD178A" w:rsidP="00A06898">
      <w:pPr>
        <w:pStyle w:val="Paragraphe"/>
        <w:spacing w:line="280" w:lineRule="exact"/>
      </w:pPr>
      <w:r w:rsidRPr="006A525F">
        <w:t>À l’issue d’un procès de deux semaines, le jug</w:t>
      </w:r>
      <w:r w:rsidR="00736FE3" w:rsidRPr="006A525F">
        <w:t>e de première instance</w:t>
      </w:r>
      <w:r w:rsidRPr="006A525F">
        <w:t xml:space="preserve"> a rejeté son recours, </w:t>
      </w:r>
      <w:r w:rsidRPr="006A525F">
        <w:rPr>
          <w:rFonts w:cs="Arial"/>
        </w:rPr>
        <w:t>d'où l’appel interjeté contre son jugement.</w:t>
      </w:r>
    </w:p>
    <w:p w14:paraId="5E3A1A02" w14:textId="124AB154" w:rsidR="00D73E34" w:rsidRPr="006A525F" w:rsidRDefault="00BD178A" w:rsidP="00A06898">
      <w:pPr>
        <w:pStyle w:val="Paragraphe"/>
        <w:spacing w:line="280" w:lineRule="exact"/>
      </w:pPr>
      <w:r w:rsidRPr="006A525F">
        <w:t xml:space="preserve">L’appelant </w:t>
      </w:r>
      <w:r w:rsidRPr="006A525F">
        <w:rPr>
          <w:rFonts w:cs="Arial"/>
        </w:rPr>
        <w:t xml:space="preserve">affirme </w:t>
      </w:r>
      <w:r w:rsidR="0035196B" w:rsidRPr="006A525F">
        <w:rPr>
          <w:rFonts w:cs="Arial"/>
        </w:rPr>
        <w:t xml:space="preserve">que le juge de première instance </w:t>
      </w:r>
      <w:r w:rsidRPr="006A525F">
        <w:rPr>
          <w:rFonts w:cs="Arial"/>
        </w:rPr>
        <w:t>s’est mépris en rejetant s</w:t>
      </w:r>
      <w:r w:rsidR="00CF1521" w:rsidRPr="006A525F">
        <w:rPr>
          <w:rFonts w:cs="Arial"/>
        </w:rPr>
        <w:t>a</w:t>
      </w:r>
      <w:r w:rsidRPr="006A525F">
        <w:rPr>
          <w:rFonts w:cs="Arial"/>
        </w:rPr>
        <w:t xml:space="preserve"> </w:t>
      </w:r>
      <w:r w:rsidR="00CF1521" w:rsidRPr="006A525F">
        <w:rPr>
          <w:rFonts w:cs="Arial"/>
        </w:rPr>
        <w:t>demande</w:t>
      </w:r>
      <w:r w:rsidRPr="006A525F">
        <w:rPr>
          <w:rFonts w:cs="Arial"/>
        </w:rPr>
        <w:t xml:space="preserve">, plaidant qu’il a commis plusieurs erreurs de droit dans l’application </w:t>
      </w:r>
      <w:r w:rsidR="00C97A48" w:rsidRPr="006A525F">
        <w:rPr>
          <w:rFonts w:cs="Arial"/>
        </w:rPr>
        <w:t>de la jurisprudence applicable</w:t>
      </w:r>
      <w:r w:rsidR="00FF19DA" w:rsidRPr="006A525F">
        <w:rPr>
          <w:rFonts w:cs="Arial"/>
        </w:rPr>
        <w:t>,</w:t>
      </w:r>
      <w:r w:rsidR="00C97A48" w:rsidRPr="006A525F">
        <w:rPr>
          <w:rFonts w:cs="Arial"/>
        </w:rPr>
        <w:t xml:space="preserve"> </w:t>
      </w:r>
      <w:r w:rsidRPr="006A525F">
        <w:rPr>
          <w:rFonts w:cs="Arial"/>
        </w:rPr>
        <w:t xml:space="preserve">et erré de manière </w:t>
      </w:r>
      <w:r w:rsidRPr="006A525F">
        <w:t>manifeste et déterminante dans l’appréciation de la preuve.</w:t>
      </w:r>
    </w:p>
    <w:p w14:paraId="56819D0F" w14:textId="22F65D74" w:rsidR="00FF19DA" w:rsidRPr="006A525F" w:rsidRDefault="00BD178A" w:rsidP="00A06898">
      <w:pPr>
        <w:pStyle w:val="Paragraphe"/>
        <w:spacing w:line="280" w:lineRule="exact"/>
      </w:pPr>
      <w:r w:rsidRPr="006A525F">
        <w:t>Voyons de plus près ce qu’il en est, après avoir rappelé la trame factuelle et procédurale de cette saga judiciaire, laquelle est fort bien décrite par le juge de première instance</w:t>
      </w:r>
      <w:r>
        <w:rPr>
          <w:rStyle w:val="Appelnotedebasdep"/>
        </w:rPr>
        <w:footnoteReference w:id="3"/>
      </w:r>
      <w:r w:rsidRPr="006A525F">
        <w:t>.</w:t>
      </w:r>
    </w:p>
    <w:p w14:paraId="088216E8" w14:textId="77777777" w:rsidR="004C31FD" w:rsidRPr="006A525F" w:rsidRDefault="00BD178A" w:rsidP="00A06898">
      <w:pPr>
        <w:keepNext/>
        <w:keepLines/>
        <w:shd w:val="clear" w:color="auto" w:fill="FFFFFF"/>
        <w:spacing w:before="84" w:after="84"/>
        <w:jc w:val="center"/>
        <w:rPr>
          <w:rFonts w:cs="Arial"/>
          <w:b/>
          <w:color w:val="212121"/>
          <w:lang w:eastAsia="fr-CA"/>
        </w:rPr>
      </w:pPr>
      <w:r w:rsidRPr="006A525F">
        <w:rPr>
          <w:rFonts w:cs="Arial"/>
          <w:b/>
          <w:color w:val="212121"/>
          <w:lang w:eastAsia="fr-CA"/>
        </w:rPr>
        <w:t>-</w:t>
      </w:r>
      <w:r w:rsidR="006918D7" w:rsidRPr="006A525F">
        <w:rPr>
          <w:rFonts w:cs="Arial"/>
          <w:b/>
          <w:color w:val="212121"/>
          <w:lang w:eastAsia="fr-CA"/>
        </w:rPr>
        <w:t xml:space="preserve"> </w:t>
      </w:r>
      <w:r w:rsidRPr="006A525F">
        <w:rPr>
          <w:rFonts w:cs="Arial"/>
          <w:b/>
          <w:color w:val="212121"/>
          <w:lang w:eastAsia="fr-CA"/>
        </w:rPr>
        <w:t>I-</w:t>
      </w:r>
    </w:p>
    <w:p w14:paraId="01B56D38" w14:textId="14334AC9" w:rsidR="00B25A6F" w:rsidRPr="006A525F" w:rsidRDefault="00BD178A" w:rsidP="00A06898">
      <w:pPr>
        <w:pStyle w:val="Paragraphe"/>
        <w:spacing w:line="280" w:lineRule="exact"/>
      </w:pPr>
      <w:r w:rsidRPr="006A525F">
        <w:t>A</w:t>
      </w:r>
      <w:r w:rsidR="006918D7" w:rsidRPr="006A525F">
        <w:t>près avoir</w:t>
      </w:r>
      <w:r w:rsidRPr="006A525F">
        <w:t xml:space="preserve"> </w:t>
      </w:r>
      <w:r w:rsidR="00D33CDB" w:rsidRPr="006A525F">
        <w:t xml:space="preserve">été </w:t>
      </w:r>
      <w:r w:rsidR="0035196B" w:rsidRPr="006A525F">
        <w:t xml:space="preserve">déclaré </w:t>
      </w:r>
      <w:r w:rsidR="00D33CDB" w:rsidRPr="006A525F">
        <w:t>coupable de</w:t>
      </w:r>
      <w:r w:rsidR="006918D7" w:rsidRPr="006A525F">
        <w:t xml:space="preserve"> ce</w:t>
      </w:r>
      <w:r w:rsidR="00D33CDB" w:rsidRPr="006A525F">
        <w:t>s</w:t>
      </w:r>
      <w:r w:rsidR="00606C69" w:rsidRPr="006A525F">
        <w:t xml:space="preserve"> trois meurtres, l’appelant</w:t>
      </w:r>
      <w:r w:rsidR="004C31FD" w:rsidRPr="006A525F">
        <w:t xml:space="preserve"> </w:t>
      </w:r>
      <w:r w:rsidR="00606C69" w:rsidRPr="006A525F">
        <w:t xml:space="preserve">a porté </w:t>
      </w:r>
      <w:r w:rsidRPr="006A525F">
        <w:t xml:space="preserve">ses verdicts de culpabilité en appel, plaidant </w:t>
      </w:r>
      <w:r w:rsidR="002E4B20" w:rsidRPr="006A525F">
        <w:t xml:space="preserve">essentiellement </w:t>
      </w:r>
      <w:r w:rsidRPr="006A525F">
        <w:t>que son procès a</w:t>
      </w:r>
      <w:r w:rsidR="00606C69" w:rsidRPr="006A525F">
        <w:t>vait</w:t>
      </w:r>
      <w:r w:rsidRPr="006A525F">
        <w:t xml:space="preserve"> été entaché d’irrégularités en ce qui a trait à la </w:t>
      </w:r>
      <w:r w:rsidR="00B00A40">
        <w:t>réunion</w:t>
      </w:r>
      <w:r w:rsidR="00B00A40" w:rsidRPr="006A525F">
        <w:t xml:space="preserve"> </w:t>
      </w:r>
      <w:r w:rsidRPr="006A525F">
        <w:t xml:space="preserve">des trois chefs d’accusation, à une divulgation insuffisante de la preuve et à des directives inadéquates du juge </w:t>
      </w:r>
      <w:r w:rsidR="004C31FD" w:rsidRPr="006A525F">
        <w:t>ayant présidé</w:t>
      </w:r>
      <w:r w:rsidRPr="006A525F">
        <w:t xml:space="preserve"> le procès relativement aux témoins tarés, notamment </w:t>
      </w:r>
      <w:r w:rsidR="002E4B20" w:rsidRPr="006A525F">
        <w:t xml:space="preserve">quant au </w:t>
      </w:r>
      <w:r w:rsidRPr="006A525F">
        <w:t>témoignage de l’un de deux délateurs, André « Boule » Desbiens (« </w:t>
      </w:r>
      <w:r w:rsidR="00736FE3" w:rsidRPr="006A525F">
        <w:t xml:space="preserve">André </w:t>
      </w:r>
      <w:r w:rsidRPr="006A525F">
        <w:t>Desb</w:t>
      </w:r>
      <w:r w:rsidR="00745D19" w:rsidRPr="006A525F">
        <w:t>iens </w:t>
      </w:r>
      <w:r w:rsidRPr="006A525F">
        <w:t>»)</w:t>
      </w:r>
      <w:r w:rsidR="004C31FD" w:rsidRPr="006A525F">
        <w:t>. Ce dernier</w:t>
      </w:r>
      <w:r w:rsidR="00D33CDB" w:rsidRPr="006A525F">
        <w:t xml:space="preserve"> avait rendu </w:t>
      </w:r>
      <w:r w:rsidR="00D33CDB" w:rsidRPr="006A525F">
        <w:lastRenderedPageBreak/>
        <w:t>un</w:t>
      </w:r>
      <w:r w:rsidR="004C31FD" w:rsidRPr="006A525F">
        <w:t xml:space="preserve"> témoignage </w:t>
      </w:r>
      <w:r w:rsidR="00D33CDB" w:rsidRPr="006A525F">
        <w:t xml:space="preserve">central </w:t>
      </w:r>
      <w:r w:rsidR="004C31FD" w:rsidRPr="006A525F">
        <w:t xml:space="preserve">au </w:t>
      </w:r>
      <w:r w:rsidR="00D33CDB" w:rsidRPr="006A525F">
        <w:t xml:space="preserve">procès en affirmant </w:t>
      </w:r>
      <w:r w:rsidRPr="006A525F">
        <w:t xml:space="preserve">avoir vu </w:t>
      </w:r>
      <w:r w:rsidR="004C31FD" w:rsidRPr="006A525F">
        <w:t xml:space="preserve">l’appelant </w:t>
      </w:r>
      <w:r w:rsidRPr="006A525F">
        <w:t xml:space="preserve">tirer cinq balles dans le dos de Claude Simard avec une arme de fort calibre, en l’occurrence un.44 Magnum. </w:t>
      </w:r>
    </w:p>
    <w:p w14:paraId="282BB3E5" w14:textId="6BDF4741" w:rsidR="00B25A6F" w:rsidRPr="006A525F" w:rsidRDefault="00BD178A" w:rsidP="00A06898">
      <w:pPr>
        <w:pStyle w:val="Paragraphe"/>
        <w:spacing w:line="280" w:lineRule="exact"/>
      </w:pPr>
      <w:r w:rsidRPr="006A525F">
        <w:t>Le 27</w:t>
      </w:r>
      <w:r w:rsidR="00A264C5" w:rsidRPr="006A525F">
        <w:t> mars </w:t>
      </w:r>
      <w:r w:rsidRPr="006A525F">
        <w:t xml:space="preserve">1991, la Cour d’appel </w:t>
      </w:r>
      <w:r w:rsidR="004C31FD" w:rsidRPr="006A525F">
        <w:t>a rejeté</w:t>
      </w:r>
      <w:r w:rsidRPr="006A525F">
        <w:t xml:space="preserve"> </w:t>
      </w:r>
      <w:bookmarkStart w:id="11" w:name="_Ref31702728"/>
      <w:r w:rsidR="00D33CDB" w:rsidRPr="006A525F">
        <w:t>son appel</w:t>
      </w:r>
      <w:r>
        <w:rPr>
          <w:vertAlign w:val="superscript"/>
        </w:rPr>
        <w:footnoteReference w:id="4"/>
      </w:r>
      <w:bookmarkEnd w:id="11"/>
      <w:r w:rsidRPr="006A525F">
        <w:t>, conclu</w:t>
      </w:r>
      <w:r w:rsidR="004C31FD" w:rsidRPr="006A525F">
        <w:t>an</w:t>
      </w:r>
      <w:r w:rsidRPr="006A525F">
        <w:t xml:space="preserve">t que : </w:t>
      </w:r>
    </w:p>
    <w:p w14:paraId="5A63BF59" w14:textId="3FB0AED2" w:rsidR="00DC47CD" w:rsidRPr="006A525F" w:rsidRDefault="00BD178A" w:rsidP="00B25A6F">
      <w:pPr>
        <w:pStyle w:val="Citationenretrait"/>
        <w:numPr>
          <w:ilvl w:val="0"/>
          <w:numId w:val="19"/>
        </w:numPr>
        <w:spacing w:line="240" w:lineRule="auto"/>
      </w:pPr>
      <w:r w:rsidRPr="006A525F">
        <w:t xml:space="preserve">Le juge Jacques Ducros n’a pas erré en ne faisant pas droit à sa demande de séparer les trois chefs d’accusation, estimant, à juste titre, que la preuve relative au meurtre de Simard était pertinente et utile pour démontrer les faits similaires ou le </w:t>
      </w:r>
      <w:r w:rsidRPr="006A525F">
        <w:rPr>
          <w:i/>
        </w:rPr>
        <w:t>modus operandi</w:t>
      </w:r>
      <w:r w:rsidRPr="006A525F">
        <w:t xml:space="preserve"> utilisé lors des trois meurtres</w:t>
      </w:r>
      <w:r>
        <w:rPr>
          <w:rStyle w:val="Appelnotedebasdep"/>
        </w:rPr>
        <w:footnoteReference w:id="5"/>
      </w:r>
      <w:r w:rsidRPr="006A525F">
        <w:t>;</w:t>
      </w:r>
    </w:p>
    <w:p w14:paraId="51A27847" w14:textId="496C8C07" w:rsidR="00B25A6F" w:rsidRPr="006A525F" w:rsidRDefault="00BD178A" w:rsidP="00DC47CD">
      <w:pPr>
        <w:pStyle w:val="Citationenretrait"/>
        <w:numPr>
          <w:ilvl w:val="0"/>
          <w:numId w:val="19"/>
        </w:numPr>
        <w:spacing w:line="240" w:lineRule="auto"/>
      </w:pPr>
      <w:r w:rsidRPr="006A525F">
        <w:t xml:space="preserve">La divulgation de la preuve </w:t>
      </w:r>
      <w:r w:rsidR="00555448" w:rsidRPr="006A525F">
        <w:t xml:space="preserve">faite par la Couronne, notamment à la suite de l’ordonnance du juge Ducros, </w:t>
      </w:r>
      <w:r w:rsidRPr="006A525F">
        <w:t>était suffisante et dépassait même les exigences du</w:t>
      </w:r>
      <w:r w:rsidR="00555448" w:rsidRPr="006A525F">
        <w:t xml:space="preserve"> droit applicable en la matière</w:t>
      </w:r>
      <w:r w:rsidR="00AF07BE" w:rsidRPr="006A525F">
        <w:t xml:space="preserve">. La Cour écrit à cet égard que </w:t>
      </w:r>
      <w:r w:rsidR="00555448" w:rsidRPr="006A525F">
        <w:t>:</w:t>
      </w:r>
    </w:p>
    <w:p w14:paraId="17A6943C" w14:textId="351D9E05" w:rsidR="00555448" w:rsidRPr="006A525F" w:rsidRDefault="00BD178A" w:rsidP="00745D19">
      <w:pPr>
        <w:pStyle w:val="Citationenretrait"/>
        <w:spacing w:line="240" w:lineRule="auto"/>
        <w:ind w:left="1440" w:right="1282"/>
        <w:rPr>
          <w:sz w:val="20"/>
        </w:rPr>
      </w:pPr>
      <w:r w:rsidRPr="006A525F">
        <w:rPr>
          <w:sz w:val="20"/>
        </w:rPr>
        <w:t xml:space="preserve">Soulignant qu'il ne pouvait pas prendre à la légère ces représentations du ministère public, étant donné </w:t>
      </w:r>
      <w:r w:rsidR="00DC47CD" w:rsidRPr="006A525F">
        <w:rPr>
          <w:sz w:val="20"/>
        </w:rPr>
        <w:t>[…]</w:t>
      </w:r>
      <w:r w:rsidRPr="006A525F">
        <w:rPr>
          <w:sz w:val="20"/>
        </w:rPr>
        <w:t xml:space="preserve"> le milieu de la drogue dans lequel les trois meurtres auraient été commis</w:t>
      </w:r>
      <w:r w:rsidR="00DC47CD" w:rsidRPr="006A525F">
        <w:rPr>
          <w:sz w:val="20"/>
        </w:rPr>
        <w:t xml:space="preserve"> […]</w:t>
      </w:r>
      <w:r w:rsidRPr="006A525F">
        <w:rPr>
          <w:sz w:val="20"/>
        </w:rPr>
        <w:t>, mais soucieux de ne pas nuire à l'intérêt de l'accusé et de respecter ses droits, le premier juge précise que sur réception des déclarations extrajudiciaires visées, l'avocat de l'accusé aura le droit d'obtenir un ajournement à chaque fois qu'il l'estimera nécessaire pour préparer son contre-interrogatoire</w:t>
      </w:r>
      <w:r w:rsidR="00C162F0" w:rsidRPr="006A525F">
        <w:rPr>
          <w:sz w:val="20"/>
        </w:rPr>
        <w:t>.</w:t>
      </w:r>
      <w:r>
        <w:rPr>
          <w:rStyle w:val="Appelnotedebasdep"/>
          <w:sz w:val="20"/>
        </w:rPr>
        <w:footnoteReference w:id="6"/>
      </w:r>
    </w:p>
    <w:p w14:paraId="60ED104F" w14:textId="79A4E46B" w:rsidR="00B25A6F" w:rsidRPr="006A525F" w:rsidRDefault="00BD178A" w:rsidP="00B25A6F">
      <w:pPr>
        <w:pStyle w:val="Citationenretrait"/>
        <w:numPr>
          <w:ilvl w:val="0"/>
          <w:numId w:val="19"/>
        </w:numPr>
        <w:spacing w:line="240" w:lineRule="auto"/>
      </w:pPr>
      <w:r w:rsidRPr="006A525F">
        <w:t xml:space="preserve">Les directives relatives aux témoins tarés, notamment celles concernant </w:t>
      </w:r>
      <w:r w:rsidR="00555448" w:rsidRPr="006A525F">
        <w:t xml:space="preserve">André </w:t>
      </w:r>
      <w:r w:rsidRPr="006A525F">
        <w:t xml:space="preserve">Desbiens, le complice de l’appelant, étaient adéquates et suffisantes, considérant l’arrêt de principe </w:t>
      </w:r>
      <w:r w:rsidRPr="006A525F">
        <w:rPr>
          <w:i/>
        </w:rPr>
        <w:t>Vetrovec</w:t>
      </w:r>
      <w:bookmarkStart w:id="12" w:name="_Ref31703592"/>
      <w:r>
        <w:rPr>
          <w:vertAlign w:val="superscript"/>
        </w:rPr>
        <w:footnoteReference w:id="7"/>
      </w:r>
      <w:bookmarkEnd w:id="12"/>
      <w:r w:rsidR="009C31A4" w:rsidRPr="006A525F">
        <w:t>.</w:t>
      </w:r>
    </w:p>
    <w:p w14:paraId="0197A2B6" w14:textId="25E71C3C" w:rsidR="00B25A6F" w:rsidRPr="006A525F" w:rsidRDefault="00BD178A" w:rsidP="00A06898">
      <w:pPr>
        <w:pStyle w:val="Paragraphe"/>
        <w:spacing w:line="280" w:lineRule="exact"/>
      </w:pPr>
      <w:r w:rsidRPr="006A525F">
        <w:t xml:space="preserve">Écrivant pour la Cour, le juge René Dussault </w:t>
      </w:r>
      <w:r w:rsidR="00D33CDB" w:rsidRPr="006A525F">
        <w:t xml:space="preserve">n’a </w:t>
      </w:r>
      <w:r w:rsidR="006918D7" w:rsidRPr="006A525F">
        <w:t xml:space="preserve">alors </w:t>
      </w:r>
      <w:r w:rsidR="001B7E19" w:rsidRPr="006A525F">
        <w:t>pas manqué</w:t>
      </w:r>
      <w:r w:rsidR="002E4B20" w:rsidRPr="006A525F">
        <w:t xml:space="preserve"> de souligner </w:t>
      </w:r>
      <w:r w:rsidR="00E14321" w:rsidRPr="006A525F">
        <w:t>que</w:t>
      </w:r>
      <w:r w:rsidRPr="006A525F">
        <w:t xml:space="preserve"> </w:t>
      </w:r>
      <w:r w:rsidR="002E4B20" w:rsidRPr="006A525F">
        <w:t>c</w:t>
      </w:r>
      <w:r w:rsidRPr="006A525F">
        <w:t>es tr</w:t>
      </w:r>
      <w:r w:rsidR="00E14321" w:rsidRPr="006A525F">
        <w:t xml:space="preserve">ois verdicts de culpabilité avaient </w:t>
      </w:r>
      <w:r w:rsidR="002E4B20" w:rsidRPr="006A525F">
        <w:t xml:space="preserve">été prononcés </w:t>
      </w:r>
      <w:r w:rsidR="001B7E19" w:rsidRPr="006A525F">
        <w:t xml:space="preserve">essentiellement </w:t>
      </w:r>
      <w:r w:rsidRPr="006A525F">
        <w:t>sur la foi du témoignage</w:t>
      </w:r>
      <w:r w:rsidR="001B7E19" w:rsidRPr="006A525F">
        <w:t xml:space="preserve"> du complice et délateur </w:t>
      </w:r>
      <w:r w:rsidR="00407DBD" w:rsidRPr="006A525F">
        <w:t xml:space="preserve">André </w:t>
      </w:r>
      <w:r w:rsidR="00E14321" w:rsidRPr="006A525F">
        <w:t>Desbiens</w:t>
      </w:r>
      <w:r w:rsidR="00180860" w:rsidRPr="006A525F">
        <w:t> </w:t>
      </w:r>
      <w:r w:rsidRPr="006A525F">
        <w:t>:</w:t>
      </w:r>
    </w:p>
    <w:p w14:paraId="3149C4D5" w14:textId="77777777" w:rsidR="00B25A6F" w:rsidRPr="006A525F" w:rsidRDefault="00BD178A" w:rsidP="00B25A6F">
      <w:pPr>
        <w:pStyle w:val="Citationenretrait"/>
        <w:spacing w:line="240" w:lineRule="auto"/>
      </w:pPr>
      <w:r w:rsidRPr="006A525F">
        <w:t>Lors du procès, le ministère public fit entendre plusieurs témoins dont le principal fut André Desbiens. Ce dernier a relaté les circonstances qui ont entouré l'exécution de Claude Simard à Lac-Beauport, indiquant avoir lui-même assisté à cette exécution. Il a témoigné également d'un plan conçu par l'appelant pour exécuter Denis Ouellet et a avoué avoir caché l'arme qui aurait servi à le tuer.</w:t>
      </w:r>
    </w:p>
    <w:p w14:paraId="7610F95E" w14:textId="77777777" w:rsidR="00B25A6F" w:rsidRPr="006A525F" w:rsidRDefault="00BD178A" w:rsidP="00B25A6F">
      <w:pPr>
        <w:pStyle w:val="Citationenretrait"/>
        <w:spacing w:line="240" w:lineRule="auto"/>
      </w:pPr>
      <w:r w:rsidRPr="006A525F">
        <w:t xml:space="preserve">Desbiens a déclaré enfin avoir reçu des confidences de l'appelant concernant le meurtre d'Armand Sanschagrin. </w:t>
      </w:r>
      <w:r w:rsidRPr="006A525F">
        <w:rPr>
          <w:u w:val="single"/>
        </w:rPr>
        <w:t>Le témoignage de Desbiens fut capital. C'est essentiellement sur la foi de ce témoignage que l'appelant fut déclaré coupable de meurtre au premier degré sur chacun des trois chefs d'accusation précités.</w:t>
      </w:r>
      <w:r>
        <w:rPr>
          <w:rStyle w:val="Appelnotedebasdep"/>
        </w:rPr>
        <w:footnoteReference w:id="8"/>
      </w:r>
    </w:p>
    <w:p w14:paraId="043B7643" w14:textId="77777777" w:rsidR="00B25A6F" w:rsidRPr="006A525F" w:rsidRDefault="00BD178A" w:rsidP="00B25A6F">
      <w:pPr>
        <w:pStyle w:val="Citationenretrait"/>
        <w:spacing w:line="240" w:lineRule="auto"/>
        <w:jc w:val="right"/>
      </w:pPr>
      <w:r w:rsidRPr="006A525F">
        <w:t>[Soulignement ajouté]</w:t>
      </w:r>
    </w:p>
    <w:p w14:paraId="7834A1CF" w14:textId="6560932C" w:rsidR="00B25A6F" w:rsidRPr="006A525F" w:rsidRDefault="00BD178A" w:rsidP="00A06898">
      <w:pPr>
        <w:pStyle w:val="Paragraphe"/>
        <w:spacing w:line="280" w:lineRule="exact"/>
        <w:rPr>
          <w:sz w:val="22"/>
          <w:szCs w:val="22"/>
        </w:rPr>
      </w:pPr>
      <w:r w:rsidRPr="006A525F">
        <w:lastRenderedPageBreak/>
        <w:t>Subséquemment au prononcé de cet arrêt de la Cour, l’</w:t>
      </w:r>
      <w:r w:rsidR="002E4B20" w:rsidRPr="006A525F">
        <w:t>appelant</w:t>
      </w:r>
      <w:r w:rsidRPr="006A525F">
        <w:t xml:space="preserve"> </w:t>
      </w:r>
      <w:r w:rsidR="00D33CDB" w:rsidRPr="006A525F">
        <w:t>a entrepris des procédures</w:t>
      </w:r>
      <w:r w:rsidR="006918D7" w:rsidRPr="006A525F">
        <w:t xml:space="preserve">, qui </w:t>
      </w:r>
      <w:r w:rsidR="00365BDB" w:rsidRPr="006A525F">
        <w:t xml:space="preserve">sont </w:t>
      </w:r>
      <w:r w:rsidR="002E4B20" w:rsidRPr="006A525F">
        <w:t>décrit</w:t>
      </w:r>
      <w:r w:rsidR="001B7E19" w:rsidRPr="006A525F">
        <w:t xml:space="preserve">es </w:t>
      </w:r>
      <w:r w:rsidR="00365BDB" w:rsidRPr="006A525F">
        <w:t xml:space="preserve">ainsi </w:t>
      </w:r>
      <w:r w:rsidR="001B7E19" w:rsidRPr="006A525F">
        <w:t xml:space="preserve">par le juge </w:t>
      </w:r>
      <w:r w:rsidR="00736FE3" w:rsidRPr="006A525F">
        <w:t>de première instance :</w:t>
      </w:r>
      <w:r w:rsidRPr="006A525F">
        <w:t xml:space="preserve"> </w:t>
      </w:r>
    </w:p>
    <w:p w14:paraId="16306841" w14:textId="77777777" w:rsidR="00B25A6F" w:rsidRPr="006A525F" w:rsidRDefault="00BD178A" w:rsidP="00B25A6F">
      <w:pPr>
        <w:pStyle w:val="Citationenretrait"/>
        <w:spacing w:line="240" w:lineRule="auto"/>
      </w:pPr>
      <w:r w:rsidRPr="006A525F">
        <w:t>[16]</w:t>
      </w:r>
      <w:r w:rsidRPr="006A525F">
        <w:tab/>
        <w:t>Près de quatre ans après cet arrêt de la Cour d’appel, soit plus précisément le 24 janvier 1995, un véritable coup de théâtre survient.</w:t>
      </w:r>
    </w:p>
    <w:p w14:paraId="5A1C4860" w14:textId="43D4E7DA" w:rsidR="00B25A6F" w:rsidRPr="006A525F" w:rsidRDefault="00BD178A" w:rsidP="00B25A6F">
      <w:pPr>
        <w:pStyle w:val="Citationenretrait"/>
        <w:spacing w:line="240" w:lineRule="auto"/>
      </w:pPr>
      <w:r w:rsidRPr="006A525F">
        <w:t>[17]</w:t>
      </w:r>
      <w:r w:rsidRPr="006A525F">
        <w:tab/>
        <w:t xml:space="preserve">Atteint d’une maladie incurable et se trouvant en fin de vie, le délateur André </w:t>
      </w:r>
      <w:r w:rsidR="0035196B" w:rsidRPr="006A525F">
        <w:t>« Boule </w:t>
      </w:r>
      <w:r w:rsidRPr="006A525F">
        <w:t xml:space="preserve">» Desbiens fait une fracassante déclaration à l’avocat du demandeur Plamondon. Il déclare sous serment être l’auteur du meurtre de Claude Simard. </w:t>
      </w:r>
    </w:p>
    <w:p w14:paraId="0A115EA6" w14:textId="77777777" w:rsidR="00B25A6F" w:rsidRPr="006A525F" w:rsidRDefault="00BD178A" w:rsidP="00B25A6F">
      <w:pPr>
        <w:pStyle w:val="Citationenretrait"/>
        <w:spacing w:line="240" w:lineRule="auto"/>
      </w:pPr>
      <w:r w:rsidRPr="006A525F">
        <w:t>[18]</w:t>
      </w:r>
      <w:r w:rsidRPr="006A525F">
        <w:tab/>
        <w:t>À l’égard de cette déclaration, une mise en garde s’impose.</w:t>
      </w:r>
    </w:p>
    <w:p w14:paraId="5768BCA0" w14:textId="77777777" w:rsidR="00B25A6F" w:rsidRPr="006A525F" w:rsidRDefault="00BD178A" w:rsidP="00B25A6F">
      <w:pPr>
        <w:pStyle w:val="Citationenretrait"/>
        <w:spacing w:line="240" w:lineRule="auto"/>
      </w:pPr>
      <w:r w:rsidRPr="006A525F">
        <w:t>[19]</w:t>
      </w:r>
      <w:r w:rsidRPr="006A525F">
        <w:tab/>
        <w:t>Il faut préciser qu’elle est faite à la suite de nombreuses interventions de l’avocat du demandeur Plamondon qui, suivant les instructions de son client, cherchait depuis un certain temps à obtenir des aveux disculpatoires de la part de Desbiens.</w:t>
      </w:r>
    </w:p>
    <w:p w14:paraId="68193A69" w14:textId="77777777" w:rsidR="00B25A6F" w:rsidRPr="006A525F" w:rsidRDefault="00BD178A" w:rsidP="00B25A6F">
      <w:pPr>
        <w:pStyle w:val="Citationenretrait"/>
        <w:spacing w:line="240" w:lineRule="auto"/>
      </w:pPr>
      <w:r w:rsidRPr="006A525F">
        <w:t>[20]</w:t>
      </w:r>
      <w:r w:rsidRPr="006A525F">
        <w:tab/>
        <w:t>Quoi qu’il en soit, cette déclaration donnera lieu quelques années plus tard à une véritable saga judiciaire.</w:t>
      </w:r>
    </w:p>
    <w:p w14:paraId="2AE2CAC0" w14:textId="510A61F8" w:rsidR="00B25A6F" w:rsidRPr="006A525F" w:rsidRDefault="00BD178A" w:rsidP="00B25A6F">
      <w:pPr>
        <w:pStyle w:val="Citationenretrait"/>
        <w:spacing w:line="240" w:lineRule="auto"/>
      </w:pPr>
      <w:r w:rsidRPr="006A525F">
        <w:t>[21]</w:t>
      </w:r>
      <w:r w:rsidRPr="006A525F">
        <w:tab/>
        <w:t xml:space="preserve">Le 1er mai 1998, soit près de trois ans après qu’André </w:t>
      </w:r>
      <w:r w:rsidR="0035196B" w:rsidRPr="006A525F">
        <w:t>« Boule </w:t>
      </w:r>
      <w:r w:rsidRPr="006A525F">
        <w:t xml:space="preserve">» Desbiens ait fait cette déclaration, le demandeur Plamondon dépose une requête en rétractation de jugement </w:t>
      </w:r>
      <w:r w:rsidRPr="006A525F">
        <w:rPr>
          <w:i/>
        </w:rPr>
        <w:t>ex debito justitiae</w:t>
      </w:r>
      <w:r w:rsidRPr="006A525F">
        <w:t xml:space="preserve"> devant la Cour d’appel. Il demande à la Cour de rétracter son arrêt rendu le 27 mars 1991, de l’autoriser à invoquer la déclaration disculpatoire de Desbiens et de l’acquitter sur les trois chefs d’accusation de meurtre au premier degré ou, subsidiairement, d’ordonner la tenue d’un nouveau procès.</w:t>
      </w:r>
    </w:p>
    <w:p w14:paraId="59890436" w14:textId="77777777" w:rsidR="00B25A6F" w:rsidRPr="006A525F" w:rsidRDefault="00BD178A" w:rsidP="00B25A6F">
      <w:pPr>
        <w:pStyle w:val="Citationenretrait"/>
        <w:spacing w:line="240" w:lineRule="auto"/>
      </w:pPr>
      <w:r w:rsidRPr="006A525F">
        <w:t>[22]</w:t>
      </w:r>
      <w:r w:rsidRPr="006A525F">
        <w:tab/>
        <w:t>Le 23 septembre 1998, cette requête est présentée à la Cour d’appel.</w:t>
      </w:r>
      <w:r>
        <w:rPr>
          <w:rStyle w:val="Appelnotedebasdep"/>
          <w:kern w:val="28"/>
          <w:szCs w:val="22"/>
        </w:rPr>
        <w:footnoteReference w:id="9"/>
      </w:r>
    </w:p>
    <w:p w14:paraId="78736AFF" w14:textId="77777777" w:rsidR="00B25A6F" w:rsidRPr="006A525F" w:rsidRDefault="00BD178A" w:rsidP="00B25A6F">
      <w:pPr>
        <w:pStyle w:val="Citationenretrait"/>
        <w:spacing w:line="240" w:lineRule="auto"/>
        <w:jc w:val="right"/>
      </w:pPr>
      <w:r w:rsidRPr="006A525F">
        <w:t>[Références omises]</w:t>
      </w:r>
    </w:p>
    <w:p w14:paraId="2FFD5778" w14:textId="499DDBDC" w:rsidR="00B25A6F" w:rsidRPr="006A525F" w:rsidRDefault="00BD178A" w:rsidP="00A06898">
      <w:pPr>
        <w:pStyle w:val="Paragraphe"/>
        <w:spacing w:line="280" w:lineRule="exact"/>
      </w:pPr>
      <w:r w:rsidRPr="006A525F">
        <w:t>Dans un arrêt rendu le 30 octobre </w:t>
      </w:r>
      <w:r w:rsidR="00E14321" w:rsidRPr="006A525F">
        <w:t>1998, la Cour, sous la plume du</w:t>
      </w:r>
      <w:r w:rsidR="00D33CDB" w:rsidRPr="006A525F">
        <w:t xml:space="preserve"> juge Robert Pidgeon, a rejeté la</w:t>
      </w:r>
      <w:r w:rsidRPr="006A525F">
        <w:t xml:space="preserve"> requête en rétractation de jugement</w:t>
      </w:r>
      <w:r w:rsidR="0035196B" w:rsidRPr="006A525F">
        <w:t xml:space="preserve"> de </w:t>
      </w:r>
      <w:r w:rsidR="00D33CDB" w:rsidRPr="006A525F">
        <w:t>l’appelant</w:t>
      </w:r>
      <w:r w:rsidR="00D04552" w:rsidRPr="006A525F">
        <w:t>, a</w:t>
      </w:r>
      <w:r w:rsidR="00E14321" w:rsidRPr="006A525F">
        <w:t xml:space="preserve">ppliquant </w:t>
      </w:r>
      <w:r w:rsidRPr="006A525F">
        <w:t>les enseignements de l’arrêt</w:t>
      </w:r>
      <w:r w:rsidRPr="006A525F">
        <w:rPr>
          <w:kern w:val="24"/>
        </w:rPr>
        <w:t xml:space="preserve"> </w:t>
      </w:r>
      <w:r w:rsidRPr="006A525F">
        <w:rPr>
          <w:i/>
          <w:kern w:val="24"/>
        </w:rPr>
        <w:t>Tenorio</w:t>
      </w:r>
      <w:r>
        <w:rPr>
          <w:rStyle w:val="Appelnotedebasdep"/>
          <w:kern w:val="24"/>
        </w:rPr>
        <w:footnoteReference w:id="10"/>
      </w:r>
      <w:r w:rsidR="0035196B" w:rsidRPr="006A525F">
        <w:rPr>
          <w:kern w:val="24"/>
        </w:rPr>
        <w:t>,</w:t>
      </w:r>
      <w:r w:rsidRPr="006A525F">
        <w:rPr>
          <w:kern w:val="24"/>
        </w:rPr>
        <w:t xml:space="preserve"> selon lesquels l’existence d’un autre recours utile, en l’occurrence le recours en clémence au ministre de la Justice du Canada en vertu de l’article 690 </w:t>
      </w:r>
      <w:r w:rsidRPr="006A525F">
        <w:rPr>
          <w:i/>
          <w:kern w:val="24"/>
        </w:rPr>
        <w:t>C.cr.</w:t>
      </w:r>
      <w:r w:rsidRPr="006A525F">
        <w:rPr>
          <w:kern w:val="24"/>
        </w:rPr>
        <w:t xml:space="preserve"> (désormais l’article 696.1 </w:t>
      </w:r>
      <w:r w:rsidRPr="006A525F">
        <w:rPr>
          <w:i/>
          <w:kern w:val="24"/>
        </w:rPr>
        <w:t>C.cr.</w:t>
      </w:r>
      <w:r w:rsidRPr="006A525F">
        <w:rPr>
          <w:kern w:val="24"/>
        </w:rPr>
        <w:t xml:space="preserve">), rend </w:t>
      </w:r>
      <w:r w:rsidR="00E14321" w:rsidRPr="006A525F">
        <w:rPr>
          <w:kern w:val="24"/>
        </w:rPr>
        <w:t xml:space="preserve">impossible </w:t>
      </w:r>
      <w:r w:rsidRPr="006A525F">
        <w:rPr>
          <w:kern w:val="24"/>
        </w:rPr>
        <w:t>la rét</w:t>
      </w:r>
      <w:r w:rsidR="00E14321" w:rsidRPr="006A525F">
        <w:rPr>
          <w:kern w:val="24"/>
        </w:rPr>
        <w:t>ractation d’un arrêt</w:t>
      </w:r>
      <w:r>
        <w:rPr>
          <w:rStyle w:val="Appelnotedebasdep"/>
        </w:rPr>
        <w:footnoteReference w:id="11"/>
      </w:r>
      <w:r w:rsidRPr="006A525F">
        <w:rPr>
          <w:kern w:val="24"/>
        </w:rPr>
        <w:t>.</w:t>
      </w:r>
    </w:p>
    <w:p w14:paraId="28E24632" w14:textId="568578F3" w:rsidR="00B25A6F" w:rsidRPr="006A525F" w:rsidRDefault="00BD178A" w:rsidP="00A06898">
      <w:pPr>
        <w:pStyle w:val="Paragraphe"/>
        <w:keepNext/>
        <w:keepLines/>
        <w:spacing w:line="280" w:lineRule="exact"/>
        <w:rPr>
          <w:lang w:val="fr-FR"/>
        </w:rPr>
      </w:pPr>
      <w:r w:rsidRPr="006A525F">
        <w:lastRenderedPageBreak/>
        <w:t>Bien que le défaut de compétence de la Cour à se saisir d’une tell</w:t>
      </w:r>
      <w:r w:rsidR="00EE00B2" w:rsidRPr="006A525F">
        <w:t xml:space="preserve">e demande </w:t>
      </w:r>
      <w:r w:rsidR="00CA0E71" w:rsidRPr="006A525F">
        <w:t xml:space="preserve">de rétractation </w:t>
      </w:r>
      <w:r w:rsidR="00281F0B" w:rsidRPr="006A525F">
        <w:t>eût</w:t>
      </w:r>
      <w:r w:rsidR="00D04552" w:rsidRPr="006A525F">
        <w:t xml:space="preserve"> suffi </w:t>
      </w:r>
      <w:r w:rsidRPr="006A525F">
        <w:t xml:space="preserve">à </w:t>
      </w:r>
      <w:r w:rsidR="00B76944" w:rsidRPr="006A525F">
        <w:t xml:space="preserve">trancher le </w:t>
      </w:r>
      <w:r w:rsidRPr="006A525F">
        <w:t xml:space="preserve">recours, </w:t>
      </w:r>
      <w:r w:rsidR="006918D7" w:rsidRPr="006A525F">
        <w:t xml:space="preserve">le juge Pidgeon </w:t>
      </w:r>
      <w:r w:rsidR="00407DBD" w:rsidRPr="006A525F">
        <w:t xml:space="preserve">a </w:t>
      </w:r>
      <w:r w:rsidR="006918D7" w:rsidRPr="006A525F">
        <w:t>poursuivi</w:t>
      </w:r>
      <w:r w:rsidRPr="006A525F">
        <w:t xml:space="preserve"> son analyse, expliquant que</w:t>
      </w:r>
      <w:r w:rsidR="00CA0E71" w:rsidRPr="006A525F">
        <w:t xml:space="preserve"> si </w:t>
      </w:r>
      <w:r w:rsidR="006918D7" w:rsidRPr="006A525F">
        <w:t xml:space="preserve">la Cour </w:t>
      </w:r>
      <w:r w:rsidR="00716950" w:rsidRPr="006A525F">
        <w:t>avait été</w:t>
      </w:r>
      <w:r w:rsidR="006918D7" w:rsidRPr="006A525F">
        <w:t xml:space="preserve"> compétente pour statuer sur cette</w:t>
      </w:r>
      <w:r w:rsidRPr="006A525F">
        <w:t xml:space="preserve"> requête, elle l’aurait tout de même rejetée puisque la déclaration disculpatoire du complice et délateur </w:t>
      </w:r>
      <w:r w:rsidR="00DE4841" w:rsidRPr="006A525F">
        <w:t xml:space="preserve">André </w:t>
      </w:r>
      <w:r w:rsidRPr="006A525F">
        <w:t>Desbiens ne présentait pas de garantie</w:t>
      </w:r>
      <w:r w:rsidR="00E14321" w:rsidRPr="006A525F">
        <w:t>s</w:t>
      </w:r>
      <w:r w:rsidR="001B7E19" w:rsidRPr="006A525F">
        <w:t xml:space="preserve"> suffisantes</w:t>
      </w:r>
      <w:r w:rsidRPr="006A525F">
        <w:t xml:space="preserve"> de fiabilité</w:t>
      </w:r>
      <w:r>
        <w:rPr>
          <w:rStyle w:val="Appelnotedebasdep"/>
        </w:rPr>
        <w:footnoteReference w:id="12"/>
      </w:r>
      <w:r w:rsidR="00A844FD" w:rsidRPr="006A525F">
        <w:t>.</w:t>
      </w:r>
    </w:p>
    <w:p w14:paraId="0BABBEE3" w14:textId="3C8F7101" w:rsidR="00B25A6F" w:rsidRPr="006A525F" w:rsidRDefault="00BD178A" w:rsidP="00A06898">
      <w:pPr>
        <w:pStyle w:val="Paragraphe"/>
        <w:spacing w:line="280" w:lineRule="exact"/>
      </w:pPr>
      <w:r w:rsidRPr="006A525F">
        <w:rPr>
          <w:lang w:val="fr-FR"/>
        </w:rPr>
        <w:t>Près d’</w:t>
      </w:r>
      <w:r w:rsidRPr="006A525F">
        <w:t>un an plus tard, l</w:t>
      </w:r>
      <w:r w:rsidR="00180860" w:rsidRPr="006A525F">
        <w:t>e 10 </w:t>
      </w:r>
      <w:r w:rsidRPr="006A525F">
        <w:t>septembre</w:t>
      </w:r>
      <w:r w:rsidR="00180860" w:rsidRPr="006A525F">
        <w:t> </w:t>
      </w:r>
      <w:r w:rsidRPr="006A525F">
        <w:t xml:space="preserve">1998, </w:t>
      </w:r>
      <w:r w:rsidR="00716950" w:rsidRPr="006A525F">
        <w:t>l’appelant s’est adressé</w:t>
      </w:r>
      <w:r w:rsidRPr="006A525F">
        <w:t xml:space="preserve"> au ministre de la Justice en vertu de </w:t>
      </w:r>
      <w:r w:rsidR="00DA5F2F" w:rsidRPr="006A525F">
        <w:t xml:space="preserve">ce qui était alors </w:t>
      </w:r>
      <w:r w:rsidRPr="006A525F">
        <w:t xml:space="preserve">l’article 690 </w:t>
      </w:r>
      <w:r w:rsidRPr="006A525F">
        <w:rPr>
          <w:i/>
        </w:rPr>
        <w:t>C.cr.</w:t>
      </w:r>
      <w:r w:rsidR="00606C69" w:rsidRPr="006A525F">
        <w:t>, l’exhortant</w:t>
      </w:r>
      <w:r w:rsidRPr="006A525F">
        <w:t xml:space="preserve"> </w:t>
      </w:r>
      <w:r w:rsidR="00C62838" w:rsidRPr="006A525F">
        <w:t xml:space="preserve">à </w:t>
      </w:r>
      <w:r w:rsidRPr="006A525F">
        <w:t xml:space="preserve">renvoyer l’affaire devant la Cour, non seulement </w:t>
      </w:r>
      <w:r w:rsidR="002E4B20" w:rsidRPr="006A525F">
        <w:t xml:space="preserve">sur la foi de </w:t>
      </w:r>
      <w:r w:rsidRPr="006A525F">
        <w:t>la déclaration disculpatoire de Desbiens du 24</w:t>
      </w:r>
      <w:r w:rsidR="00180860" w:rsidRPr="006A525F">
        <w:t> </w:t>
      </w:r>
      <w:r w:rsidRPr="006A525F">
        <w:t>janvier</w:t>
      </w:r>
      <w:r w:rsidR="00180860" w:rsidRPr="006A525F">
        <w:t> </w:t>
      </w:r>
      <w:r w:rsidRPr="006A525F">
        <w:t xml:space="preserve">1995, mais également </w:t>
      </w:r>
      <w:r w:rsidR="00716950" w:rsidRPr="006A525F">
        <w:t xml:space="preserve">sur celle </w:t>
      </w:r>
      <w:r w:rsidRPr="006A525F">
        <w:t xml:space="preserve">des renseignements que pourrait prétendument fournir </w:t>
      </w:r>
      <w:r w:rsidR="00C72775" w:rsidRPr="006A525F">
        <w:t xml:space="preserve">un ancien </w:t>
      </w:r>
      <w:r w:rsidRPr="006A525F">
        <w:t>procureur de la Couronne</w:t>
      </w:r>
      <w:r w:rsidR="00C72775" w:rsidRPr="006A525F">
        <w:t xml:space="preserve"> qui était a</w:t>
      </w:r>
      <w:r w:rsidR="00DE4841" w:rsidRPr="006A525F">
        <w:t>uparavant</w:t>
      </w:r>
      <w:r w:rsidR="00C72775" w:rsidRPr="006A525F">
        <w:t xml:space="preserve"> responsable du dossier</w:t>
      </w:r>
      <w:r w:rsidRPr="006A525F">
        <w:t>.</w:t>
      </w:r>
    </w:p>
    <w:p w14:paraId="56C6D252" w14:textId="597DD9DE" w:rsidR="00716950" w:rsidRPr="006A525F" w:rsidRDefault="00BD178A" w:rsidP="00A06898">
      <w:pPr>
        <w:pStyle w:val="Paragraphe"/>
        <w:spacing w:line="280" w:lineRule="exact"/>
      </w:pPr>
      <w:r w:rsidRPr="006A525F">
        <w:t>Le m</w:t>
      </w:r>
      <w:r w:rsidR="00606C69" w:rsidRPr="006A525F">
        <w:t xml:space="preserve">inistre </w:t>
      </w:r>
      <w:r w:rsidRPr="006A525F">
        <w:t>a accepté</w:t>
      </w:r>
      <w:r w:rsidR="00B25A6F" w:rsidRPr="006A525F">
        <w:t xml:space="preserve"> de procé</w:t>
      </w:r>
      <w:r w:rsidR="00606C69" w:rsidRPr="006A525F">
        <w:t xml:space="preserve">der à une enquête, laquelle </w:t>
      </w:r>
      <w:r w:rsidRPr="006A525F">
        <w:t>a duré</w:t>
      </w:r>
      <w:r w:rsidR="0040425E" w:rsidRPr="006A525F">
        <w:t xml:space="preserve"> </w:t>
      </w:r>
      <w:r w:rsidR="00B76944" w:rsidRPr="006A525F">
        <w:t xml:space="preserve">14 </w:t>
      </w:r>
      <w:r w:rsidR="002E4B20" w:rsidRPr="006A525F">
        <w:t>ans.</w:t>
      </w:r>
      <w:r w:rsidR="00B25A6F" w:rsidRPr="006A525F">
        <w:t xml:space="preserve"> </w:t>
      </w:r>
    </w:p>
    <w:p w14:paraId="247F750C" w14:textId="3BCECDE8" w:rsidR="00B25A6F" w:rsidRPr="006A525F" w:rsidRDefault="00BD178A" w:rsidP="00A06898">
      <w:pPr>
        <w:pStyle w:val="Paragraphe"/>
        <w:spacing w:line="280" w:lineRule="exact"/>
      </w:pPr>
      <w:r w:rsidRPr="006A525F">
        <w:t>L</w:t>
      </w:r>
      <w:r w:rsidR="00716950" w:rsidRPr="006A525F">
        <w:t>e 30</w:t>
      </w:r>
      <w:r w:rsidR="00180860" w:rsidRPr="006A525F">
        <w:t> mai </w:t>
      </w:r>
      <w:r w:rsidR="00716950" w:rsidRPr="006A525F">
        <w:t>2012, le ministre n’a pas demandé</w:t>
      </w:r>
      <w:r w:rsidRPr="006A525F">
        <w:t xml:space="preserve"> à la Cour d’évaluer l’admissibilité de la déclaration disculpatoire d</w:t>
      </w:r>
      <w:r w:rsidR="00DE4841" w:rsidRPr="006A525F">
        <w:t xml:space="preserve">’André </w:t>
      </w:r>
      <w:r w:rsidRPr="006A525F">
        <w:t>Desbiens, mais</w:t>
      </w:r>
      <w:r w:rsidR="001B7E19" w:rsidRPr="006A525F">
        <w:t xml:space="preserve"> </w:t>
      </w:r>
      <w:r w:rsidR="00716950" w:rsidRPr="006A525F">
        <w:t xml:space="preserve">plutôt </w:t>
      </w:r>
      <w:r w:rsidR="001B7E19" w:rsidRPr="006A525F">
        <w:t>de se pencher sur</w:t>
      </w:r>
      <w:r w:rsidRPr="006A525F">
        <w:t xml:space="preserve"> deux questions ayant trait à des omissions </w:t>
      </w:r>
      <w:r w:rsidR="00C62838" w:rsidRPr="006A525F">
        <w:t>dans</w:t>
      </w:r>
      <w:r w:rsidRPr="006A525F">
        <w:t xml:space="preserve"> la communication de la preuve</w:t>
      </w:r>
      <w:r w:rsidR="001B7E19" w:rsidRPr="006A525F">
        <w:t>. Dans le jugement dont appel,</w:t>
      </w:r>
      <w:r w:rsidRPr="006A525F">
        <w:t xml:space="preserve"> </w:t>
      </w:r>
      <w:r w:rsidR="001B7E19" w:rsidRPr="006A525F">
        <w:t>l</w:t>
      </w:r>
      <w:r w:rsidR="00716950" w:rsidRPr="006A525F">
        <w:t>e juge en explique</w:t>
      </w:r>
      <w:r w:rsidRPr="006A525F">
        <w:t xml:space="preserve"> la teneur </w:t>
      </w:r>
      <w:r w:rsidR="00143DE8" w:rsidRPr="006A525F">
        <w:t>ainsi </w:t>
      </w:r>
      <w:r w:rsidRPr="006A525F">
        <w:t>:</w:t>
      </w:r>
    </w:p>
    <w:p w14:paraId="48BA1E5B" w14:textId="77777777" w:rsidR="00B25A6F" w:rsidRPr="006A525F" w:rsidRDefault="00BD178A" w:rsidP="008D7DDF">
      <w:pPr>
        <w:pStyle w:val="Citationenretrait"/>
      </w:pPr>
      <w:r w:rsidRPr="006A525F">
        <w:t>[29]</w:t>
      </w:r>
      <w:r w:rsidRPr="006A525F">
        <w:tab/>
        <w:t xml:space="preserve">La première question concerne les déclarations de Jean-Noël Daley et de Pierre Gaudreault des 19 et 20 août 1985. Selon les termes du Renvoi, ces déclarations n’ont pas été communiquées à la défense i.e. au demandeur Plamondon. Elles contiennent des renseignements en apparence contradictoires avec ceux qui se retrouvent aux déclarations données par ces deux mêmes témoins un mois plus tard, en septembre 1985, soit celles qui ont été communiquées à la défense. </w:t>
      </w:r>
    </w:p>
    <w:p w14:paraId="272B7076" w14:textId="77777777" w:rsidR="00B25A6F" w:rsidRPr="006A525F" w:rsidRDefault="00BD178A" w:rsidP="008D7DDF">
      <w:pPr>
        <w:pStyle w:val="Citationenretrait"/>
      </w:pPr>
      <w:r w:rsidRPr="006A525F">
        <w:t>[30]</w:t>
      </w:r>
      <w:r w:rsidRPr="006A525F">
        <w:tab/>
        <w:t>Ces déclarations des 19 et 20 août 1985 de Daley et Gaudreault ont été faites quelques jours après le meurtre de Simard. Les renseignements divergents qui se retrouvent dans ces déclarations par rapport aux renseignements apparaissant aux déclarations données par ces deux mêmes témoins, en septembre 1985, portent sur les allées et venues du demandeur Plamondon à la Taverne Desrosiers le soir du 13 août 1985, soit avant ou après le meurtre de Claude Simard, selon la thèse de chacun.</w:t>
      </w:r>
    </w:p>
    <w:p w14:paraId="48862BD1" w14:textId="61F74BA2" w:rsidR="00B25A6F" w:rsidRPr="006A525F" w:rsidRDefault="00BD178A" w:rsidP="008D7DDF">
      <w:pPr>
        <w:pStyle w:val="Citationenretrait"/>
      </w:pPr>
      <w:r w:rsidRPr="006A525F">
        <w:t>[31]</w:t>
      </w:r>
      <w:r w:rsidRPr="006A525F">
        <w:tab/>
        <w:t>Alors que dans leur première déclaration des 19 et 20 août 1985, Jean</w:t>
      </w:r>
      <w:r w:rsidR="003C2162" w:rsidRPr="006A525F">
        <w:noBreakHyphen/>
      </w:r>
      <w:r w:rsidRPr="006A525F">
        <w:t xml:space="preserve">Noël Daley et Pierre Gaudreault mentionnent que le soir du meurtre de Claude Simard [le 13 août 1985], le demandeur Plamondon a quitté la Taverne Desrosiers après 22 h 30, dans leur seconde déclaration de septembre 1985, ils affirment tous deux que le demandeur Plamondon a quitté la Taverne Desrosiers </w:t>
      </w:r>
      <w:r w:rsidRPr="006A525F">
        <w:lastRenderedPageBreak/>
        <w:t>avant 22 h 00, Gaudreault précisant même l’avoir vu quitter en compagnie de Claude Simard et d’André « Boule » Desbiens.</w:t>
      </w:r>
    </w:p>
    <w:p w14:paraId="5E4BDFAB" w14:textId="77777777" w:rsidR="00B25A6F" w:rsidRPr="006A525F" w:rsidRDefault="00BD178A" w:rsidP="007E5663">
      <w:pPr>
        <w:pStyle w:val="Citationenretrait"/>
      </w:pPr>
      <w:r w:rsidRPr="006A525F">
        <w:t>[32]</w:t>
      </w:r>
      <w:r w:rsidRPr="006A525F">
        <w:tab/>
        <w:t>Dans le contexte où le meurtre de Claude Simard a été commis dans le secteur Lac-Beauport aux alentours de 22 h 00, le Ministre estime que ces divergences constituent un élément sur lequel la Cour d’appel doit se pencher.</w:t>
      </w:r>
    </w:p>
    <w:p w14:paraId="1FD08ECC" w14:textId="77777777" w:rsidR="00B25A6F" w:rsidRPr="006A525F" w:rsidRDefault="00BD178A" w:rsidP="00B5368B">
      <w:pPr>
        <w:pStyle w:val="Citationenretrait"/>
      </w:pPr>
      <w:r w:rsidRPr="006A525F">
        <w:t>[33]</w:t>
      </w:r>
      <w:r w:rsidRPr="006A525F">
        <w:tab/>
        <w:t>La seconde question que le Ministre adresse à la Cour d’appel découle essentiellement de la première. Elle porte sur le possible parjure que les témoins Jean-Noël Daley et Pierre Gaudreault sont susceptibles d’avoir commis lors de leur témoignage au procès criminel, lorsqu’ils ont affirmé n’avoir fait qu’une seule déclaration écrite aux policiers. Cette seconde question concerne également le possible parjure de l’autre témoin délateur, soit le tueur à gages Michael Blass.</w:t>
      </w:r>
      <w:r>
        <w:rPr>
          <w:rStyle w:val="Appelnotedebasdep"/>
        </w:rPr>
        <w:footnoteReference w:id="13"/>
      </w:r>
    </w:p>
    <w:p w14:paraId="1F02DC43" w14:textId="4C1C0073" w:rsidR="00B25A6F" w:rsidRPr="006A525F" w:rsidRDefault="00BD178A" w:rsidP="00A06898">
      <w:pPr>
        <w:pStyle w:val="Paragraphe"/>
        <w:spacing w:line="280" w:lineRule="exact"/>
      </w:pPr>
      <w:r w:rsidRPr="006A525F">
        <w:t>Or, avant que la Cour</w:t>
      </w:r>
      <w:r w:rsidR="00B76944" w:rsidRPr="006A525F">
        <w:t xml:space="preserve"> décide</w:t>
      </w:r>
      <w:r w:rsidRPr="006A525F">
        <w:t xml:space="preserve"> de ce </w:t>
      </w:r>
      <w:r w:rsidR="00394A19" w:rsidRPr="006A525F">
        <w:t>r</w:t>
      </w:r>
      <w:r w:rsidRPr="006A525F">
        <w:t>envoi du ministre, les parties</w:t>
      </w:r>
      <w:r w:rsidR="002E4B20" w:rsidRPr="006A525F">
        <w:t xml:space="preserve"> ont</w:t>
      </w:r>
      <w:r w:rsidRPr="006A525F">
        <w:t xml:space="preserve"> </w:t>
      </w:r>
      <w:r w:rsidR="00C97A48" w:rsidRPr="006A525F">
        <w:t>décidé</w:t>
      </w:r>
      <w:r w:rsidR="001B7E19" w:rsidRPr="006A525F">
        <w:t xml:space="preserve"> de participer</w:t>
      </w:r>
      <w:r w:rsidRPr="006A525F">
        <w:t xml:space="preserve"> à une séance de facilitation pénale</w:t>
      </w:r>
      <w:bookmarkStart w:id="13" w:name="_Ref31702957"/>
      <w:r w:rsidRPr="006A525F">
        <w:t xml:space="preserve"> devant un juge d’appel</w:t>
      </w:r>
      <w:bookmarkEnd w:id="13"/>
      <w:r w:rsidR="002E4B20" w:rsidRPr="006A525F">
        <w:t xml:space="preserve">. </w:t>
      </w:r>
      <w:r w:rsidR="00E36897" w:rsidRPr="006A525F">
        <w:t xml:space="preserve">À l’issue de </w:t>
      </w:r>
      <w:r w:rsidR="00D072FE" w:rsidRPr="006A525F">
        <w:br/>
      </w:r>
      <w:r w:rsidR="00E36897" w:rsidRPr="006A525F">
        <w:t xml:space="preserve">celle-ci, la </w:t>
      </w:r>
      <w:r w:rsidR="00D072FE" w:rsidRPr="006A525F">
        <w:t>Cour a prononcé un arrêt, le 22 </w:t>
      </w:r>
      <w:r w:rsidR="00E36897" w:rsidRPr="006A525F">
        <w:t>novembre</w:t>
      </w:r>
      <w:r w:rsidR="00D072FE" w:rsidRPr="006A525F">
        <w:t> </w:t>
      </w:r>
      <w:r w:rsidR="00E36897" w:rsidRPr="006A525F">
        <w:t xml:space="preserve">2013, et décidé que les déclarations de Jean-Noël </w:t>
      </w:r>
      <w:r w:rsidR="00736FE3" w:rsidRPr="006A525F">
        <w:t xml:space="preserve">Daley </w:t>
      </w:r>
      <w:r w:rsidRPr="006A525F">
        <w:t xml:space="preserve">et de Pierre Gaudreault </w:t>
      </w:r>
      <w:r w:rsidR="002E4B20" w:rsidRPr="006A525F">
        <w:t>des 19 et 20</w:t>
      </w:r>
      <w:r w:rsidR="00143DE8" w:rsidRPr="006A525F">
        <w:t> </w:t>
      </w:r>
      <w:r w:rsidR="002E4B20" w:rsidRPr="006A525F">
        <w:t>août</w:t>
      </w:r>
      <w:r w:rsidR="00143DE8" w:rsidRPr="006A525F">
        <w:t> </w:t>
      </w:r>
      <w:r w:rsidR="002E4B20" w:rsidRPr="006A525F">
        <w:t>1985 constituaie</w:t>
      </w:r>
      <w:r w:rsidRPr="006A525F">
        <w:t>nt une preuve nouvelle admissible devant elle</w:t>
      </w:r>
      <w:r w:rsidR="002E4B20" w:rsidRPr="006A525F">
        <w:t>. Su</w:t>
      </w:r>
      <w:r w:rsidRPr="006A525F">
        <w:t>r le fondement de cette nouvelle preuve, elle a infirmé les trois verdicts de culpabilité rendus le 18 avril 1986 et ordonné la tenue d’un nouveau procès sur les trois chefs d’accusation</w:t>
      </w:r>
      <w:bookmarkStart w:id="14" w:name="_Ref31703003"/>
      <w:r>
        <w:rPr>
          <w:vertAlign w:val="superscript"/>
        </w:rPr>
        <w:footnoteReference w:id="14"/>
      </w:r>
      <w:bookmarkEnd w:id="14"/>
      <w:r w:rsidR="00143DE8" w:rsidRPr="006A525F">
        <w:t>, en ces termes </w:t>
      </w:r>
      <w:r w:rsidRPr="006A525F">
        <w:t>:</w:t>
      </w:r>
    </w:p>
    <w:p w14:paraId="4BC8BA00" w14:textId="77777777" w:rsidR="00B25A6F" w:rsidRPr="006A525F" w:rsidRDefault="00BD178A" w:rsidP="00B25A6F">
      <w:pPr>
        <w:spacing w:before="120" w:after="120"/>
        <w:ind w:left="720" w:right="720"/>
        <w:jc w:val="both"/>
        <w:rPr>
          <w:kern w:val="24"/>
          <w:sz w:val="22"/>
        </w:rPr>
      </w:pPr>
      <w:r w:rsidRPr="006A525F">
        <w:rPr>
          <w:kern w:val="24"/>
          <w:sz w:val="22"/>
        </w:rPr>
        <w:t>[</w:t>
      </w:r>
      <w:bookmarkStart w:id="15" w:name="par9"/>
      <w:r w:rsidRPr="006A525F">
        <w:rPr>
          <w:kern w:val="24"/>
          <w:sz w:val="22"/>
        </w:rPr>
        <w:t>9</w:t>
      </w:r>
      <w:bookmarkEnd w:id="15"/>
      <w:r w:rsidRPr="006A525F">
        <w:rPr>
          <w:kern w:val="24"/>
          <w:sz w:val="22"/>
        </w:rPr>
        <w:t>]</w:t>
      </w:r>
      <w:r w:rsidRPr="006A525F">
        <w:rPr>
          <w:kern w:val="24"/>
          <w:sz w:val="22"/>
        </w:rPr>
        <w:tab/>
        <w:t>Les parties ont requis la tenue d’une conférence de facilitation pénale, sans audience. Elles conviennent que le fait que deux déclarations datées n’aient pas été remises à la défense lors du procès porte atteinte à l’équité de celui-ci. En effet, les différences entre les déclarations divulguées et celles non divulguées portent sur les heures où étaient présents la victime, Claude Simard, André Desbiens et l’appelant à la Taverne Desrosiers, sur le moment où ils ont quitté l’établissement et sur le fait qu’ils ont ou non quitté ensemble cet endroit. Au procès, ces témoins ont confirmé le départ de l’appelant de la taverne peu après 21 h 30 et son retour seul plus tard en soirée. Ces faits corroboraient le témoignage d’André Desbiens. Pierre Gaudreault a d’ailleurs référé plusieurs fois à sa déclaration (non datée) dans son témoignage.</w:t>
      </w:r>
    </w:p>
    <w:p w14:paraId="6E946CA9" w14:textId="6705DDB9" w:rsidR="00B25A6F" w:rsidRPr="006A525F" w:rsidRDefault="00BD178A" w:rsidP="00B25A6F">
      <w:pPr>
        <w:spacing w:before="120" w:after="120"/>
        <w:ind w:left="720" w:right="720"/>
        <w:jc w:val="both"/>
        <w:rPr>
          <w:kern w:val="24"/>
          <w:sz w:val="22"/>
        </w:rPr>
      </w:pPr>
      <w:r w:rsidRPr="006A525F">
        <w:rPr>
          <w:kern w:val="24"/>
          <w:sz w:val="22"/>
        </w:rPr>
        <w:t>[</w:t>
      </w:r>
      <w:bookmarkStart w:id="16" w:name="par10"/>
      <w:r w:rsidRPr="006A525F">
        <w:rPr>
          <w:kern w:val="24"/>
          <w:sz w:val="22"/>
        </w:rPr>
        <w:t>10</w:t>
      </w:r>
      <w:bookmarkEnd w:id="16"/>
      <w:r w:rsidRPr="006A525F">
        <w:rPr>
          <w:kern w:val="24"/>
          <w:sz w:val="22"/>
        </w:rPr>
        <w:t>]</w:t>
      </w:r>
      <w:r w:rsidRPr="006A525F">
        <w:rPr>
          <w:kern w:val="24"/>
          <w:sz w:val="22"/>
        </w:rPr>
        <w:tab/>
        <w:t xml:space="preserve">Pour obtenir une ordonnance de nouveau procès, les parties font valoir que l’appelant doit établir une possibilité raisonnable que le fait que l’intimée n’ait pas communiqué ces deux déclarations a porté atteinte à l’équité globale du procès. Elles sont d’accord que c’est le cas en l’espèce et la Cour partage cet avis. Si l’avocat de l’appelant avait eu connaissance des déclarations non divulguées, il aurait pu les utiliser pour affaiblir la preuve du ministère public en contre-interrogeant les témoins sur les modifications apportées aux deuxièmes déclarations et sur les circonstances dans lesquelles elles ont été faites. Comme </w:t>
      </w:r>
      <w:r w:rsidRPr="006A525F">
        <w:rPr>
          <w:kern w:val="24"/>
          <w:sz w:val="22"/>
        </w:rPr>
        <w:lastRenderedPageBreak/>
        <w:t xml:space="preserve">les parties le proposent, la Cour conclut que la preuve nouvelle que constituent les deux déclarations non communiquées à la défense justifie la tenue d’un nouveau procès. </w:t>
      </w:r>
    </w:p>
    <w:p w14:paraId="4F19875B" w14:textId="77777777" w:rsidR="00B25A6F" w:rsidRPr="006A525F" w:rsidRDefault="00BD178A" w:rsidP="00B25A6F">
      <w:pPr>
        <w:spacing w:before="120" w:after="120"/>
        <w:ind w:left="720" w:right="720"/>
        <w:jc w:val="both"/>
        <w:rPr>
          <w:kern w:val="24"/>
          <w:sz w:val="22"/>
        </w:rPr>
      </w:pPr>
      <w:r w:rsidRPr="006A525F">
        <w:rPr>
          <w:kern w:val="24"/>
          <w:sz w:val="22"/>
        </w:rPr>
        <w:t>[</w:t>
      </w:r>
      <w:bookmarkStart w:id="17" w:name="par11"/>
      <w:r w:rsidRPr="006A525F">
        <w:rPr>
          <w:kern w:val="24"/>
          <w:sz w:val="22"/>
        </w:rPr>
        <w:t>11</w:t>
      </w:r>
      <w:bookmarkEnd w:id="17"/>
      <w:r w:rsidRPr="006A525F">
        <w:rPr>
          <w:kern w:val="24"/>
          <w:sz w:val="22"/>
        </w:rPr>
        <w:t>]</w:t>
      </w:r>
      <w:r w:rsidRPr="006A525F">
        <w:rPr>
          <w:kern w:val="24"/>
          <w:sz w:val="22"/>
        </w:rPr>
        <w:tab/>
        <w:t>Par ailleurs, considérant que certains éléments de preuve (le mobile, le moyen pour attirer les victimes [soit un piège], les victimes ont été tuées par balles dans le dos, les lieux des meurtres étaient des endroits isolés connus de l’appelant) ont été plaidés relativement aux trois meurtres et que la preuve sur les meurtres d’Armand Sanschagrin et de Denis Ouellet reposait aussi sur le témoignage d’André Desbiens, l’ordonnance de nouveau procès devrait, selon les parties, viser les trois chefs d’accusation.</w:t>
      </w:r>
    </w:p>
    <w:p w14:paraId="216A808F" w14:textId="77777777" w:rsidR="00B25A6F" w:rsidRPr="006A525F" w:rsidRDefault="00BD178A" w:rsidP="00B25A6F">
      <w:pPr>
        <w:spacing w:before="120" w:after="120"/>
        <w:ind w:left="720" w:right="720"/>
        <w:jc w:val="both"/>
        <w:rPr>
          <w:kern w:val="24"/>
          <w:sz w:val="22"/>
        </w:rPr>
      </w:pPr>
      <w:r w:rsidRPr="006A525F">
        <w:rPr>
          <w:kern w:val="24"/>
          <w:sz w:val="22"/>
        </w:rPr>
        <w:t>[</w:t>
      </w:r>
      <w:bookmarkStart w:id="18" w:name="par12"/>
      <w:r w:rsidRPr="006A525F">
        <w:rPr>
          <w:kern w:val="24"/>
          <w:sz w:val="22"/>
        </w:rPr>
        <w:t>12</w:t>
      </w:r>
      <w:bookmarkEnd w:id="18"/>
      <w:r w:rsidRPr="006A525F">
        <w:rPr>
          <w:kern w:val="24"/>
          <w:sz w:val="22"/>
        </w:rPr>
        <w:t>]</w:t>
      </w:r>
      <w:r w:rsidRPr="006A525F">
        <w:rPr>
          <w:kern w:val="24"/>
          <w:sz w:val="22"/>
        </w:rPr>
        <w:tab/>
        <w:t>La Cour partage également ce point de vue. Considérant que la réponse à la première question est affirmative et considérant l’impact de l’absence de divulgation sur l’équité du procès, il y a donc lieu d’ordonner un nouveau procès sans qu’il soit nécessaire de se prononcer sur la deuxième question du renvoi.</w:t>
      </w:r>
      <w:r>
        <w:rPr>
          <w:rStyle w:val="Appelnotedebasdep"/>
          <w:kern w:val="24"/>
          <w:sz w:val="22"/>
        </w:rPr>
        <w:footnoteReference w:id="15"/>
      </w:r>
    </w:p>
    <w:p w14:paraId="695D4199" w14:textId="09890B43" w:rsidR="008D7DDF" w:rsidRPr="006A525F" w:rsidRDefault="00BD178A" w:rsidP="00A06898">
      <w:pPr>
        <w:pStyle w:val="Citationenretrait"/>
        <w:jc w:val="right"/>
      </w:pPr>
      <w:r w:rsidRPr="006A525F">
        <w:t>[Renvoi omis]</w:t>
      </w:r>
    </w:p>
    <w:p w14:paraId="0DD2A0E7" w14:textId="0877EEA2" w:rsidR="00B25A6F" w:rsidRPr="006A525F" w:rsidRDefault="00BD178A" w:rsidP="00A06898">
      <w:pPr>
        <w:pStyle w:val="Paragraphe"/>
        <w:spacing w:line="280" w:lineRule="exact"/>
      </w:pPr>
      <w:r w:rsidRPr="006A525F">
        <w:t>L</w:t>
      </w:r>
      <w:r w:rsidR="00716950" w:rsidRPr="006A525F">
        <w:t xml:space="preserve">e </w:t>
      </w:r>
      <w:r w:rsidR="00143DE8" w:rsidRPr="006A525F">
        <w:t>23 </w:t>
      </w:r>
      <w:r w:rsidRPr="006A525F">
        <w:t>janvier</w:t>
      </w:r>
      <w:r w:rsidR="00143DE8" w:rsidRPr="006A525F">
        <w:t> </w:t>
      </w:r>
      <w:r w:rsidRPr="006A525F">
        <w:t xml:space="preserve">2014, après avoir été détenu pendant près de 28 ans, l’appelant </w:t>
      </w:r>
      <w:r w:rsidR="0040425E" w:rsidRPr="006A525F">
        <w:t>–</w:t>
      </w:r>
      <w:r w:rsidR="001B7E19" w:rsidRPr="006A525F">
        <w:t xml:space="preserve"> </w:t>
      </w:r>
      <w:r w:rsidRPr="006A525F">
        <w:t>avec le consentement de l’intimée</w:t>
      </w:r>
      <w:r w:rsidR="001B7E19" w:rsidRPr="006A525F">
        <w:t xml:space="preserve"> </w:t>
      </w:r>
      <w:r w:rsidR="0040425E" w:rsidRPr="006A525F">
        <w:t>–</w:t>
      </w:r>
      <w:r w:rsidRPr="006A525F">
        <w:t xml:space="preserve"> est libéré sous caution</w:t>
      </w:r>
      <w:r w:rsidR="00716950" w:rsidRPr="006A525F">
        <w:t>,</w:t>
      </w:r>
      <w:r w:rsidRPr="006A525F">
        <w:t xml:space="preserve"> dans l’attente de son nouveau procès de</w:t>
      </w:r>
      <w:r w:rsidR="001B7E19" w:rsidRPr="006A525F">
        <w:t>vant la Cour supérieure</w:t>
      </w:r>
      <w:r w:rsidRPr="006A525F">
        <w:t>, qui devait débuter le 28 avril 2014</w:t>
      </w:r>
      <w:r w:rsidR="001B7E19" w:rsidRPr="006A525F">
        <w:t xml:space="preserve">. </w:t>
      </w:r>
      <w:r w:rsidRPr="006A525F">
        <w:t>Or</w:t>
      </w:r>
      <w:r w:rsidR="001B7E19" w:rsidRPr="006A525F">
        <w:t xml:space="preserve">, le </w:t>
      </w:r>
      <w:r w:rsidRPr="006A525F">
        <w:t>1</w:t>
      </w:r>
      <w:r w:rsidR="001B7E19" w:rsidRPr="006A525F">
        <w:t xml:space="preserve">3 mars 2014, la poursuite </w:t>
      </w:r>
      <w:r w:rsidR="00716950" w:rsidRPr="006A525F">
        <w:t xml:space="preserve">a </w:t>
      </w:r>
      <w:r w:rsidR="00EC1B3A" w:rsidRPr="006A525F">
        <w:t>d</w:t>
      </w:r>
      <w:r w:rsidR="00716950" w:rsidRPr="006A525F">
        <w:t>éposé</w:t>
      </w:r>
      <w:r w:rsidRPr="006A525F">
        <w:t xml:space="preserve"> deux ordonnances d’arrêt de</w:t>
      </w:r>
      <w:r w:rsidR="00EC1B3A" w:rsidRPr="006A525F">
        <w:t>s</w:t>
      </w:r>
      <w:r w:rsidRPr="006A525F">
        <w:t xml:space="preserve"> procédures </w:t>
      </w:r>
      <w:r w:rsidRPr="006A525F">
        <w:rPr>
          <w:i/>
        </w:rPr>
        <w:t>nolle prosequi</w:t>
      </w:r>
      <w:r w:rsidRPr="006A525F">
        <w:t xml:space="preserve"> en vertu de l’article 579</w:t>
      </w:r>
      <w:r w:rsidR="00143DE8" w:rsidRPr="006A525F">
        <w:t xml:space="preserve"> </w:t>
      </w:r>
      <w:r w:rsidRPr="006A525F">
        <w:rPr>
          <w:i/>
        </w:rPr>
        <w:t>C.cr.</w:t>
      </w:r>
      <w:r w:rsidRPr="006A525F">
        <w:t xml:space="preserve"> concernant les accusations pour les meurtres prémédités d’Armand Sanschagrin et de Denis Ouellet</w:t>
      </w:r>
      <w:bookmarkStart w:id="19" w:name="_Ref37080484"/>
      <w:r w:rsidRPr="006A525F">
        <w:t xml:space="preserve">. </w:t>
      </w:r>
      <w:r w:rsidR="00716950" w:rsidRPr="006A525F">
        <w:t xml:space="preserve">De plus, elle a informé </w:t>
      </w:r>
      <w:r w:rsidRPr="006A525F">
        <w:t xml:space="preserve">le tribunal qu’en raison </w:t>
      </w:r>
      <w:bookmarkEnd w:id="19"/>
      <w:r w:rsidRPr="006A525F">
        <w:t>du délai de 30</w:t>
      </w:r>
      <w:r w:rsidR="00143DE8" w:rsidRPr="006A525F">
        <w:t xml:space="preserve"> </w:t>
      </w:r>
      <w:r w:rsidRPr="006A525F">
        <w:t>ans écoulé depuis le meurtre de Claude Simard, l</w:t>
      </w:r>
      <w:r w:rsidR="00EC1B3A" w:rsidRPr="006A525F">
        <w:t xml:space="preserve">es pièces déposées </w:t>
      </w:r>
      <w:r w:rsidR="00716950" w:rsidRPr="006A525F">
        <w:t>au procès avaient été détruites</w:t>
      </w:r>
      <w:r w:rsidR="00EC1B3A" w:rsidRPr="006A525F">
        <w:t xml:space="preserve"> </w:t>
      </w:r>
      <w:r w:rsidR="00716950" w:rsidRPr="006A525F">
        <w:t xml:space="preserve">et </w:t>
      </w:r>
      <w:r w:rsidRPr="006A525F">
        <w:t>des témoins</w:t>
      </w:r>
      <w:r w:rsidR="009136D6" w:rsidRPr="006A525F">
        <w:t xml:space="preserve"> </w:t>
      </w:r>
      <w:r w:rsidRPr="006A525F">
        <w:t>c</w:t>
      </w:r>
      <w:r w:rsidR="00EC1B3A" w:rsidRPr="006A525F">
        <w:t>lés</w:t>
      </w:r>
      <w:r w:rsidR="001B7E19" w:rsidRPr="006A525F">
        <w:t xml:space="preserve">, tels que </w:t>
      </w:r>
      <w:r w:rsidR="00736FE3" w:rsidRPr="006A525F">
        <w:t xml:space="preserve">André </w:t>
      </w:r>
      <w:r w:rsidR="001B7E19" w:rsidRPr="006A525F">
        <w:t>Desbiens,</w:t>
      </w:r>
      <w:r w:rsidR="00EC1B3A" w:rsidRPr="006A525F">
        <w:t xml:space="preserve"> étaient</w:t>
      </w:r>
      <w:r w:rsidR="001B7E19" w:rsidRPr="006A525F">
        <w:t xml:space="preserve"> décédés</w:t>
      </w:r>
      <w:r w:rsidR="008D7DDF" w:rsidRPr="006A525F">
        <w:t>.</w:t>
      </w:r>
      <w:r w:rsidR="00D263DA" w:rsidRPr="006A525F">
        <w:t xml:space="preserve"> </w:t>
      </w:r>
      <w:r w:rsidR="008D7DDF" w:rsidRPr="006A525F">
        <w:t xml:space="preserve">La </w:t>
      </w:r>
      <w:r w:rsidR="00B5368B" w:rsidRPr="006A525F">
        <w:t>Couronne</w:t>
      </w:r>
      <w:r w:rsidR="008D7DDF" w:rsidRPr="006A525F">
        <w:t xml:space="preserve"> </w:t>
      </w:r>
      <w:r w:rsidR="00EC1B3A" w:rsidRPr="006A525F">
        <w:t>n’était</w:t>
      </w:r>
      <w:r w:rsidRPr="006A525F">
        <w:t xml:space="preserve"> </w:t>
      </w:r>
      <w:r w:rsidR="00716950" w:rsidRPr="006A525F">
        <w:t xml:space="preserve">donc </w:t>
      </w:r>
      <w:r w:rsidRPr="006A525F">
        <w:t>plus en m</w:t>
      </w:r>
      <w:r w:rsidR="00EC1B3A" w:rsidRPr="006A525F">
        <w:t>esure de présenter une preuve démontrant</w:t>
      </w:r>
      <w:r w:rsidR="00143DE8" w:rsidRPr="006A525F">
        <w:t xml:space="preserve"> hors de tout d</w:t>
      </w:r>
      <w:r w:rsidRPr="006A525F">
        <w:t xml:space="preserve">oute raisonnable la commission de ce meurtre. </w:t>
      </w:r>
      <w:r w:rsidR="00825697" w:rsidRPr="006A525F">
        <w:t>Da</w:t>
      </w:r>
      <w:r w:rsidR="00EC1B3A" w:rsidRPr="006A525F">
        <w:t>ns ces circonstances</w:t>
      </w:r>
      <w:r w:rsidR="00825697" w:rsidRPr="006A525F">
        <w:t>,</w:t>
      </w:r>
      <w:r w:rsidRPr="006A525F">
        <w:t xml:space="preserve"> </w:t>
      </w:r>
      <w:r w:rsidR="00716950" w:rsidRPr="006A525F">
        <w:t>l’appelant a été</w:t>
      </w:r>
      <w:r w:rsidRPr="006A525F">
        <w:t xml:space="preserve"> acquitté </w:t>
      </w:r>
      <w:r w:rsidR="00EC1B3A" w:rsidRPr="006A525F">
        <w:t xml:space="preserve">de l’accusation pour le </w:t>
      </w:r>
      <w:r w:rsidRPr="006A525F">
        <w:t>meurtre de Claude Simard.</w:t>
      </w:r>
    </w:p>
    <w:p w14:paraId="6473852C" w14:textId="77777777" w:rsidR="00716950" w:rsidRPr="006A525F" w:rsidRDefault="00BD178A" w:rsidP="00A06898">
      <w:pPr>
        <w:pStyle w:val="Paragraphe"/>
        <w:spacing w:line="280" w:lineRule="exact"/>
      </w:pPr>
      <w:r w:rsidRPr="006A525F">
        <w:t xml:space="preserve">Dans les faits, les </w:t>
      </w:r>
      <w:r w:rsidRPr="006A525F">
        <w:rPr>
          <w:i/>
        </w:rPr>
        <w:t>nolle prosequi</w:t>
      </w:r>
      <w:r w:rsidRPr="006A525F">
        <w:t xml:space="preserve"> et l’acquittement de l’appelant pour le meurtre de Claude Simard </w:t>
      </w:r>
      <w:r w:rsidR="00825697" w:rsidRPr="006A525F">
        <w:t xml:space="preserve">ont mis </w:t>
      </w:r>
      <w:r w:rsidRPr="006A525F">
        <w:t>un terme aux procédures criminelles entreprises contre lui.</w:t>
      </w:r>
      <w:r w:rsidR="00EE00B2" w:rsidRPr="006A525F">
        <w:t xml:space="preserve"> </w:t>
      </w:r>
    </w:p>
    <w:p w14:paraId="3EC8DF39" w14:textId="4DADADA7" w:rsidR="00716950" w:rsidRPr="006A525F" w:rsidRDefault="00BD178A" w:rsidP="00A06898">
      <w:pPr>
        <w:pStyle w:val="Paragraphe"/>
        <w:spacing w:line="280" w:lineRule="exact"/>
      </w:pPr>
      <w:r w:rsidRPr="006A525F">
        <w:t>Toutefois, comme l’explique</w:t>
      </w:r>
      <w:r w:rsidR="00825697" w:rsidRPr="006A525F">
        <w:t xml:space="preserve"> le juge </w:t>
      </w:r>
      <w:r w:rsidR="00736FE3" w:rsidRPr="006A525F">
        <w:t>de première instance</w:t>
      </w:r>
      <w:r w:rsidR="00825697" w:rsidRPr="006A525F">
        <w:t>, elles n’ont pas mis</w:t>
      </w:r>
      <w:r w:rsidRPr="006A525F">
        <w:t xml:space="preserve"> </w:t>
      </w:r>
      <w:r w:rsidR="00825697" w:rsidRPr="006A525F">
        <w:t xml:space="preserve">fin au contentieux </w:t>
      </w:r>
      <w:r w:rsidRPr="006A525F">
        <w:t>opposant l</w:t>
      </w:r>
      <w:r w:rsidR="00736FE3" w:rsidRPr="006A525F">
        <w:t>’appelant</w:t>
      </w:r>
      <w:r w:rsidRPr="006A525F">
        <w:t xml:space="preserve"> au ministère public et au PGQ. Au contraire, elles </w:t>
      </w:r>
      <w:r w:rsidR="00825697" w:rsidRPr="006A525F">
        <w:t xml:space="preserve">ont constitué </w:t>
      </w:r>
      <w:r w:rsidRPr="006A525F">
        <w:t>la pierre d’assise de son recours en dommages-intérêts contre l’É</w:t>
      </w:r>
      <w:r w:rsidR="00825697" w:rsidRPr="006A525F">
        <w:t>tat, sur le fondement de l’article 7 et du</w:t>
      </w:r>
      <w:r w:rsidR="00143DE8" w:rsidRPr="006A525F">
        <w:t xml:space="preserve"> paragraphe 24 </w:t>
      </w:r>
      <w:r w:rsidRPr="006A525F">
        <w:t xml:space="preserve">(1) de la </w:t>
      </w:r>
      <w:r w:rsidRPr="006A525F">
        <w:rPr>
          <w:i/>
        </w:rPr>
        <w:t>Charte</w:t>
      </w:r>
      <w:r>
        <w:rPr>
          <w:rStyle w:val="Appelnotedebasdep"/>
        </w:rPr>
        <w:footnoteReference w:id="16"/>
      </w:r>
      <w:r w:rsidRPr="006A525F">
        <w:t>.</w:t>
      </w:r>
    </w:p>
    <w:p w14:paraId="3B28594F" w14:textId="77777777" w:rsidR="00B25A6F" w:rsidRPr="006A525F" w:rsidRDefault="00BD178A" w:rsidP="00A06898">
      <w:pPr>
        <w:keepNext/>
        <w:keepLines/>
        <w:pageBreakBefore/>
        <w:spacing w:before="120" w:after="120" w:line="240" w:lineRule="auto"/>
        <w:jc w:val="center"/>
        <w:rPr>
          <w:b/>
          <w:lang w:eastAsia="fr-CA"/>
        </w:rPr>
      </w:pPr>
      <w:r w:rsidRPr="006A525F">
        <w:rPr>
          <w:b/>
          <w:lang w:eastAsia="fr-CA"/>
        </w:rPr>
        <w:lastRenderedPageBreak/>
        <w:t>- II-</w:t>
      </w:r>
    </w:p>
    <w:p w14:paraId="15F7101B" w14:textId="5E43EA5C" w:rsidR="00EE00B2" w:rsidRPr="006A525F" w:rsidRDefault="00BD178A" w:rsidP="00A06898">
      <w:pPr>
        <w:pStyle w:val="Paragraphe"/>
        <w:spacing w:line="280" w:lineRule="exact"/>
      </w:pPr>
      <w:r w:rsidRPr="006A525F">
        <w:rPr>
          <w:lang w:eastAsia="fr-CA"/>
        </w:rPr>
        <w:t xml:space="preserve">Au terme d’un procès de deux semaines, le juge </w:t>
      </w:r>
      <w:r w:rsidR="00EC1B3A" w:rsidRPr="006A525F">
        <w:rPr>
          <w:lang w:eastAsia="fr-CA"/>
        </w:rPr>
        <w:t>a conclu</w:t>
      </w:r>
      <w:r w:rsidRPr="006A525F">
        <w:rPr>
          <w:lang w:eastAsia="fr-CA"/>
        </w:rPr>
        <w:t xml:space="preserve"> que </w:t>
      </w:r>
      <w:r w:rsidR="00EC1B3A" w:rsidRPr="006A525F">
        <w:rPr>
          <w:lang w:eastAsia="fr-CA"/>
        </w:rPr>
        <w:t>la preuve prépondérante démontrait</w:t>
      </w:r>
      <w:r w:rsidRPr="006A525F">
        <w:rPr>
          <w:lang w:eastAsia="fr-CA"/>
        </w:rPr>
        <w:t xml:space="preserve"> que :</w:t>
      </w:r>
    </w:p>
    <w:p w14:paraId="42319E92" w14:textId="77777777" w:rsidR="00EE00B2" w:rsidRPr="006A525F" w:rsidRDefault="00BD178A" w:rsidP="00EE00B2">
      <w:pPr>
        <w:pStyle w:val="Citationenretrait"/>
        <w:numPr>
          <w:ilvl w:val="0"/>
          <w:numId w:val="22"/>
        </w:numPr>
        <w:ind w:left="1134"/>
      </w:pPr>
      <w:r w:rsidRPr="006A525F">
        <w:rPr>
          <w:lang w:eastAsia="fr-CA"/>
        </w:rPr>
        <w:t xml:space="preserve">« […] la poursuite était bel et bien </w:t>
      </w:r>
      <w:r w:rsidRPr="006A525F">
        <w:t>en possession des déclarations en cause [i.e. celles de Jean-Noël Daley, Pierre Gaudreault, Pierrette Hardy, Paul Godbout, René Lemelin, François Gaudreault et Jean-Pierre Boudreault [en ce dernier cas le résumé de son entretien avec les enquêteurs] […]»</w:t>
      </w:r>
      <w:r>
        <w:rPr>
          <w:rStyle w:val="Appelnotedebasdep"/>
        </w:rPr>
        <w:footnoteReference w:id="17"/>
      </w:r>
      <w:r w:rsidRPr="006A525F">
        <w:t>.</w:t>
      </w:r>
    </w:p>
    <w:p w14:paraId="049D1AD0" w14:textId="77777777" w:rsidR="00EE00B2" w:rsidRPr="006A525F" w:rsidRDefault="00BD178A" w:rsidP="0084374C">
      <w:pPr>
        <w:pStyle w:val="Citationenretrait"/>
        <w:numPr>
          <w:ilvl w:val="0"/>
          <w:numId w:val="22"/>
        </w:numPr>
        <w:ind w:left="1134"/>
      </w:pPr>
      <w:r w:rsidRPr="006A525F">
        <w:rPr>
          <w:lang w:eastAsia="fr-CA"/>
        </w:rPr>
        <w:t>Les déclarations antérieures de Paul Godbout et de René Lemelin ont été communiquées en mains propres à l’avocat de l’appelant</w:t>
      </w:r>
      <w:r>
        <w:rPr>
          <w:rStyle w:val="Appelnotedebasdep"/>
          <w:lang w:eastAsia="fr-CA"/>
        </w:rPr>
        <w:footnoteReference w:id="18"/>
      </w:r>
      <w:r w:rsidR="0084374C" w:rsidRPr="006A525F">
        <w:rPr>
          <w:lang w:eastAsia="fr-CA"/>
        </w:rPr>
        <w:t xml:space="preserve"> et cela clôt donc</w:t>
      </w:r>
      <w:r w:rsidRPr="006A525F">
        <w:rPr>
          <w:lang w:eastAsia="fr-CA"/>
        </w:rPr>
        <w:t xml:space="preserve"> l’analyse en ce qui ce a trait à ces déclarations</w:t>
      </w:r>
      <w:r>
        <w:rPr>
          <w:rStyle w:val="Appelnotedebasdep"/>
          <w:lang w:eastAsia="fr-CA"/>
        </w:rPr>
        <w:footnoteReference w:id="19"/>
      </w:r>
      <w:r w:rsidRPr="006A525F">
        <w:rPr>
          <w:lang w:eastAsia="fr-CA"/>
        </w:rPr>
        <w:t xml:space="preserve">. </w:t>
      </w:r>
    </w:p>
    <w:p w14:paraId="69E40FC9" w14:textId="77777777" w:rsidR="004A68DA" w:rsidRPr="006A525F" w:rsidRDefault="00BD178A" w:rsidP="004A68DA">
      <w:pPr>
        <w:pStyle w:val="Citationenretrait"/>
        <w:numPr>
          <w:ilvl w:val="0"/>
          <w:numId w:val="22"/>
        </w:numPr>
        <w:ind w:left="1134"/>
      </w:pPr>
      <w:r w:rsidRPr="006A525F">
        <w:rPr>
          <w:lang w:eastAsia="fr-CA"/>
        </w:rPr>
        <w:t>Les déclarations de deux des personnes qui n’ont pas témoigné au procès, en l’occurrence Pierrette Hardy et Claude Gaudreault, n’avaient pas à être communiquées à l’appelant puisqu’elles n’étaient pas visées par l’ordonnance du juge Jacques Ducros qui encadrait la divulgation de ces déclarations au procès</w:t>
      </w:r>
      <w:r>
        <w:rPr>
          <w:rStyle w:val="Appelnotedebasdep"/>
          <w:lang w:eastAsia="fr-CA"/>
        </w:rPr>
        <w:footnoteReference w:id="20"/>
      </w:r>
      <w:r w:rsidRPr="006A525F">
        <w:rPr>
          <w:lang w:eastAsia="fr-CA"/>
        </w:rPr>
        <w:t xml:space="preserve">. </w:t>
      </w:r>
      <w:r w:rsidR="009E41D0" w:rsidRPr="006A525F">
        <w:rPr>
          <w:lang w:eastAsia="fr-CA"/>
        </w:rPr>
        <w:t xml:space="preserve">De plus, </w:t>
      </w:r>
      <w:r w:rsidRPr="006A525F">
        <w:rPr>
          <w:lang w:eastAsia="fr-CA"/>
        </w:rPr>
        <w:t xml:space="preserve">la poursuite jugeait </w:t>
      </w:r>
      <w:r w:rsidR="009E41D0" w:rsidRPr="006A525F">
        <w:rPr>
          <w:lang w:eastAsia="fr-CA"/>
        </w:rPr>
        <w:t xml:space="preserve">que celle de Mme Hardy n’était pas utile au débat et que celle de </w:t>
      </w:r>
      <w:r w:rsidR="00BB312B" w:rsidRPr="006A525F">
        <w:rPr>
          <w:lang w:eastAsia="fr-CA"/>
        </w:rPr>
        <w:t xml:space="preserve">Claude </w:t>
      </w:r>
      <w:r w:rsidR="009E41D0" w:rsidRPr="006A525F">
        <w:rPr>
          <w:lang w:eastAsia="fr-CA"/>
        </w:rPr>
        <w:t>Gaudreault n’était pas favorable</w:t>
      </w:r>
      <w:r w:rsidRPr="006A525F">
        <w:rPr>
          <w:lang w:eastAsia="fr-CA"/>
        </w:rPr>
        <w:t xml:space="preserve"> à l’appelant</w:t>
      </w:r>
      <w:r>
        <w:rPr>
          <w:rStyle w:val="Appelnotedebasdep"/>
          <w:lang w:eastAsia="fr-CA"/>
        </w:rPr>
        <w:footnoteReference w:id="21"/>
      </w:r>
      <w:r w:rsidRPr="006A525F">
        <w:rPr>
          <w:lang w:eastAsia="fr-CA"/>
        </w:rPr>
        <w:t xml:space="preserve">. </w:t>
      </w:r>
    </w:p>
    <w:p w14:paraId="6D8E3028" w14:textId="2A8D9AB6" w:rsidR="00BB312B" w:rsidRPr="006A525F" w:rsidRDefault="00BD178A" w:rsidP="004A68DA">
      <w:pPr>
        <w:pStyle w:val="Citationenretrait"/>
        <w:numPr>
          <w:ilvl w:val="0"/>
          <w:numId w:val="22"/>
        </w:numPr>
        <w:ind w:left="1134"/>
      </w:pPr>
      <w:r w:rsidRPr="006A525F">
        <w:rPr>
          <w:lang w:eastAsia="fr-CA"/>
        </w:rPr>
        <w:t>Les déclarations antérieures de Jean-Noël Daley et de Pierre Gaudreault n’ont, quant à elles, pas été communiquées</w:t>
      </w:r>
      <w:r w:rsidR="00825697" w:rsidRPr="006A525F">
        <w:rPr>
          <w:lang w:eastAsia="fr-CA"/>
        </w:rPr>
        <w:t>,</w:t>
      </w:r>
      <w:r w:rsidR="00716950" w:rsidRPr="006A525F">
        <w:rPr>
          <w:lang w:eastAsia="fr-CA"/>
        </w:rPr>
        <w:t xml:space="preserve"> mais il n’y a </w:t>
      </w:r>
      <w:r w:rsidRPr="006A525F">
        <w:rPr>
          <w:lang w:eastAsia="fr-CA"/>
        </w:rPr>
        <w:t>eu</w:t>
      </w:r>
      <w:r w:rsidR="00716950" w:rsidRPr="006A525F">
        <w:rPr>
          <w:lang w:eastAsia="fr-CA"/>
        </w:rPr>
        <w:t xml:space="preserve"> aucune</w:t>
      </w:r>
      <w:r w:rsidRPr="006A525F">
        <w:rPr>
          <w:lang w:eastAsia="fr-CA"/>
        </w:rPr>
        <w:t xml:space="preserve"> un</w:t>
      </w:r>
      <w:r w:rsidR="00AF5968" w:rsidRPr="006A525F">
        <w:rPr>
          <w:lang w:eastAsia="fr-CA"/>
        </w:rPr>
        <w:t>e omission délibérée à cet égard</w:t>
      </w:r>
      <w:r>
        <w:rPr>
          <w:rStyle w:val="Appelnotedebasdep"/>
          <w:lang w:eastAsia="fr-CA"/>
        </w:rPr>
        <w:footnoteReference w:id="22"/>
      </w:r>
      <w:r w:rsidR="00CC213C" w:rsidRPr="006A525F">
        <w:rPr>
          <w:lang w:eastAsia="fr-CA"/>
        </w:rPr>
        <w:t xml:space="preserve">. </w:t>
      </w:r>
      <w:r w:rsidR="008D7DDF" w:rsidRPr="006A525F">
        <w:rPr>
          <w:lang w:eastAsia="fr-CA"/>
        </w:rPr>
        <w:t xml:space="preserve">Le juge </w:t>
      </w:r>
      <w:r w:rsidR="00B5368B" w:rsidRPr="006A525F">
        <w:rPr>
          <w:lang w:eastAsia="fr-CA"/>
        </w:rPr>
        <w:t>É</w:t>
      </w:r>
      <w:r w:rsidR="008D7DDF" w:rsidRPr="006A525F">
        <w:rPr>
          <w:lang w:eastAsia="fr-CA"/>
        </w:rPr>
        <w:t>mond hésite à qualifier la source de l’omission</w:t>
      </w:r>
      <w:r w:rsidR="00142122" w:rsidRPr="006A525F">
        <w:rPr>
          <w:lang w:eastAsia="fr-CA"/>
        </w:rPr>
        <w:t xml:space="preserve"> : « […] </w:t>
      </w:r>
      <w:r w:rsidR="00142122" w:rsidRPr="006A525F">
        <w:t>l’omission de les divulguer résulte d’un oubli, d’une mauvaise lecture ou d’une gestion perfectible des éléments de preuve dans un dossier qui n’en manquait pas »</w:t>
      </w:r>
      <w:r>
        <w:rPr>
          <w:rStyle w:val="Appelnotedebasdep"/>
          <w:lang w:eastAsia="fr-CA"/>
        </w:rPr>
        <w:footnoteReference w:id="23"/>
      </w:r>
      <w:r w:rsidR="008D7DDF" w:rsidRPr="006A525F">
        <w:rPr>
          <w:lang w:eastAsia="fr-CA"/>
        </w:rPr>
        <w:t xml:space="preserve">. L’omission découlerait </w:t>
      </w:r>
      <w:r w:rsidR="006C2962" w:rsidRPr="006A525F">
        <w:rPr>
          <w:lang w:eastAsia="fr-CA"/>
        </w:rPr>
        <w:t xml:space="preserve">peut-être </w:t>
      </w:r>
      <w:r w:rsidR="008D7DDF" w:rsidRPr="006A525F">
        <w:rPr>
          <w:lang w:eastAsia="fr-CA"/>
        </w:rPr>
        <w:t>de la façon « inhabituelle » adoptée par les policiers pour récolter ces déclarations</w:t>
      </w:r>
      <w:r>
        <w:rPr>
          <w:rStyle w:val="Appelnotedebasdep"/>
          <w:lang w:eastAsia="fr-CA"/>
        </w:rPr>
        <w:footnoteReference w:id="24"/>
      </w:r>
      <w:r w:rsidR="008D7DDF" w:rsidRPr="006A525F">
        <w:rPr>
          <w:lang w:eastAsia="fr-CA"/>
        </w:rPr>
        <w:t>.</w:t>
      </w:r>
    </w:p>
    <w:p w14:paraId="493C4792" w14:textId="77777777" w:rsidR="00EE00B2" w:rsidRPr="006A525F" w:rsidRDefault="00BD178A" w:rsidP="00EE00B2">
      <w:pPr>
        <w:pStyle w:val="Citationenretrait"/>
        <w:numPr>
          <w:ilvl w:val="0"/>
          <w:numId w:val="22"/>
        </w:numPr>
        <w:ind w:left="1134"/>
      </w:pPr>
      <w:r w:rsidRPr="006A525F">
        <w:t>L’ensemble des renseignements non communiqués n’auraient, de toute façon, pas eu d’impact sur le verdict de culpabilité de l’appelant en 1986</w:t>
      </w:r>
      <w:r>
        <w:rPr>
          <w:rStyle w:val="Appelnotedebasdep"/>
        </w:rPr>
        <w:footnoteReference w:id="25"/>
      </w:r>
      <w:r w:rsidR="00992A31" w:rsidRPr="006A525F">
        <w:t>.</w:t>
      </w:r>
    </w:p>
    <w:p w14:paraId="28928894" w14:textId="77777777" w:rsidR="00992A31" w:rsidRPr="006A525F" w:rsidRDefault="00BD178A" w:rsidP="00A06898">
      <w:pPr>
        <w:pStyle w:val="Paragraphe"/>
        <w:spacing w:line="280" w:lineRule="exact"/>
      </w:pPr>
      <w:r w:rsidRPr="006A525F">
        <w:rPr>
          <w:lang w:eastAsia="fr-CA"/>
        </w:rPr>
        <w:t>Conséquemment, le juge</w:t>
      </w:r>
      <w:r w:rsidR="00EE00B2" w:rsidRPr="006A525F">
        <w:rPr>
          <w:lang w:eastAsia="fr-CA"/>
        </w:rPr>
        <w:t xml:space="preserve"> </w:t>
      </w:r>
      <w:r w:rsidR="00EC1B3A" w:rsidRPr="006A525F">
        <w:rPr>
          <w:lang w:eastAsia="fr-CA"/>
        </w:rPr>
        <w:t>a rejeté</w:t>
      </w:r>
      <w:r w:rsidR="00EE00B2" w:rsidRPr="006A525F">
        <w:rPr>
          <w:lang w:eastAsia="fr-CA"/>
        </w:rPr>
        <w:t xml:space="preserve"> le recours de l’appelant contre l’État. </w:t>
      </w:r>
    </w:p>
    <w:p w14:paraId="188E55C2" w14:textId="77777777" w:rsidR="00EE00B2" w:rsidRPr="006A525F" w:rsidRDefault="00BD178A" w:rsidP="00EE00B2">
      <w:pPr>
        <w:pStyle w:val="Paragraphe"/>
        <w:numPr>
          <w:ilvl w:val="0"/>
          <w:numId w:val="0"/>
        </w:numPr>
        <w:jc w:val="center"/>
        <w:rPr>
          <w:b/>
          <w:lang w:eastAsia="fr-CA"/>
        </w:rPr>
      </w:pPr>
      <w:r w:rsidRPr="006A525F">
        <w:rPr>
          <w:b/>
          <w:lang w:eastAsia="fr-CA"/>
        </w:rPr>
        <w:lastRenderedPageBreak/>
        <w:t>-</w:t>
      </w:r>
      <w:r w:rsidR="00CA0E71" w:rsidRPr="006A525F">
        <w:rPr>
          <w:b/>
          <w:lang w:eastAsia="fr-CA"/>
        </w:rPr>
        <w:t>III</w:t>
      </w:r>
      <w:r w:rsidRPr="006A525F">
        <w:rPr>
          <w:b/>
          <w:lang w:eastAsia="fr-CA"/>
        </w:rPr>
        <w:t>-</w:t>
      </w:r>
    </w:p>
    <w:p w14:paraId="277CAB9A" w14:textId="0C3E598A" w:rsidR="00E807C4" w:rsidRPr="006A525F" w:rsidRDefault="00BD178A" w:rsidP="00A06898">
      <w:pPr>
        <w:pStyle w:val="Paragraphe"/>
        <w:spacing w:line="280" w:lineRule="exact"/>
        <w:rPr>
          <w:szCs w:val="24"/>
          <w:lang w:eastAsia="fr-CA"/>
        </w:rPr>
      </w:pPr>
      <w:r w:rsidRPr="006A525F">
        <w:rPr>
          <w:szCs w:val="24"/>
        </w:rPr>
        <w:t xml:space="preserve">L’appelant affirme que </w:t>
      </w:r>
      <w:r w:rsidR="0027792D" w:rsidRPr="006A525F">
        <w:rPr>
          <w:szCs w:val="24"/>
        </w:rPr>
        <w:t>l’avocat qui représentait la poursuite lors de son procès en 1986, M</w:t>
      </w:r>
      <w:r w:rsidR="0030263E" w:rsidRPr="006A525F">
        <w:rPr>
          <w:szCs w:val="24"/>
        </w:rPr>
        <w:t>.</w:t>
      </w:r>
      <w:r w:rsidR="0027792D" w:rsidRPr="006A525F">
        <w:rPr>
          <w:szCs w:val="24"/>
        </w:rPr>
        <w:t xml:space="preserve"> </w:t>
      </w:r>
      <w:r w:rsidR="00A77E9A" w:rsidRPr="006A525F">
        <w:rPr>
          <w:szCs w:val="24"/>
        </w:rPr>
        <w:t xml:space="preserve">de </w:t>
      </w:r>
      <w:r w:rsidR="0027792D" w:rsidRPr="006A525F">
        <w:rPr>
          <w:szCs w:val="24"/>
        </w:rPr>
        <w:t>la Sablonnière</w:t>
      </w:r>
      <w:r w:rsidR="00883D93" w:rsidRPr="006A525F">
        <w:rPr>
          <w:szCs w:val="24"/>
        </w:rPr>
        <w:t xml:space="preserve"> («</w:t>
      </w:r>
      <w:r w:rsidR="00DB2E39" w:rsidRPr="006A525F">
        <w:rPr>
          <w:szCs w:val="24"/>
        </w:rPr>
        <w:t> l’avocat de la poursuite </w:t>
      </w:r>
      <w:r w:rsidR="00883D93" w:rsidRPr="006A525F">
        <w:rPr>
          <w:szCs w:val="24"/>
        </w:rPr>
        <w:t>»)</w:t>
      </w:r>
      <w:r w:rsidR="0027792D" w:rsidRPr="006A525F">
        <w:rPr>
          <w:szCs w:val="24"/>
        </w:rPr>
        <w:t>,</w:t>
      </w:r>
      <w:r w:rsidR="0027792D" w:rsidRPr="006A525F">
        <w:rPr>
          <w:szCs w:val="24"/>
          <w:lang w:eastAsia="fr-CA"/>
        </w:rPr>
        <w:t xml:space="preserve"> </w:t>
      </w:r>
      <w:r w:rsidRPr="006A525F">
        <w:rPr>
          <w:szCs w:val="24"/>
        </w:rPr>
        <w:t xml:space="preserve">aurait volontairement omis de divulguer des déclarations antérieures de deux témoins au procès, un résumé d’entrevue d’un autre témoin et les déclarations antérieures de quatre autres personnes n’ayant pas témoigné au procès. </w:t>
      </w:r>
    </w:p>
    <w:p w14:paraId="74CFE84B" w14:textId="54BB95E0" w:rsidR="00E807C4" w:rsidRPr="006A525F" w:rsidRDefault="00BD178A" w:rsidP="00A06898">
      <w:pPr>
        <w:pStyle w:val="Paragraphe"/>
        <w:spacing w:line="280" w:lineRule="exact"/>
      </w:pPr>
      <w:r w:rsidRPr="006A525F">
        <w:t xml:space="preserve">Partant, le recours de l’appelant s’inscrit dans le cadre des principes établis dans l’arrêt </w:t>
      </w:r>
      <w:r w:rsidRPr="006A525F">
        <w:rPr>
          <w:i/>
          <w:color w:val="000000"/>
        </w:rPr>
        <w:t>Vancouver (Ville) c. Ward</w:t>
      </w:r>
      <w:r>
        <w:rPr>
          <w:rStyle w:val="Appelnotedebasdep"/>
          <w:szCs w:val="24"/>
        </w:rPr>
        <w:footnoteReference w:id="26"/>
      </w:r>
      <w:r w:rsidRPr="006A525F">
        <w:t xml:space="preserve">, qui a précisé le test permettant de déterminer si l’octroi de dommages et intérêts en réparation d’une violation des droits garantis par la </w:t>
      </w:r>
      <w:r w:rsidRPr="006A525F">
        <w:rPr>
          <w:i/>
        </w:rPr>
        <w:t>Charte</w:t>
      </w:r>
      <w:r w:rsidRPr="006A525F">
        <w:t xml:space="preserve"> est une réparation convenable eu égard aux circonstances d’une affaire donnée. </w:t>
      </w:r>
      <w:r w:rsidRPr="006A525F">
        <w:rPr>
          <w:color w:val="000000"/>
        </w:rPr>
        <w:t xml:space="preserve">La première étape </w:t>
      </w:r>
      <w:r w:rsidR="00EA7758" w:rsidRPr="006A525F">
        <w:rPr>
          <w:color w:val="000000"/>
        </w:rPr>
        <w:t xml:space="preserve">de ce test </w:t>
      </w:r>
      <w:r w:rsidRPr="006A525F">
        <w:rPr>
          <w:color w:val="000000"/>
        </w:rPr>
        <w:t xml:space="preserve">consiste à prouver la violation de la </w:t>
      </w:r>
      <w:r w:rsidRPr="006A525F">
        <w:rPr>
          <w:i/>
          <w:color w:val="000000"/>
        </w:rPr>
        <w:t>Charte</w:t>
      </w:r>
      <w:r w:rsidR="00D423CC" w:rsidRPr="006A525F">
        <w:rPr>
          <w:color w:val="000000"/>
        </w:rPr>
        <w:t xml:space="preserve">, soit le préjudice fondant l’obtention de </w:t>
      </w:r>
      <w:r w:rsidR="00EA7758" w:rsidRPr="006A525F">
        <w:rPr>
          <w:color w:val="000000"/>
        </w:rPr>
        <w:t>d</w:t>
      </w:r>
      <w:r w:rsidR="009136D6" w:rsidRPr="006A525F">
        <w:rPr>
          <w:color w:val="000000"/>
        </w:rPr>
        <w:t xml:space="preserve">ommages et </w:t>
      </w:r>
      <w:r w:rsidR="00EA7758" w:rsidRPr="006A525F">
        <w:rPr>
          <w:color w:val="000000"/>
        </w:rPr>
        <w:t>intérêts</w:t>
      </w:r>
      <w:r w:rsidR="00D423CC" w:rsidRPr="006A525F">
        <w:rPr>
          <w:color w:val="000000"/>
        </w:rPr>
        <w:t xml:space="preserve"> comme réparation de droit public</w:t>
      </w:r>
      <w:r>
        <w:rPr>
          <w:rStyle w:val="Appelnotedebasdep"/>
          <w:color w:val="000000"/>
        </w:rPr>
        <w:footnoteReference w:id="27"/>
      </w:r>
      <w:r w:rsidR="00D423CC" w:rsidRPr="006A525F">
        <w:rPr>
          <w:color w:val="000000"/>
        </w:rPr>
        <w:t>.</w:t>
      </w:r>
    </w:p>
    <w:p w14:paraId="670F6BAC" w14:textId="7BD355D2" w:rsidR="006918D7" w:rsidRPr="006A525F" w:rsidRDefault="00BD178A" w:rsidP="00A06898">
      <w:pPr>
        <w:pStyle w:val="Paragraphe"/>
        <w:spacing w:line="280" w:lineRule="exact"/>
      </w:pPr>
      <w:r w:rsidRPr="006A525F">
        <w:t xml:space="preserve">La faute reprochée en l’espèce en est une dont les conditions d’existence sont régies par l’arrêt </w:t>
      </w:r>
      <w:r w:rsidR="00140E97" w:rsidRPr="006A525F">
        <w:t xml:space="preserve">de principe </w:t>
      </w:r>
      <w:r w:rsidRPr="006A525F">
        <w:rPr>
          <w:i/>
        </w:rPr>
        <w:t>Henry c. Colombie-Britannique (Procureur général)</w:t>
      </w:r>
      <w:bookmarkStart w:id="20" w:name="_Ref31703096"/>
      <w:r>
        <w:rPr>
          <w:vertAlign w:val="superscript"/>
        </w:rPr>
        <w:footnoteReference w:id="28"/>
      </w:r>
      <w:bookmarkEnd w:id="20"/>
      <w:r w:rsidRPr="006A525F">
        <w:t xml:space="preserve"> (« </w:t>
      </w:r>
      <w:r w:rsidRPr="006B040E">
        <w:rPr>
          <w:i/>
        </w:rPr>
        <w:t>Henry</w:t>
      </w:r>
      <w:r w:rsidRPr="006A525F">
        <w:t xml:space="preserve"> »), lequel énonce le test applicable à un recours en dommages fondé sur la </w:t>
      </w:r>
      <w:r w:rsidRPr="006A525F">
        <w:rPr>
          <w:i/>
        </w:rPr>
        <w:t>Charte</w:t>
      </w:r>
      <w:r w:rsidRPr="006A525F">
        <w:t xml:space="preserve"> en raison d’un manquement de la poursuite en matière de communication de la preuve. </w:t>
      </w:r>
    </w:p>
    <w:p w14:paraId="55A28B03" w14:textId="1CD23FDE" w:rsidR="007648A0" w:rsidRPr="006A525F" w:rsidRDefault="00BD178A" w:rsidP="00A06898">
      <w:pPr>
        <w:pStyle w:val="Paragraphe"/>
        <w:spacing w:line="280" w:lineRule="exact"/>
      </w:pPr>
      <w:r w:rsidRPr="006A525F">
        <w:t>Puisque la décision de la poursuivante de communiquer des renseignements pertinents à la défense n’est pas discrétionnaire</w:t>
      </w:r>
      <w:r w:rsidR="00F51A15" w:rsidRPr="006A525F">
        <w:t>,</w:t>
      </w:r>
      <w:r w:rsidRPr="006A525F">
        <w:t xml:space="preserve"> mais constitue une obligation constitutionnelle</w:t>
      </w:r>
      <w:r>
        <w:rPr>
          <w:vertAlign w:val="superscript"/>
        </w:rPr>
        <w:footnoteReference w:id="29"/>
      </w:r>
      <w:r w:rsidRPr="006A525F">
        <w:t xml:space="preserve">; la Cour suprême explique, dans </w:t>
      </w:r>
      <w:r w:rsidRPr="006A525F">
        <w:rPr>
          <w:i/>
        </w:rPr>
        <w:t>Henry</w:t>
      </w:r>
      <w:r w:rsidRPr="006A525F">
        <w:t>, que l’analyse doit se tourner vers 1) l’intention de la poursuivante</w:t>
      </w:r>
      <w:r w:rsidR="00F51A15" w:rsidRPr="006A525F">
        <w:t>,</w:t>
      </w:r>
      <w:r w:rsidRPr="006A525F">
        <w:t xml:space="preserve"> </w:t>
      </w:r>
      <w:r w:rsidR="00140E97" w:rsidRPr="006A525F">
        <w:t xml:space="preserve">et </w:t>
      </w:r>
      <w:r w:rsidRPr="006A525F">
        <w:t>2) sa connaissance</w:t>
      </w:r>
      <w:r w:rsidR="00A77E9A" w:rsidRPr="006A525F">
        <w:t xml:space="preserve"> de fait ou présumée</w:t>
      </w:r>
      <w:r>
        <w:rPr>
          <w:rStyle w:val="Appelnotedebasdep"/>
        </w:rPr>
        <w:footnoteReference w:id="30"/>
      </w:r>
      <w:r w:rsidRPr="006A525F">
        <w:t>.</w:t>
      </w:r>
    </w:p>
    <w:p w14:paraId="57BBD0A6" w14:textId="6330BDFD" w:rsidR="00E807C4" w:rsidRPr="006A525F" w:rsidRDefault="00BD178A" w:rsidP="00A06898">
      <w:pPr>
        <w:pStyle w:val="Paragraphe"/>
        <w:spacing w:line="280" w:lineRule="exact"/>
      </w:pPr>
      <w:r w:rsidRPr="006A525F">
        <w:t xml:space="preserve">Le </w:t>
      </w:r>
      <w:r w:rsidRPr="006A525F">
        <w:rPr>
          <w:lang w:eastAsia="fr-CA"/>
        </w:rPr>
        <w:t xml:space="preserve">fardeau de preuve incombant à </w:t>
      </w:r>
      <w:r w:rsidRPr="006A525F">
        <w:t>celui</w:t>
      </w:r>
      <w:r w:rsidRPr="006A525F">
        <w:rPr>
          <w:lang w:eastAsia="fr-CA"/>
        </w:rPr>
        <w:t xml:space="preserve"> qui se plaint d’un </w:t>
      </w:r>
      <w:r w:rsidR="00D47F86" w:rsidRPr="006A525F">
        <w:rPr>
          <w:lang w:eastAsia="fr-CA"/>
        </w:rPr>
        <w:t xml:space="preserve">tel </w:t>
      </w:r>
      <w:r w:rsidRPr="006A525F">
        <w:rPr>
          <w:lang w:eastAsia="fr-CA"/>
        </w:rPr>
        <w:t>ma</w:t>
      </w:r>
      <w:r w:rsidR="001632CC" w:rsidRPr="006A525F">
        <w:rPr>
          <w:lang w:eastAsia="fr-CA"/>
        </w:rPr>
        <w:t xml:space="preserve">nquement se décline </w:t>
      </w:r>
      <w:r w:rsidR="007931B0" w:rsidRPr="006A525F">
        <w:rPr>
          <w:lang w:eastAsia="fr-CA"/>
        </w:rPr>
        <w:t>en quatre étapes cumulatives </w:t>
      </w:r>
      <w:r w:rsidRPr="006A525F">
        <w:rPr>
          <w:lang w:eastAsia="fr-CA"/>
        </w:rPr>
        <w:t>:</w:t>
      </w:r>
    </w:p>
    <w:p w14:paraId="5B4052FC" w14:textId="77777777" w:rsidR="00E807C4" w:rsidRPr="006A525F" w:rsidRDefault="00BD178A" w:rsidP="00E807C4">
      <w:pPr>
        <w:pStyle w:val="Citationenretrait"/>
        <w:rPr>
          <w:lang w:eastAsia="fr-CA"/>
        </w:rPr>
      </w:pPr>
      <w:r w:rsidRPr="006A525F">
        <w:rPr>
          <w:lang w:eastAsia="fr-CA"/>
        </w:rPr>
        <w:t>[85]</w:t>
      </w:r>
      <w:r w:rsidRPr="006A525F">
        <w:rPr>
          <w:lang w:eastAsia="fr-CA"/>
        </w:rPr>
        <w:tab/>
        <w:t xml:space="preserve">[…] Au procès, un demandeur doit convaincre le juge des faits, selon la prépondérance des probabilités (1) que le poursuivant a retenu délibérément des renseignements, (2) que le poursuivant savait, ou qu’il aurait raisonnablement dû savoir, que ces renseignements étaient importants pour la défense du demandeur et que le fait de ne pas les communiquer porterait vraisemblablement atteinte à la possibilité de présenter une défense pleine et entière, (3) que la rétention de ces renseignements a porté atteinte aux droits garantis par la </w:t>
      </w:r>
      <w:r w:rsidRPr="006A525F">
        <w:rPr>
          <w:i/>
          <w:lang w:eastAsia="fr-CA"/>
        </w:rPr>
        <w:t>Charte</w:t>
      </w:r>
      <w:r w:rsidRPr="006A525F">
        <w:rPr>
          <w:lang w:eastAsia="fr-CA"/>
        </w:rPr>
        <w:t xml:space="preserve"> au demandeur, et (4) que le demandeur a subi un préjudice en conséquence. […]</w:t>
      </w:r>
      <w:r>
        <w:rPr>
          <w:rStyle w:val="Appelnotedebasdep"/>
          <w:szCs w:val="22"/>
          <w:lang w:eastAsia="fr-CA"/>
        </w:rPr>
        <w:footnoteReference w:id="31"/>
      </w:r>
      <w:r w:rsidRPr="006A525F">
        <w:rPr>
          <w:lang w:eastAsia="fr-CA"/>
        </w:rPr>
        <w:t>.</w:t>
      </w:r>
    </w:p>
    <w:p w14:paraId="4DBC6FDA" w14:textId="5B9DF123" w:rsidR="007648A0" w:rsidRPr="006A525F" w:rsidRDefault="00BD178A" w:rsidP="00A06898">
      <w:pPr>
        <w:pStyle w:val="Paragraphe"/>
        <w:spacing w:line="280" w:lineRule="exact"/>
      </w:pPr>
      <w:r w:rsidRPr="006A525F">
        <w:lastRenderedPageBreak/>
        <w:t>À</w:t>
      </w:r>
      <w:r w:rsidR="002A2B1A" w:rsidRPr="006A525F">
        <w:t xml:space="preserve"> la </w:t>
      </w:r>
      <w:r w:rsidR="002A2B1A" w:rsidRPr="006A525F">
        <w:rPr>
          <w:b/>
        </w:rPr>
        <w:t>première étape</w:t>
      </w:r>
      <w:r w:rsidR="002A2B1A" w:rsidRPr="006A525F">
        <w:t>, l</w:t>
      </w:r>
      <w:r w:rsidRPr="006A525F">
        <w:t>e fardeau d’établir l’intention de la poursuivante</w:t>
      </w:r>
      <w:r w:rsidR="002A2B1A" w:rsidRPr="006A525F">
        <w:t xml:space="preserve"> </w:t>
      </w:r>
      <w:r w:rsidRPr="006A525F">
        <w:t>n’est pas particulièrement élevé. Si cette dernière était effectivement en possession de renseignements</w:t>
      </w:r>
      <w:r w:rsidR="00F51A15" w:rsidRPr="006A525F">
        <w:t>,</w:t>
      </w:r>
      <w:r w:rsidRPr="006A525F">
        <w:t xml:space="preserve"> mais ne les a pas communiqués, l’intention de ne pas les divulguer peut être présumée. Toutefois, le ministère public peut toujours tenter de réfuter cette présomption en présentant une preuve selon laquelle la rétention n’était pas délibérée</w:t>
      </w:r>
      <w:r>
        <w:rPr>
          <w:vertAlign w:val="superscript"/>
        </w:rPr>
        <w:footnoteReference w:id="32"/>
      </w:r>
      <w:r w:rsidRPr="006A525F">
        <w:t>.</w:t>
      </w:r>
    </w:p>
    <w:p w14:paraId="511BE406" w14:textId="48E8DCEC" w:rsidR="00CC213C" w:rsidRPr="006A525F" w:rsidRDefault="00BD178A" w:rsidP="00A06898">
      <w:pPr>
        <w:pStyle w:val="Paragraphe"/>
        <w:spacing w:line="280" w:lineRule="exact"/>
      </w:pPr>
      <w:r w:rsidRPr="006A525F">
        <w:t>La</w:t>
      </w:r>
      <w:r w:rsidRPr="006A525F">
        <w:rPr>
          <w:b/>
        </w:rPr>
        <w:t xml:space="preserve"> seconde étape</w:t>
      </w:r>
      <w:r w:rsidRPr="006A525F">
        <w:t xml:space="preserve"> exige que le demandeur démontre </w:t>
      </w:r>
      <w:r w:rsidR="007648A0" w:rsidRPr="006A525F">
        <w:t>l’importance des renseigneme</w:t>
      </w:r>
      <w:r w:rsidRPr="006A525F">
        <w:t>nts pour la défense, en prouvant</w:t>
      </w:r>
      <w:r w:rsidR="007648A0" w:rsidRPr="006A525F">
        <w:t xml:space="preserve"> que 1) la poursuite connaissait l’importance de ces derniers, 2) qu’elle connaissait les conséquences d’un défaut de c</w:t>
      </w:r>
      <w:r w:rsidRPr="006A525F">
        <w:t>ommunication</w:t>
      </w:r>
      <w:r w:rsidR="00F51A15" w:rsidRPr="006A525F">
        <w:t>,</w:t>
      </w:r>
      <w:r w:rsidRPr="006A525F">
        <w:t xml:space="preserve"> et 3) que celui-ci</w:t>
      </w:r>
      <w:r w:rsidR="007648A0" w:rsidRPr="006A525F">
        <w:t xml:space="preserve"> a porté atteinte à la possibilité pour le demandeur de présenter une défense pleine et entière. </w:t>
      </w:r>
      <w:r w:rsidRPr="006A525F">
        <w:t>La connaissance de l’importance des renseignements et des conséquences du défaut de les communiquer peut être présumée à partir de ce qu’un poursuivant raisonnable aurait su dans les circonstances</w:t>
      </w:r>
      <w:r>
        <w:rPr>
          <w:rStyle w:val="Appelnotedebasdep"/>
        </w:rPr>
        <w:footnoteReference w:id="33"/>
      </w:r>
      <w:r w:rsidRPr="006A525F">
        <w:t xml:space="preserve">. Toutefois, pour évaluer la connaissance présumée de la poursuivante, le seuil est plus élevé que la norme objective de la « raisonnabilité » ou de l’écart marqué qui est applicable en droit commun en matière de responsabilité extracontractuelle, comme l’explique le juge Moldaver dans </w:t>
      </w:r>
      <w:r w:rsidRPr="006A525F">
        <w:rPr>
          <w:i/>
        </w:rPr>
        <w:t>Henry </w:t>
      </w:r>
      <w:r w:rsidRPr="006A525F">
        <w:t>:</w:t>
      </w:r>
    </w:p>
    <w:p w14:paraId="36078E40" w14:textId="2D011B56" w:rsidR="00CC213C" w:rsidRPr="006A525F" w:rsidRDefault="00BD178A" w:rsidP="00CC213C">
      <w:pPr>
        <w:pStyle w:val="Citationenretrait"/>
      </w:pPr>
      <w:r w:rsidRPr="006A525F">
        <w:t>[88]</w:t>
      </w:r>
      <w:r w:rsidRPr="006A525F">
        <w:tab/>
        <w:t>[…] Je souligne toutefois que le fait d’intégrer un aspect de raisonnabilité à l’élément relatif à la connaissance ne signifie pas que j’accepte une norme fondée sur la négligence en tant que seuil de responsabilité applicable. Considérés ensemble, les deux éléments que je viens de décrire — l’intention et la connaissance réelle ou présumée — s’élèvent au-delà d’une norme purement objective de « raisonnabilité ».</w:t>
      </w:r>
      <w:r>
        <w:rPr>
          <w:rStyle w:val="Appelnotedebasdep"/>
        </w:rPr>
        <w:footnoteReference w:id="34"/>
      </w:r>
    </w:p>
    <w:p w14:paraId="5AE8FF72" w14:textId="7606CDDC" w:rsidR="000903B0" w:rsidRPr="006A525F" w:rsidRDefault="00BD178A" w:rsidP="00A06898">
      <w:pPr>
        <w:pStyle w:val="Paragraphe"/>
        <w:spacing w:line="280" w:lineRule="exact"/>
      </w:pPr>
      <w:r w:rsidRPr="006A525F">
        <w:t xml:space="preserve">À la </w:t>
      </w:r>
      <w:r w:rsidRPr="006A525F">
        <w:rPr>
          <w:b/>
        </w:rPr>
        <w:t>troisième étape</w:t>
      </w:r>
      <w:r w:rsidRPr="006A525F">
        <w:t xml:space="preserve">, </w:t>
      </w:r>
      <w:r w:rsidR="006C2962" w:rsidRPr="006A525F">
        <w:t>il s’agit</w:t>
      </w:r>
      <w:r w:rsidRPr="006A525F">
        <w:t xml:space="preserve"> de </w:t>
      </w:r>
      <w:r w:rsidR="006C2962" w:rsidRPr="006A525F">
        <w:t xml:space="preserve">déterminer </w:t>
      </w:r>
      <w:r w:rsidR="007648A0" w:rsidRPr="006A525F">
        <w:t xml:space="preserve">si la rétention intentionnelle de la poursuivante a porté atteinte </w:t>
      </w:r>
      <w:r w:rsidR="00A77E9A" w:rsidRPr="006A525F">
        <w:t xml:space="preserve">à un droit garanti par la </w:t>
      </w:r>
      <w:r w:rsidR="00A77E9A" w:rsidRPr="006A525F">
        <w:rPr>
          <w:i/>
        </w:rPr>
        <w:t>Charte</w:t>
      </w:r>
      <w:r>
        <w:rPr>
          <w:vertAlign w:val="superscript"/>
        </w:rPr>
        <w:footnoteReference w:id="35"/>
      </w:r>
      <w:r w:rsidR="007648A0" w:rsidRPr="006A525F">
        <w:t>.</w:t>
      </w:r>
    </w:p>
    <w:p w14:paraId="716D3600" w14:textId="5DA64925" w:rsidR="009136D6" w:rsidRPr="006A525F" w:rsidRDefault="00BD178A" w:rsidP="00A06898">
      <w:pPr>
        <w:pStyle w:val="Paragraphe"/>
        <w:spacing w:line="280" w:lineRule="exact"/>
      </w:pPr>
      <w:r w:rsidRPr="006A525F">
        <w:t xml:space="preserve">Enfin, la </w:t>
      </w:r>
      <w:r w:rsidRPr="006A525F">
        <w:rPr>
          <w:b/>
        </w:rPr>
        <w:t>quatrième étape</w:t>
      </w:r>
      <w:r w:rsidR="001632CC" w:rsidRPr="006A525F">
        <w:t xml:space="preserve"> nécessite</w:t>
      </w:r>
      <w:r w:rsidRPr="006A525F">
        <w:t xml:space="preserve"> la démonstration</w:t>
      </w:r>
      <w:r w:rsidR="007648A0" w:rsidRPr="006A525F">
        <w:t xml:space="preserve"> du lien de causalité entre la rétention </w:t>
      </w:r>
      <w:r w:rsidRPr="006A525F">
        <w:t xml:space="preserve">des renseignements </w:t>
      </w:r>
      <w:r w:rsidR="007648A0" w:rsidRPr="006A525F">
        <w:t>et le préjudice</w:t>
      </w:r>
      <w:r w:rsidRPr="006A525F">
        <w:t xml:space="preserve"> subi</w:t>
      </w:r>
      <w:r w:rsidR="00544147" w:rsidRPr="006A525F">
        <w:t>. L</w:t>
      </w:r>
      <w:r w:rsidR="007648A0" w:rsidRPr="006A525F">
        <w:t xml:space="preserve">e demandeur n’a pas à établir son innocence factuelle, mais doit plutôt démontrer que </w:t>
      </w:r>
      <w:r w:rsidR="006C2962" w:rsidRPr="006A525F">
        <w:t>l’élément de preuve</w:t>
      </w:r>
      <w:r w:rsidR="007648A0" w:rsidRPr="006A525F">
        <w:t xml:space="preserve"> retenu aurait, selon la balance des probabilités, </w:t>
      </w:r>
      <w:r w:rsidR="00A77E9A" w:rsidRPr="006A525F">
        <w:t xml:space="preserve">entraîné </w:t>
      </w:r>
      <w:r w:rsidR="007648A0" w:rsidRPr="006A525F">
        <w:t>un verdict de non-culpabilité</w:t>
      </w:r>
      <w:r w:rsidR="00396E92" w:rsidRPr="006A525F">
        <w:t xml:space="preserve"> ou que les accusations auraient été retirées ou rejetées plus tôt</w:t>
      </w:r>
      <w:r>
        <w:rPr>
          <w:rStyle w:val="Appelnotedebasdep"/>
        </w:rPr>
        <w:footnoteReference w:id="36"/>
      </w:r>
      <w:r w:rsidR="007648A0" w:rsidRPr="006A525F">
        <w:t xml:space="preserve">. </w:t>
      </w:r>
      <w:r w:rsidRPr="006A525F">
        <w:t>Autrement dit, qu</w:t>
      </w:r>
      <w:r w:rsidR="006C2962" w:rsidRPr="006A525F">
        <w:t xml:space="preserve">e cet élément de preuve </w:t>
      </w:r>
      <w:r w:rsidR="007648A0" w:rsidRPr="006A525F">
        <w:t xml:space="preserve">était le « facteur déterminant » qui aurait alors fait pencher la balance. </w:t>
      </w:r>
      <w:r w:rsidRPr="006A525F">
        <w:t xml:space="preserve">Afin de </w:t>
      </w:r>
      <w:r w:rsidR="007648A0" w:rsidRPr="006A525F">
        <w:t>déterminer si le renseignement retenu était déterminant, i</w:t>
      </w:r>
      <w:r w:rsidRPr="006A525F">
        <w:t xml:space="preserve">l y a lieu de se demander si </w:t>
      </w:r>
      <w:r w:rsidR="006C2962" w:rsidRPr="006A525F">
        <w:t>« </w:t>
      </w:r>
      <w:r w:rsidR="007648A0" w:rsidRPr="006A525F">
        <w:t>n’eût été</w:t>
      </w:r>
      <w:r w:rsidR="006C2962" w:rsidRPr="006A525F">
        <w:t> »</w:t>
      </w:r>
      <w:r w:rsidR="007648A0" w:rsidRPr="006A525F">
        <w:t xml:space="preserve"> </w:t>
      </w:r>
      <w:r w:rsidR="00B76944" w:rsidRPr="006A525F">
        <w:t xml:space="preserve">le </w:t>
      </w:r>
      <w:r w:rsidRPr="006A525F">
        <w:rPr>
          <w:strike/>
        </w:rPr>
        <w:t xml:space="preserve">du </w:t>
      </w:r>
      <w:r w:rsidR="007648A0" w:rsidRPr="006A525F">
        <w:t xml:space="preserve">défaut injustifié de la poursuivante de communiquer le renseignement, l’appelant </w:t>
      </w:r>
      <w:r w:rsidRPr="006A525F">
        <w:t>aurait subi ce préjudice</w:t>
      </w:r>
      <w:r>
        <w:rPr>
          <w:rStyle w:val="Appelnotedebasdep"/>
        </w:rPr>
        <w:footnoteReference w:id="37"/>
      </w:r>
      <w:r w:rsidRPr="006A525F">
        <w:t>.</w:t>
      </w:r>
    </w:p>
    <w:p w14:paraId="0E21E817" w14:textId="1BD6A48B" w:rsidR="000A38AA" w:rsidRPr="006A525F" w:rsidRDefault="00BD178A" w:rsidP="00A06898">
      <w:pPr>
        <w:pStyle w:val="Paragraphe"/>
        <w:numPr>
          <w:ilvl w:val="0"/>
          <w:numId w:val="0"/>
        </w:numPr>
        <w:spacing w:line="280" w:lineRule="exact"/>
        <w:jc w:val="center"/>
      </w:pPr>
      <w:r w:rsidRPr="006A525F">
        <w:lastRenderedPageBreak/>
        <w:t>**</w:t>
      </w:r>
      <w:r w:rsidR="00BC2FC8" w:rsidRPr="006A525F">
        <w:t>*</w:t>
      </w:r>
    </w:p>
    <w:p w14:paraId="7486E964" w14:textId="4F51082D" w:rsidR="00E36897" w:rsidRPr="006A525F" w:rsidRDefault="00BD178A" w:rsidP="00A06898">
      <w:pPr>
        <w:pStyle w:val="Paragraphe"/>
        <w:spacing w:line="280" w:lineRule="exact"/>
        <w:rPr>
          <w:lang w:eastAsia="fr-CA"/>
        </w:rPr>
      </w:pPr>
      <w:r w:rsidRPr="006A525F">
        <w:rPr>
          <w:lang w:eastAsia="fr-CA"/>
        </w:rPr>
        <w:t>L’appelant ne remet pas en qu</w:t>
      </w:r>
      <w:r w:rsidR="00140E97" w:rsidRPr="006A525F">
        <w:rPr>
          <w:lang w:eastAsia="fr-CA"/>
        </w:rPr>
        <w:t>estion la pertinence de l’arrêt</w:t>
      </w:r>
      <w:r w:rsidR="00130C99" w:rsidRPr="006A525F">
        <w:rPr>
          <w:lang w:eastAsia="fr-CA"/>
        </w:rPr>
        <w:t xml:space="preserve"> </w:t>
      </w:r>
      <w:r w:rsidRPr="006A525F">
        <w:rPr>
          <w:i/>
          <w:lang w:eastAsia="fr-CA"/>
        </w:rPr>
        <w:t xml:space="preserve">Henry </w:t>
      </w:r>
      <w:r w:rsidRPr="006A525F">
        <w:rPr>
          <w:lang w:eastAsia="fr-CA"/>
        </w:rPr>
        <w:t xml:space="preserve">aux fins du débat. Il s’attaque </w:t>
      </w:r>
      <w:r w:rsidRPr="006A525F">
        <w:t>plutôt</w:t>
      </w:r>
      <w:r w:rsidRPr="006A525F">
        <w:rPr>
          <w:lang w:eastAsia="fr-CA"/>
        </w:rPr>
        <w:t xml:space="preserve"> à son interprétation et </w:t>
      </w:r>
      <w:r w:rsidR="00B76944" w:rsidRPr="006A525F">
        <w:rPr>
          <w:lang w:eastAsia="fr-CA"/>
        </w:rPr>
        <w:t xml:space="preserve">à </w:t>
      </w:r>
      <w:r w:rsidRPr="006A525F">
        <w:rPr>
          <w:lang w:eastAsia="fr-CA"/>
        </w:rPr>
        <w:t xml:space="preserve">son application par le juge de première </w:t>
      </w:r>
      <w:r w:rsidR="00140E97" w:rsidRPr="006A525F">
        <w:rPr>
          <w:lang w:eastAsia="fr-CA"/>
        </w:rPr>
        <w:t>instance, affirmant qu’il</w:t>
      </w:r>
      <w:r w:rsidRPr="006A525F">
        <w:rPr>
          <w:lang w:eastAsia="fr-CA"/>
        </w:rPr>
        <w:t xml:space="preserve"> a erré en droit :</w:t>
      </w:r>
    </w:p>
    <w:p w14:paraId="4BFAA326" w14:textId="530FADBA" w:rsidR="00C25A6C" w:rsidRPr="006A525F" w:rsidRDefault="00BD178A" w:rsidP="00A06898">
      <w:pPr>
        <w:pStyle w:val="Paragraphe"/>
        <w:numPr>
          <w:ilvl w:val="0"/>
          <w:numId w:val="19"/>
        </w:numPr>
        <w:spacing w:line="280" w:lineRule="exact"/>
        <w:ind w:left="1077" w:hanging="357"/>
        <w:rPr>
          <w:lang w:eastAsia="fr-CA"/>
        </w:rPr>
      </w:pPr>
      <w:r w:rsidRPr="006A525F">
        <w:rPr>
          <w:lang w:eastAsia="fr-CA"/>
        </w:rPr>
        <w:t>en minimisant la portée de l’obligation de divulgation de la preuve qu’avait la poursuite en 1986;</w:t>
      </w:r>
    </w:p>
    <w:p w14:paraId="0021A6D5" w14:textId="3CFF4185" w:rsidR="00C25A6C" w:rsidRPr="006A525F" w:rsidRDefault="00BD178A" w:rsidP="00A06898">
      <w:pPr>
        <w:pStyle w:val="Paragraphe"/>
        <w:numPr>
          <w:ilvl w:val="0"/>
          <w:numId w:val="19"/>
        </w:numPr>
        <w:spacing w:line="280" w:lineRule="exact"/>
        <w:ind w:left="1077" w:hanging="357"/>
        <w:rPr>
          <w:lang w:eastAsia="fr-CA"/>
        </w:rPr>
      </w:pPr>
      <w:r w:rsidRPr="006A525F">
        <w:rPr>
          <w:lang w:eastAsia="fr-CA"/>
        </w:rPr>
        <w:t xml:space="preserve">en analysant les critères de l’arrêt </w:t>
      </w:r>
      <w:r w:rsidRPr="006A525F">
        <w:rPr>
          <w:i/>
          <w:lang w:eastAsia="fr-CA"/>
        </w:rPr>
        <w:t>Henry</w:t>
      </w:r>
      <w:r w:rsidRPr="006A525F">
        <w:rPr>
          <w:lang w:eastAsia="fr-CA"/>
        </w:rPr>
        <w:t>, notamment en concluant que le premier critère nécessitait la preuve de la malveillance de la poursuite et que la défense pouvait, à cet égard, présenter une contre-preuve même dans les cas d’une violation aussi flagrante à l’obligation de divulgation de la preuve que celle de l’espèce.</w:t>
      </w:r>
    </w:p>
    <w:p w14:paraId="5B05D9BC" w14:textId="6D989411" w:rsidR="00B25A6F" w:rsidRPr="006A525F" w:rsidRDefault="00BD178A" w:rsidP="00A06898">
      <w:pPr>
        <w:pStyle w:val="Paragraphe"/>
        <w:spacing w:line="280" w:lineRule="exact"/>
      </w:pPr>
      <w:bookmarkStart w:id="21" w:name="_Hlk102722121"/>
      <w:r w:rsidRPr="006A525F">
        <w:t xml:space="preserve">L’appelant plaide que le juge de première instance a </w:t>
      </w:r>
      <w:r w:rsidR="00504CFE" w:rsidRPr="006A525F">
        <w:t xml:space="preserve">également </w:t>
      </w:r>
      <w:r w:rsidRPr="006A525F">
        <w:t>erré de man</w:t>
      </w:r>
      <w:r w:rsidR="00374215" w:rsidRPr="006A525F">
        <w:t>ière manifeste et déterminante :</w:t>
      </w:r>
    </w:p>
    <w:p w14:paraId="0A7EF537" w14:textId="5B07A210" w:rsidR="00B25A6F" w:rsidRPr="006A525F" w:rsidRDefault="00BD178A" w:rsidP="00A06898">
      <w:pPr>
        <w:pStyle w:val="Paragraphe"/>
        <w:numPr>
          <w:ilvl w:val="0"/>
          <w:numId w:val="19"/>
        </w:numPr>
        <w:spacing w:line="280" w:lineRule="exact"/>
        <w:ind w:left="1077" w:hanging="357"/>
      </w:pPr>
      <w:r w:rsidRPr="006A525F">
        <w:t>en concluant qu’</w:t>
      </w:r>
      <w:r w:rsidR="00EA7758" w:rsidRPr="006A525F">
        <w:t xml:space="preserve">il était plus probable que </w:t>
      </w:r>
      <w:r w:rsidR="00DF6E1C" w:rsidRPr="006A525F">
        <w:t>l’avocat de la poursuite</w:t>
      </w:r>
      <w:r w:rsidR="00960DCD" w:rsidRPr="006A525F">
        <w:t xml:space="preserve"> </w:t>
      </w:r>
      <w:r w:rsidRPr="006A525F">
        <w:t xml:space="preserve">ait remis les déclarations de </w:t>
      </w:r>
      <w:r w:rsidR="00346585" w:rsidRPr="006A525F">
        <w:t xml:space="preserve">Paul </w:t>
      </w:r>
      <w:r w:rsidRPr="006A525F">
        <w:t xml:space="preserve">Godbout et </w:t>
      </w:r>
      <w:r w:rsidR="00346585" w:rsidRPr="006A525F">
        <w:t xml:space="preserve">René </w:t>
      </w:r>
      <w:r w:rsidRPr="006A525F">
        <w:t>Lem</w:t>
      </w:r>
      <w:r w:rsidR="007931B0" w:rsidRPr="006A525F">
        <w:t>elin à l’appelant que l’inverse;</w:t>
      </w:r>
    </w:p>
    <w:p w14:paraId="4391F262" w14:textId="77777777" w:rsidR="000A38AA" w:rsidRPr="006A525F" w:rsidRDefault="00BD178A" w:rsidP="00A06898">
      <w:pPr>
        <w:pStyle w:val="Paragraphe"/>
        <w:numPr>
          <w:ilvl w:val="0"/>
          <w:numId w:val="19"/>
        </w:numPr>
        <w:spacing w:line="280" w:lineRule="exact"/>
        <w:ind w:left="1077" w:hanging="357"/>
      </w:pPr>
      <w:r w:rsidRPr="006A525F">
        <w:t xml:space="preserve">en concluant que les </w:t>
      </w:r>
      <w:r w:rsidR="00130C99" w:rsidRPr="006A525F">
        <w:t>renseignements non comm</w:t>
      </w:r>
      <w:r w:rsidR="00723A38" w:rsidRPr="006A525F">
        <w:t>u</w:t>
      </w:r>
      <w:r w:rsidR="00130C99" w:rsidRPr="006A525F">
        <w:t xml:space="preserve">niqués </w:t>
      </w:r>
      <w:r w:rsidRPr="006A525F">
        <w:t xml:space="preserve">n’auraient pas eu d’impact </w:t>
      </w:r>
      <w:r w:rsidR="00130C99" w:rsidRPr="006A525F">
        <w:t>sur le verdi</w:t>
      </w:r>
      <w:r w:rsidRPr="006A525F">
        <w:t>ct de culpabilité de l’appelant.</w:t>
      </w:r>
    </w:p>
    <w:p w14:paraId="510C644E" w14:textId="77777777" w:rsidR="00CA0E71" w:rsidRPr="006A525F" w:rsidRDefault="00BD178A" w:rsidP="00A06898">
      <w:pPr>
        <w:pStyle w:val="NoParagrjugement"/>
        <w:tabs>
          <w:tab w:val="clear" w:pos="720"/>
        </w:tabs>
        <w:spacing w:line="280" w:lineRule="exact"/>
        <w:jc w:val="center"/>
        <w:rPr>
          <w:b/>
        </w:rPr>
      </w:pPr>
      <w:r w:rsidRPr="006A525F">
        <w:rPr>
          <w:b/>
        </w:rPr>
        <w:t>-IV</w:t>
      </w:r>
      <w:r w:rsidR="00B25A6F" w:rsidRPr="006A525F">
        <w:rPr>
          <w:b/>
        </w:rPr>
        <w:t>-</w:t>
      </w:r>
    </w:p>
    <w:p w14:paraId="308DE06B" w14:textId="0035F5C2" w:rsidR="00405879" w:rsidRPr="006A525F" w:rsidRDefault="00BD178A" w:rsidP="00A06898">
      <w:pPr>
        <w:pStyle w:val="Paragraphe"/>
        <w:spacing w:before="240" w:line="280" w:lineRule="exact"/>
        <w:rPr>
          <w:rFonts w:cs="Arial"/>
          <w:szCs w:val="24"/>
          <w:lang w:eastAsia="fr-CA"/>
        </w:rPr>
      </w:pPr>
      <w:r w:rsidRPr="006A525F">
        <w:rPr>
          <w:rFonts w:cs="Arial"/>
          <w:szCs w:val="24"/>
          <w:lang w:eastAsia="fr-CA"/>
        </w:rPr>
        <w:t xml:space="preserve">Pour les motifs qui suivent, la Cour est d’avis que </w:t>
      </w:r>
      <w:r w:rsidR="00282E51" w:rsidRPr="006A525F">
        <w:rPr>
          <w:rFonts w:cs="Arial"/>
          <w:szCs w:val="24"/>
          <w:lang w:eastAsia="fr-CA"/>
        </w:rPr>
        <w:t xml:space="preserve">le </w:t>
      </w:r>
      <w:r w:rsidRPr="006A525F">
        <w:rPr>
          <w:rFonts w:cs="Arial"/>
          <w:szCs w:val="24"/>
          <w:lang w:eastAsia="fr-CA"/>
        </w:rPr>
        <w:t xml:space="preserve">juge de première instance a appliqué correctement les enseignements de la Cour suprême dans son analyse et que </w:t>
      </w:r>
      <w:r w:rsidR="00396E92" w:rsidRPr="006A525F">
        <w:rPr>
          <w:rFonts w:cs="Arial"/>
          <w:szCs w:val="24"/>
          <w:lang w:eastAsia="fr-CA"/>
        </w:rPr>
        <w:t>son jugement</w:t>
      </w:r>
      <w:r w:rsidRPr="006A525F">
        <w:rPr>
          <w:rFonts w:cs="Arial"/>
          <w:szCs w:val="24"/>
          <w:lang w:eastAsia="fr-CA"/>
        </w:rPr>
        <w:t xml:space="preserve"> est exempt d’erreurs de fait ou de droit.</w:t>
      </w:r>
    </w:p>
    <w:p w14:paraId="7C950FAE" w14:textId="03C28B2E" w:rsidR="008B6941" w:rsidRPr="006A525F" w:rsidRDefault="00BD178A" w:rsidP="00153DAB">
      <w:pPr>
        <w:pStyle w:val="Paragraphe"/>
        <w:numPr>
          <w:ilvl w:val="0"/>
          <w:numId w:val="0"/>
        </w:numPr>
        <w:spacing w:before="240" w:line="360" w:lineRule="auto"/>
        <w:jc w:val="center"/>
        <w:rPr>
          <w:rFonts w:cs="Arial"/>
          <w:szCs w:val="24"/>
          <w:lang w:eastAsia="fr-CA"/>
        </w:rPr>
      </w:pPr>
      <w:r>
        <w:rPr>
          <w:rFonts w:cs="Arial"/>
          <w:szCs w:val="24"/>
          <w:lang w:eastAsia="fr-CA"/>
        </w:rPr>
        <w:t>*</w:t>
      </w:r>
      <w:r w:rsidRPr="006A525F">
        <w:rPr>
          <w:rFonts w:cs="Arial"/>
          <w:szCs w:val="24"/>
          <w:lang w:eastAsia="fr-CA"/>
        </w:rPr>
        <w:t>**</w:t>
      </w:r>
    </w:p>
    <w:p w14:paraId="7D877BD8" w14:textId="59259C64" w:rsidR="009C7733" w:rsidRPr="006A525F" w:rsidRDefault="00BD178A" w:rsidP="00A06898">
      <w:pPr>
        <w:numPr>
          <w:ilvl w:val="0"/>
          <w:numId w:val="18"/>
        </w:numPr>
        <w:spacing w:before="120" w:after="120"/>
        <w:jc w:val="both"/>
        <w:rPr>
          <w:kern w:val="28"/>
        </w:rPr>
      </w:pPr>
      <w:r w:rsidRPr="006A525F">
        <w:rPr>
          <w:rFonts w:cs="Arial"/>
          <w:szCs w:val="24"/>
          <w:lang w:eastAsia="fr-CA"/>
        </w:rPr>
        <w:t>D’emblée, il convient de souligner qu</w:t>
      </w:r>
      <w:r w:rsidR="00BD4C20" w:rsidRPr="006A525F">
        <w:rPr>
          <w:rFonts w:cs="Arial"/>
          <w:szCs w:val="24"/>
          <w:lang w:eastAsia="fr-CA"/>
        </w:rPr>
        <w:t xml:space="preserve">e </w:t>
      </w:r>
      <w:r w:rsidRPr="006A525F">
        <w:rPr>
          <w:rFonts w:cs="Arial"/>
          <w:szCs w:val="24"/>
          <w:lang w:eastAsia="fr-CA"/>
        </w:rPr>
        <w:t>la première conclusion du juge</w:t>
      </w:r>
      <w:r w:rsidR="00BD4C20" w:rsidRPr="006A525F">
        <w:rPr>
          <w:rFonts w:cs="Arial"/>
          <w:szCs w:val="24"/>
          <w:lang w:eastAsia="fr-CA"/>
        </w:rPr>
        <w:t xml:space="preserve"> n’est pas remise en question</w:t>
      </w:r>
      <w:r w:rsidR="00F1122C" w:rsidRPr="006A525F">
        <w:rPr>
          <w:rFonts w:cs="Arial"/>
          <w:szCs w:val="24"/>
          <w:lang w:eastAsia="fr-CA"/>
        </w:rPr>
        <w:t> : l</w:t>
      </w:r>
      <w:r w:rsidR="006E3946" w:rsidRPr="006A525F">
        <w:rPr>
          <w:rFonts w:cs="Arial"/>
          <w:szCs w:val="24"/>
          <w:lang w:eastAsia="fr-CA"/>
        </w:rPr>
        <w:t>a</w:t>
      </w:r>
      <w:r w:rsidRPr="006A525F">
        <w:rPr>
          <w:kern w:val="24"/>
          <w:szCs w:val="24"/>
          <w:lang w:eastAsia="fr-CA"/>
        </w:rPr>
        <w:t xml:space="preserve"> poursuite était bel et bien </w:t>
      </w:r>
      <w:r w:rsidR="003C18DA" w:rsidRPr="006A525F">
        <w:rPr>
          <w:kern w:val="24"/>
          <w:szCs w:val="24"/>
        </w:rPr>
        <w:t xml:space="preserve">en possession </w:t>
      </w:r>
      <w:r w:rsidR="0027792D" w:rsidRPr="006A525F">
        <w:rPr>
          <w:kern w:val="24"/>
          <w:szCs w:val="24"/>
        </w:rPr>
        <w:t>des déclarations</w:t>
      </w:r>
      <w:r w:rsidR="003C18DA" w:rsidRPr="006A525F">
        <w:rPr>
          <w:kern w:val="24"/>
          <w:szCs w:val="24"/>
        </w:rPr>
        <w:t xml:space="preserve"> </w:t>
      </w:r>
      <w:r w:rsidRPr="006A525F">
        <w:rPr>
          <w:kern w:val="24"/>
          <w:szCs w:val="24"/>
        </w:rPr>
        <w:t xml:space="preserve">de </w:t>
      </w:r>
      <w:r w:rsidR="009B2AF0" w:rsidRPr="006A525F">
        <w:rPr>
          <w:kern w:val="24"/>
          <w:szCs w:val="24"/>
        </w:rPr>
        <w:br/>
      </w:r>
      <w:r w:rsidRPr="006A525F">
        <w:rPr>
          <w:kern w:val="24"/>
          <w:szCs w:val="24"/>
        </w:rPr>
        <w:t>Jean-Noël Daley, Pierre Gaudreault, Pierrette Hardy, Paul Godbout, René Lemelin et François Gaudreault</w:t>
      </w:r>
      <w:r w:rsidR="006E3946" w:rsidRPr="006A525F">
        <w:rPr>
          <w:kern w:val="24"/>
          <w:szCs w:val="24"/>
        </w:rPr>
        <w:t xml:space="preserve">, ainsi que </w:t>
      </w:r>
      <w:r w:rsidRPr="006A525F">
        <w:rPr>
          <w:kern w:val="24"/>
          <w:szCs w:val="24"/>
        </w:rPr>
        <w:t>du résumé de l’entretien de Jean-Pierre Boudreault avec les enquêteurs</w:t>
      </w:r>
      <w:r>
        <w:rPr>
          <w:kern w:val="24"/>
          <w:szCs w:val="24"/>
          <w:vertAlign w:val="superscript"/>
        </w:rPr>
        <w:footnoteReference w:id="38"/>
      </w:r>
      <w:r w:rsidRPr="006A525F">
        <w:rPr>
          <w:kern w:val="24"/>
          <w:szCs w:val="24"/>
        </w:rPr>
        <w:t>.</w:t>
      </w:r>
    </w:p>
    <w:p w14:paraId="51A71490" w14:textId="3121B4AC" w:rsidR="00FF4BB0" w:rsidRPr="006A525F" w:rsidRDefault="00BD178A" w:rsidP="00A06898">
      <w:pPr>
        <w:numPr>
          <w:ilvl w:val="0"/>
          <w:numId w:val="18"/>
        </w:numPr>
        <w:spacing w:before="120" w:after="120"/>
        <w:jc w:val="both"/>
        <w:rPr>
          <w:kern w:val="28"/>
        </w:rPr>
      </w:pPr>
      <w:r w:rsidRPr="006A525F">
        <w:rPr>
          <w:rFonts w:cs="Arial"/>
          <w:szCs w:val="24"/>
          <w:lang w:eastAsia="fr-CA"/>
        </w:rPr>
        <w:t xml:space="preserve">Cela étant, il convient d’examiner à leur mérite chacun des moyens d’appel. </w:t>
      </w:r>
    </w:p>
    <w:p w14:paraId="11CCC556" w14:textId="0DC95904" w:rsidR="00EA7758" w:rsidRPr="006A525F" w:rsidRDefault="00BD178A" w:rsidP="00A06898">
      <w:pPr>
        <w:keepNext/>
        <w:keepLines/>
        <w:spacing w:before="120" w:after="120"/>
        <w:jc w:val="both"/>
        <w:rPr>
          <w:kern w:val="28"/>
        </w:rPr>
      </w:pPr>
      <w:r w:rsidRPr="006A525F">
        <w:rPr>
          <w:b/>
          <w:i/>
          <w:lang w:eastAsia="fr-CA"/>
        </w:rPr>
        <w:lastRenderedPageBreak/>
        <w:t>A. Le juge a-t-il erré en droit quant à la portée de l’obligation de divulgation de la poursuite à l’époque du procès?</w:t>
      </w:r>
    </w:p>
    <w:p w14:paraId="77BB32BB" w14:textId="1612998F" w:rsidR="00FF4BB0" w:rsidRPr="006A525F" w:rsidRDefault="00BD178A" w:rsidP="00A06898">
      <w:pPr>
        <w:pStyle w:val="Paragraphe"/>
        <w:spacing w:line="280" w:lineRule="exact"/>
      </w:pPr>
      <w:r w:rsidRPr="006A525F">
        <w:t xml:space="preserve">L’appelant affirme que le juge a erré en analysant la portée de l’obligation de la Couronne de divulguer la preuve à l’époque du procès, en 1986. </w:t>
      </w:r>
    </w:p>
    <w:p w14:paraId="63961C81" w14:textId="00689CC3" w:rsidR="00FF4BB0" w:rsidRPr="006A525F" w:rsidRDefault="00BD178A" w:rsidP="00A06898">
      <w:pPr>
        <w:pStyle w:val="Paragraphe"/>
        <w:spacing w:line="280" w:lineRule="exact"/>
      </w:pPr>
      <w:r w:rsidRPr="006A525F">
        <w:t>Voici les motifs du jugement à cet égard</w:t>
      </w:r>
      <w:r w:rsidR="007931B0" w:rsidRPr="006A525F">
        <w:t> </w:t>
      </w:r>
      <w:r w:rsidRPr="006A525F">
        <w:t xml:space="preserve">: </w:t>
      </w:r>
    </w:p>
    <w:p w14:paraId="10D06259" w14:textId="4F9C9231" w:rsidR="00FF4BB0" w:rsidRPr="006A525F" w:rsidRDefault="00BD178A" w:rsidP="00A06898">
      <w:pPr>
        <w:pStyle w:val="Citationenretrait"/>
      </w:pPr>
      <w:r w:rsidRPr="006A525F">
        <w:t>[77]</w:t>
      </w:r>
      <w:r w:rsidRPr="006A525F">
        <w:tab/>
        <w:t xml:space="preserve">En effet, le droit applicable en matière de divulgation de la preuve dans les matières pénales était, à cette époque, incertain. Comme le mentionne le juge Sopinka dans l’arrêt de principe </w:t>
      </w:r>
      <w:r w:rsidRPr="006A525F">
        <w:rPr>
          <w:i/>
        </w:rPr>
        <w:t>R. c. Stinchcombe</w:t>
      </w:r>
      <w:r w:rsidR="00FB7EE1" w:rsidRPr="006A525F">
        <w:t xml:space="preserve"> </w:t>
      </w:r>
      <w:r w:rsidRPr="006A525F">
        <w:t>prononcé en 1991, la divulgation de la preuve se faisait alors sur une base volontaire, selon le bon vouloir de la poursuite. L'étendue de cette divulgation variait d'une province à l'autre, d'une juridiction à l'autre et d'un poursuivant à l'autre. L’élément de surprise pour la défense était toujours présent.</w:t>
      </w:r>
    </w:p>
    <w:p w14:paraId="2559AFE0" w14:textId="3CBC1DCC" w:rsidR="00FF4BB0" w:rsidRPr="006A525F" w:rsidRDefault="00BD178A" w:rsidP="00A06898">
      <w:pPr>
        <w:pStyle w:val="Citationenretrait"/>
      </w:pPr>
      <w:r w:rsidRPr="006A525F">
        <w:t>[78]</w:t>
      </w:r>
      <w:r w:rsidRPr="006A525F">
        <w:tab/>
        <w:t xml:space="preserve">Quoi qu’il en soit, aussi intéressante cette question puisse-t-elle être, du moins aux yeux du Tribunal, il semble qu’elle s’avère théorique en l’espèce. En effet, lors de l’audition, la PGQ a concédé que cet élément n’était pas en litige. Elle a reconnu que dans l’éventualité où le Tribunal concluait qu’il y a eu rétention délibérée de renseignements importants au sens de l’arrêt </w:t>
      </w:r>
      <w:r w:rsidRPr="006A525F">
        <w:rPr>
          <w:i/>
        </w:rPr>
        <w:t>Henry</w:t>
      </w:r>
      <w:r w:rsidRPr="006A525F">
        <w:t>, il faudra considérer que cette rétention a été faite en violation du droit du demandeur Plamondon à une défense pleine et entière.</w:t>
      </w:r>
      <w:r>
        <w:rPr>
          <w:rStyle w:val="Appelnotedebasdep"/>
          <w:szCs w:val="22"/>
        </w:rPr>
        <w:footnoteReference w:id="39"/>
      </w:r>
    </w:p>
    <w:p w14:paraId="6D320844" w14:textId="740D4005" w:rsidR="00DE4841" w:rsidRPr="006A525F" w:rsidRDefault="00BD178A" w:rsidP="00A06898">
      <w:pPr>
        <w:pStyle w:val="Paragraphe"/>
        <w:spacing w:line="280" w:lineRule="exact"/>
      </w:pPr>
      <w:r w:rsidRPr="006A525F">
        <w:t>L’appelant affirme que</w:t>
      </w:r>
      <w:r w:rsidR="00B76944" w:rsidRPr="006A525F">
        <w:t>,</w:t>
      </w:r>
      <w:r w:rsidRPr="006A525F">
        <w:t xml:space="preserve"> dans l’arrêt </w:t>
      </w:r>
      <w:r w:rsidRPr="006A525F">
        <w:rPr>
          <w:i/>
        </w:rPr>
        <w:t>Stinchcombe</w:t>
      </w:r>
      <w:r>
        <w:rPr>
          <w:vertAlign w:val="superscript"/>
        </w:rPr>
        <w:footnoteReference w:id="40"/>
      </w:r>
      <w:r w:rsidRPr="006A525F">
        <w:t>, la Cour suprême a précisé des principes de common law bien établis dans le droit positif</w:t>
      </w:r>
      <w:r>
        <w:rPr>
          <w:vertAlign w:val="superscript"/>
        </w:rPr>
        <w:footnoteReference w:id="41"/>
      </w:r>
      <w:r w:rsidRPr="006A525F">
        <w:t>, de sorte qu’à l’époque du procès en 1986, une obligation de divulgation de la preuve de cette ampleur existait déjà. Il ajoute que, dès 1955</w:t>
      </w:r>
      <w:r w:rsidR="00DE151C" w:rsidRPr="006A525F">
        <w:rPr>
          <w:strike/>
        </w:rPr>
        <w:t>,</w:t>
      </w:r>
      <w:r w:rsidRPr="006A525F">
        <w:t xml:space="preserve"> dans l’arrêt </w:t>
      </w:r>
      <w:r w:rsidRPr="006A525F">
        <w:rPr>
          <w:i/>
        </w:rPr>
        <w:t>Boucher</w:t>
      </w:r>
      <w:r>
        <w:rPr>
          <w:vertAlign w:val="superscript"/>
        </w:rPr>
        <w:footnoteReference w:id="42"/>
      </w:r>
      <w:r w:rsidRPr="006A525F">
        <w:t>, elle avait déjà précisé que le rôle de la Couronne était de présenter une preuve digne de foi et qu’elle devait agir avec équité. Selon lui, la jurisprudence subséquente montre d’ailleurs que la Couronne a une obligation de divulgation de tout élément de preuve disculpatoire. Elle soutient également que</w:t>
      </w:r>
      <w:r w:rsidR="00DE151C" w:rsidRPr="006A525F">
        <w:t>,</w:t>
      </w:r>
      <w:r w:rsidRPr="006A525F">
        <w:t xml:space="preserve"> dans </w:t>
      </w:r>
      <w:r w:rsidRPr="006A525F">
        <w:rPr>
          <w:i/>
        </w:rPr>
        <w:t>McNeil</w:t>
      </w:r>
      <w:r>
        <w:rPr>
          <w:rStyle w:val="Appelnotedebasdep"/>
        </w:rPr>
        <w:footnoteReference w:id="43"/>
      </w:r>
      <w:r w:rsidRPr="006A525F">
        <w:t xml:space="preserve">, la Cour suprême précise que la Couronne ne peut se cacher derrière l’omission du service de police de lui communiquer une preuve afin de se justifier. Ces deux entités sont considérées ne former qu’une seule entité pour les fins de la communication de la preuve. Puisque cette obligation est continue et que l’enquête du ministre de la Justice du Canada a révélé l’existence des déclarations antérieures de Jean-Noël Daley et Pierre Gaudreault des 19 et 20 août 1985, la Couronne était tenue </w:t>
      </w:r>
      <w:r w:rsidRPr="006A525F">
        <w:lastRenderedPageBreak/>
        <w:t>de les communiquer à l’appelant</w:t>
      </w:r>
      <w:r w:rsidR="00FC4697" w:rsidRPr="006A525F">
        <w:t>, tout comme elle devait lui communiquer les autres déclarations et notes d’entrevue en cause</w:t>
      </w:r>
      <w:r w:rsidR="00883D93" w:rsidRPr="006A525F">
        <w:t>.</w:t>
      </w:r>
    </w:p>
    <w:p w14:paraId="7CBCD90C" w14:textId="3576955C" w:rsidR="00EA7758" w:rsidRPr="006A525F" w:rsidRDefault="00BD178A" w:rsidP="00A06898">
      <w:pPr>
        <w:numPr>
          <w:ilvl w:val="0"/>
          <w:numId w:val="18"/>
        </w:numPr>
        <w:spacing w:before="120" w:after="120"/>
        <w:jc w:val="both"/>
        <w:rPr>
          <w:kern w:val="28"/>
        </w:rPr>
      </w:pPr>
      <w:r w:rsidRPr="006A525F">
        <w:rPr>
          <w:kern w:val="28"/>
        </w:rPr>
        <w:t xml:space="preserve">L’intimé rétorque que puisqu’il a admis que les déclarations </w:t>
      </w:r>
      <w:r w:rsidR="003C2162" w:rsidRPr="006A525F">
        <w:rPr>
          <w:kern w:val="28"/>
        </w:rPr>
        <w:t>de</w:t>
      </w:r>
      <w:r w:rsidR="00DE4841" w:rsidRPr="006A525F">
        <w:rPr>
          <w:kern w:val="28"/>
        </w:rPr>
        <w:t xml:space="preserve"> </w:t>
      </w:r>
      <w:r w:rsidR="00DE4841" w:rsidRPr="006A525F">
        <w:rPr>
          <w:lang w:eastAsia="fr-CA"/>
        </w:rPr>
        <w:t>Jean-Noël</w:t>
      </w:r>
      <w:r w:rsidR="003C2162" w:rsidRPr="006A525F">
        <w:rPr>
          <w:kern w:val="28"/>
        </w:rPr>
        <w:t xml:space="preserve"> Daley et de P</w:t>
      </w:r>
      <w:r w:rsidR="00346585" w:rsidRPr="006A525F">
        <w:rPr>
          <w:kern w:val="28"/>
        </w:rPr>
        <w:t xml:space="preserve">ierre </w:t>
      </w:r>
      <w:r w:rsidRPr="006A525F">
        <w:rPr>
          <w:kern w:val="28"/>
        </w:rPr>
        <w:t>Gaudreault auraient dû être communiquées à l’appelant en 1986, ce moyen est théorique et sans objet. En définitive, selon lui, le juge n’a pas vraiment tranché la question de la nature et la portée de l’obligation de divulgation alors existante. Il soutient que son admission suffisait pour répondre au premier critère d</w:t>
      </w:r>
      <w:r w:rsidR="003C2162" w:rsidRPr="006A525F">
        <w:rPr>
          <w:kern w:val="28"/>
        </w:rPr>
        <w:t xml:space="preserve">e </w:t>
      </w:r>
      <w:r w:rsidRPr="006A525F">
        <w:rPr>
          <w:i/>
          <w:kern w:val="28"/>
        </w:rPr>
        <w:t>Henry</w:t>
      </w:r>
      <w:r w:rsidRPr="006A525F">
        <w:rPr>
          <w:kern w:val="28"/>
        </w:rPr>
        <w:t xml:space="preserve">, ce qui </w:t>
      </w:r>
      <w:r w:rsidR="00FF4BB0" w:rsidRPr="006A525F">
        <w:rPr>
          <w:kern w:val="28"/>
        </w:rPr>
        <w:t xml:space="preserve">explique que </w:t>
      </w:r>
      <w:r w:rsidRPr="006A525F">
        <w:rPr>
          <w:kern w:val="28"/>
        </w:rPr>
        <w:t xml:space="preserve">le </w:t>
      </w:r>
      <w:r w:rsidR="006A525F" w:rsidRPr="006A525F">
        <w:rPr>
          <w:kern w:val="28"/>
        </w:rPr>
        <w:t xml:space="preserve">juge de première instance ait </w:t>
      </w:r>
      <w:r w:rsidRPr="006A525F">
        <w:rPr>
          <w:kern w:val="28"/>
        </w:rPr>
        <w:t>poursuivi l’analyse en fonction des autres critères de cet arrêt.</w:t>
      </w:r>
    </w:p>
    <w:p w14:paraId="73DF95CC" w14:textId="524E4206" w:rsidR="00EA7758" w:rsidRPr="006A525F" w:rsidRDefault="00BD178A" w:rsidP="00A06898">
      <w:pPr>
        <w:numPr>
          <w:ilvl w:val="0"/>
          <w:numId w:val="18"/>
        </w:numPr>
        <w:spacing w:before="120" w:after="120"/>
        <w:jc w:val="both"/>
        <w:rPr>
          <w:kern w:val="28"/>
        </w:rPr>
      </w:pPr>
      <w:r w:rsidRPr="006A525F">
        <w:rPr>
          <w:kern w:val="28"/>
        </w:rPr>
        <w:t xml:space="preserve">Bien que </w:t>
      </w:r>
      <w:r w:rsidR="00FC4697" w:rsidRPr="006A525F">
        <w:rPr>
          <w:kern w:val="28"/>
        </w:rPr>
        <w:t xml:space="preserve">la </w:t>
      </w:r>
      <w:r w:rsidRPr="006A525F">
        <w:rPr>
          <w:kern w:val="28"/>
        </w:rPr>
        <w:t xml:space="preserve">question soit théorique pour les déclarations de </w:t>
      </w:r>
      <w:r w:rsidR="00DE4841" w:rsidRPr="006A525F">
        <w:rPr>
          <w:kern w:val="28"/>
        </w:rPr>
        <w:t xml:space="preserve">Jean-Noël </w:t>
      </w:r>
      <w:r w:rsidRPr="006A525F">
        <w:rPr>
          <w:kern w:val="28"/>
        </w:rPr>
        <w:t>Daley et</w:t>
      </w:r>
      <w:r w:rsidR="003C2162" w:rsidRPr="006A525F">
        <w:rPr>
          <w:kern w:val="28"/>
        </w:rPr>
        <w:t xml:space="preserve"> </w:t>
      </w:r>
      <w:r w:rsidRPr="006A525F">
        <w:rPr>
          <w:kern w:val="28"/>
        </w:rPr>
        <w:t>P</w:t>
      </w:r>
      <w:r w:rsidR="00DE4841" w:rsidRPr="006A525F">
        <w:rPr>
          <w:kern w:val="28"/>
        </w:rPr>
        <w:t>ierre</w:t>
      </w:r>
      <w:r w:rsidR="00346585" w:rsidRPr="006A525F">
        <w:rPr>
          <w:kern w:val="28"/>
        </w:rPr>
        <w:t xml:space="preserve"> </w:t>
      </w:r>
      <w:r w:rsidRPr="006A525F">
        <w:rPr>
          <w:kern w:val="28"/>
        </w:rPr>
        <w:t>Gaudreault</w:t>
      </w:r>
      <w:r w:rsidR="003C2162" w:rsidRPr="006A525F">
        <w:rPr>
          <w:kern w:val="28"/>
        </w:rPr>
        <w:t>,</w:t>
      </w:r>
      <w:r w:rsidRPr="006A525F">
        <w:rPr>
          <w:kern w:val="28"/>
        </w:rPr>
        <w:t xml:space="preserve"> puisque l’intimé </w:t>
      </w:r>
      <w:r w:rsidR="003C2162" w:rsidRPr="006A525F">
        <w:rPr>
          <w:kern w:val="28"/>
        </w:rPr>
        <w:t>admet</w:t>
      </w:r>
      <w:r w:rsidRPr="006A525F">
        <w:rPr>
          <w:kern w:val="28"/>
        </w:rPr>
        <w:t xml:space="preserve"> que ces dernières auraient dû être communiquées à l’appelant dès 1986, elle ne l’est pas pour les déclarations de </w:t>
      </w:r>
      <w:r w:rsidR="006A3BFC" w:rsidRPr="006A525F">
        <w:rPr>
          <w:kern w:val="28"/>
        </w:rPr>
        <w:t>P</w:t>
      </w:r>
      <w:r w:rsidR="00346585" w:rsidRPr="006A525F">
        <w:rPr>
          <w:kern w:val="28"/>
        </w:rPr>
        <w:t xml:space="preserve">ierrette </w:t>
      </w:r>
      <w:r w:rsidRPr="006A525F">
        <w:rPr>
          <w:kern w:val="28"/>
        </w:rPr>
        <w:t>Hardy et</w:t>
      </w:r>
      <w:r w:rsidR="003C2162" w:rsidRPr="006A525F">
        <w:rPr>
          <w:kern w:val="28"/>
        </w:rPr>
        <w:t xml:space="preserve"> </w:t>
      </w:r>
      <w:r w:rsidRPr="006A525F">
        <w:rPr>
          <w:kern w:val="28"/>
        </w:rPr>
        <w:t>F</w:t>
      </w:r>
      <w:r w:rsidR="00DE4841" w:rsidRPr="006A525F">
        <w:rPr>
          <w:kern w:val="28"/>
        </w:rPr>
        <w:t xml:space="preserve">rançois </w:t>
      </w:r>
      <w:r w:rsidR="003E54D7" w:rsidRPr="006A525F">
        <w:rPr>
          <w:kern w:val="28"/>
        </w:rPr>
        <w:t>Ga</w:t>
      </w:r>
      <w:r w:rsidRPr="006A525F">
        <w:rPr>
          <w:kern w:val="28"/>
        </w:rPr>
        <w:t xml:space="preserve">udreault, ainsi que pour le résumé d’entrevue de </w:t>
      </w:r>
      <w:r w:rsidR="007803CA" w:rsidRPr="006A525F">
        <w:rPr>
          <w:kern w:val="28"/>
        </w:rPr>
        <w:br/>
      </w:r>
      <w:r w:rsidR="006A3BFC" w:rsidRPr="006A525F">
        <w:rPr>
          <w:kern w:val="28"/>
        </w:rPr>
        <w:t>J</w:t>
      </w:r>
      <w:r w:rsidR="00736FE3" w:rsidRPr="006A525F">
        <w:rPr>
          <w:kern w:val="28"/>
        </w:rPr>
        <w:t xml:space="preserve">ean-Pierre </w:t>
      </w:r>
      <w:r w:rsidRPr="006A525F">
        <w:rPr>
          <w:kern w:val="28"/>
        </w:rPr>
        <w:t xml:space="preserve">Boudreault. Ces éléments de preuve auraient dû être communiqués à l’appelant si l’obligation de divulgation était aussi </w:t>
      </w:r>
      <w:r w:rsidR="00AA6709" w:rsidRPr="006A525F">
        <w:rPr>
          <w:kern w:val="28"/>
        </w:rPr>
        <w:t>étendue</w:t>
      </w:r>
      <w:r w:rsidRPr="006A525F">
        <w:rPr>
          <w:kern w:val="28"/>
        </w:rPr>
        <w:t xml:space="preserve"> à l’époque que ce que </w:t>
      </w:r>
      <w:r w:rsidR="00AA6709" w:rsidRPr="006A525F">
        <w:rPr>
          <w:kern w:val="28"/>
        </w:rPr>
        <w:t xml:space="preserve">ce </w:t>
      </w:r>
      <w:r w:rsidRPr="006A525F">
        <w:rPr>
          <w:kern w:val="28"/>
        </w:rPr>
        <w:t>dernier soutient. Autrement dit, si l’obligation de la Couronne de communiquer les éléments de preuve s’étendait au</w:t>
      </w:r>
      <w:r w:rsidR="00C25A6C" w:rsidRPr="006A525F">
        <w:rPr>
          <w:kern w:val="28"/>
        </w:rPr>
        <w:t>-</w:t>
      </w:r>
      <w:r w:rsidRPr="006A525F">
        <w:rPr>
          <w:kern w:val="28"/>
        </w:rPr>
        <w:t>delà de ce que l’ordonnance du juge Ducros prévoyait pour la divulgation de la preuve, alors ces trois éléments de preuve auraient peut-être dû être communiqués.</w:t>
      </w:r>
    </w:p>
    <w:p w14:paraId="63829770" w14:textId="0EC8BB78" w:rsidR="00AC4490" w:rsidRPr="006A525F" w:rsidRDefault="00BD178A" w:rsidP="00A06898">
      <w:pPr>
        <w:numPr>
          <w:ilvl w:val="0"/>
          <w:numId w:val="18"/>
        </w:numPr>
        <w:spacing w:before="120" w:after="120"/>
        <w:jc w:val="both"/>
        <w:rPr>
          <w:kern w:val="28"/>
        </w:rPr>
      </w:pPr>
      <w:r w:rsidRPr="006A525F">
        <w:rPr>
          <w:kern w:val="28"/>
        </w:rPr>
        <w:t xml:space="preserve">Quant aux déclarations de </w:t>
      </w:r>
      <w:r w:rsidR="00346585" w:rsidRPr="006A525F">
        <w:rPr>
          <w:kern w:val="28"/>
        </w:rPr>
        <w:t xml:space="preserve">Paul </w:t>
      </w:r>
      <w:r w:rsidRPr="006A525F">
        <w:rPr>
          <w:kern w:val="28"/>
        </w:rPr>
        <w:t xml:space="preserve">Godbout et </w:t>
      </w:r>
      <w:r w:rsidR="00346585" w:rsidRPr="006A525F">
        <w:rPr>
          <w:kern w:val="28"/>
        </w:rPr>
        <w:t xml:space="preserve">René </w:t>
      </w:r>
      <w:r w:rsidRPr="006A525F">
        <w:rPr>
          <w:kern w:val="28"/>
        </w:rPr>
        <w:t>Lemelin, l’appelant conteste la co</w:t>
      </w:r>
      <w:r w:rsidR="009136D6" w:rsidRPr="006A525F">
        <w:rPr>
          <w:kern w:val="28"/>
        </w:rPr>
        <w:t>nclusion factuelle</w:t>
      </w:r>
      <w:r w:rsidR="00504CFE" w:rsidRPr="006A525F">
        <w:rPr>
          <w:kern w:val="28"/>
        </w:rPr>
        <w:t xml:space="preserve"> du juge </w:t>
      </w:r>
      <w:r w:rsidR="00E656AC" w:rsidRPr="006A525F">
        <w:rPr>
          <w:kern w:val="28"/>
        </w:rPr>
        <w:t>suivant laquelle</w:t>
      </w:r>
      <w:r w:rsidRPr="006A525F">
        <w:rPr>
          <w:kern w:val="28"/>
        </w:rPr>
        <w:t xml:space="preserve"> la Couronne les avait divulguées à son procureur,</w:t>
      </w:r>
      <w:r w:rsidR="00DA5F2F" w:rsidRPr="006A525F">
        <w:rPr>
          <w:kern w:val="28"/>
        </w:rPr>
        <w:t xml:space="preserve"> </w:t>
      </w:r>
      <w:r w:rsidR="00DA5F2F" w:rsidRPr="006A525F">
        <w:rPr>
          <w:kern w:val="24"/>
        </w:rPr>
        <w:t>Me </w:t>
      </w:r>
      <w:r w:rsidR="00BC66CE" w:rsidRPr="006A525F">
        <w:rPr>
          <w:kern w:val="24"/>
        </w:rPr>
        <w:t xml:space="preserve">Léo-René Maranda. </w:t>
      </w:r>
      <w:r w:rsidR="00504CFE" w:rsidRPr="006A525F">
        <w:rPr>
          <w:kern w:val="28"/>
        </w:rPr>
        <w:t>P</w:t>
      </w:r>
      <w:r w:rsidRPr="006A525F">
        <w:rPr>
          <w:kern w:val="28"/>
        </w:rPr>
        <w:t xml:space="preserve">our ces éléments de preuve aussi, </w:t>
      </w:r>
      <w:r w:rsidR="00FC4697" w:rsidRPr="006A525F">
        <w:rPr>
          <w:kern w:val="28"/>
        </w:rPr>
        <w:t xml:space="preserve">la </w:t>
      </w:r>
      <w:r w:rsidRPr="006A525F">
        <w:rPr>
          <w:kern w:val="28"/>
        </w:rPr>
        <w:t xml:space="preserve">question </w:t>
      </w:r>
      <w:r w:rsidR="00306968" w:rsidRPr="006A525F">
        <w:rPr>
          <w:kern w:val="28"/>
        </w:rPr>
        <w:t>aurait pu ne pas être théorique, mais</w:t>
      </w:r>
      <w:r w:rsidR="00FC4697" w:rsidRPr="006A525F">
        <w:rPr>
          <w:kern w:val="28"/>
        </w:rPr>
        <w:t>,</w:t>
      </w:r>
      <w:r w:rsidR="00306968" w:rsidRPr="006A525F">
        <w:rPr>
          <w:kern w:val="28"/>
        </w:rPr>
        <w:t xml:space="preserve"> comme il en sera question ultérieurement, la Cour </w:t>
      </w:r>
      <w:r w:rsidR="0059051A">
        <w:rPr>
          <w:kern w:val="28"/>
        </w:rPr>
        <w:t xml:space="preserve">est d’avis </w:t>
      </w:r>
      <w:r w:rsidR="00306968" w:rsidRPr="006A525F">
        <w:rPr>
          <w:kern w:val="28"/>
        </w:rPr>
        <w:t>que le juge de première instance n’a pas erré en concluant qu’elles ont effectiveme</w:t>
      </w:r>
      <w:r w:rsidR="007803CA" w:rsidRPr="006A525F">
        <w:rPr>
          <w:kern w:val="28"/>
        </w:rPr>
        <w:t>nt été divulguées à l’appelant.</w:t>
      </w:r>
    </w:p>
    <w:p w14:paraId="1036673C" w14:textId="625002E5" w:rsidR="00AC4490" w:rsidRPr="006A525F" w:rsidRDefault="00BD178A" w:rsidP="00A06898">
      <w:pPr>
        <w:numPr>
          <w:ilvl w:val="0"/>
          <w:numId w:val="18"/>
        </w:numPr>
        <w:spacing w:before="120" w:after="120"/>
        <w:jc w:val="both"/>
        <w:rPr>
          <w:kern w:val="28"/>
          <w:lang w:eastAsia="fr-CA"/>
        </w:rPr>
      </w:pPr>
      <w:r w:rsidRPr="006A525F">
        <w:rPr>
          <w:kern w:val="28"/>
        </w:rPr>
        <w:t>Le juge décrit ainsi l’obligation de divulgation de la preuve qui incombait à la poursuivante au moment du procès :</w:t>
      </w:r>
    </w:p>
    <w:p w14:paraId="12231AA1" w14:textId="77777777" w:rsidR="00AC4490" w:rsidRPr="006A525F" w:rsidRDefault="00BD178A" w:rsidP="00A06898">
      <w:pPr>
        <w:pStyle w:val="Citationenretrait"/>
      </w:pPr>
      <w:r w:rsidRPr="006A525F">
        <w:t>[210]</w:t>
      </w:r>
      <w:r w:rsidRPr="006A525F">
        <w:tab/>
        <w:t xml:space="preserve">À l’époque où les accusations de meurtre sont portées contre le demandeur Plamondon et de son procès, les règles régissant les obligations de la poursuite en matière de divulgation de la preuve sont bien différentes de celles qui vont s’appliquer quelques années plus tard, à compter de 1991, à la suite de l’arrêt de principe prononcé par la Cour suprême du Canada dans l’affaire </w:t>
      </w:r>
      <w:r w:rsidRPr="006A525F">
        <w:rPr>
          <w:i/>
        </w:rPr>
        <w:t>Stinchcombe</w:t>
      </w:r>
      <w:r w:rsidRPr="006A525F">
        <w:t xml:space="preserve">. En effet, les obligations de la poursuite sont alors minimales. </w:t>
      </w:r>
    </w:p>
    <w:p w14:paraId="67C13DF2" w14:textId="4047E2C1" w:rsidR="00AC4490" w:rsidRPr="006A525F" w:rsidRDefault="00BD178A" w:rsidP="00A06898">
      <w:pPr>
        <w:pStyle w:val="Citationenretrait"/>
      </w:pPr>
      <w:r w:rsidRPr="006A525F">
        <w:t>[211]</w:t>
      </w:r>
      <w:r w:rsidRPr="006A525F">
        <w:tab/>
        <w:t xml:space="preserve">En principe, seule la preuve favorable à l’accusé doit être divulguée et encore, la poursuite bénéficiant d’une large discrétion pour décider de cette question. Pour paraphraser le juge Sopinka dans l’arrêt </w:t>
      </w:r>
      <w:r w:rsidRPr="006A525F">
        <w:rPr>
          <w:i/>
        </w:rPr>
        <w:t>Stinchcombe</w:t>
      </w:r>
      <w:r w:rsidRPr="006A525F">
        <w:t xml:space="preserve">, les règles régissant la divulgation de la preuve sont alors pratiquement inexistantes, </w:t>
      </w:r>
      <w:r w:rsidR="00260E44" w:rsidRPr="006A525F">
        <w:t>« </w:t>
      </w:r>
      <w:r w:rsidRPr="006A525F">
        <w:t xml:space="preserve">la divulgation se faisant sur une base volontaire, l'étendue de cette divulgation variant d'une province à l'autre, d'un ressort à l'autre et d'un poursuivant à </w:t>
      </w:r>
      <w:r w:rsidR="00260E44" w:rsidRPr="006A525F">
        <w:t>l'autre </w:t>
      </w:r>
      <w:r w:rsidRPr="006A525F">
        <w:t>».</w:t>
      </w:r>
    </w:p>
    <w:p w14:paraId="7B72543D" w14:textId="77777777" w:rsidR="00AC4490" w:rsidRPr="006A525F" w:rsidRDefault="00BD178A" w:rsidP="00A06898">
      <w:pPr>
        <w:pStyle w:val="Citationenretrait"/>
      </w:pPr>
      <w:r w:rsidRPr="006A525F">
        <w:lastRenderedPageBreak/>
        <w:t>[212]</w:t>
      </w:r>
      <w:r w:rsidRPr="006A525F">
        <w:tab/>
        <w:t xml:space="preserve">Malgré cette </w:t>
      </w:r>
      <w:r w:rsidRPr="006A525F">
        <w:rPr>
          <w:i/>
        </w:rPr>
        <w:t>absence</w:t>
      </w:r>
      <w:r w:rsidRPr="006A525F">
        <w:t xml:space="preserve"> de règles, le demandeur Plamondon demande au juge qui préside son procès [le juge Ducros] d’ordonner à la poursuite de lui remettre les déclarations des témoins qu’elle entend faire témoigner.</w:t>
      </w:r>
    </w:p>
    <w:p w14:paraId="669E13D8" w14:textId="79584785" w:rsidR="00301F3C" w:rsidRPr="006A525F" w:rsidRDefault="00BD178A" w:rsidP="00A06898">
      <w:pPr>
        <w:pStyle w:val="Citationenretrait"/>
      </w:pPr>
      <w:r w:rsidRPr="006A525F">
        <w:t>[213]</w:t>
      </w:r>
      <w:r w:rsidRPr="006A525F">
        <w:tab/>
        <w:t>Le juge Ducros fait droit à cette demande et cela d’autant plus que la poursuite ne s’y objecte pas, le demandeur Plamondon n’avait pas bénéficié d’une enquête préliminaire, en raison des actes d’accusation privilégiés […]</w:t>
      </w:r>
    </w:p>
    <w:p w14:paraId="6C169481" w14:textId="3171095D" w:rsidR="00AC4490" w:rsidRPr="006A525F" w:rsidRDefault="00BD178A" w:rsidP="00A06898">
      <w:pPr>
        <w:pStyle w:val="Citationenretrait"/>
      </w:pPr>
      <w:r w:rsidRPr="006A525F">
        <w:t>[214]</w:t>
      </w:r>
      <w:r w:rsidRPr="006A525F">
        <w:tab/>
        <w:t>Fort du consentement de la poursuite, le juge Ducros exige qu’après le témoignage principal de chacun des témoins de la poursuite, leur(s) déclaration(s) antérieure(s) soient remises à la défense avant leur contre-interrogatoire […]</w:t>
      </w:r>
      <w:r w:rsidR="00D066FD" w:rsidRPr="006A525F">
        <w:t>.</w:t>
      </w:r>
      <w:r>
        <w:rPr>
          <w:rFonts w:cs="Arial"/>
          <w:vertAlign w:val="superscript"/>
        </w:rPr>
        <w:footnoteReference w:id="44"/>
      </w:r>
    </w:p>
    <w:p w14:paraId="394C0BE1" w14:textId="77777777" w:rsidR="00AC4490" w:rsidRPr="006A525F" w:rsidRDefault="00BD178A" w:rsidP="00A06898">
      <w:pPr>
        <w:pStyle w:val="Citationenretrait"/>
        <w:jc w:val="right"/>
      </w:pPr>
      <w:r w:rsidRPr="006A525F">
        <w:t>[Références omises]</w:t>
      </w:r>
    </w:p>
    <w:p w14:paraId="357089AF" w14:textId="77777777" w:rsidR="00AC4490" w:rsidRPr="006A525F" w:rsidRDefault="00BD178A" w:rsidP="00A06898">
      <w:pPr>
        <w:pStyle w:val="Paragraphe"/>
        <w:spacing w:line="280" w:lineRule="exact"/>
        <w:rPr>
          <w:lang w:eastAsia="fr-CA"/>
        </w:rPr>
      </w:pPr>
      <w:r w:rsidRPr="006A525F">
        <w:t xml:space="preserve">Cette analyse est sans faille. </w:t>
      </w:r>
    </w:p>
    <w:p w14:paraId="395EDB56" w14:textId="77777777" w:rsidR="00153DAB" w:rsidRPr="006A525F" w:rsidRDefault="00BD178A" w:rsidP="00A06898">
      <w:pPr>
        <w:pStyle w:val="Paragraphe"/>
        <w:spacing w:line="280" w:lineRule="exact"/>
        <w:rPr>
          <w:lang w:eastAsia="fr-CA"/>
        </w:rPr>
      </w:pPr>
      <w:r w:rsidRPr="006A525F">
        <w:t xml:space="preserve">Dans </w:t>
      </w:r>
      <w:r w:rsidRPr="006A525F">
        <w:rPr>
          <w:i/>
          <w:lang w:eastAsia="fr-CA"/>
        </w:rPr>
        <w:t>Stinchcombe</w:t>
      </w:r>
      <w:r w:rsidRPr="006A525F">
        <w:rPr>
          <w:lang w:eastAsia="fr-CA"/>
        </w:rPr>
        <w:t xml:space="preserve">, la Cour suprême </w:t>
      </w:r>
      <w:r w:rsidRPr="006A525F">
        <w:t>affirmait</w:t>
      </w:r>
      <w:r w:rsidRPr="006A525F">
        <w:rPr>
          <w:lang w:eastAsia="fr-CA"/>
        </w:rPr>
        <w:t xml:space="preserve"> que le </w:t>
      </w:r>
      <w:r w:rsidRPr="006A525F">
        <w:rPr>
          <w:i/>
          <w:lang w:eastAsia="fr-CA"/>
        </w:rPr>
        <w:t>statu quo</w:t>
      </w:r>
      <w:r w:rsidRPr="006A525F">
        <w:rPr>
          <w:lang w:eastAsia="fr-CA"/>
        </w:rPr>
        <w:t xml:space="preserve"> était injustifiable puisque la divulgation de la preuve se faisait jusqu’alors sur une « base volontaire »</w:t>
      </w:r>
      <w:r>
        <w:rPr>
          <w:vertAlign w:val="superscript"/>
          <w:lang w:eastAsia="fr-CA"/>
        </w:rPr>
        <w:footnoteReference w:id="45"/>
      </w:r>
      <w:r w:rsidRPr="006A525F">
        <w:rPr>
          <w:lang w:eastAsia="fr-CA"/>
        </w:rPr>
        <w:t> :</w:t>
      </w:r>
    </w:p>
    <w:p w14:paraId="07114724" w14:textId="77777777" w:rsidR="00153DAB" w:rsidRPr="006A525F" w:rsidRDefault="00BD178A" w:rsidP="00A06898">
      <w:pPr>
        <w:pStyle w:val="Citationenretrait"/>
        <w:rPr>
          <w:lang w:eastAsia="fr-CA"/>
        </w:rPr>
      </w:pPr>
      <w:r w:rsidRPr="006A525F">
        <w:rPr>
          <w:lang w:eastAsia="fr-CA"/>
        </w:rPr>
        <w:t xml:space="preserve">Les circonstances à l'origine de la présente affaire témoignent de l'incertitude du droit en ce qui a trait à l'obligation de divulguer qui incombe au ministère public.  Il y a un certain nombre d'arrêts où sont abordés certains aspects de ce sujet.  </w:t>
      </w:r>
      <w:r w:rsidRPr="006A525F">
        <w:rPr>
          <w:lang w:val="en-CA" w:eastAsia="fr-CA"/>
        </w:rPr>
        <w:t>Voir, par exemple, </w:t>
      </w:r>
      <w:r w:rsidRPr="006A525F">
        <w:rPr>
          <w:i/>
          <w:iCs/>
          <w:lang w:val="en-CA" w:eastAsia="fr-CA"/>
        </w:rPr>
        <w:t>Cunliffe v. Law Society of British Columbia</w:t>
      </w:r>
      <w:r w:rsidRPr="006A525F">
        <w:rPr>
          <w:lang w:val="en-CA" w:eastAsia="fr-CA"/>
        </w:rPr>
        <w:t> (1984), 40 C.R. (3d) 67 (C.A.C.</w:t>
      </w:r>
      <w:r w:rsidRPr="006A525F">
        <w:rPr>
          <w:lang w:val="en-CA" w:eastAsia="fr-CA"/>
        </w:rPr>
        <w:noBreakHyphen/>
        <w:t>B.); </w:t>
      </w:r>
      <w:r w:rsidRPr="006A525F">
        <w:rPr>
          <w:i/>
          <w:iCs/>
          <w:lang w:val="en-CA" w:eastAsia="fr-CA"/>
        </w:rPr>
        <w:t>Savion v. The Queen</w:t>
      </w:r>
      <w:r w:rsidRPr="006A525F">
        <w:rPr>
          <w:lang w:val="en-CA" w:eastAsia="fr-CA"/>
        </w:rPr>
        <w:t> (1980), 13 C.R. (3d) 259 (C.A. Ont.); </w:t>
      </w:r>
      <w:r w:rsidRPr="006A525F">
        <w:rPr>
          <w:i/>
          <w:iCs/>
          <w:lang w:val="en-CA" w:eastAsia="fr-CA"/>
        </w:rPr>
        <w:t>R. v. Bourget</w:t>
      </w:r>
      <w:r w:rsidRPr="006A525F">
        <w:rPr>
          <w:lang w:val="en-CA" w:eastAsia="fr-CA"/>
        </w:rPr>
        <w:t xml:space="preserve"> (1987), 56 C.R. (3d) 97 (C.A. Sask.).  </w:t>
      </w:r>
      <w:r w:rsidRPr="006A525F">
        <w:rPr>
          <w:lang w:eastAsia="fr-CA"/>
        </w:rPr>
        <w:t>Aucun arrêt de notre Cour ne contient une étude exhaustive du sujet. Dans un document de travail de 1974, intitulé </w:t>
      </w:r>
      <w:r w:rsidRPr="006A525F">
        <w:rPr>
          <w:i/>
          <w:iCs/>
          <w:lang w:eastAsia="fr-CA"/>
        </w:rPr>
        <w:t>Procédure pénale: la communication de la preuve</w:t>
      </w:r>
      <w:r w:rsidRPr="006A525F">
        <w:rPr>
          <w:lang w:eastAsia="fr-CA"/>
        </w:rPr>
        <w:t> (le "document de travail de 1974"), et dans un rapport de 1984, intitulé </w:t>
      </w:r>
      <w:r w:rsidRPr="006A525F">
        <w:rPr>
          <w:i/>
          <w:iCs/>
          <w:lang w:eastAsia="fr-CA"/>
        </w:rPr>
        <w:t>La communication de la preuve par la poursuite</w:t>
      </w:r>
      <w:r w:rsidRPr="006A525F">
        <w:rPr>
          <w:lang w:eastAsia="fr-CA"/>
        </w:rPr>
        <w:t xml:space="preserve"> (le "rapport de 1984"), la Commission de réforme du droit du Canada a recommandé l'adoption de régimes complets de réglementation de la communication de la preuve par le ministère public, mais aucune mesure législative n'a été prise afin de mettre en oeuvre ces propositions.  Abstraction faite de la mesure de portée limitée prévue à l'art. 603 du </w:t>
      </w:r>
      <w:r w:rsidRPr="006A525F">
        <w:rPr>
          <w:i/>
          <w:iCs/>
          <w:lang w:eastAsia="fr-CA"/>
        </w:rPr>
        <w:t>Code criminel</w:t>
      </w:r>
      <w:r w:rsidRPr="006A525F">
        <w:rPr>
          <w:lang w:eastAsia="fr-CA"/>
        </w:rPr>
        <w:t>, L.R.C. (1985), ch. C</w:t>
      </w:r>
      <w:r w:rsidRPr="006A525F">
        <w:rPr>
          <w:lang w:eastAsia="fr-CA"/>
        </w:rPr>
        <w:noBreakHyphen/>
        <w:t>46, adopté lors de la refonte de 1953</w:t>
      </w:r>
      <w:r w:rsidRPr="006A525F">
        <w:rPr>
          <w:lang w:eastAsia="fr-CA"/>
        </w:rPr>
        <w:noBreakHyphen/>
        <w:t>1954 du </w:t>
      </w:r>
      <w:r w:rsidRPr="006A525F">
        <w:rPr>
          <w:i/>
          <w:iCs/>
          <w:lang w:eastAsia="fr-CA"/>
        </w:rPr>
        <w:t>Code</w:t>
      </w:r>
      <w:r w:rsidRPr="006A525F">
        <w:rPr>
          <w:lang w:eastAsia="fr-CA"/>
        </w:rPr>
        <w:t> (qui lui-même constituait un résumé de dispositions préexistantes), les législateurs se sont contentés de laisser aux tribunaux le soin de concevoir des règles de droit dans ce domaine.</w:t>
      </w:r>
    </w:p>
    <w:p w14:paraId="3CE2DBD6" w14:textId="533EF96D" w:rsidR="00EA7758" w:rsidRPr="006A525F" w:rsidRDefault="00BD178A" w:rsidP="00A06898">
      <w:pPr>
        <w:numPr>
          <w:ilvl w:val="0"/>
          <w:numId w:val="18"/>
        </w:numPr>
        <w:spacing w:before="120" w:after="120"/>
        <w:jc w:val="both"/>
        <w:rPr>
          <w:kern w:val="28"/>
          <w:lang w:eastAsia="fr-CA"/>
        </w:rPr>
      </w:pPr>
      <w:r w:rsidRPr="006A525F">
        <w:rPr>
          <w:kern w:val="28"/>
          <w:lang w:eastAsia="fr-CA"/>
        </w:rPr>
        <w:t xml:space="preserve">Les </w:t>
      </w:r>
      <w:r w:rsidRPr="006A525F">
        <w:rPr>
          <w:kern w:val="28"/>
        </w:rPr>
        <w:t>auteurs</w:t>
      </w:r>
      <w:r w:rsidRPr="006A525F">
        <w:rPr>
          <w:kern w:val="28"/>
          <w:lang w:eastAsia="fr-CA"/>
        </w:rPr>
        <w:t xml:space="preserve"> Martin Vauclair et Tristan Desjardins expliquent que « [l]’arrêt </w:t>
      </w:r>
      <w:r w:rsidRPr="006A525F">
        <w:rPr>
          <w:i/>
          <w:kern w:val="28"/>
          <w:lang w:eastAsia="fr-CA"/>
        </w:rPr>
        <w:t xml:space="preserve">Stinchcombe </w:t>
      </w:r>
      <w:r w:rsidRPr="006A525F">
        <w:rPr>
          <w:kern w:val="28"/>
          <w:lang w:eastAsia="fr-CA"/>
        </w:rPr>
        <w:t xml:space="preserve">a transformé une pratique volontaire et imparfaite de communication de la preuve en une pratique obligatoire […] » et « [a]utrefois, cette procédure n’avait aucun </w:t>
      </w:r>
      <w:r w:rsidRPr="006A525F">
        <w:rPr>
          <w:kern w:val="28"/>
          <w:lang w:eastAsia="fr-CA"/>
        </w:rPr>
        <w:lastRenderedPageBreak/>
        <w:t>caractère contraignant pour le ministère public, […] »</w:t>
      </w:r>
      <w:r>
        <w:rPr>
          <w:kern w:val="28"/>
          <w:vertAlign w:val="superscript"/>
          <w:lang w:eastAsia="fr-CA"/>
        </w:rPr>
        <w:footnoteReference w:id="46"/>
      </w:r>
      <w:r w:rsidRPr="006A525F">
        <w:rPr>
          <w:kern w:val="28"/>
          <w:lang w:eastAsia="fr-CA"/>
        </w:rPr>
        <w:t xml:space="preserve">. </w:t>
      </w:r>
      <w:r w:rsidR="00260E44" w:rsidRPr="006A525F">
        <w:rPr>
          <w:kern w:val="28"/>
          <w:lang w:eastAsia="fr-CA"/>
        </w:rPr>
        <w:t xml:space="preserve">Jusqu’à </w:t>
      </w:r>
      <w:r w:rsidR="00260E44" w:rsidRPr="006A525F">
        <w:rPr>
          <w:i/>
          <w:kern w:val="28"/>
          <w:lang w:eastAsia="fr-CA"/>
        </w:rPr>
        <w:t>Stinchcombe</w:t>
      </w:r>
      <w:r w:rsidRPr="006A525F">
        <w:rPr>
          <w:kern w:val="28"/>
          <w:lang w:eastAsia="fr-CA"/>
        </w:rPr>
        <w:t>, la divulgation de la preuve était soumise au pouvoir discrétionnaire du juge qui, lorsqu’un accusé le demandait, pouvait rendre les ordonnances nécessaires. Le ministère public devait respecter ces ordonnances, mais n’avait pas d’autre obligation formelle de communication de la preuve</w:t>
      </w:r>
      <w:r>
        <w:rPr>
          <w:kern w:val="28"/>
          <w:vertAlign w:val="superscript"/>
          <w:lang w:eastAsia="fr-CA"/>
        </w:rPr>
        <w:footnoteReference w:id="47"/>
      </w:r>
      <w:r w:rsidRPr="006A525F">
        <w:rPr>
          <w:kern w:val="28"/>
          <w:lang w:eastAsia="fr-CA"/>
        </w:rPr>
        <w:t xml:space="preserve">. Commentant l’arrêt </w:t>
      </w:r>
      <w:r w:rsidRPr="006A525F">
        <w:rPr>
          <w:i/>
          <w:kern w:val="28"/>
          <w:lang w:eastAsia="fr-CA"/>
        </w:rPr>
        <w:t>Savion</w:t>
      </w:r>
      <w:r>
        <w:rPr>
          <w:kern w:val="28"/>
          <w:vertAlign w:val="superscript"/>
          <w:lang w:eastAsia="fr-CA"/>
        </w:rPr>
        <w:footnoteReference w:id="48"/>
      </w:r>
      <w:r w:rsidRPr="006A525F">
        <w:rPr>
          <w:kern w:val="28"/>
          <w:lang w:eastAsia="fr-CA"/>
        </w:rPr>
        <w:t xml:space="preserve"> de la Cour d’appel de l’Ontario, les auteurs Béliveau et Labrèche résumaient le droit alors applicable</w:t>
      </w:r>
      <w:r w:rsidR="003D3812" w:rsidRPr="006A525F">
        <w:rPr>
          <w:kern w:val="28"/>
          <w:lang w:eastAsia="fr-CA"/>
        </w:rPr>
        <w:t> </w:t>
      </w:r>
      <w:r w:rsidRPr="006A525F">
        <w:rPr>
          <w:kern w:val="28"/>
          <w:lang w:eastAsia="fr-CA"/>
        </w:rPr>
        <w:t>:</w:t>
      </w:r>
    </w:p>
    <w:p w14:paraId="66187D94" w14:textId="77777777" w:rsidR="00EA7758" w:rsidRPr="006A525F" w:rsidRDefault="00BD178A" w:rsidP="00A06898">
      <w:pPr>
        <w:pStyle w:val="Citationenretrait"/>
        <w:rPr>
          <w:lang w:eastAsia="fr-CA"/>
        </w:rPr>
      </w:pPr>
      <w:r w:rsidRPr="006A525F">
        <w:rPr>
          <w:lang w:eastAsia="fr-CA"/>
        </w:rPr>
        <w:t xml:space="preserve">Une Cour </w:t>
      </w:r>
      <w:r w:rsidRPr="006A525F">
        <w:t>peut</w:t>
      </w:r>
      <w:r w:rsidRPr="006A525F">
        <w:rPr>
          <w:lang w:eastAsia="fr-CA"/>
        </w:rPr>
        <w:t xml:space="preserve"> également, en vertu de sa juridiction inhérente, ordonner de remettre à l’accusé une copie de la déclaration des témoins et d’un enregistrement d’une conversation dont il est fait mention dans les témoignages. […]</w:t>
      </w:r>
      <w:r>
        <w:rPr>
          <w:vertAlign w:val="superscript"/>
          <w:lang w:eastAsia="fr-CA"/>
        </w:rPr>
        <w:footnoteReference w:id="49"/>
      </w:r>
    </w:p>
    <w:p w14:paraId="2E1068E8" w14:textId="3FA95501" w:rsidR="00DE42E3" w:rsidRPr="006A525F" w:rsidRDefault="00BD178A" w:rsidP="00A06898">
      <w:pPr>
        <w:pStyle w:val="Paragraphe"/>
        <w:spacing w:line="280" w:lineRule="exact"/>
      </w:pPr>
      <w:r w:rsidRPr="006A525F">
        <w:t xml:space="preserve">Il faut rappeler qu’en l’espèce, avec le consentement du ministère public, le juge Ducros avait ordonné la communication, par la Couronne, de toutes les déclarations antérieures des témoins appelés à la barre, suivant leur témoignage </w:t>
      </w:r>
      <w:r w:rsidR="00DC3CEC" w:rsidRPr="006A525F">
        <w:t xml:space="preserve">au procès, </w:t>
      </w:r>
      <w:r w:rsidRPr="006A525F">
        <w:t>avant leur contre-interrogatoire</w:t>
      </w:r>
      <w:r>
        <w:rPr>
          <w:vertAlign w:val="superscript"/>
        </w:rPr>
        <w:footnoteReference w:id="50"/>
      </w:r>
      <w:r w:rsidRPr="006A525F">
        <w:t>. Ainsi, c’est à bon droit que le juge a considéré que cette ordonnance allait au-delà des exigences jurisprudentielles de l’époque :</w:t>
      </w:r>
    </w:p>
    <w:p w14:paraId="43AB1B12" w14:textId="77777777" w:rsidR="00DE42E3" w:rsidRPr="006A525F" w:rsidRDefault="00BD178A" w:rsidP="003D3812">
      <w:pPr>
        <w:pStyle w:val="Citationenretrait"/>
      </w:pPr>
      <w:r w:rsidRPr="006A525F">
        <w:t>[212]</w:t>
      </w:r>
      <w:r w:rsidRPr="006A525F">
        <w:tab/>
        <w:t>Malgré cette absence de règles, le demandeur Plamondon demande au juge qui préside son procès [le juge Ducros] d’ordonner à la poursuite de lui remettre les déclarations des témoins qu’elle entend faire témoigner.</w:t>
      </w:r>
    </w:p>
    <w:p w14:paraId="6C1F8912" w14:textId="56327C88" w:rsidR="00DE42E3" w:rsidRPr="006A525F" w:rsidRDefault="00BD178A" w:rsidP="003D3812">
      <w:pPr>
        <w:pStyle w:val="Citationenretrait"/>
      </w:pPr>
      <w:r w:rsidRPr="006A525F">
        <w:t>[213]</w:t>
      </w:r>
      <w:r w:rsidRPr="006A525F">
        <w:tab/>
        <w:t>Le juge Ducros fait droit à cette demande et cela d’autant plus que la poursuite ne s’y objecte pas, le demandeur Plamondon n’avait pas bénéficié d’une enquête préliminaire, en raison des actes d’accusation privilégiés […]</w:t>
      </w:r>
    </w:p>
    <w:p w14:paraId="524B5147" w14:textId="244A0BF7" w:rsidR="00CC213C" w:rsidRPr="006A525F" w:rsidRDefault="00BD178A" w:rsidP="00A06898">
      <w:pPr>
        <w:pStyle w:val="Paragraphe"/>
        <w:spacing w:line="280" w:lineRule="exact"/>
      </w:pPr>
      <w:r w:rsidRPr="006A525F">
        <w:t>P</w:t>
      </w:r>
      <w:r w:rsidR="00283DC9" w:rsidRPr="006A525F">
        <w:t>ar conséquent,</w:t>
      </w:r>
      <w:r w:rsidR="00A4436A" w:rsidRPr="006A525F">
        <w:t xml:space="preserve"> en l’espèce,</w:t>
      </w:r>
      <w:r w:rsidR="00283DC9" w:rsidRPr="006A525F">
        <w:t xml:space="preserve"> lors de l’application des critères de l’arrêt </w:t>
      </w:r>
      <w:r w:rsidR="00283DC9" w:rsidRPr="006A525F">
        <w:rPr>
          <w:i/>
        </w:rPr>
        <w:t>Henry</w:t>
      </w:r>
      <w:r w:rsidR="00283DC9" w:rsidRPr="006A525F">
        <w:t>,</w:t>
      </w:r>
      <w:r w:rsidRPr="006A525F">
        <w:t xml:space="preserve"> </w:t>
      </w:r>
      <w:r w:rsidR="00283DC9" w:rsidRPr="006A525F">
        <w:t>il revenait</w:t>
      </w:r>
      <w:r w:rsidR="00A4436A" w:rsidRPr="006A525F">
        <w:t xml:space="preserve"> au juge</w:t>
      </w:r>
      <w:r w:rsidR="00B23BF3" w:rsidRPr="006A525F">
        <w:t xml:space="preserve"> </w:t>
      </w:r>
      <w:r w:rsidRPr="006A525F">
        <w:t>de statuer sur le respect de cette ordonnance par le ministère public, ce qu’il a ensuite fait, comme il en sera maintenant question.</w:t>
      </w:r>
    </w:p>
    <w:p w14:paraId="2E79F6EC" w14:textId="331CAAF0" w:rsidR="00555BCE" w:rsidRPr="006A525F" w:rsidRDefault="00BD178A" w:rsidP="00A06898">
      <w:pPr>
        <w:pStyle w:val="Paragraphe"/>
        <w:keepNext/>
        <w:keepLines/>
        <w:numPr>
          <w:ilvl w:val="0"/>
          <w:numId w:val="0"/>
        </w:numPr>
        <w:spacing w:line="280" w:lineRule="exact"/>
        <w:rPr>
          <w:b/>
          <w:i/>
        </w:rPr>
      </w:pPr>
      <w:r w:rsidRPr="006A525F">
        <w:rPr>
          <w:b/>
          <w:i/>
          <w:lang w:eastAsia="fr-CA"/>
        </w:rPr>
        <w:t>B. Le juge a-t-il erré dans l’applicatio</w:t>
      </w:r>
      <w:r w:rsidR="007803CA" w:rsidRPr="006A525F">
        <w:rPr>
          <w:b/>
          <w:i/>
          <w:lang w:eastAsia="fr-CA"/>
        </w:rPr>
        <w:t>n des critères de l’arrêt Henry</w:t>
      </w:r>
      <w:r w:rsidRPr="006A525F">
        <w:rPr>
          <w:b/>
          <w:i/>
          <w:lang w:eastAsia="fr-CA"/>
        </w:rPr>
        <w:t>?</w:t>
      </w:r>
    </w:p>
    <w:p w14:paraId="18028551" w14:textId="266D0BB4" w:rsidR="009B4B1F" w:rsidRPr="006A525F" w:rsidRDefault="00BD178A" w:rsidP="00A06898">
      <w:pPr>
        <w:pStyle w:val="NoParagrjugement"/>
        <w:numPr>
          <w:ilvl w:val="0"/>
          <w:numId w:val="18"/>
        </w:numPr>
        <w:spacing w:line="280" w:lineRule="exact"/>
      </w:pPr>
      <w:r w:rsidRPr="006A525F">
        <w:t>En première instance, n</w:t>
      </w:r>
      <w:r w:rsidR="00555BCE" w:rsidRPr="006A525F">
        <w:t xml:space="preserve">on seulement </w:t>
      </w:r>
      <w:r w:rsidRPr="006A525F">
        <w:t>l’appelant invoquait</w:t>
      </w:r>
      <w:r w:rsidR="00555BCE" w:rsidRPr="006A525F">
        <w:t xml:space="preserve">-il la rétention </w:t>
      </w:r>
      <w:r w:rsidRPr="006A525F">
        <w:t xml:space="preserve">délibérée </w:t>
      </w:r>
      <w:r w:rsidR="00555BCE" w:rsidRPr="006A525F">
        <w:t xml:space="preserve">des déclarations de </w:t>
      </w:r>
      <w:r w:rsidR="00301F3C" w:rsidRPr="006A525F">
        <w:t xml:space="preserve">Jean-Noël </w:t>
      </w:r>
      <w:r w:rsidR="00555BCE" w:rsidRPr="006A525F">
        <w:t xml:space="preserve">Daley et </w:t>
      </w:r>
      <w:r w:rsidR="0064363D" w:rsidRPr="006A525F">
        <w:t>P</w:t>
      </w:r>
      <w:r w:rsidR="00301F3C" w:rsidRPr="006A525F">
        <w:t>ierre</w:t>
      </w:r>
      <w:r w:rsidR="0064363D" w:rsidRPr="006A525F">
        <w:t xml:space="preserve"> </w:t>
      </w:r>
      <w:r w:rsidR="00555BCE" w:rsidRPr="006A525F">
        <w:t>Gaudreault des 19 et 20</w:t>
      </w:r>
      <w:r w:rsidR="009E50C7" w:rsidRPr="006A525F">
        <w:t> </w:t>
      </w:r>
      <w:r w:rsidR="00555BCE" w:rsidRPr="006A525F">
        <w:t>août</w:t>
      </w:r>
      <w:r w:rsidR="009E50C7" w:rsidRPr="006A525F">
        <w:t> </w:t>
      </w:r>
      <w:r w:rsidR="00555BCE" w:rsidRPr="006A525F">
        <w:t xml:space="preserve">1985, mais </w:t>
      </w:r>
      <w:r w:rsidR="00504CFE" w:rsidRPr="006A525F">
        <w:t xml:space="preserve">il </w:t>
      </w:r>
      <w:r w:rsidR="003B3298" w:rsidRPr="006A525F">
        <w:t>reprochait</w:t>
      </w:r>
      <w:r w:rsidR="00504CFE" w:rsidRPr="006A525F">
        <w:t xml:space="preserve"> également</w:t>
      </w:r>
      <w:r w:rsidR="00DD29BF">
        <w:t xml:space="preserve"> à la poursuite</w:t>
      </w:r>
      <w:r w:rsidR="00504CFE" w:rsidRPr="006A525F">
        <w:t xml:space="preserve"> </w:t>
      </w:r>
      <w:r w:rsidR="003B3298" w:rsidRPr="006A525F">
        <w:t>la non-divulgation intentionnelle d’autres déclarations</w:t>
      </w:r>
      <w:r w:rsidR="00555BCE" w:rsidRPr="006A525F">
        <w:t>.</w:t>
      </w:r>
      <w:r w:rsidR="00504CFE" w:rsidRPr="006A525F">
        <w:t xml:space="preserve"> </w:t>
      </w:r>
      <w:r w:rsidRPr="006A525F">
        <w:t xml:space="preserve">La première de ces déclarations était celle </w:t>
      </w:r>
      <w:r w:rsidR="00555BCE" w:rsidRPr="006A525F">
        <w:t>de J</w:t>
      </w:r>
      <w:r w:rsidR="00AF07BE" w:rsidRPr="006A525F">
        <w:t>ean</w:t>
      </w:r>
      <w:r w:rsidR="00555BCE" w:rsidRPr="006A525F">
        <w:t>-P</w:t>
      </w:r>
      <w:r w:rsidR="00AF07BE" w:rsidRPr="006A525F">
        <w:t>ierre</w:t>
      </w:r>
      <w:r w:rsidR="00555BCE" w:rsidRPr="006A525F">
        <w:t xml:space="preserve"> Boudreault, l’associé de Claude Simard dans la vente de stupéfiants, </w:t>
      </w:r>
      <w:r w:rsidR="00504CFE" w:rsidRPr="006A525F">
        <w:t xml:space="preserve">qui prenait </w:t>
      </w:r>
      <w:r w:rsidR="00555BCE" w:rsidRPr="006A525F">
        <w:t xml:space="preserve">la forme d’un résumé </w:t>
      </w:r>
      <w:r w:rsidR="00555BCE" w:rsidRPr="006A525F">
        <w:lastRenderedPageBreak/>
        <w:t xml:space="preserve">d’entrevue avec les policiers </w:t>
      </w:r>
      <w:r w:rsidRPr="006A525F">
        <w:t xml:space="preserve">puisque </w:t>
      </w:r>
      <w:r w:rsidR="00AF07BE" w:rsidRPr="006A525F">
        <w:t>Jean-Pierre</w:t>
      </w:r>
      <w:r w:rsidR="00736FE3" w:rsidRPr="006A525F">
        <w:t xml:space="preserve"> </w:t>
      </w:r>
      <w:r w:rsidR="00555BCE" w:rsidRPr="006A525F">
        <w:t>Boudreault a</w:t>
      </w:r>
      <w:r w:rsidRPr="006A525F">
        <w:t>vait</w:t>
      </w:r>
      <w:r w:rsidR="00555BCE" w:rsidRPr="006A525F">
        <w:t xml:space="preserve"> refusé de signer une déclaration écrite</w:t>
      </w:r>
      <w:r w:rsidRPr="006A525F">
        <w:t>.</w:t>
      </w:r>
      <w:r w:rsidR="00555BCE" w:rsidRPr="006A525F">
        <w:t xml:space="preserve"> </w:t>
      </w:r>
      <w:r w:rsidRPr="006A525F">
        <w:t xml:space="preserve">La seconde était celle </w:t>
      </w:r>
      <w:r w:rsidR="00555BCE" w:rsidRPr="006A525F">
        <w:t>de Pierrette Hardy, une amie de Claude Simard</w:t>
      </w:r>
      <w:r w:rsidR="003F60DC" w:rsidRPr="006A525F">
        <w:t>,</w:t>
      </w:r>
      <w:r w:rsidR="00555BCE" w:rsidRPr="006A525F">
        <w:t xml:space="preserve"> qui a</w:t>
      </w:r>
      <w:r w:rsidRPr="006A525F">
        <w:t>vait</w:t>
      </w:r>
      <w:r w:rsidR="00555BCE" w:rsidRPr="006A525F">
        <w:t xml:space="preserve"> déclaré </w:t>
      </w:r>
      <w:r w:rsidRPr="006A525F">
        <w:t xml:space="preserve">avoir </w:t>
      </w:r>
      <w:r w:rsidR="00555BCE" w:rsidRPr="006A525F">
        <w:t xml:space="preserve">vu </w:t>
      </w:r>
      <w:r w:rsidRPr="006A525F">
        <w:t xml:space="preserve">ce dernier </w:t>
      </w:r>
      <w:r w:rsidR="00555BCE" w:rsidRPr="006A525F">
        <w:t>dans un véhicule blanc dans les heures précédant son meurtre</w:t>
      </w:r>
      <w:r w:rsidRPr="006A525F">
        <w:t xml:space="preserve">. </w:t>
      </w:r>
      <w:r w:rsidR="003B3298" w:rsidRPr="006A525F">
        <w:t xml:space="preserve">Les autres </w:t>
      </w:r>
      <w:r w:rsidRPr="006A525F">
        <w:t>déclarations</w:t>
      </w:r>
      <w:r w:rsidR="003B3298" w:rsidRPr="006A525F">
        <w:t xml:space="preserve"> </w:t>
      </w:r>
      <w:r w:rsidRPr="006A525F">
        <w:t xml:space="preserve">étaient celles de </w:t>
      </w:r>
      <w:r w:rsidR="00555BCE" w:rsidRPr="006A525F">
        <w:t xml:space="preserve">Paul Godbout, René Lemelin et François Gaudreault, trois personnes présentes à la Taverne Desrosiers le soir du meurtre de </w:t>
      </w:r>
      <w:r w:rsidR="00301F3C" w:rsidRPr="006A525F">
        <w:t xml:space="preserve">Claude </w:t>
      </w:r>
      <w:r w:rsidR="00555BCE" w:rsidRPr="006A525F">
        <w:t>Simard</w:t>
      </w:r>
      <w:r>
        <w:rPr>
          <w:rStyle w:val="Appelnotedebasdep"/>
        </w:rPr>
        <w:footnoteReference w:id="51"/>
      </w:r>
      <w:r w:rsidR="00555BCE" w:rsidRPr="006A525F">
        <w:t>.</w:t>
      </w:r>
    </w:p>
    <w:p w14:paraId="33C13624" w14:textId="72DEDAAD" w:rsidR="009B4B1F" w:rsidRPr="006A525F" w:rsidRDefault="00BD178A" w:rsidP="00A06898">
      <w:pPr>
        <w:pStyle w:val="NoParagrjugement"/>
        <w:numPr>
          <w:ilvl w:val="0"/>
          <w:numId w:val="18"/>
        </w:numPr>
        <w:spacing w:line="280" w:lineRule="exact"/>
      </w:pPr>
      <w:r w:rsidRPr="006A525F">
        <w:t>L’appelant</w:t>
      </w:r>
      <w:r w:rsidR="00555BCE" w:rsidRPr="006A525F">
        <w:t xml:space="preserve"> soutient que </w:t>
      </w:r>
      <w:r w:rsidRPr="006A525F">
        <w:t xml:space="preserve">le juge a erré en concluant que </w:t>
      </w:r>
      <w:r w:rsidR="00555BCE" w:rsidRPr="006A525F">
        <w:t xml:space="preserve">les renseignements qui se </w:t>
      </w:r>
      <w:r w:rsidRPr="006A525F">
        <w:t>retrouvaie</w:t>
      </w:r>
      <w:r w:rsidR="00555BCE" w:rsidRPr="006A525F">
        <w:t xml:space="preserve">nt dans ces autres déclarations </w:t>
      </w:r>
      <w:r w:rsidRPr="006A525F">
        <w:t>n’avaient pas à lui être divulgués en vertu de l’obligation constitutionnelle de divulgation de la poursuivante à l’époque</w:t>
      </w:r>
      <w:r w:rsidR="00B5368B" w:rsidRPr="006A525F">
        <w:t>. Il avance également</w:t>
      </w:r>
      <w:r w:rsidRPr="006A525F">
        <w:t xml:space="preserve"> </w:t>
      </w:r>
      <w:r w:rsidR="0095440C">
        <w:t>que le juge</w:t>
      </w:r>
      <w:r w:rsidR="0095440C" w:rsidRPr="006A525F">
        <w:t xml:space="preserve"> </w:t>
      </w:r>
      <w:r w:rsidR="00B5368B" w:rsidRPr="006A525F">
        <w:t xml:space="preserve">s’est mépris en estimant </w:t>
      </w:r>
      <w:r w:rsidRPr="006A525F">
        <w:t>qu’elles n’</w:t>
      </w:r>
      <w:r w:rsidR="00555BCE" w:rsidRPr="006A525F">
        <w:t xml:space="preserve">étaient </w:t>
      </w:r>
      <w:r w:rsidRPr="006A525F">
        <w:t xml:space="preserve">pas </w:t>
      </w:r>
      <w:r w:rsidR="00555BCE" w:rsidRPr="006A525F">
        <w:t>important</w:t>
      </w:r>
      <w:r w:rsidRPr="006A525F">
        <w:t>e</w:t>
      </w:r>
      <w:r w:rsidR="00555BCE" w:rsidRPr="006A525F">
        <w:t>s</w:t>
      </w:r>
      <w:r w:rsidR="00B5368B" w:rsidRPr="006A525F">
        <w:t xml:space="preserve">. Selon lui, </w:t>
      </w:r>
      <w:r w:rsidRPr="006A525F">
        <w:t>si elles lui avaient été communiquées, ces déclarations lui auraien</w:t>
      </w:r>
      <w:r w:rsidR="00555BCE" w:rsidRPr="006A525F">
        <w:t xml:space="preserve">t permis d’attaquer la crédibilité du témoin délateur </w:t>
      </w:r>
      <w:r w:rsidR="00736FE3" w:rsidRPr="006A525F">
        <w:t xml:space="preserve">André </w:t>
      </w:r>
      <w:r w:rsidR="00555BCE" w:rsidRPr="006A525F">
        <w:t>Desbiens</w:t>
      </w:r>
      <w:r w:rsidR="006B040E">
        <w:t xml:space="preserve"> </w:t>
      </w:r>
      <w:r w:rsidR="006B040E" w:rsidRPr="00A06898">
        <w:t>et d’établir une défense d’alibi</w:t>
      </w:r>
      <w:r w:rsidR="00555BCE" w:rsidRPr="006A525F">
        <w:t>.</w:t>
      </w:r>
      <w:r w:rsidRPr="006A525F">
        <w:t xml:space="preserve"> </w:t>
      </w:r>
    </w:p>
    <w:p w14:paraId="1646C205" w14:textId="6233426C" w:rsidR="00555BCE" w:rsidRPr="006A525F" w:rsidRDefault="00BD178A" w:rsidP="00A06898">
      <w:pPr>
        <w:pStyle w:val="NoParagrjugement"/>
        <w:numPr>
          <w:ilvl w:val="0"/>
          <w:numId w:val="18"/>
        </w:numPr>
        <w:spacing w:line="280" w:lineRule="exact"/>
      </w:pPr>
      <w:r w:rsidRPr="006A525F">
        <w:t>En somme, il plaide que « n’e</w:t>
      </w:r>
      <w:r w:rsidR="00DE151C" w:rsidRPr="006A525F">
        <w:t>û</w:t>
      </w:r>
      <w:r w:rsidRPr="006A525F">
        <w:t xml:space="preserve">t été » la rétention </w:t>
      </w:r>
      <w:r w:rsidR="009B4B1F" w:rsidRPr="006A525F">
        <w:t>délibérée de toutes l</w:t>
      </w:r>
      <w:r w:rsidRPr="006A525F">
        <w:t>es déclarations</w:t>
      </w:r>
      <w:r w:rsidR="009B4B1F" w:rsidRPr="006A525F">
        <w:t xml:space="preserve"> qui précèdent</w:t>
      </w:r>
      <w:r w:rsidRPr="006A525F">
        <w:t xml:space="preserve">, il aurait été acquitté des trois accusations de meurtre prémédité et n’aurait pas </w:t>
      </w:r>
      <w:r w:rsidR="009B4B1F" w:rsidRPr="006A525F">
        <w:t>subi un préjudice grave, soit celui de</w:t>
      </w:r>
      <w:r w:rsidRPr="006A525F">
        <w:t xml:space="preserve"> purger une détention de 28 ans en pénitencier. </w:t>
      </w:r>
    </w:p>
    <w:p w14:paraId="1AE6A45A" w14:textId="550C487F" w:rsidR="00AF07BE" w:rsidRPr="006A525F" w:rsidRDefault="00BD178A" w:rsidP="00A06898">
      <w:pPr>
        <w:pStyle w:val="NoParagrjugement"/>
        <w:numPr>
          <w:ilvl w:val="0"/>
          <w:numId w:val="18"/>
        </w:numPr>
        <w:spacing w:line="280" w:lineRule="exact"/>
      </w:pPr>
      <w:r w:rsidRPr="006A525F">
        <w:t>Il convient de traiter distinctement des conclusions du juge relativement à ces déclarations.</w:t>
      </w:r>
    </w:p>
    <w:p w14:paraId="6A2801A3" w14:textId="44553C6E" w:rsidR="00FD1CE1" w:rsidRPr="006A525F" w:rsidRDefault="00BD178A" w:rsidP="00A06898">
      <w:pPr>
        <w:spacing w:before="120" w:after="120"/>
        <w:ind w:right="720" w:firstLine="720"/>
        <w:jc w:val="both"/>
        <w:rPr>
          <w:b/>
          <w:i/>
          <w:kern w:val="24"/>
          <w:szCs w:val="24"/>
          <w:lang w:eastAsia="fr-CA"/>
        </w:rPr>
      </w:pPr>
      <w:r w:rsidRPr="006A525F">
        <w:rPr>
          <w:b/>
          <w:i/>
          <w:kern w:val="24"/>
          <w:szCs w:val="24"/>
          <w:lang w:eastAsia="fr-CA"/>
        </w:rPr>
        <w:t xml:space="preserve">i. Les déclarations antérieures de </w:t>
      </w:r>
      <w:r w:rsidR="00586BA6" w:rsidRPr="006A525F">
        <w:rPr>
          <w:b/>
          <w:i/>
          <w:kern w:val="24"/>
          <w:szCs w:val="24"/>
          <w:lang w:eastAsia="fr-CA"/>
        </w:rPr>
        <w:t xml:space="preserve">Paul </w:t>
      </w:r>
      <w:r w:rsidRPr="006A525F">
        <w:rPr>
          <w:b/>
          <w:i/>
          <w:kern w:val="24"/>
          <w:szCs w:val="24"/>
          <w:lang w:eastAsia="fr-CA"/>
        </w:rPr>
        <w:t xml:space="preserve">Godbout et </w:t>
      </w:r>
      <w:r w:rsidR="00586BA6" w:rsidRPr="006A525F">
        <w:rPr>
          <w:b/>
          <w:i/>
          <w:kern w:val="24"/>
          <w:szCs w:val="24"/>
          <w:lang w:eastAsia="fr-CA"/>
        </w:rPr>
        <w:t xml:space="preserve">René </w:t>
      </w:r>
      <w:r w:rsidRPr="006A525F">
        <w:rPr>
          <w:b/>
          <w:i/>
          <w:kern w:val="24"/>
          <w:szCs w:val="24"/>
          <w:lang w:eastAsia="fr-CA"/>
        </w:rPr>
        <w:t>Lemelin</w:t>
      </w:r>
    </w:p>
    <w:p w14:paraId="1BD3AB66" w14:textId="6DF7625D" w:rsidR="00673A7F" w:rsidRPr="006A525F" w:rsidRDefault="00BD178A" w:rsidP="00A06898">
      <w:pPr>
        <w:pStyle w:val="Paragraphe"/>
        <w:spacing w:line="280" w:lineRule="exact"/>
      </w:pPr>
      <w:r w:rsidRPr="006A525F">
        <w:rPr>
          <w:lang w:eastAsia="fr-CA"/>
        </w:rPr>
        <w:t>Le juge a conclu que les déclarations antérieures de Paul Godbout et René Lemelin ont été communiquées en mains propres à l’avocat de l’appelant</w:t>
      </w:r>
      <w:r>
        <w:rPr>
          <w:vertAlign w:val="superscript"/>
          <w:lang w:eastAsia="fr-CA"/>
        </w:rPr>
        <w:footnoteReference w:id="52"/>
      </w:r>
      <w:r w:rsidR="008526E9" w:rsidRPr="006A525F">
        <w:rPr>
          <w:lang w:eastAsia="fr-CA"/>
        </w:rPr>
        <w:t xml:space="preserve">. </w:t>
      </w:r>
    </w:p>
    <w:p w14:paraId="22633216" w14:textId="5CF87806" w:rsidR="00673A7F" w:rsidRPr="006A525F" w:rsidRDefault="00BD178A" w:rsidP="00A06898">
      <w:pPr>
        <w:pStyle w:val="Paragraphe"/>
        <w:spacing w:line="280" w:lineRule="exact"/>
      </w:pPr>
      <w:r w:rsidRPr="006A525F">
        <w:rPr>
          <w:kern w:val="24"/>
        </w:rPr>
        <w:t xml:space="preserve">L’appelant s’attaque à cette conclusion factuelle sans démontrer </w:t>
      </w:r>
      <w:r w:rsidR="008526E9" w:rsidRPr="006A525F">
        <w:rPr>
          <w:kern w:val="24"/>
        </w:rPr>
        <w:t>l’</w:t>
      </w:r>
      <w:r w:rsidRPr="006A525F">
        <w:rPr>
          <w:kern w:val="24"/>
        </w:rPr>
        <w:t>erreur manifeste et déterminante</w:t>
      </w:r>
      <w:r w:rsidR="00BC66CE" w:rsidRPr="006A525F">
        <w:rPr>
          <w:kern w:val="24"/>
        </w:rPr>
        <w:t xml:space="preserve"> qui l’entacherait. Pourtant, c</w:t>
      </w:r>
      <w:r w:rsidR="008526E9" w:rsidRPr="006A525F">
        <w:rPr>
          <w:kern w:val="24"/>
        </w:rPr>
        <w:t>ette erreur</w:t>
      </w:r>
      <w:r w:rsidR="00BC66CE" w:rsidRPr="006A525F">
        <w:rPr>
          <w:kern w:val="24"/>
        </w:rPr>
        <w:t xml:space="preserve"> devrait être évidente</w:t>
      </w:r>
      <w:r w:rsidR="008526E9" w:rsidRPr="006A525F">
        <w:rPr>
          <w:kern w:val="24"/>
        </w:rPr>
        <w:t xml:space="preserve">, </w:t>
      </w:r>
      <w:r w:rsidRPr="006A525F">
        <w:rPr>
          <w:kern w:val="24"/>
        </w:rPr>
        <w:t xml:space="preserve">telle « une poutre </w:t>
      </w:r>
      <w:r w:rsidR="009E50C7" w:rsidRPr="006A525F">
        <w:rPr>
          <w:kern w:val="24"/>
        </w:rPr>
        <w:t>dans</w:t>
      </w:r>
      <w:r w:rsidRPr="006A525F">
        <w:rPr>
          <w:kern w:val="24"/>
        </w:rPr>
        <w:t xml:space="preserve"> l’œil »</w:t>
      </w:r>
      <w:r>
        <w:rPr>
          <w:rStyle w:val="Appelnotedebasdep"/>
          <w:kern w:val="24"/>
        </w:rPr>
        <w:footnoteReference w:id="53"/>
      </w:r>
      <w:r w:rsidRPr="006A525F">
        <w:rPr>
          <w:kern w:val="24"/>
        </w:rPr>
        <w:t xml:space="preserve">, </w:t>
      </w:r>
      <w:r w:rsidR="00BC66CE" w:rsidRPr="006A525F">
        <w:rPr>
          <w:kern w:val="24"/>
        </w:rPr>
        <w:t>et ne pourrait</w:t>
      </w:r>
      <w:r w:rsidR="008526E9" w:rsidRPr="006A525F">
        <w:rPr>
          <w:kern w:val="24"/>
        </w:rPr>
        <w:t xml:space="preserve"> certainement </w:t>
      </w:r>
      <w:r w:rsidRPr="006A525F">
        <w:rPr>
          <w:kern w:val="24"/>
        </w:rPr>
        <w:t>pas être su</w:t>
      </w:r>
      <w:r w:rsidR="007803CA" w:rsidRPr="006A525F">
        <w:rPr>
          <w:kern w:val="24"/>
        </w:rPr>
        <w:t>pputée à partir de conjectures.</w:t>
      </w:r>
    </w:p>
    <w:p w14:paraId="52853B26" w14:textId="7C3CC220" w:rsidR="00673A7F" w:rsidRPr="006A525F" w:rsidRDefault="00BD178A" w:rsidP="00A06898">
      <w:pPr>
        <w:pStyle w:val="Paragraphe"/>
        <w:spacing w:line="280" w:lineRule="exact"/>
      </w:pPr>
      <w:r w:rsidRPr="006A525F">
        <w:rPr>
          <w:kern w:val="24"/>
        </w:rPr>
        <w:t>E</w:t>
      </w:r>
      <w:r w:rsidR="00BC66CE" w:rsidRPr="006A525F">
        <w:rPr>
          <w:kern w:val="24"/>
        </w:rPr>
        <w:t>n</w:t>
      </w:r>
      <w:r w:rsidR="008526E9" w:rsidRPr="006A525F">
        <w:rPr>
          <w:kern w:val="24"/>
        </w:rPr>
        <w:t xml:space="preserve"> </w:t>
      </w:r>
      <w:r w:rsidR="003C18DA" w:rsidRPr="006A525F">
        <w:rPr>
          <w:kern w:val="24"/>
        </w:rPr>
        <w:t xml:space="preserve">affirmant qu’il est plus probable que les déclarations de </w:t>
      </w:r>
      <w:r w:rsidR="00586BA6" w:rsidRPr="006A525F">
        <w:rPr>
          <w:kern w:val="24"/>
        </w:rPr>
        <w:t xml:space="preserve">Paul </w:t>
      </w:r>
      <w:r w:rsidR="003C18DA" w:rsidRPr="006A525F">
        <w:rPr>
          <w:kern w:val="24"/>
        </w:rPr>
        <w:t>Godbout et</w:t>
      </w:r>
      <w:r w:rsidR="008526E9" w:rsidRPr="006A525F">
        <w:rPr>
          <w:kern w:val="24"/>
        </w:rPr>
        <w:t xml:space="preserve"> </w:t>
      </w:r>
      <w:r w:rsidR="00586BA6" w:rsidRPr="006A525F">
        <w:rPr>
          <w:kern w:val="24"/>
        </w:rPr>
        <w:t xml:space="preserve">René </w:t>
      </w:r>
      <w:r w:rsidR="008526E9" w:rsidRPr="006A525F">
        <w:rPr>
          <w:kern w:val="24"/>
        </w:rPr>
        <w:t>Lemelin n’on</w:t>
      </w:r>
      <w:r w:rsidR="003C18DA" w:rsidRPr="006A525F">
        <w:rPr>
          <w:kern w:val="24"/>
        </w:rPr>
        <w:t>t jamais été communiquées à l’appelant parce que ces derniers ne devaient pas témoigner lors du</w:t>
      </w:r>
      <w:r w:rsidR="00BC66CE" w:rsidRPr="006A525F">
        <w:rPr>
          <w:kern w:val="24"/>
        </w:rPr>
        <w:t xml:space="preserve"> procès, l’appelant</w:t>
      </w:r>
      <w:r w:rsidRPr="006A525F">
        <w:rPr>
          <w:kern w:val="24"/>
        </w:rPr>
        <w:t xml:space="preserve"> nous invite</w:t>
      </w:r>
      <w:r w:rsidR="008526E9" w:rsidRPr="006A525F">
        <w:rPr>
          <w:kern w:val="24"/>
        </w:rPr>
        <w:t xml:space="preserve"> à conjecturer, ce qui ne </w:t>
      </w:r>
      <w:r w:rsidR="00C25A6C" w:rsidRPr="006A525F">
        <w:rPr>
          <w:kern w:val="24"/>
        </w:rPr>
        <w:t xml:space="preserve">satisfait </w:t>
      </w:r>
      <w:r w:rsidR="008526E9" w:rsidRPr="006A525F">
        <w:rPr>
          <w:kern w:val="24"/>
        </w:rPr>
        <w:t>pas le seuil d’intervention de la Cour.</w:t>
      </w:r>
      <w:r w:rsidR="00153DAB" w:rsidRPr="006A525F">
        <w:t xml:space="preserve"> </w:t>
      </w:r>
      <w:r w:rsidR="008526E9" w:rsidRPr="006A525F">
        <w:rPr>
          <w:kern w:val="24"/>
        </w:rPr>
        <w:t xml:space="preserve">En effet, </w:t>
      </w:r>
      <w:r w:rsidR="00104FE1" w:rsidRPr="006A525F">
        <w:rPr>
          <w:kern w:val="24"/>
        </w:rPr>
        <w:t>après avoir l</w:t>
      </w:r>
      <w:r w:rsidR="003C18DA" w:rsidRPr="006A525F">
        <w:rPr>
          <w:kern w:val="24"/>
        </w:rPr>
        <w:t>onguement entend</w:t>
      </w:r>
      <w:r w:rsidR="00362B9D" w:rsidRPr="006A525F">
        <w:rPr>
          <w:kern w:val="24"/>
        </w:rPr>
        <w:t>u l’avocat qui agissait pour la poursuite</w:t>
      </w:r>
      <w:r w:rsidR="003C18DA" w:rsidRPr="006A525F">
        <w:rPr>
          <w:kern w:val="24"/>
        </w:rPr>
        <w:t xml:space="preserve"> lors du procès</w:t>
      </w:r>
      <w:r w:rsidR="00104FE1" w:rsidRPr="006A525F">
        <w:rPr>
          <w:kern w:val="24"/>
        </w:rPr>
        <w:t xml:space="preserve">, le juge </w:t>
      </w:r>
      <w:r w:rsidR="00C25A6C" w:rsidRPr="006A525F">
        <w:rPr>
          <w:kern w:val="24"/>
        </w:rPr>
        <w:t xml:space="preserve">de première instance </w:t>
      </w:r>
      <w:r w:rsidR="00104FE1" w:rsidRPr="006A525F">
        <w:rPr>
          <w:kern w:val="24"/>
        </w:rPr>
        <w:t>a conclu qu’</w:t>
      </w:r>
      <w:r w:rsidR="003C18DA" w:rsidRPr="006A525F">
        <w:rPr>
          <w:kern w:val="24"/>
        </w:rPr>
        <w:t>il a</w:t>
      </w:r>
      <w:r w:rsidR="00104FE1" w:rsidRPr="006A525F">
        <w:rPr>
          <w:kern w:val="24"/>
        </w:rPr>
        <w:t>vait</w:t>
      </w:r>
      <w:r w:rsidR="003C18DA" w:rsidRPr="006A525F">
        <w:rPr>
          <w:kern w:val="24"/>
        </w:rPr>
        <w:t xml:space="preserve"> livré un témoignage déta</w:t>
      </w:r>
      <w:r w:rsidR="009E50C7" w:rsidRPr="006A525F">
        <w:rPr>
          <w:kern w:val="24"/>
        </w:rPr>
        <w:t>illé de l’évé</w:t>
      </w:r>
      <w:r w:rsidR="00104FE1" w:rsidRPr="006A525F">
        <w:rPr>
          <w:kern w:val="24"/>
        </w:rPr>
        <w:t>nement en question et que</w:t>
      </w:r>
      <w:r w:rsidR="003F60DC" w:rsidRPr="006A525F">
        <w:rPr>
          <w:kern w:val="24"/>
        </w:rPr>
        <w:t>,</w:t>
      </w:r>
      <w:r w:rsidR="003C18DA" w:rsidRPr="006A525F">
        <w:rPr>
          <w:kern w:val="24"/>
        </w:rPr>
        <w:t xml:space="preserve"> </w:t>
      </w:r>
      <w:r w:rsidR="00104FE1" w:rsidRPr="006A525F">
        <w:rPr>
          <w:kern w:val="24"/>
        </w:rPr>
        <w:t>m</w:t>
      </w:r>
      <w:r w:rsidR="003C18DA" w:rsidRPr="006A525F">
        <w:rPr>
          <w:kern w:val="24"/>
        </w:rPr>
        <w:t xml:space="preserve">algré le long contre-interrogatoire </w:t>
      </w:r>
      <w:r w:rsidR="00104FE1" w:rsidRPr="006A525F">
        <w:rPr>
          <w:kern w:val="24"/>
        </w:rPr>
        <w:t xml:space="preserve">auquel il avait été soumis, son </w:t>
      </w:r>
      <w:r w:rsidR="003C18DA" w:rsidRPr="006A525F">
        <w:rPr>
          <w:kern w:val="24"/>
        </w:rPr>
        <w:t xml:space="preserve">témoignage était « crédible et aucunement </w:t>
      </w:r>
      <w:r w:rsidR="003C18DA" w:rsidRPr="006A525F">
        <w:rPr>
          <w:kern w:val="24"/>
        </w:rPr>
        <w:lastRenderedPageBreak/>
        <w:t>contredit »</w:t>
      </w:r>
      <w:r>
        <w:rPr>
          <w:rStyle w:val="Appelnotedebasdep"/>
          <w:kern w:val="24"/>
        </w:rPr>
        <w:footnoteReference w:id="54"/>
      </w:r>
      <w:r w:rsidR="00104FE1" w:rsidRPr="006A525F">
        <w:rPr>
          <w:kern w:val="24"/>
        </w:rPr>
        <w:t xml:space="preserve">. </w:t>
      </w:r>
      <w:r w:rsidR="00EA7758" w:rsidRPr="006A525F">
        <w:rPr>
          <w:kern w:val="24"/>
        </w:rPr>
        <w:t>La Cour</w:t>
      </w:r>
      <w:r w:rsidR="003C18DA" w:rsidRPr="006A525F">
        <w:rPr>
          <w:kern w:val="24"/>
        </w:rPr>
        <w:t xml:space="preserve"> ne peut </w:t>
      </w:r>
      <w:r w:rsidR="00EA7758" w:rsidRPr="006A525F">
        <w:rPr>
          <w:kern w:val="24"/>
        </w:rPr>
        <w:t xml:space="preserve">certainement </w:t>
      </w:r>
      <w:r w:rsidR="003C18DA" w:rsidRPr="006A525F">
        <w:rPr>
          <w:kern w:val="24"/>
        </w:rPr>
        <w:t>pas, sur la base d’une conjecture, renverser cette conclusion de fait.</w:t>
      </w:r>
    </w:p>
    <w:p w14:paraId="5C3B13BE" w14:textId="77777777" w:rsidR="00FD1CE1" w:rsidRPr="006A525F" w:rsidRDefault="00BD178A" w:rsidP="00A06898">
      <w:pPr>
        <w:pStyle w:val="Paragraphe"/>
        <w:keepNext/>
        <w:keepLines/>
        <w:numPr>
          <w:ilvl w:val="0"/>
          <w:numId w:val="0"/>
        </w:numPr>
        <w:spacing w:line="280" w:lineRule="exact"/>
        <w:ind w:firstLine="720"/>
        <w:rPr>
          <w:b/>
          <w:i/>
          <w:lang w:eastAsia="fr-CA"/>
        </w:rPr>
      </w:pPr>
      <w:r w:rsidRPr="006A525F">
        <w:rPr>
          <w:b/>
          <w:i/>
          <w:lang w:eastAsia="fr-CA"/>
        </w:rPr>
        <w:t>i</w:t>
      </w:r>
      <w:r w:rsidR="00BC66CE" w:rsidRPr="006A525F">
        <w:rPr>
          <w:b/>
          <w:i/>
          <w:lang w:eastAsia="fr-CA"/>
        </w:rPr>
        <w:t>i</w:t>
      </w:r>
      <w:r w:rsidRPr="006A525F">
        <w:rPr>
          <w:b/>
          <w:i/>
          <w:lang w:eastAsia="fr-CA"/>
        </w:rPr>
        <w:t xml:space="preserve">. Les déclarations antérieures de Pierrette Hardy et Claude Gaudreault </w:t>
      </w:r>
    </w:p>
    <w:p w14:paraId="6171524A" w14:textId="5579C6D3" w:rsidR="006A3BFC" w:rsidRPr="006A525F" w:rsidRDefault="00BD178A" w:rsidP="00A06898">
      <w:pPr>
        <w:pStyle w:val="Paragraphe"/>
        <w:spacing w:line="280" w:lineRule="exact"/>
      </w:pPr>
      <w:r w:rsidRPr="006A525F">
        <w:rPr>
          <w:lang w:eastAsia="fr-CA"/>
        </w:rPr>
        <w:t>Le juge a également</w:t>
      </w:r>
      <w:r w:rsidR="00FD1CE1" w:rsidRPr="006A525F">
        <w:rPr>
          <w:lang w:eastAsia="fr-CA"/>
        </w:rPr>
        <w:t xml:space="preserve"> estimé</w:t>
      </w:r>
      <w:r w:rsidRPr="006A525F">
        <w:rPr>
          <w:lang w:eastAsia="fr-CA"/>
        </w:rPr>
        <w:t xml:space="preserve"> que les déclarations</w:t>
      </w:r>
      <w:r w:rsidR="00987C3E" w:rsidRPr="006A525F">
        <w:rPr>
          <w:lang w:eastAsia="fr-CA"/>
        </w:rPr>
        <w:t xml:space="preserve"> de</w:t>
      </w:r>
      <w:r w:rsidRPr="006A525F">
        <w:rPr>
          <w:lang w:eastAsia="fr-CA"/>
        </w:rPr>
        <w:t xml:space="preserve"> Pierrette Hardy et Claude Gaudreault, </w:t>
      </w:r>
      <w:r w:rsidR="00987C3E" w:rsidRPr="006A525F">
        <w:rPr>
          <w:lang w:eastAsia="fr-CA"/>
        </w:rPr>
        <w:t xml:space="preserve">deux personnes n’ayant pas témoigné au procès, </w:t>
      </w:r>
      <w:r w:rsidRPr="006A525F">
        <w:rPr>
          <w:lang w:eastAsia="fr-CA"/>
        </w:rPr>
        <w:t>n’avaient pas à être communiquées à l’appelant puisqu’elles n’étaient pas visées par l’ordonnance du juge Ducros encadrant la divulgation de la preuve au procès</w:t>
      </w:r>
      <w:r>
        <w:rPr>
          <w:vertAlign w:val="superscript"/>
          <w:lang w:eastAsia="fr-CA"/>
        </w:rPr>
        <w:footnoteReference w:id="55"/>
      </w:r>
      <w:r w:rsidRPr="006A525F">
        <w:rPr>
          <w:lang w:eastAsia="fr-CA"/>
        </w:rPr>
        <w:t>. De plus, la poursuite jugeait qu’elles n’étaient pas favorables à l’appelant</w:t>
      </w:r>
      <w:r>
        <w:rPr>
          <w:vertAlign w:val="superscript"/>
          <w:lang w:eastAsia="fr-CA"/>
        </w:rPr>
        <w:footnoteReference w:id="56"/>
      </w:r>
      <w:r w:rsidRPr="006A525F">
        <w:rPr>
          <w:lang w:eastAsia="fr-CA"/>
        </w:rPr>
        <w:t> :</w:t>
      </w:r>
    </w:p>
    <w:p w14:paraId="536EBACC" w14:textId="77777777" w:rsidR="006A3BFC" w:rsidRPr="006A525F" w:rsidRDefault="00BD178A" w:rsidP="009E50C7">
      <w:pPr>
        <w:pStyle w:val="Citationenretrait"/>
      </w:pPr>
      <w:r w:rsidRPr="006A525F">
        <w:t>[220]</w:t>
      </w:r>
      <w:r w:rsidRPr="006A525F">
        <w:tab/>
        <w:t>Pour ce qui est des déclarations données par les personnes qui ne sont pas appelées à témoigner, la plupart ne sont pas remises au demandeur Plamondon pour la simple et bonne raison qu’elles ne sont pas visées par l’ordonnance du juge Ducros.</w:t>
      </w:r>
    </w:p>
    <w:p w14:paraId="5A00FCC0" w14:textId="77777777" w:rsidR="006A3BFC" w:rsidRPr="006A525F" w:rsidRDefault="00BD178A" w:rsidP="009E50C7">
      <w:pPr>
        <w:pStyle w:val="Citationenretrait"/>
      </w:pPr>
      <w:r w:rsidRPr="006A525F">
        <w:t>[221]</w:t>
      </w:r>
      <w:r w:rsidRPr="006A525F">
        <w:tab/>
        <w:t>De plus, la poursuite juge que ces déclarations ne sont pas favorables à la défense.</w:t>
      </w:r>
    </w:p>
    <w:p w14:paraId="7EED369E" w14:textId="21B9830D" w:rsidR="00736FE3" w:rsidRPr="006A525F" w:rsidRDefault="00BD178A" w:rsidP="00A06898">
      <w:pPr>
        <w:pStyle w:val="Paragraphe"/>
        <w:spacing w:line="280" w:lineRule="exact"/>
      </w:pPr>
      <w:r w:rsidRPr="006A525F">
        <w:rPr>
          <w:lang w:eastAsia="fr-CA"/>
        </w:rPr>
        <w:t>C</w:t>
      </w:r>
      <w:r w:rsidR="005F3B79" w:rsidRPr="006A525F">
        <w:rPr>
          <w:lang w:eastAsia="fr-CA"/>
        </w:rPr>
        <w:t xml:space="preserve">ompte tenu </w:t>
      </w:r>
      <w:r w:rsidR="00AF5968" w:rsidRPr="006A525F">
        <w:rPr>
          <w:lang w:eastAsia="fr-CA"/>
        </w:rPr>
        <w:t xml:space="preserve">du </w:t>
      </w:r>
      <w:r w:rsidR="00D6420E" w:rsidRPr="006A525F">
        <w:rPr>
          <w:lang w:eastAsia="fr-CA"/>
        </w:rPr>
        <w:t xml:space="preserve">test applicable </w:t>
      </w:r>
      <w:r w:rsidR="009E50C7" w:rsidRPr="006A525F">
        <w:rPr>
          <w:lang w:eastAsia="fr-CA"/>
        </w:rPr>
        <w:t>pour conclure à une « omission délibérée </w:t>
      </w:r>
      <w:r w:rsidR="005F3B79" w:rsidRPr="006A525F">
        <w:rPr>
          <w:lang w:eastAsia="fr-CA"/>
        </w:rPr>
        <w:t xml:space="preserve">» de divulgation de renseignements lors de l’examen du premier critère de l’arrêt </w:t>
      </w:r>
      <w:r w:rsidR="005F3B79" w:rsidRPr="006A525F">
        <w:rPr>
          <w:i/>
          <w:lang w:eastAsia="fr-CA"/>
        </w:rPr>
        <w:t>Henry</w:t>
      </w:r>
      <w:r w:rsidR="00987C3E" w:rsidRPr="006A525F">
        <w:rPr>
          <w:lang w:eastAsia="fr-CA"/>
        </w:rPr>
        <w:t xml:space="preserve">, </w:t>
      </w:r>
      <w:r w:rsidR="009B2AF0" w:rsidRPr="006A525F">
        <w:t xml:space="preserve">cette conclusion était bien </w:t>
      </w:r>
      <w:r w:rsidR="00536432" w:rsidRPr="006A525F">
        <w:t>fondée.</w:t>
      </w:r>
      <w:r w:rsidR="00375865" w:rsidRPr="006A525F">
        <w:t xml:space="preserve"> L’obligation de divulgation de l’époque ne s’étendait clairement pas à ces déclarations et la décision de ne pas divulguer ces dernières était raisonnable. </w:t>
      </w:r>
    </w:p>
    <w:p w14:paraId="0EFEB96B" w14:textId="13780956" w:rsidR="00BC66CE" w:rsidRPr="006A525F" w:rsidRDefault="00BD178A" w:rsidP="00A06898">
      <w:pPr>
        <w:pStyle w:val="Paragraphe"/>
        <w:numPr>
          <w:ilvl w:val="0"/>
          <w:numId w:val="0"/>
        </w:numPr>
        <w:spacing w:line="280" w:lineRule="exact"/>
        <w:ind w:firstLine="720"/>
        <w:rPr>
          <w:b/>
          <w:i/>
          <w:lang w:eastAsia="fr-CA"/>
        </w:rPr>
      </w:pPr>
      <w:r w:rsidRPr="006A525F">
        <w:rPr>
          <w:b/>
          <w:i/>
          <w:lang w:eastAsia="fr-CA"/>
        </w:rPr>
        <w:t>iii. Le</w:t>
      </w:r>
      <w:r w:rsidR="00AF07BE" w:rsidRPr="006A525F">
        <w:rPr>
          <w:b/>
          <w:i/>
          <w:lang w:eastAsia="fr-CA"/>
        </w:rPr>
        <w:t xml:space="preserve"> rapport d’entrevue de Jean</w:t>
      </w:r>
      <w:r w:rsidR="003E54D7" w:rsidRPr="006A525F">
        <w:rPr>
          <w:b/>
          <w:i/>
          <w:lang w:eastAsia="fr-CA"/>
        </w:rPr>
        <w:t>-Pierre</w:t>
      </w:r>
      <w:r w:rsidRPr="006A525F">
        <w:rPr>
          <w:b/>
          <w:i/>
          <w:lang w:eastAsia="fr-CA"/>
        </w:rPr>
        <w:t xml:space="preserve"> Boudreault</w:t>
      </w:r>
      <w:r w:rsidR="00EA3925" w:rsidRPr="006A525F">
        <w:rPr>
          <w:b/>
          <w:i/>
          <w:lang w:eastAsia="fr-CA"/>
        </w:rPr>
        <w:t xml:space="preserve"> avec les enquêteurs</w:t>
      </w:r>
    </w:p>
    <w:p w14:paraId="5D1C062D" w14:textId="1D3CAB81" w:rsidR="004F688A" w:rsidRPr="006A525F" w:rsidRDefault="00BD178A" w:rsidP="00A06898">
      <w:pPr>
        <w:pStyle w:val="Paragraphe"/>
        <w:spacing w:line="280" w:lineRule="exact"/>
        <w:rPr>
          <w:lang w:eastAsia="fr-CA"/>
        </w:rPr>
      </w:pPr>
      <w:r w:rsidRPr="006A525F">
        <w:rPr>
          <w:lang w:eastAsia="fr-CA"/>
        </w:rPr>
        <w:t xml:space="preserve">Concernant la non-divulgation de </w:t>
      </w:r>
      <w:r w:rsidR="003E54D7" w:rsidRPr="006A525F">
        <w:rPr>
          <w:lang w:eastAsia="fr-CA"/>
        </w:rPr>
        <w:t xml:space="preserve">ce rapport d’entrevue de Jean-Pierre </w:t>
      </w:r>
      <w:r w:rsidRPr="006A525F">
        <w:rPr>
          <w:lang w:eastAsia="fr-CA"/>
        </w:rPr>
        <w:t>Boudreault avec les enquêteurs, l</w:t>
      </w:r>
      <w:r w:rsidR="003B2973" w:rsidRPr="006A525F">
        <w:rPr>
          <w:lang w:eastAsia="fr-CA"/>
        </w:rPr>
        <w:t xml:space="preserve">e juge </w:t>
      </w:r>
      <w:r w:rsidRPr="006A525F">
        <w:rPr>
          <w:lang w:eastAsia="fr-CA"/>
        </w:rPr>
        <w:t xml:space="preserve">de première instance </w:t>
      </w:r>
      <w:r w:rsidR="003B2973" w:rsidRPr="006A525F">
        <w:rPr>
          <w:lang w:eastAsia="fr-CA"/>
        </w:rPr>
        <w:t>écrit</w:t>
      </w:r>
      <w:r w:rsidRPr="006A525F">
        <w:rPr>
          <w:i/>
          <w:lang w:eastAsia="fr-CA"/>
        </w:rPr>
        <w:t> </w:t>
      </w:r>
      <w:r w:rsidRPr="006A525F">
        <w:rPr>
          <w:lang w:eastAsia="fr-CA"/>
        </w:rPr>
        <w:t>:</w:t>
      </w:r>
    </w:p>
    <w:p w14:paraId="1725D10E" w14:textId="77777777" w:rsidR="004F688A" w:rsidRPr="006A525F" w:rsidRDefault="00BD178A" w:rsidP="00B5368B">
      <w:pPr>
        <w:pStyle w:val="Citationenretrait"/>
        <w:rPr>
          <w:lang w:eastAsia="fr-CA"/>
        </w:rPr>
      </w:pPr>
      <w:r w:rsidRPr="006A525F">
        <w:rPr>
          <w:lang w:eastAsia="fr-CA"/>
        </w:rPr>
        <w:t>[242]</w:t>
      </w:r>
      <w:r w:rsidRPr="006A525F">
        <w:rPr>
          <w:lang w:eastAsia="fr-CA"/>
        </w:rPr>
        <w:tab/>
        <w:t>En ce qui concerne le résumé de l’entrevue de Jean-Pierre Boudreault avec les policiers, M. de la Sablonnière a expliqué que sa décision de ne pas le remettre à la défense a également été prise en toute connaissance. Il a jugé que ce résumé ne constituait pas une déclaration au sens de la décision rendue par le juge Ducros. Il a considéré qu’un tel résumé ne constituait pas une déclaration parce qu’il ne pouvait être utilisé en preuve pour contredire le témoin. En d’autres termes, ce résumé n’était pas utile.</w:t>
      </w:r>
    </w:p>
    <w:p w14:paraId="20D1BE5C" w14:textId="77777777" w:rsidR="004F688A" w:rsidRPr="006A525F" w:rsidRDefault="00BD178A" w:rsidP="00B5368B">
      <w:pPr>
        <w:pStyle w:val="Citationenretrait"/>
        <w:rPr>
          <w:lang w:eastAsia="fr-CA"/>
        </w:rPr>
      </w:pPr>
      <w:r w:rsidRPr="006A525F">
        <w:rPr>
          <w:lang w:eastAsia="fr-CA"/>
        </w:rPr>
        <w:t>[243]</w:t>
      </w:r>
      <w:r w:rsidRPr="006A525F">
        <w:rPr>
          <w:lang w:eastAsia="fr-CA"/>
        </w:rPr>
        <w:tab/>
        <w:t>Cette explication sur les motifs justifiant l’absence de communication de ce résumé d’entrevue ne convainc pas.</w:t>
      </w:r>
    </w:p>
    <w:p w14:paraId="298092B6" w14:textId="6ACD8950" w:rsidR="004F688A" w:rsidRPr="006A525F" w:rsidRDefault="00BD178A" w:rsidP="00B5368B">
      <w:pPr>
        <w:pStyle w:val="Citationenretrait"/>
        <w:rPr>
          <w:lang w:eastAsia="fr-CA"/>
        </w:rPr>
      </w:pPr>
      <w:r w:rsidRPr="006A525F">
        <w:rPr>
          <w:lang w:eastAsia="fr-CA"/>
        </w:rPr>
        <w:lastRenderedPageBreak/>
        <w:t>[244]</w:t>
      </w:r>
      <w:r w:rsidRPr="006A525F">
        <w:rPr>
          <w:lang w:eastAsia="fr-CA"/>
        </w:rPr>
        <w:tab/>
        <w:t>Toutefois, comme nous le verrons, la communication de ce résumé d’entrevue n’aurait eu, selon la prépondérance des probabilités, aucun impact sur les verdicts.</w:t>
      </w:r>
      <w:r>
        <w:rPr>
          <w:rStyle w:val="Appelnotedebasdep"/>
          <w:lang w:eastAsia="fr-CA"/>
        </w:rPr>
        <w:footnoteReference w:id="57"/>
      </w:r>
    </w:p>
    <w:p w14:paraId="448907F0" w14:textId="3BCD80CB" w:rsidR="00D6420E" w:rsidRPr="006A525F" w:rsidRDefault="00BD178A" w:rsidP="00A06898">
      <w:pPr>
        <w:pStyle w:val="Paragraphe"/>
        <w:spacing w:line="280" w:lineRule="exact"/>
      </w:pPr>
      <w:r w:rsidRPr="006A525F">
        <w:rPr>
          <w:lang w:eastAsia="fr-CA"/>
        </w:rPr>
        <w:t>Bien qu’au paragraphe 243, le juge n</w:t>
      </w:r>
      <w:r w:rsidR="00652FB8">
        <w:rPr>
          <w:lang w:eastAsia="fr-CA"/>
        </w:rPr>
        <w:t>’indique</w:t>
      </w:r>
      <w:r w:rsidRPr="006A525F">
        <w:rPr>
          <w:lang w:eastAsia="fr-CA"/>
        </w:rPr>
        <w:t xml:space="preserve"> pas les raisons pour lesquelles il </w:t>
      </w:r>
      <w:r w:rsidR="00CC7A98" w:rsidRPr="006A525F">
        <w:rPr>
          <w:lang w:eastAsia="fr-CA"/>
        </w:rPr>
        <w:t xml:space="preserve">n’est pas </w:t>
      </w:r>
      <w:r w:rsidRPr="006A525F">
        <w:rPr>
          <w:lang w:eastAsia="fr-CA"/>
        </w:rPr>
        <w:t xml:space="preserve">convaincu par </w:t>
      </w:r>
      <w:r w:rsidR="003B2973" w:rsidRPr="006A525F">
        <w:rPr>
          <w:lang w:eastAsia="fr-CA"/>
        </w:rPr>
        <w:t xml:space="preserve">les explications données par </w:t>
      </w:r>
      <w:r w:rsidRPr="006A525F">
        <w:rPr>
          <w:lang w:eastAsia="fr-CA"/>
        </w:rPr>
        <w:t xml:space="preserve">l’avocat de la poursuite, lors de son témoignage, cela </w:t>
      </w:r>
      <w:r w:rsidR="00992A31" w:rsidRPr="006A525F">
        <w:rPr>
          <w:lang w:eastAsia="fr-CA"/>
        </w:rPr>
        <w:t xml:space="preserve">importe </w:t>
      </w:r>
      <w:r w:rsidRPr="006A525F">
        <w:rPr>
          <w:lang w:eastAsia="fr-CA"/>
        </w:rPr>
        <w:t xml:space="preserve">toutefois </w:t>
      </w:r>
      <w:r w:rsidR="00992A31" w:rsidRPr="006A525F">
        <w:rPr>
          <w:lang w:eastAsia="fr-CA"/>
        </w:rPr>
        <w:t>peu quant au résu</w:t>
      </w:r>
      <w:r w:rsidRPr="006A525F">
        <w:rPr>
          <w:lang w:eastAsia="fr-CA"/>
        </w:rPr>
        <w:t xml:space="preserve">ltat de son </w:t>
      </w:r>
      <w:r w:rsidR="00992A31" w:rsidRPr="006A525F">
        <w:rPr>
          <w:lang w:eastAsia="fr-CA"/>
        </w:rPr>
        <w:t>analyse</w:t>
      </w:r>
      <w:r w:rsidR="00FF42A0" w:rsidRPr="006A525F">
        <w:rPr>
          <w:lang w:eastAsia="fr-CA"/>
        </w:rPr>
        <w:t>. En effet</w:t>
      </w:r>
      <w:r w:rsidR="00CC7A98" w:rsidRPr="006A525F">
        <w:rPr>
          <w:lang w:eastAsia="fr-CA"/>
        </w:rPr>
        <w:t>,</w:t>
      </w:r>
      <w:r w:rsidR="00992A31" w:rsidRPr="006A525F">
        <w:rPr>
          <w:lang w:eastAsia="fr-CA"/>
        </w:rPr>
        <w:t xml:space="preserve"> </w:t>
      </w:r>
      <w:r w:rsidRPr="006A525F">
        <w:rPr>
          <w:lang w:eastAsia="fr-CA"/>
        </w:rPr>
        <w:t>il</w:t>
      </w:r>
      <w:r w:rsidR="00555BCE" w:rsidRPr="006A525F">
        <w:rPr>
          <w:lang w:eastAsia="fr-CA"/>
        </w:rPr>
        <w:t xml:space="preserve"> conclut au paragraphe 244 que </w:t>
      </w:r>
      <w:r w:rsidR="00992A31" w:rsidRPr="006A525F">
        <w:rPr>
          <w:lang w:eastAsia="fr-CA"/>
        </w:rPr>
        <w:t>la communication de ce résumé d’entrevue n’aurait eu, selon la prépondérance des probabilités,</w:t>
      </w:r>
      <w:r w:rsidR="00555BCE" w:rsidRPr="006A525F">
        <w:rPr>
          <w:lang w:eastAsia="fr-CA"/>
        </w:rPr>
        <w:t xml:space="preserve"> aucun impact sur les verdicts</w:t>
      </w:r>
      <w:r>
        <w:rPr>
          <w:rStyle w:val="Appelnotedebasdep"/>
          <w:lang w:eastAsia="fr-CA"/>
        </w:rPr>
        <w:footnoteReference w:id="58"/>
      </w:r>
      <w:r w:rsidR="007E5663" w:rsidRPr="006A525F">
        <w:rPr>
          <w:lang w:eastAsia="fr-CA"/>
        </w:rPr>
        <w:t>. De plus,</w:t>
      </w:r>
      <w:r w:rsidRPr="006A525F">
        <w:rPr>
          <w:lang w:eastAsia="fr-CA"/>
        </w:rPr>
        <w:t xml:space="preserve"> l</w:t>
      </w:r>
      <w:r w:rsidR="00992A31" w:rsidRPr="006A525F">
        <w:rPr>
          <w:lang w:eastAsia="fr-CA"/>
        </w:rPr>
        <w:t>’analyse qu’il fait ensuite de cet impac</w:t>
      </w:r>
      <w:r w:rsidRPr="006A525F">
        <w:rPr>
          <w:lang w:eastAsia="fr-CA"/>
        </w:rPr>
        <w:t xml:space="preserve">t, et qui a pour conclusion ce qu’il écrit au paragraphe </w:t>
      </w:r>
      <w:r w:rsidR="00992A31" w:rsidRPr="006A525F">
        <w:rPr>
          <w:lang w:eastAsia="fr-CA"/>
        </w:rPr>
        <w:t>302</w:t>
      </w:r>
      <w:r w:rsidR="004D6E79" w:rsidRPr="006A525F">
        <w:rPr>
          <w:lang w:eastAsia="fr-CA"/>
        </w:rPr>
        <w:t>,</w:t>
      </w:r>
      <w:r w:rsidR="00992A31" w:rsidRPr="006A525F">
        <w:rPr>
          <w:lang w:eastAsia="fr-CA"/>
        </w:rPr>
        <w:t xml:space="preserve"> </w:t>
      </w:r>
      <w:r w:rsidRPr="006A525F">
        <w:rPr>
          <w:lang w:eastAsia="fr-CA"/>
        </w:rPr>
        <w:t>est convaincante :</w:t>
      </w:r>
    </w:p>
    <w:p w14:paraId="58026863" w14:textId="2F5E2998" w:rsidR="00D6420E" w:rsidRPr="006A525F" w:rsidRDefault="00BD178A" w:rsidP="00CC7A98">
      <w:pPr>
        <w:pStyle w:val="Citationenretrait"/>
      </w:pPr>
      <w:r w:rsidRPr="006A525F">
        <w:t>[302]</w:t>
      </w:r>
      <w:r w:rsidRPr="006A525F">
        <w:tab/>
        <w:t>Il ne paraît pas possible de conclure qu’un poursuivant raisonnable placé dans les mêmes circonstances et à la même époque, i.e. en 1985, aurait considéré que les renseignements se trouvant dans les déclarations de Pierrette Hardy et de François Gaudreault, ainsi que dans le résumé de l’entrevue de Jean-Pierre Boudreault avec les policiers, étaient importants et que le défaut de les communiquer pouvait porter atteinte à la possibilité que le demandeur Plamondon puisse présenter une défense pleine et entière.</w:t>
      </w:r>
      <w:r>
        <w:rPr>
          <w:rStyle w:val="Appelnotedebasdep"/>
        </w:rPr>
        <w:footnoteReference w:id="59"/>
      </w:r>
    </w:p>
    <w:p w14:paraId="33E9F743" w14:textId="26630282" w:rsidR="00602F21" w:rsidRPr="006A525F" w:rsidRDefault="00BD178A" w:rsidP="00A06898">
      <w:pPr>
        <w:pStyle w:val="Paragraphe"/>
        <w:spacing w:line="280" w:lineRule="exact"/>
      </w:pPr>
      <w:r w:rsidRPr="006A525F">
        <w:t>Ainsi, tout comme</w:t>
      </w:r>
      <w:r w:rsidR="005015A9" w:rsidRPr="006A525F">
        <w:t xml:space="preserve"> les déclarations </w:t>
      </w:r>
      <w:r w:rsidR="00BD7B5D" w:rsidRPr="006A525F">
        <w:t>de P</w:t>
      </w:r>
      <w:r w:rsidR="00164E54" w:rsidRPr="006A525F">
        <w:t xml:space="preserve">ierrette </w:t>
      </w:r>
      <w:r w:rsidR="00BD7B5D" w:rsidRPr="006A525F">
        <w:t xml:space="preserve">Hardy </w:t>
      </w:r>
      <w:r w:rsidR="005015A9" w:rsidRPr="006A525F">
        <w:t xml:space="preserve">et de </w:t>
      </w:r>
      <w:r w:rsidR="00BD7B5D" w:rsidRPr="006A525F">
        <w:t>F</w:t>
      </w:r>
      <w:r w:rsidR="00164E54" w:rsidRPr="006A525F">
        <w:t xml:space="preserve">rançois </w:t>
      </w:r>
      <w:r w:rsidR="005015A9" w:rsidRPr="006A525F">
        <w:t>Gaudreault, le résumé d’entrevue des enquêteurs avec Jean-Pierre Bo</w:t>
      </w:r>
      <w:r w:rsidRPr="006A525F">
        <w:t xml:space="preserve">udreault n’était </w:t>
      </w:r>
      <w:r w:rsidR="005015A9" w:rsidRPr="006A525F">
        <w:t>pas favorable à l</w:t>
      </w:r>
      <w:r w:rsidR="003B2973" w:rsidRPr="006A525F">
        <w:t>a défense</w:t>
      </w:r>
      <w:r w:rsidR="00CC7A98" w:rsidRPr="006A525F">
        <w:t xml:space="preserve">. </w:t>
      </w:r>
      <w:r w:rsidRPr="006A525F">
        <w:t xml:space="preserve">La conclusion qui s’impose est que </w:t>
      </w:r>
      <w:r w:rsidR="004A6B46" w:rsidRPr="006A525F">
        <w:t>l</w:t>
      </w:r>
      <w:r w:rsidRPr="006A525F">
        <w:t xml:space="preserve">a </w:t>
      </w:r>
      <w:r w:rsidR="00362B9D" w:rsidRPr="006A525F">
        <w:t>non-</w:t>
      </w:r>
      <w:r w:rsidRPr="006A525F">
        <w:t xml:space="preserve">divulgation </w:t>
      </w:r>
      <w:r w:rsidR="004A6B46" w:rsidRPr="006A525F">
        <w:t xml:space="preserve">de ce rapport </w:t>
      </w:r>
      <w:r w:rsidRPr="006A525F">
        <w:t>ne portait donc pas atteinte à la défense pleine et entière de l’appelant. Ce dernier n’identifie pas, dans la preuve, l’erreur que le juge aurait commise à cet égard et qui permettrait d’infirmer sa conclusion.</w:t>
      </w:r>
    </w:p>
    <w:p w14:paraId="34133158" w14:textId="5DC45D37" w:rsidR="00FD1CE1" w:rsidRPr="006A525F" w:rsidRDefault="00BD178A" w:rsidP="00A06898">
      <w:pPr>
        <w:pStyle w:val="Paragraphe"/>
        <w:keepNext/>
        <w:keepLines/>
        <w:numPr>
          <w:ilvl w:val="0"/>
          <w:numId w:val="0"/>
        </w:numPr>
        <w:spacing w:line="280" w:lineRule="exact"/>
        <w:ind w:firstLine="720"/>
        <w:rPr>
          <w:b/>
          <w:i/>
          <w:lang w:eastAsia="fr-CA"/>
        </w:rPr>
      </w:pPr>
      <w:r w:rsidRPr="006A525F">
        <w:rPr>
          <w:b/>
          <w:i/>
          <w:lang w:eastAsia="fr-CA"/>
        </w:rPr>
        <w:t>i</w:t>
      </w:r>
      <w:r w:rsidR="00BC66CE" w:rsidRPr="006A525F">
        <w:rPr>
          <w:b/>
          <w:i/>
          <w:lang w:eastAsia="fr-CA"/>
        </w:rPr>
        <w:t>v</w:t>
      </w:r>
      <w:r w:rsidRPr="006A525F">
        <w:rPr>
          <w:b/>
          <w:i/>
          <w:lang w:eastAsia="fr-CA"/>
        </w:rPr>
        <w:t xml:space="preserve">. Les déclarations antérieures de </w:t>
      </w:r>
      <w:r w:rsidR="00164E54" w:rsidRPr="006A525F">
        <w:rPr>
          <w:b/>
          <w:i/>
          <w:lang w:eastAsia="fr-CA"/>
        </w:rPr>
        <w:t xml:space="preserve">Jean-Noël </w:t>
      </w:r>
      <w:r w:rsidR="00EA3925" w:rsidRPr="006A525F">
        <w:rPr>
          <w:b/>
          <w:i/>
          <w:lang w:eastAsia="fr-CA"/>
        </w:rPr>
        <w:t>Daley et</w:t>
      </w:r>
      <w:r w:rsidRPr="006A525F">
        <w:rPr>
          <w:b/>
          <w:i/>
          <w:lang w:eastAsia="fr-CA"/>
        </w:rPr>
        <w:t xml:space="preserve"> P</w:t>
      </w:r>
      <w:r w:rsidR="00164E54" w:rsidRPr="006A525F">
        <w:rPr>
          <w:b/>
          <w:i/>
          <w:lang w:eastAsia="fr-CA"/>
        </w:rPr>
        <w:t>ierre</w:t>
      </w:r>
      <w:r w:rsidRPr="006A525F">
        <w:rPr>
          <w:b/>
          <w:i/>
          <w:lang w:eastAsia="fr-CA"/>
        </w:rPr>
        <w:t xml:space="preserve"> Gaudreault</w:t>
      </w:r>
    </w:p>
    <w:p w14:paraId="5F58D109" w14:textId="201E1360" w:rsidR="008C1983" w:rsidRPr="006A525F" w:rsidRDefault="00BD178A" w:rsidP="00A06898">
      <w:pPr>
        <w:pStyle w:val="Paragraphe"/>
        <w:spacing w:line="280" w:lineRule="exact"/>
      </w:pPr>
      <w:r w:rsidRPr="006A525F">
        <w:t xml:space="preserve">Le </w:t>
      </w:r>
      <w:r w:rsidR="00673A7F" w:rsidRPr="006A525F">
        <w:t xml:space="preserve">juge a conclu que </w:t>
      </w:r>
      <w:r w:rsidR="00673A7F" w:rsidRPr="006A525F">
        <w:rPr>
          <w:lang w:eastAsia="fr-CA"/>
        </w:rPr>
        <w:t>l</w:t>
      </w:r>
      <w:r w:rsidR="00AA6EE3" w:rsidRPr="006A525F">
        <w:rPr>
          <w:lang w:eastAsia="fr-CA"/>
        </w:rPr>
        <w:t>es déclarations anté</w:t>
      </w:r>
      <w:r w:rsidR="00EA3925" w:rsidRPr="006A525F">
        <w:rPr>
          <w:lang w:eastAsia="fr-CA"/>
        </w:rPr>
        <w:t>rieures de Jean-Noël Daley et</w:t>
      </w:r>
      <w:r w:rsidR="00AA6EE3" w:rsidRPr="006A525F">
        <w:rPr>
          <w:lang w:eastAsia="fr-CA"/>
        </w:rPr>
        <w:t xml:space="preserve"> Pier</w:t>
      </w:r>
      <w:r w:rsidR="00673A7F" w:rsidRPr="006A525F">
        <w:rPr>
          <w:lang w:eastAsia="fr-CA"/>
        </w:rPr>
        <w:t>re Gaudreault n’avaie</w:t>
      </w:r>
      <w:r w:rsidRPr="006A525F">
        <w:rPr>
          <w:lang w:eastAsia="fr-CA"/>
        </w:rPr>
        <w:t xml:space="preserve">nt </w:t>
      </w:r>
      <w:r w:rsidR="00AA6EE3" w:rsidRPr="006A525F">
        <w:rPr>
          <w:lang w:eastAsia="fr-CA"/>
        </w:rPr>
        <w:t>pas été communiquées</w:t>
      </w:r>
      <w:r w:rsidR="00E8383C" w:rsidRPr="006A525F">
        <w:rPr>
          <w:lang w:eastAsia="fr-CA"/>
        </w:rPr>
        <w:t>,</w:t>
      </w:r>
      <w:r w:rsidR="00AA6EE3" w:rsidRPr="006A525F">
        <w:rPr>
          <w:lang w:eastAsia="fr-CA"/>
        </w:rPr>
        <w:t xml:space="preserve"> </w:t>
      </w:r>
      <w:r w:rsidRPr="006A525F">
        <w:rPr>
          <w:lang w:eastAsia="fr-CA"/>
        </w:rPr>
        <w:t xml:space="preserve">mais que ce défaut ne résultait pas d’une </w:t>
      </w:r>
      <w:r w:rsidR="00AA6EE3" w:rsidRPr="006A525F">
        <w:rPr>
          <w:lang w:eastAsia="fr-CA"/>
        </w:rPr>
        <w:t>omission délibérée</w:t>
      </w:r>
      <w:r>
        <w:rPr>
          <w:vertAlign w:val="superscript"/>
          <w:lang w:eastAsia="fr-CA"/>
        </w:rPr>
        <w:footnoteReference w:id="60"/>
      </w:r>
      <w:r w:rsidR="00673A7F" w:rsidRPr="006A525F">
        <w:rPr>
          <w:lang w:eastAsia="fr-CA"/>
        </w:rPr>
        <w:t> :</w:t>
      </w:r>
    </w:p>
    <w:p w14:paraId="6D583ED4" w14:textId="77777777" w:rsidR="00673A7F" w:rsidRPr="006A525F" w:rsidRDefault="00BD178A" w:rsidP="009B2AF0">
      <w:pPr>
        <w:pStyle w:val="Citationenretrait"/>
      </w:pPr>
      <w:r w:rsidRPr="006A525F">
        <w:t>[246]</w:t>
      </w:r>
      <w:r w:rsidRPr="006A525F">
        <w:tab/>
        <w:t>M. de la Sablonnière a reconnu dès le départ que ces deux premières déclarations auraient dû être remises au demandeur Plamondon, et cela non seulement sur la base du jugement du juge Ducros, mais aussi en raison du devoir qui s’imposait alors au poursuivant de divulguer des renseignements favorables à l’accusé. À cela, il ajoute qu’il lui aurait également appartenu de divulguer ces deux déclarations parce qu’un avocat a le devoir de ne pas induire le Tribunal en erreur.</w:t>
      </w:r>
    </w:p>
    <w:p w14:paraId="6D6F2ED1" w14:textId="77777777" w:rsidR="00673A7F" w:rsidRPr="006A525F" w:rsidRDefault="00BD178A" w:rsidP="009B2AF0">
      <w:pPr>
        <w:pStyle w:val="Citationenretrait"/>
      </w:pPr>
      <w:r w:rsidRPr="006A525F">
        <w:lastRenderedPageBreak/>
        <w:t>[247]</w:t>
      </w:r>
      <w:r w:rsidRPr="006A525F">
        <w:tab/>
        <w:t>Il faut ici se rappeler qu’au procès, Jean-Noël Daley et Pierre Gaudreault ont témoigné n’avoir signé qu’une seule déclaration.</w:t>
      </w:r>
    </w:p>
    <w:p w14:paraId="5D640607" w14:textId="77777777" w:rsidR="00673A7F" w:rsidRPr="006A525F" w:rsidRDefault="00BD178A" w:rsidP="009B2AF0">
      <w:pPr>
        <w:pStyle w:val="Citationenretrait"/>
      </w:pPr>
      <w:r w:rsidRPr="006A525F">
        <w:t>[248]</w:t>
      </w:r>
      <w:r w:rsidRPr="006A525F">
        <w:tab/>
        <w:t xml:space="preserve"> Cela n’était pas faux en soi puisque, dans les faits, Jean-Noël Daley et Pierre Gaudreault n’ont signé qu’une seule déclaration.</w:t>
      </w:r>
    </w:p>
    <w:p w14:paraId="61482F5B" w14:textId="77777777" w:rsidR="00673A7F" w:rsidRPr="006A525F" w:rsidRDefault="00BD178A" w:rsidP="009B2AF0">
      <w:pPr>
        <w:pStyle w:val="Citationenretrait"/>
      </w:pPr>
      <w:r w:rsidRPr="006A525F">
        <w:t>[249]</w:t>
      </w:r>
      <w:r w:rsidRPr="006A525F">
        <w:tab/>
        <w:t>Toutefois, la question aurait nécessité un éclaircissement.</w:t>
      </w:r>
    </w:p>
    <w:p w14:paraId="294D96B8" w14:textId="77777777" w:rsidR="00673A7F" w:rsidRPr="006A525F" w:rsidRDefault="00BD178A" w:rsidP="009B2AF0">
      <w:pPr>
        <w:pStyle w:val="Citationenretrait"/>
      </w:pPr>
      <w:r w:rsidRPr="006A525F">
        <w:t>[250]</w:t>
      </w:r>
      <w:r w:rsidRPr="006A525F">
        <w:tab/>
        <w:t>Quoi qu’il en soit, là où le témoignage de M. de la Sablonnière s’avère crucial, c’est sur la question de savoir pourquoi les déclarations de Jean-Noël Daley et Pierre Gaudreault des 19 et 20 août 1985 n’ont pas été communiquées à la défense.</w:t>
      </w:r>
    </w:p>
    <w:p w14:paraId="209BD076" w14:textId="77777777" w:rsidR="00673A7F" w:rsidRPr="006A525F" w:rsidRDefault="00BD178A" w:rsidP="009B2AF0">
      <w:pPr>
        <w:pStyle w:val="Citationenretrait"/>
      </w:pPr>
      <w:r w:rsidRPr="006A525F">
        <w:t>[251]</w:t>
      </w:r>
      <w:r w:rsidRPr="006A525F">
        <w:tab/>
        <w:t xml:space="preserve">Voyons ses explications. </w:t>
      </w:r>
    </w:p>
    <w:p w14:paraId="1498FA83" w14:textId="77777777" w:rsidR="00673A7F" w:rsidRPr="006A525F" w:rsidRDefault="00BD178A" w:rsidP="009B2AF0">
      <w:pPr>
        <w:pStyle w:val="Citationenretrait"/>
      </w:pPr>
      <w:r w:rsidRPr="006A525F">
        <w:t>[252]</w:t>
      </w:r>
      <w:r w:rsidRPr="006A525F">
        <w:tab/>
        <w:t xml:space="preserve">D’abord, M. de la Sablonnière a reconnu que ces déclarations lui ont vraisemblablement, été transmises par les enquêteurs. </w:t>
      </w:r>
    </w:p>
    <w:p w14:paraId="4BCF3D8B" w14:textId="77777777" w:rsidR="00673A7F" w:rsidRPr="006A525F" w:rsidRDefault="00BD178A" w:rsidP="009B2AF0">
      <w:pPr>
        <w:pStyle w:val="Citationenretrait"/>
      </w:pPr>
      <w:r w:rsidRPr="006A525F">
        <w:t>[253]</w:t>
      </w:r>
      <w:r w:rsidRPr="006A525F">
        <w:tab/>
        <w:t xml:space="preserve">Toutefois, M. de la Sablonnière a expliqué que si ces déclarations n’ont pas été divulguées à la défense [au demandeur Plamondon], c’est parce que lui-même en ignorait l’existence. Sur ce point, il s’est montré catégorique. S’il avait vu les déclarations de Jean-Noël Daley et Pierre Gaudreault des 19 et 20 août 1985 ou avait su qu’elles existaient, il se serait empressé de les remettre à la défense ou d’effectuer des démarches pour les retrouver et pour les communiquer. </w:t>
      </w:r>
    </w:p>
    <w:p w14:paraId="6878E20C" w14:textId="77777777" w:rsidR="00673A7F" w:rsidRPr="006A525F" w:rsidRDefault="00BD178A" w:rsidP="009B2AF0">
      <w:pPr>
        <w:pStyle w:val="Citationenretrait"/>
      </w:pPr>
      <w:r w:rsidRPr="006A525F">
        <w:t>[254]</w:t>
      </w:r>
      <w:r w:rsidRPr="006A525F">
        <w:tab/>
        <w:t>Il affirme qu’il aurait été complètement suicidaire pour lui de ne pas le faire, et cela à tous égards, notamment pour préserver le processus judiciaire, l’équité du procès, le résultat du procès et son intégrité professionnelle.</w:t>
      </w:r>
    </w:p>
    <w:p w14:paraId="0084DD6D" w14:textId="77777777" w:rsidR="00673A7F" w:rsidRPr="006A525F" w:rsidRDefault="00BD178A" w:rsidP="009B2AF0">
      <w:pPr>
        <w:pStyle w:val="Citationenretrait"/>
      </w:pPr>
      <w:r w:rsidRPr="006A525F">
        <w:t>[255]</w:t>
      </w:r>
      <w:r w:rsidRPr="006A525F">
        <w:tab/>
        <w:t xml:space="preserve">Il mentionne que jamais il n’aurait voulu induire le juge, les jurés ou le demandeur Plamondon en erreur. </w:t>
      </w:r>
    </w:p>
    <w:p w14:paraId="042F43C4" w14:textId="77777777" w:rsidR="00673A7F" w:rsidRPr="006A525F" w:rsidRDefault="00BD178A" w:rsidP="009B2AF0">
      <w:pPr>
        <w:pStyle w:val="Citationenretrait"/>
      </w:pPr>
      <w:r w:rsidRPr="006A525F">
        <w:t>[256]</w:t>
      </w:r>
      <w:r w:rsidRPr="006A525F">
        <w:tab/>
        <w:t xml:space="preserve">M. de la Sablonnière déclare avoir eu connaissance de ces deux déclarations pour la première fois lorsque les avocats chargés d’effectuer l’enquête du ministre de la Justice ont communiqué avec lui. </w:t>
      </w:r>
    </w:p>
    <w:p w14:paraId="24476D47" w14:textId="77777777" w:rsidR="00673A7F" w:rsidRPr="006A525F" w:rsidRDefault="00BD178A" w:rsidP="009B2AF0">
      <w:pPr>
        <w:pStyle w:val="Citationenretrait"/>
      </w:pPr>
      <w:r w:rsidRPr="006A525F">
        <w:t>[257]</w:t>
      </w:r>
      <w:r w:rsidRPr="006A525F">
        <w:tab/>
        <w:t>Lorsque ces deux déclarations ont été portées à sa connaissance, il ne pouvait s’expliquer pourquoi Daley et Pierre Gaudreault ont affirmé au procès qu’ils n’avaient fait qu’une seule déclaration.</w:t>
      </w:r>
    </w:p>
    <w:p w14:paraId="63380F2C" w14:textId="77777777" w:rsidR="00673A7F" w:rsidRPr="006A525F" w:rsidRDefault="00BD178A" w:rsidP="009B2AF0">
      <w:pPr>
        <w:pStyle w:val="Citationenretrait"/>
      </w:pPr>
      <w:r w:rsidRPr="006A525F">
        <w:t>[258]</w:t>
      </w:r>
      <w:r w:rsidRPr="006A525F">
        <w:tab/>
        <w:t xml:space="preserve">En somme, la rétention des déclarations de Jean-Noël Daley et Pierre Gaudreault des 19 et 20 août 1985 découlerait soit d’une erreur dans la gestion des éléments de preuve qui lui ont été remis, soit de son inattention. </w:t>
      </w:r>
    </w:p>
    <w:p w14:paraId="78AAE562" w14:textId="77777777" w:rsidR="00673A7F" w:rsidRPr="006A525F" w:rsidRDefault="00BD178A" w:rsidP="009B2AF0">
      <w:pPr>
        <w:pStyle w:val="Citationenretrait"/>
      </w:pPr>
      <w:r w:rsidRPr="006A525F">
        <w:t>[259]</w:t>
      </w:r>
      <w:r w:rsidRPr="006A525F">
        <w:tab/>
        <w:t>Dans tous les cas, il ne peut s’agir d’une rétention délibérée. Jamais il ne lui aurait traversé l’esprit de poser un tel geste.</w:t>
      </w:r>
    </w:p>
    <w:p w14:paraId="4F2ED364" w14:textId="77777777" w:rsidR="00673A7F" w:rsidRPr="006A525F" w:rsidRDefault="00BD178A" w:rsidP="009B2AF0">
      <w:pPr>
        <w:pStyle w:val="Citationenretrait"/>
      </w:pPr>
      <w:r w:rsidRPr="006A525F">
        <w:lastRenderedPageBreak/>
        <w:t>[260]</w:t>
      </w:r>
      <w:r w:rsidRPr="006A525F">
        <w:tab/>
        <w:t xml:space="preserve">Longuement contre-interrogé sur cette question, sa version est demeurée la même. Il a maintenu et réitéré ne pas avoir vu ces déclarations. </w:t>
      </w:r>
    </w:p>
    <w:p w14:paraId="527087A8" w14:textId="77777777" w:rsidR="00673A7F" w:rsidRPr="006A525F" w:rsidRDefault="00BD178A" w:rsidP="009B2AF0">
      <w:pPr>
        <w:pStyle w:val="Citationenretrait"/>
      </w:pPr>
      <w:r w:rsidRPr="006A525F">
        <w:t>[261]</w:t>
      </w:r>
      <w:r w:rsidRPr="006A525F">
        <w:tab/>
        <w:t>Aux questions des avocats du demandeur Plamondon portant sur le premier rapport d’étape préparé par l’enquêteur Alain, lequel citait intégralement les déclarations de Jean-Noël Daley et Pierre Gaudreault, M. de la Sablonnière a maintenu sa position avec fermeté. Il a expliqué qu’il n’utilisait pas les rapports policiers pour se préparer. Il n’utilisait que les déclarations des témoins et que pour des raisons qu’il ne peut expliquer, il n’a pas eu connaissance des déclarations de Daley et Pierre Gaudreault des 19 et 20 août 1985.</w:t>
      </w:r>
    </w:p>
    <w:p w14:paraId="42111A30" w14:textId="77777777" w:rsidR="00673A7F" w:rsidRPr="006A525F" w:rsidRDefault="00BD178A" w:rsidP="009B2AF0">
      <w:pPr>
        <w:pStyle w:val="Citationenretrait"/>
      </w:pPr>
      <w:r w:rsidRPr="006A525F">
        <w:t>[262]</w:t>
      </w:r>
      <w:r w:rsidRPr="006A525F">
        <w:tab/>
        <w:t xml:space="preserve">Il réitère encore et encore que s’il avait vu les déclarations de Jean-Noël Daley et Pierre Gaudreault des 19 et 20 août 1985, il se serait empressé de les remettre à la poursuite avec leurs déclarations de septembre 1985. </w:t>
      </w:r>
    </w:p>
    <w:p w14:paraId="25267B55" w14:textId="61C8B451" w:rsidR="00673A7F" w:rsidRPr="006A525F" w:rsidRDefault="00BD178A" w:rsidP="009B2AF0">
      <w:pPr>
        <w:pStyle w:val="Citationenretrait"/>
      </w:pPr>
      <w:r w:rsidRPr="006A525F">
        <w:t>[263]</w:t>
      </w:r>
      <w:r w:rsidRPr="006A525F">
        <w:tab/>
        <w:t>À la toute fin de son témoignage, le Tribunal est revenu sur cette question. La version de M. de la Sablonnière est demeurée invariablement la même. Il a maintenu n’avoir jamais eu l’intent</w:t>
      </w:r>
      <w:r w:rsidR="00FD1CE1" w:rsidRPr="006A525F">
        <w:t>ion de ne pas les divulguer</w:t>
      </w:r>
      <w:r w:rsidRPr="006A525F">
        <w:t>. Il a expliqué que si ces déclarations avaient bel et bien été portées à sa connaissance, ce qui n’est pas exclu, l’omission de les divulguer à la défense ne peut s’expliquer que par un oubli involontaire, compte tenu de l’ordonnance du juge Ducros et de ses devoirs en tant qu’avocat de la poursuite […].</w:t>
      </w:r>
      <w:r>
        <w:rPr>
          <w:rStyle w:val="Appelnotedebasdep"/>
        </w:rPr>
        <w:footnoteReference w:id="61"/>
      </w:r>
    </w:p>
    <w:p w14:paraId="505621D4" w14:textId="6A526C49" w:rsidR="002E75DB" w:rsidRPr="006A525F" w:rsidRDefault="00BD178A" w:rsidP="00A06898">
      <w:pPr>
        <w:pStyle w:val="Paragraphe"/>
        <w:spacing w:line="280" w:lineRule="exact"/>
        <w:rPr>
          <w:lang w:eastAsia="fr-CA"/>
        </w:rPr>
      </w:pPr>
      <w:r w:rsidRPr="006A525F">
        <w:t xml:space="preserve">L’appelant </w:t>
      </w:r>
      <w:r w:rsidR="00F54CFF" w:rsidRPr="006A525F">
        <w:t>soutient qu’il a erré</w:t>
      </w:r>
      <w:r w:rsidRPr="006A525F">
        <w:t xml:space="preserve"> sur cette question centrale au litige, en imposant la preuve </w:t>
      </w:r>
      <w:r w:rsidR="00F54CFF" w:rsidRPr="006A525F">
        <w:t>de la malveillanc</w:t>
      </w:r>
      <w:r w:rsidR="008C1983" w:rsidRPr="006A525F">
        <w:t>e</w:t>
      </w:r>
      <w:r w:rsidRPr="006A525F">
        <w:t xml:space="preserve"> de la poursuite</w:t>
      </w:r>
      <w:r w:rsidR="00F54CFF" w:rsidRPr="006A525F">
        <w:t>, dans les p</w:t>
      </w:r>
      <w:r w:rsidR="009B2AF0" w:rsidRPr="006A525F">
        <w:t>aragraphes suivants du jugement </w:t>
      </w:r>
      <w:r w:rsidR="008C1983" w:rsidRPr="006A525F">
        <w:t>:</w:t>
      </w:r>
    </w:p>
    <w:p w14:paraId="135C9377" w14:textId="77777777" w:rsidR="00FD1CE1" w:rsidRPr="006A525F" w:rsidRDefault="00BD178A" w:rsidP="00CC7A98">
      <w:pPr>
        <w:pStyle w:val="Citationenretrait"/>
        <w:rPr>
          <w:lang w:eastAsia="fr-CA"/>
        </w:rPr>
      </w:pPr>
      <w:r w:rsidRPr="006A525F">
        <w:rPr>
          <w:lang w:eastAsia="fr-CA"/>
        </w:rPr>
        <w:t>[273]</w:t>
      </w:r>
      <w:r w:rsidRPr="006A525F">
        <w:rPr>
          <w:lang w:eastAsia="fr-CA"/>
        </w:rPr>
        <w:tab/>
        <w:t>À la lumière du témoignage de M. de la Sablonnière, il est improbable que la poursuite ou même la police ait délibérément omis de lui divulguer ces deux déclarations.</w:t>
      </w:r>
    </w:p>
    <w:p w14:paraId="619200B7" w14:textId="480C0D01" w:rsidR="00FD1CE1" w:rsidRPr="006A525F" w:rsidRDefault="00BD178A" w:rsidP="00CC7A98">
      <w:pPr>
        <w:pStyle w:val="Citationenretrait"/>
        <w:rPr>
          <w:lang w:eastAsia="fr-CA"/>
        </w:rPr>
      </w:pPr>
      <w:r w:rsidRPr="006A525F">
        <w:rPr>
          <w:lang w:eastAsia="fr-CA"/>
        </w:rPr>
        <w:t>[274]</w:t>
      </w:r>
      <w:r w:rsidRPr="006A525F">
        <w:rPr>
          <w:lang w:eastAsia="fr-CA"/>
        </w:rPr>
        <w:tab/>
        <w:t xml:space="preserve">Pour conclure ainsi, il aurait fallu que le Tribunal retienne que la police ou la poursuite </w:t>
      </w:r>
      <w:r w:rsidRPr="006A525F">
        <w:rPr>
          <w:b/>
          <w:lang w:eastAsia="fr-CA"/>
        </w:rPr>
        <w:t>voulait tromper</w:t>
      </w:r>
      <w:r w:rsidRPr="006A525F">
        <w:rPr>
          <w:lang w:eastAsia="fr-CA"/>
        </w:rPr>
        <w:t xml:space="preserve"> le demandeur Plamondon, les jurés et le juge Ducros.</w:t>
      </w:r>
      <w:r>
        <w:rPr>
          <w:rStyle w:val="Appelnotedebasdep"/>
          <w:lang w:eastAsia="fr-CA"/>
        </w:rPr>
        <w:footnoteReference w:id="62"/>
      </w:r>
    </w:p>
    <w:p w14:paraId="39324712" w14:textId="52530845" w:rsidR="001B62A6" w:rsidRPr="006A525F" w:rsidRDefault="00BD178A" w:rsidP="009B2AF0">
      <w:pPr>
        <w:pStyle w:val="Citationenretrait"/>
        <w:jc w:val="right"/>
        <w:rPr>
          <w:lang w:eastAsia="fr-CA"/>
        </w:rPr>
      </w:pPr>
      <w:r w:rsidRPr="006A525F">
        <w:rPr>
          <w:lang w:eastAsia="fr-CA"/>
        </w:rPr>
        <w:t>[Caractères gras ajoutés]</w:t>
      </w:r>
    </w:p>
    <w:p w14:paraId="58DD482B" w14:textId="269DD957" w:rsidR="00ED23C5" w:rsidRPr="006A525F" w:rsidRDefault="00BD178A" w:rsidP="00A06898">
      <w:pPr>
        <w:pStyle w:val="Paragraphe"/>
        <w:spacing w:line="280" w:lineRule="exact"/>
        <w:rPr>
          <w:szCs w:val="24"/>
        </w:rPr>
      </w:pPr>
      <w:r w:rsidRPr="006A525F">
        <w:rPr>
          <w:szCs w:val="24"/>
          <w:lang w:eastAsia="fr-CA"/>
        </w:rPr>
        <w:t>L’appelant avance</w:t>
      </w:r>
      <w:r w:rsidR="00F54CFF" w:rsidRPr="006A525F">
        <w:rPr>
          <w:szCs w:val="24"/>
          <w:lang w:eastAsia="fr-CA"/>
        </w:rPr>
        <w:t xml:space="preserve"> </w:t>
      </w:r>
      <w:r w:rsidRPr="006A525F">
        <w:rPr>
          <w:szCs w:val="24"/>
          <w:lang w:eastAsia="fr-CA"/>
        </w:rPr>
        <w:t xml:space="preserve">également </w:t>
      </w:r>
      <w:r w:rsidR="00F54CFF" w:rsidRPr="006A525F">
        <w:rPr>
          <w:szCs w:val="24"/>
          <w:lang w:eastAsia="fr-CA"/>
        </w:rPr>
        <w:t xml:space="preserve">une proposition assez hardie, soit celle que le </w:t>
      </w:r>
      <w:r w:rsidR="008C1983" w:rsidRPr="006A525F">
        <w:rPr>
          <w:szCs w:val="24"/>
          <w:lang w:eastAsia="fr-CA"/>
        </w:rPr>
        <w:t xml:space="preserve">juge </w:t>
      </w:r>
      <w:r w:rsidR="00F54CFF" w:rsidRPr="006A525F">
        <w:rPr>
          <w:szCs w:val="24"/>
          <w:lang w:eastAsia="fr-CA"/>
        </w:rPr>
        <w:t xml:space="preserve">a </w:t>
      </w:r>
      <w:r w:rsidR="008C1983" w:rsidRPr="006A525F">
        <w:rPr>
          <w:szCs w:val="24"/>
          <w:lang w:eastAsia="fr-CA"/>
        </w:rPr>
        <w:t xml:space="preserve">erré en permettant au ministère public de présenter une contre-preuve pour démontrer le caractère involontaire de cette rétention. </w:t>
      </w:r>
      <w:r w:rsidR="00ED2C9F" w:rsidRPr="006A525F">
        <w:rPr>
          <w:szCs w:val="24"/>
          <w:lang w:eastAsia="fr-CA"/>
        </w:rPr>
        <w:t xml:space="preserve">Il </w:t>
      </w:r>
      <w:r w:rsidRPr="006A525F">
        <w:rPr>
          <w:szCs w:val="24"/>
          <w:lang w:eastAsia="fr-CA"/>
        </w:rPr>
        <w:t>affirme</w:t>
      </w:r>
      <w:r w:rsidR="009439BE" w:rsidRPr="006A525F">
        <w:rPr>
          <w:szCs w:val="24"/>
          <w:lang w:eastAsia="fr-CA"/>
        </w:rPr>
        <w:t xml:space="preserve"> </w:t>
      </w:r>
      <w:r w:rsidR="00ED2C9F" w:rsidRPr="006A525F">
        <w:rPr>
          <w:szCs w:val="24"/>
          <w:lang w:eastAsia="fr-CA"/>
        </w:rPr>
        <w:t xml:space="preserve">que lorsque la violation </w:t>
      </w:r>
      <w:r w:rsidR="00F54CFF" w:rsidRPr="006A525F">
        <w:rPr>
          <w:szCs w:val="24"/>
          <w:lang w:eastAsia="fr-CA"/>
        </w:rPr>
        <w:t xml:space="preserve">du droit à une défense pleine et entière est grave, comme en l’espèce, </w:t>
      </w:r>
      <w:r w:rsidR="00ED2C9F" w:rsidRPr="006A525F">
        <w:rPr>
          <w:szCs w:val="24"/>
          <w:lang w:eastAsia="fr-CA"/>
        </w:rPr>
        <w:t xml:space="preserve">la poursuivante </w:t>
      </w:r>
      <w:r w:rsidR="00F54CFF" w:rsidRPr="006A525F">
        <w:rPr>
          <w:szCs w:val="24"/>
          <w:lang w:eastAsia="fr-CA"/>
        </w:rPr>
        <w:t>ne peut pas faire une contre-preuve pour démontrer le caractère non délibéré de la rétention des éléments de preuve.</w:t>
      </w:r>
    </w:p>
    <w:p w14:paraId="3C26702A" w14:textId="78901EF7" w:rsidR="00C60147" w:rsidRPr="006A525F" w:rsidRDefault="00BD178A" w:rsidP="00A06898">
      <w:pPr>
        <w:pStyle w:val="Paragraphe"/>
        <w:tabs>
          <w:tab w:val="clear" w:pos="720"/>
        </w:tabs>
        <w:spacing w:line="280" w:lineRule="exact"/>
        <w:rPr>
          <w:szCs w:val="24"/>
        </w:rPr>
      </w:pPr>
      <w:r w:rsidRPr="006A525F">
        <w:rPr>
          <w:szCs w:val="24"/>
        </w:rPr>
        <w:lastRenderedPageBreak/>
        <w:t xml:space="preserve">Dans l’arrêt </w:t>
      </w:r>
      <w:r w:rsidRPr="006A525F">
        <w:rPr>
          <w:i/>
          <w:szCs w:val="24"/>
        </w:rPr>
        <w:t>Henry</w:t>
      </w:r>
      <w:r w:rsidRPr="006A525F">
        <w:rPr>
          <w:szCs w:val="24"/>
        </w:rPr>
        <w:t xml:space="preserve">, la Cour suprême souligne que </w:t>
      </w:r>
      <w:r w:rsidR="00ED23C5" w:rsidRPr="006A525F">
        <w:rPr>
          <w:szCs w:val="24"/>
        </w:rPr>
        <w:t>si la preuve révèle que le poursuivant était en possession des renseignements et qu’il ne les a pas communiqués à la défense, le juge peut déduire qu’il y a eu rétention délibérée de ces renseignements. Toutefois, le juge n’est pas tenu de faire c</w:t>
      </w:r>
      <w:r w:rsidRPr="006A525F">
        <w:rPr>
          <w:szCs w:val="24"/>
        </w:rPr>
        <w:t xml:space="preserve">ette déduction si la poursuite </w:t>
      </w:r>
      <w:r w:rsidR="00ED23C5" w:rsidRPr="006A525F">
        <w:rPr>
          <w:szCs w:val="24"/>
        </w:rPr>
        <w:t xml:space="preserve">présente une </w:t>
      </w:r>
      <w:r w:rsidRPr="006A525F">
        <w:rPr>
          <w:szCs w:val="24"/>
        </w:rPr>
        <w:t xml:space="preserve">contre-preuve </w:t>
      </w:r>
      <w:r w:rsidR="00ED23C5" w:rsidRPr="006A525F">
        <w:rPr>
          <w:szCs w:val="24"/>
        </w:rPr>
        <w:t xml:space="preserve">démontrant que la rétention des renseignements </w:t>
      </w:r>
      <w:r w:rsidRPr="006A525F">
        <w:rPr>
          <w:szCs w:val="24"/>
        </w:rPr>
        <w:t>résulte d’une omission</w:t>
      </w:r>
      <w:r w:rsidR="00ED23C5" w:rsidRPr="006A525F">
        <w:rPr>
          <w:szCs w:val="24"/>
        </w:rPr>
        <w:t xml:space="preserve"> </w:t>
      </w:r>
      <w:r w:rsidRPr="006A525F">
        <w:rPr>
          <w:szCs w:val="24"/>
        </w:rPr>
        <w:t>in</w:t>
      </w:r>
      <w:r w:rsidR="00ED23C5" w:rsidRPr="006A525F">
        <w:rPr>
          <w:szCs w:val="24"/>
        </w:rPr>
        <w:t>volontaire</w:t>
      </w:r>
      <w:r w:rsidRPr="006A525F">
        <w:rPr>
          <w:szCs w:val="24"/>
        </w:rPr>
        <w:t xml:space="preserve">, par exemple d’une erreur ou </w:t>
      </w:r>
      <w:r w:rsidR="00ED23C5" w:rsidRPr="006A525F">
        <w:rPr>
          <w:szCs w:val="24"/>
        </w:rPr>
        <w:t>d’un oubli</w:t>
      </w:r>
      <w:r>
        <w:rPr>
          <w:rStyle w:val="Appelnotedebasdep"/>
          <w:szCs w:val="24"/>
        </w:rPr>
        <w:footnoteReference w:id="63"/>
      </w:r>
      <w:r w:rsidR="00ED23C5" w:rsidRPr="006A525F">
        <w:rPr>
          <w:szCs w:val="24"/>
        </w:rPr>
        <w:t xml:space="preserve">. </w:t>
      </w:r>
      <w:r w:rsidRPr="006A525F">
        <w:rPr>
          <w:szCs w:val="24"/>
        </w:rPr>
        <w:t xml:space="preserve">Au sujet de la possibilité pour la poursuivante d’apporter cette preuve, le juge Moldaver ne fait pas de distinction </w:t>
      </w:r>
      <w:r w:rsidR="0052122B" w:rsidRPr="006A525F">
        <w:rPr>
          <w:szCs w:val="24"/>
        </w:rPr>
        <w:t xml:space="preserve">en fonction de </w:t>
      </w:r>
      <w:r w:rsidRPr="006A525F">
        <w:rPr>
          <w:szCs w:val="24"/>
        </w:rPr>
        <w:t xml:space="preserve">la gravité de la violation </w:t>
      </w:r>
      <w:r w:rsidR="00BD7B5D" w:rsidRPr="006A525F">
        <w:rPr>
          <w:szCs w:val="24"/>
        </w:rPr>
        <w:t xml:space="preserve">du </w:t>
      </w:r>
      <w:r w:rsidRPr="006A525F">
        <w:rPr>
          <w:szCs w:val="24"/>
        </w:rPr>
        <w:t>droit d’obtenir la divulgation de la preuve</w:t>
      </w:r>
      <w:r w:rsidR="0052122B" w:rsidRPr="006A525F">
        <w:rPr>
          <w:szCs w:val="24"/>
        </w:rPr>
        <w:t>.</w:t>
      </w:r>
      <w:r w:rsidR="00ED2C9F" w:rsidRPr="006A525F">
        <w:rPr>
          <w:szCs w:val="24"/>
        </w:rPr>
        <w:t xml:space="preserve"> </w:t>
      </w:r>
      <w:r w:rsidR="0052122B" w:rsidRPr="006A525F">
        <w:rPr>
          <w:szCs w:val="24"/>
        </w:rPr>
        <w:t>Autrement dit, peu importe la gravité de la violation, le ministère public peut apporter la preuve du caractère involontaire de la non-divulgation :</w:t>
      </w:r>
    </w:p>
    <w:p w14:paraId="29A9CD3B" w14:textId="52FA7513" w:rsidR="00C60147" w:rsidRPr="006A525F" w:rsidRDefault="00BD178A" w:rsidP="009B2AF0">
      <w:pPr>
        <w:pStyle w:val="Citationenretrait"/>
      </w:pPr>
      <w:r w:rsidRPr="006A525F">
        <w:t>[86]</w:t>
      </w:r>
      <w:r w:rsidR="003D6A30" w:rsidRPr="006A525F">
        <w:tab/>
      </w:r>
      <w:r w:rsidRPr="006A525F">
        <w:t>Rien dans la formulation de ce critère ne modifie les méthodes qu’utilisent les juges des faits pour évaluer l’intention. La déduction conforme au bon sens suivant laquelle une personne a voulu les conséquences naturelles et probables de ses actes s’applique : </w:t>
      </w:r>
      <w:r w:rsidRPr="006A525F">
        <w:rPr>
          <w:i/>
          <w:iCs/>
        </w:rPr>
        <w:t>R. c. Walle</w:t>
      </w:r>
      <w:r w:rsidRPr="006A525F">
        <w:t>, 2012 CSC 41, [2012] 2 R.C.S. 438, par. 58-63, citant </w:t>
      </w:r>
      <w:r w:rsidRPr="006A525F">
        <w:rPr>
          <w:i/>
          <w:iCs/>
        </w:rPr>
        <w:t>R. c. Daley</w:t>
      </w:r>
      <w:r w:rsidRPr="006A525F">
        <w:t>, 2007 CSC 53, [2007] 3 R.C.S. 523. Par conséquent, le fardeau de preuve qui incombe au demandeur n’est pas très élevé. Pour démontrer que le ministère public a délibérément retenu des renseignements, le demandeur n’a qu’à prouver que les poursuivants étaient effectivement en possession des renseignements et ne les ont pas communiqués. Subsidiairement, un demandeur pourrait démontrer que les poursuivants ont été informés de l’existence des renseignements et n’ont pas tenté de les obtenir, en contravention de leurs obligations en matière de communication de la preuve : voir </w:t>
      </w:r>
      <w:r w:rsidRPr="006A525F">
        <w:rPr>
          <w:i/>
          <w:iCs/>
        </w:rPr>
        <w:t>R. c. McNeil</w:t>
      </w:r>
      <w:r w:rsidRPr="006A525F">
        <w:t xml:space="preserve">, 2009 CSC 3, [2009] 1 R.C.S. 66, par. 49. Dans chacun de ces cas, l’intention de ne pas communiquer peut être déduite. </w:t>
      </w:r>
      <w:r w:rsidRPr="006A525F">
        <w:rPr>
          <w:u w:val="single"/>
        </w:rPr>
        <w:t>Le juge des faits peut faire cette déduction, mais n’y est pas tenu. De plus, le ministère public peut toujours présenter une contre-preuve pour démontrer que la rétention des renseignements n’était pas intentionnelle</w:t>
      </w:r>
      <w:r w:rsidRPr="006A525F">
        <w:t>.</w:t>
      </w:r>
      <w:r>
        <w:rPr>
          <w:rStyle w:val="Appelnotedebasdep"/>
          <w:szCs w:val="22"/>
        </w:rPr>
        <w:footnoteReference w:id="64"/>
      </w:r>
    </w:p>
    <w:p w14:paraId="5DD9337A" w14:textId="783BD503" w:rsidR="003D6A30" w:rsidRPr="006A525F" w:rsidRDefault="00BD178A" w:rsidP="009B2AF0">
      <w:pPr>
        <w:pStyle w:val="Citationenretrait"/>
        <w:jc w:val="right"/>
      </w:pPr>
      <w:r w:rsidRPr="006A525F">
        <w:t>[Soulignement ajouté]</w:t>
      </w:r>
    </w:p>
    <w:p w14:paraId="2085BB29" w14:textId="232951E4" w:rsidR="006B040E" w:rsidRPr="00A06898" w:rsidRDefault="00BD178A" w:rsidP="00A06898">
      <w:pPr>
        <w:pStyle w:val="Paragraphe"/>
        <w:tabs>
          <w:tab w:val="clear" w:pos="720"/>
        </w:tabs>
        <w:spacing w:line="280" w:lineRule="exact"/>
        <w:rPr>
          <w:szCs w:val="24"/>
        </w:rPr>
      </w:pPr>
      <w:r w:rsidRPr="00A06898">
        <w:t>L’appelant a donc tort de prétendre que le juge de première instance ne devait pas autoriser ou considérer la contre-preuve de l’intimée. À la lumière de l’ensemble de la preuve, incluant cette contre-preuve, le juge a conclu que la rétention n’était pas délibérée. L’appelant ne démontre pas l’erreur manifeste et déterminante qui entacherait cette conclusion.</w:t>
      </w:r>
    </w:p>
    <w:p w14:paraId="31B75A8F" w14:textId="5C9C6D13" w:rsidR="00375865" w:rsidRPr="006A525F" w:rsidRDefault="00BD178A" w:rsidP="00A06898">
      <w:pPr>
        <w:pStyle w:val="Paragraphe"/>
        <w:tabs>
          <w:tab w:val="clear" w:pos="720"/>
        </w:tabs>
        <w:spacing w:line="280" w:lineRule="exact"/>
        <w:rPr>
          <w:szCs w:val="24"/>
        </w:rPr>
      </w:pPr>
      <w:r>
        <w:rPr>
          <w:lang w:eastAsia="fr-CA"/>
        </w:rPr>
        <w:t xml:space="preserve">Il </w:t>
      </w:r>
      <w:r w:rsidR="00757F76" w:rsidRPr="006A525F">
        <w:rPr>
          <w:lang w:eastAsia="fr-CA"/>
        </w:rPr>
        <w:t>affirme que le juge s’est mépris en exigeant la nécessité d’une rétention malveillante des éléments de preuve par la poursuivante, tel qu’en fait foi le</w:t>
      </w:r>
      <w:r w:rsidR="004575CC" w:rsidRPr="006A525F">
        <w:rPr>
          <w:lang w:eastAsia="fr-CA"/>
        </w:rPr>
        <w:t xml:space="preserve"> </w:t>
      </w:r>
      <w:r w:rsidR="00AF5968" w:rsidRPr="006A525F">
        <w:rPr>
          <w:lang w:eastAsia="fr-CA"/>
        </w:rPr>
        <w:t xml:space="preserve">paragraphe </w:t>
      </w:r>
      <w:r w:rsidR="004575CC" w:rsidRPr="006A525F">
        <w:rPr>
          <w:lang w:eastAsia="fr-CA"/>
        </w:rPr>
        <w:t>274</w:t>
      </w:r>
      <w:r w:rsidR="00ED23C5" w:rsidRPr="006A525F">
        <w:rPr>
          <w:lang w:eastAsia="fr-CA"/>
        </w:rPr>
        <w:t xml:space="preserve"> du jugement</w:t>
      </w:r>
      <w:r w:rsidR="00757F76" w:rsidRPr="006A525F">
        <w:rPr>
          <w:lang w:eastAsia="fr-CA"/>
        </w:rPr>
        <w:t>, où il</w:t>
      </w:r>
      <w:r w:rsidR="00C60147" w:rsidRPr="006A525F">
        <w:rPr>
          <w:lang w:eastAsia="fr-CA"/>
        </w:rPr>
        <w:t xml:space="preserve"> </w:t>
      </w:r>
      <w:r w:rsidR="005D51E0" w:rsidRPr="006A525F">
        <w:rPr>
          <w:lang w:eastAsia="fr-CA"/>
        </w:rPr>
        <w:t>emploie les mots « </w:t>
      </w:r>
      <w:r w:rsidR="004575CC" w:rsidRPr="006A525F">
        <w:rPr>
          <w:lang w:eastAsia="fr-CA"/>
        </w:rPr>
        <w:t>voulait tromper</w:t>
      </w:r>
      <w:r w:rsidR="005D51E0" w:rsidRPr="006A525F">
        <w:rPr>
          <w:lang w:eastAsia="fr-CA"/>
        </w:rPr>
        <w:t> </w:t>
      </w:r>
      <w:r w:rsidR="004575CC" w:rsidRPr="006A525F">
        <w:rPr>
          <w:lang w:eastAsia="fr-CA"/>
        </w:rPr>
        <w:t>»</w:t>
      </w:r>
      <w:r w:rsidR="00987C3E" w:rsidRPr="006A525F">
        <w:rPr>
          <w:lang w:eastAsia="fr-CA"/>
        </w:rPr>
        <w:t>.</w:t>
      </w:r>
      <w:r w:rsidR="00AA6709" w:rsidRPr="006A525F">
        <w:rPr>
          <w:lang w:eastAsia="fr-CA"/>
        </w:rPr>
        <w:t xml:space="preserve"> </w:t>
      </w:r>
    </w:p>
    <w:p w14:paraId="5459999D" w14:textId="3CDA1661" w:rsidR="00BC2FC8" w:rsidRPr="006A525F" w:rsidRDefault="00BD178A" w:rsidP="00A06898">
      <w:pPr>
        <w:pStyle w:val="Paragraphe"/>
        <w:tabs>
          <w:tab w:val="clear" w:pos="720"/>
        </w:tabs>
        <w:spacing w:line="280" w:lineRule="exact"/>
        <w:rPr>
          <w:szCs w:val="24"/>
        </w:rPr>
      </w:pPr>
      <w:r w:rsidRPr="006A525F">
        <w:rPr>
          <w:lang w:eastAsia="fr-CA"/>
        </w:rPr>
        <w:lastRenderedPageBreak/>
        <w:t xml:space="preserve">À l’analyse, il ressort plutôt que le juge a appliqué le bon seuil et qu’au paragraphe 274, il ne fait que reprendre </w:t>
      </w:r>
      <w:r w:rsidR="00AA6709" w:rsidRPr="006A525F">
        <w:rPr>
          <w:lang w:eastAsia="fr-CA"/>
        </w:rPr>
        <w:t>l’argument de l’appelant en expliquant tout simplement que si l’on devait</w:t>
      </w:r>
      <w:r w:rsidRPr="006A525F">
        <w:rPr>
          <w:lang w:eastAsia="fr-CA"/>
        </w:rPr>
        <w:t xml:space="preserve"> lui donner raison</w:t>
      </w:r>
      <w:r w:rsidR="00AA6709" w:rsidRPr="006A525F">
        <w:rPr>
          <w:lang w:eastAsia="fr-CA"/>
        </w:rPr>
        <w:t>, on devrait conclure à la malveillance de la poursuivante. L</w:t>
      </w:r>
      <w:r w:rsidR="00ED23C5" w:rsidRPr="006A525F">
        <w:rPr>
          <w:lang w:eastAsia="fr-CA"/>
        </w:rPr>
        <w:t>us dans leur contexte</w:t>
      </w:r>
      <w:r w:rsidR="006B780C" w:rsidRPr="006A525F">
        <w:rPr>
          <w:lang w:eastAsia="fr-CA"/>
        </w:rPr>
        <w:t xml:space="preserve"> – notamment avec les paragraphes </w:t>
      </w:r>
      <w:r w:rsidR="00CC7A98" w:rsidRPr="006A525F">
        <w:rPr>
          <w:lang w:eastAsia="fr-CA"/>
        </w:rPr>
        <w:t>272 et 273 du jugement</w:t>
      </w:r>
      <w:r w:rsidR="006B780C" w:rsidRPr="006A525F">
        <w:rPr>
          <w:lang w:eastAsia="fr-CA"/>
        </w:rPr>
        <w:t xml:space="preserve"> –</w:t>
      </w:r>
      <w:r w:rsidR="005D51E0" w:rsidRPr="006A525F">
        <w:rPr>
          <w:lang w:eastAsia="fr-CA"/>
        </w:rPr>
        <w:t xml:space="preserve"> </w:t>
      </w:r>
      <w:r w:rsidRPr="006A525F">
        <w:rPr>
          <w:lang w:eastAsia="fr-CA"/>
        </w:rPr>
        <w:t xml:space="preserve">les </w:t>
      </w:r>
      <w:r w:rsidR="00AA6709" w:rsidRPr="006A525F">
        <w:rPr>
          <w:lang w:eastAsia="fr-CA"/>
        </w:rPr>
        <w:t>mots</w:t>
      </w:r>
      <w:r w:rsidR="00536432" w:rsidRPr="006A525F">
        <w:rPr>
          <w:lang w:eastAsia="fr-CA"/>
        </w:rPr>
        <w:t xml:space="preserve"> </w:t>
      </w:r>
      <w:r w:rsidR="005D51E0" w:rsidRPr="006A525F">
        <w:rPr>
          <w:lang w:eastAsia="fr-CA"/>
        </w:rPr>
        <w:t>« </w:t>
      </w:r>
      <w:r w:rsidRPr="006A525F">
        <w:rPr>
          <w:lang w:eastAsia="fr-CA"/>
        </w:rPr>
        <w:t>voulait tromper</w:t>
      </w:r>
      <w:r w:rsidR="005D51E0" w:rsidRPr="006A525F">
        <w:rPr>
          <w:lang w:eastAsia="fr-CA"/>
        </w:rPr>
        <w:t> </w:t>
      </w:r>
      <w:r w:rsidRPr="006A525F">
        <w:rPr>
          <w:lang w:eastAsia="fr-CA"/>
        </w:rPr>
        <w:t xml:space="preserve">» </w:t>
      </w:r>
      <w:r w:rsidR="00AF5968" w:rsidRPr="006A525F">
        <w:rPr>
          <w:lang w:eastAsia="fr-CA"/>
        </w:rPr>
        <w:t>ne permettent pas de conclure que le juge</w:t>
      </w:r>
      <w:r w:rsidR="00FD1CE1" w:rsidRPr="006A525F">
        <w:rPr>
          <w:lang w:eastAsia="fr-CA"/>
        </w:rPr>
        <w:t xml:space="preserve"> a erré</w:t>
      </w:r>
      <w:r w:rsidR="00AF5968" w:rsidRPr="006A525F">
        <w:rPr>
          <w:lang w:eastAsia="fr-CA"/>
        </w:rPr>
        <w:t>. En effet,</w:t>
      </w:r>
      <w:r w:rsidR="00FD1CE1" w:rsidRPr="006A525F">
        <w:rPr>
          <w:lang w:eastAsia="fr-CA"/>
        </w:rPr>
        <w:t xml:space="preserve"> </w:t>
      </w:r>
      <w:r w:rsidR="00586BA6" w:rsidRPr="006A525F">
        <w:rPr>
          <w:lang w:eastAsia="fr-CA"/>
        </w:rPr>
        <w:t xml:space="preserve">relativement à </w:t>
      </w:r>
      <w:r w:rsidR="00FD1CE1" w:rsidRPr="006A525F">
        <w:rPr>
          <w:lang w:eastAsia="fr-CA"/>
        </w:rPr>
        <w:t>sa conclusion</w:t>
      </w:r>
      <w:r w:rsidR="00586BA6" w:rsidRPr="006A525F">
        <w:rPr>
          <w:lang w:eastAsia="fr-CA"/>
        </w:rPr>
        <w:t xml:space="preserve"> factuelle</w:t>
      </w:r>
      <w:r w:rsidR="00FD1CE1" w:rsidRPr="006A525F">
        <w:rPr>
          <w:lang w:eastAsia="fr-CA"/>
        </w:rPr>
        <w:t xml:space="preserve"> </w:t>
      </w:r>
      <w:r w:rsidRPr="006A525F">
        <w:rPr>
          <w:lang w:eastAsia="fr-CA"/>
        </w:rPr>
        <w:t>que la rétention n’était pas délibérée</w:t>
      </w:r>
      <w:r w:rsidR="00586BA6" w:rsidRPr="006A525F">
        <w:rPr>
          <w:lang w:eastAsia="fr-CA"/>
        </w:rPr>
        <w:t xml:space="preserve">, laquelle </w:t>
      </w:r>
      <w:r w:rsidR="00EA3254" w:rsidRPr="006A525F">
        <w:rPr>
          <w:lang w:eastAsia="fr-CA"/>
        </w:rPr>
        <w:t>est fondée sur le</w:t>
      </w:r>
      <w:r w:rsidR="00AF5968" w:rsidRPr="006A525F">
        <w:rPr>
          <w:lang w:eastAsia="fr-CA"/>
        </w:rPr>
        <w:t xml:space="preserve"> </w:t>
      </w:r>
      <w:r w:rsidR="00883D93" w:rsidRPr="006A525F">
        <w:rPr>
          <w:lang w:eastAsia="fr-CA"/>
        </w:rPr>
        <w:t xml:space="preserve">bon seuil au sens de l’arrêt </w:t>
      </w:r>
      <w:r w:rsidR="00883D93" w:rsidRPr="006A525F">
        <w:rPr>
          <w:i/>
          <w:lang w:eastAsia="fr-CA"/>
        </w:rPr>
        <w:t xml:space="preserve">Henry </w:t>
      </w:r>
      <w:r w:rsidR="00AF5968" w:rsidRPr="006A525F">
        <w:rPr>
          <w:lang w:eastAsia="fr-CA"/>
        </w:rPr>
        <w:t xml:space="preserve">et est bien motivée aux paragraphes </w:t>
      </w:r>
      <w:r w:rsidR="00E8383C" w:rsidRPr="006A525F">
        <w:rPr>
          <w:lang w:eastAsia="fr-CA"/>
        </w:rPr>
        <w:br/>
      </w:r>
      <w:r w:rsidR="00AF5968" w:rsidRPr="006A525F">
        <w:rPr>
          <w:lang w:eastAsia="fr-CA"/>
        </w:rPr>
        <w:t>267 à 273 et 275</w:t>
      </w:r>
      <w:r w:rsidR="00FD1CE1" w:rsidRPr="006A525F">
        <w:rPr>
          <w:lang w:eastAsia="fr-CA"/>
        </w:rPr>
        <w:t xml:space="preserve"> à 294 du jugement</w:t>
      </w:r>
      <w:r w:rsidR="00586BA6" w:rsidRPr="006A525F">
        <w:rPr>
          <w:lang w:eastAsia="fr-CA"/>
        </w:rPr>
        <w:t xml:space="preserve">, l’appelant ne </w:t>
      </w:r>
      <w:r w:rsidR="00EA3254" w:rsidRPr="006A525F">
        <w:rPr>
          <w:lang w:eastAsia="fr-CA"/>
        </w:rPr>
        <w:t>dé</w:t>
      </w:r>
      <w:r w:rsidR="00586BA6" w:rsidRPr="006A525F">
        <w:rPr>
          <w:lang w:eastAsia="fr-CA"/>
        </w:rPr>
        <w:t>montre pas d’erreur manifeste et déterminante qui justifierait la Cour d’intervenir.</w:t>
      </w:r>
    </w:p>
    <w:p w14:paraId="262127FA" w14:textId="77777777" w:rsidR="00AA6EE3" w:rsidRPr="006A525F" w:rsidRDefault="00BD178A" w:rsidP="00A06898">
      <w:pPr>
        <w:pStyle w:val="Paragraphe"/>
        <w:numPr>
          <w:ilvl w:val="0"/>
          <w:numId w:val="0"/>
        </w:numPr>
        <w:spacing w:line="280" w:lineRule="exact"/>
        <w:ind w:left="720"/>
        <w:rPr>
          <w:b/>
          <w:i/>
          <w:lang w:eastAsia="fr-CA"/>
        </w:rPr>
      </w:pPr>
      <w:r w:rsidRPr="006A525F">
        <w:rPr>
          <w:b/>
          <w:i/>
          <w:lang w:eastAsia="fr-CA"/>
        </w:rPr>
        <w:t>v</w:t>
      </w:r>
      <w:r w:rsidR="00FD1CE1" w:rsidRPr="006A525F">
        <w:rPr>
          <w:b/>
          <w:i/>
          <w:lang w:eastAsia="fr-CA"/>
        </w:rPr>
        <w:t>. L</w:t>
      </w:r>
      <w:r w:rsidR="00D47F86" w:rsidRPr="006A525F">
        <w:rPr>
          <w:b/>
          <w:i/>
          <w:lang w:eastAsia="fr-CA"/>
        </w:rPr>
        <w:t xml:space="preserve">’impact de tous ces éléments de preuve non communiqués sur les verdicts de culpabilité </w:t>
      </w:r>
    </w:p>
    <w:p w14:paraId="37791419" w14:textId="1F086E83" w:rsidR="00346585" w:rsidRPr="006A525F" w:rsidRDefault="00BD178A" w:rsidP="00A06898">
      <w:pPr>
        <w:pStyle w:val="Paragraphe"/>
        <w:spacing w:line="280" w:lineRule="exact"/>
      </w:pPr>
      <w:r w:rsidRPr="006A525F">
        <w:t>Enfin, le juge</w:t>
      </w:r>
      <w:r w:rsidR="00DE151C" w:rsidRPr="006A525F">
        <w:t xml:space="preserve"> </w:t>
      </w:r>
      <w:r w:rsidR="00D47F86" w:rsidRPr="006A525F">
        <w:t xml:space="preserve">a conclu </w:t>
      </w:r>
      <w:r w:rsidRPr="006A525F">
        <w:t xml:space="preserve">que </w:t>
      </w:r>
      <w:r w:rsidRPr="006A525F">
        <w:rPr>
          <w:kern w:val="24"/>
        </w:rPr>
        <w:t>les renseignements non communiqués n’auraient, de toute façon, pas eu d’impact sur le</w:t>
      </w:r>
      <w:r w:rsidR="00D47F86" w:rsidRPr="006A525F">
        <w:rPr>
          <w:kern w:val="24"/>
        </w:rPr>
        <w:t>s</w:t>
      </w:r>
      <w:r w:rsidRPr="006A525F">
        <w:rPr>
          <w:kern w:val="24"/>
        </w:rPr>
        <w:t xml:space="preserve"> verdict</w:t>
      </w:r>
      <w:r w:rsidR="00D47F86" w:rsidRPr="006A525F">
        <w:rPr>
          <w:kern w:val="24"/>
        </w:rPr>
        <w:t>s</w:t>
      </w:r>
      <w:r w:rsidRPr="006A525F">
        <w:rPr>
          <w:kern w:val="24"/>
        </w:rPr>
        <w:t xml:space="preserve"> de culpabilité de l’appelant en 1986</w:t>
      </w:r>
      <w:r w:rsidR="00673A7F" w:rsidRPr="006A525F">
        <w:rPr>
          <w:kern w:val="24"/>
        </w:rPr>
        <w:t> :</w:t>
      </w:r>
    </w:p>
    <w:p w14:paraId="3B04CD1D" w14:textId="77777777" w:rsidR="00346585" w:rsidRPr="006A525F" w:rsidRDefault="00BD178A" w:rsidP="00346585">
      <w:pPr>
        <w:pStyle w:val="Citationenretrait"/>
      </w:pPr>
      <w:r w:rsidRPr="006A525F">
        <w:t>[306]</w:t>
      </w:r>
      <w:r w:rsidRPr="006A525F">
        <w:tab/>
        <w:t xml:space="preserve">Néanmoins, le Tribunal estime nécessaire de formuler quelques commentaires en regard du lien de causalité entre les déclarations retenues délibérément et le préjudice que le demandeur Plamondon prétend avoir subi.  </w:t>
      </w:r>
    </w:p>
    <w:p w14:paraId="423D96B2" w14:textId="77777777" w:rsidR="00346585" w:rsidRPr="006A525F" w:rsidRDefault="00BD178A" w:rsidP="00346585">
      <w:pPr>
        <w:pStyle w:val="Citationenretrait"/>
      </w:pPr>
      <w:r w:rsidRPr="006A525F">
        <w:t>[307]</w:t>
      </w:r>
      <w:r w:rsidRPr="006A525F">
        <w:tab/>
        <w:t xml:space="preserve">Dans sa théorie de cause, le demandeur Plamondon accorde un poids considérable aux ordonnances </w:t>
      </w:r>
      <w:r w:rsidRPr="006A525F">
        <w:rPr>
          <w:i/>
        </w:rPr>
        <w:t>nolle prosequi</w:t>
      </w:r>
      <w:r w:rsidRPr="006A525F">
        <w:t xml:space="preserve"> visant les accusations de meurtre prémédité d’Armand Sanschagrin et de Denis Ouellet ainsi qu’à l’acquittement prononcé sur l’accusation de meurtre prémédité de Claude Simard. À son avis, ces ordonnances d’arrêt des procédures </w:t>
      </w:r>
      <w:r w:rsidRPr="006A525F">
        <w:rPr>
          <w:i/>
        </w:rPr>
        <w:t>nolle prosequi</w:t>
      </w:r>
      <w:r w:rsidRPr="006A525F">
        <w:t xml:space="preserve"> et cet acquittement démontrent que « n’eût été » la rétention des déclarations, il aurait été acquitté des trois chefs d’accusation de meurtre prémédité.</w:t>
      </w:r>
    </w:p>
    <w:p w14:paraId="4FCAF73D" w14:textId="77777777" w:rsidR="00346585" w:rsidRPr="006A525F" w:rsidRDefault="00BD178A" w:rsidP="00346585">
      <w:pPr>
        <w:pStyle w:val="Citationenretrait"/>
      </w:pPr>
      <w:r w:rsidRPr="006A525F">
        <w:t>[308]</w:t>
      </w:r>
      <w:r w:rsidRPr="006A525F">
        <w:tab/>
        <w:t xml:space="preserve">Il fonde sa position sur les exemples donnés par le juge Moldaver pour expliquer comment le lien de causalité peut être établi [au paragraphe [96] de l’arrêt </w:t>
      </w:r>
      <w:r w:rsidRPr="006A525F">
        <w:rPr>
          <w:i/>
        </w:rPr>
        <w:t>Henry</w:t>
      </w:r>
      <w:r w:rsidRPr="006A525F">
        <w:t>, le juge Moldaver fait état du défaut injustifié de communiquer des renseignements qui mène, au procès, à une déclaration de culpabilité qui est ultérieurement annulée en appel pour être finalement remplacée par un verdict d’acquittement — inscrit directement en appel ou à l’issue d’un nouveau procès].</w:t>
      </w:r>
    </w:p>
    <w:p w14:paraId="387BD16D" w14:textId="77777777" w:rsidR="00346585" w:rsidRPr="006A525F" w:rsidRDefault="00BD178A" w:rsidP="00346585">
      <w:pPr>
        <w:pStyle w:val="Citationenretrait"/>
      </w:pPr>
      <w:r w:rsidRPr="006A525F">
        <w:t>[309]</w:t>
      </w:r>
      <w:r w:rsidRPr="006A525F">
        <w:tab/>
        <w:t xml:space="preserve">De l’avis du Tribunal, des nuances s’imposent. </w:t>
      </w:r>
    </w:p>
    <w:p w14:paraId="011E1C84" w14:textId="77777777" w:rsidR="00346585" w:rsidRPr="006A525F" w:rsidRDefault="00BD178A" w:rsidP="00346585">
      <w:pPr>
        <w:pStyle w:val="Citationenretrait"/>
      </w:pPr>
      <w:r w:rsidRPr="006A525F">
        <w:t>[310]</w:t>
      </w:r>
      <w:r w:rsidRPr="006A525F">
        <w:tab/>
        <w:t>Pour déterminer si les renseignements non divulgués lors d’un premier procès constituent le « facteur déterminant » expliquant le verdict d’acquittement prononcé au second procès, une révision complète de la preuve peut parfois s’imposer.</w:t>
      </w:r>
    </w:p>
    <w:p w14:paraId="7B38A63A" w14:textId="77777777" w:rsidR="00346585" w:rsidRPr="006A525F" w:rsidRDefault="00BD178A" w:rsidP="00346585">
      <w:pPr>
        <w:pStyle w:val="Citationenretrait"/>
      </w:pPr>
      <w:r w:rsidRPr="006A525F">
        <w:t>[311]</w:t>
      </w:r>
      <w:r w:rsidRPr="006A525F">
        <w:tab/>
        <w:t xml:space="preserve">Par exemple, si un verdict de culpabilité prononcé au terme d’un premier procès est annulé par la Cour d’appel parce que des renseignements importants n’ont pas été divulgués à la défense et qu’un verdict d’acquittement est prononcé </w:t>
      </w:r>
      <w:r w:rsidRPr="006A525F">
        <w:lastRenderedPageBreak/>
        <w:t xml:space="preserve">par un jury à l’occasion d’un nouveau procès, ce verdict d’acquittement ne saurait constituer, à lui seul, le « facteur déterminant » établissant que les renseignements non divulgués expliquent le verdict de culpabilité prononcé au premier procès et le dommage qui en a découlé. </w:t>
      </w:r>
    </w:p>
    <w:p w14:paraId="474DFAB4" w14:textId="77777777" w:rsidR="00346585" w:rsidRPr="006A525F" w:rsidRDefault="00BD178A" w:rsidP="00346585">
      <w:pPr>
        <w:pStyle w:val="Citationenretrait"/>
      </w:pPr>
      <w:r w:rsidRPr="006A525F">
        <w:t>[312]</w:t>
      </w:r>
      <w:r w:rsidRPr="006A525F">
        <w:tab/>
        <w:t>La raison en est fort simple. Le jury ne motive ni n’explique ses verdicts.</w:t>
      </w:r>
    </w:p>
    <w:p w14:paraId="1597A588" w14:textId="77777777" w:rsidR="00346585" w:rsidRPr="006A525F" w:rsidRDefault="00BD178A" w:rsidP="00346585">
      <w:pPr>
        <w:pStyle w:val="Citationenretrait"/>
      </w:pPr>
      <w:r w:rsidRPr="006A525F">
        <w:t>[313]</w:t>
      </w:r>
      <w:r w:rsidRPr="006A525F">
        <w:tab/>
        <w:t xml:space="preserve">En un tel cas, une revue de la preuve pourrait s’imposer pour déterminer si la rétention des renseignements explique le premier verdict de culpabilité en tant que facteur déterminant. </w:t>
      </w:r>
    </w:p>
    <w:p w14:paraId="75B61996" w14:textId="3F144025" w:rsidR="00346585" w:rsidRPr="006A525F" w:rsidRDefault="00BD178A" w:rsidP="00346585">
      <w:pPr>
        <w:pStyle w:val="Citationenretrait"/>
      </w:pPr>
      <w:r w:rsidRPr="006A525F">
        <w:t>[314]</w:t>
      </w:r>
      <w:r w:rsidRPr="006A525F">
        <w:tab/>
        <w:t xml:space="preserve">C’est d’ailleurs l’approche qui fut retenue par la Cour suprême de la Colombie-Britannique dans l’affaire </w:t>
      </w:r>
      <w:r w:rsidRPr="006A525F">
        <w:rPr>
          <w:i/>
        </w:rPr>
        <w:t>Henry</w:t>
      </w:r>
      <w:r w:rsidRPr="006A525F">
        <w:t>. Cette approche a été approuvée en appel par la Cour d’appel de la Colombie-Britannique.</w:t>
      </w:r>
    </w:p>
    <w:p w14:paraId="298210E1" w14:textId="6EC4DBFE" w:rsidR="00346585" w:rsidRPr="006A525F" w:rsidRDefault="00BD178A" w:rsidP="00346585">
      <w:pPr>
        <w:pStyle w:val="Citationenretrait"/>
      </w:pPr>
      <w:r w:rsidRPr="006A525F">
        <w:t>[315]</w:t>
      </w:r>
      <w:r w:rsidRPr="006A525F">
        <w:tab/>
        <w:t>Cela paraît encore plus vrai dans le cas qui nous occupe.</w:t>
      </w:r>
    </w:p>
    <w:p w14:paraId="1110B625" w14:textId="7DCE4F4B" w:rsidR="00346585" w:rsidRPr="006A525F" w:rsidRDefault="00BD178A" w:rsidP="00346585">
      <w:pPr>
        <w:pStyle w:val="Citationenretrait"/>
      </w:pPr>
      <w:r w:rsidRPr="006A525F">
        <w:t>[316]</w:t>
      </w:r>
      <w:r w:rsidRPr="006A525F">
        <w:tab/>
        <w:t xml:space="preserve">À la lumière de la preuve, il n’est certainement pas possible de conclure que la rétention de renseignements dont se plaint le demandeur Plamondon explique les </w:t>
      </w:r>
      <w:r w:rsidRPr="006A525F">
        <w:rPr>
          <w:i/>
        </w:rPr>
        <w:t>nolle prosequi</w:t>
      </w:r>
      <w:r w:rsidRPr="006A525F">
        <w:t xml:space="preserve"> en lien avec les accusations de meurtre de Sanschagrin et Ouellet et l’acquittement qui a été prononcé à l’égard de l’accusation de meurtre de Claude Simard. Il suffira de rappeler que les </w:t>
      </w:r>
      <w:r w:rsidRPr="006A525F">
        <w:rPr>
          <w:i/>
        </w:rPr>
        <w:t xml:space="preserve">nolle prosequi </w:t>
      </w:r>
      <w:r w:rsidRPr="006A525F">
        <w:t>et l’acquittement n’ont pas été déposés ou prononcés, selon le cas, au terme d’un nouveau procès.</w:t>
      </w:r>
    </w:p>
    <w:p w14:paraId="71B37287" w14:textId="77777777" w:rsidR="00D6420E" w:rsidRPr="006A525F" w:rsidRDefault="00BD178A" w:rsidP="005D51E0">
      <w:pPr>
        <w:pStyle w:val="Citationenretrait"/>
      </w:pPr>
      <w:r w:rsidRPr="006A525F">
        <w:t>[317]</w:t>
      </w:r>
      <w:r w:rsidRPr="006A525F">
        <w:tab/>
        <w:t>Au contraire, la preuve non contredite démontre plutôt qu’un nouveau procès criminel n’a jamais été tenu parce que la poursuite n’était plus en mesure de présenter une preuve en raison des délais écoulés, sans compter que le demandeur avait déjà purgé une partie de sa peine.</w:t>
      </w:r>
    </w:p>
    <w:p w14:paraId="0C3DA061" w14:textId="200CEB7C" w:rsidR="00D6420E" w:rsidRPr="006A525F" w:rsidRDefault="00BD178A" w:rsidP="005D51E0">
      <w:pPr>
        <w:pStyle w:val="Citationenretrait"/>
      </w:pPr>
      <w:r w:rsidRPr="006A525F">
        <w:t>[318]</w:t>
      </w:r>
      <w:r w:rsidRPr="006A525F">
        <w:tab/>
        <w:t>Dans ce contexte, il est loin d’être acquis que la rétention de renseignements dont se plaint le demandeur Plamondon puisse expliquer pourquoi la PGQ a pris la décision de ne pas entreprendre un nouveau procès. Cela ne suffit pas à établir le l</w:t>
      </w:r>
      <w:r w:rsidR="005D51E0" w:rsidRPr="006A525F">
        <w:t>ien de causalité fondé sur le « facteur déterminant </w:t>
      </w:r>
      <w:r w:rsidRPr="006A525F">
        <w:t>».</w:t>
      </w:r>
    </w:p>
    <w:p w14:paraId="333E5C1E" w14:textId="02EDB0F9" w:rsidR="00D6420E" w:rsidRPr="006A525F" w:rsidRDefault="00BD178A" w:rsidP="005D51E0">
      <w:pPr>
        <w:pStyle w:val="Citationenretrait"/>
      </w:pPr>
      <w:r w:rsidRPr="006A525F">
        <w:t>[319]</w:t>
      </w:r>
      <w:r w:rsidRPr="006A525F">
        <w:tab/>
        <w:t xml:space="preserve">Tout cela pour dire que la PGQ est justifiée de minimiser, voire même de nier que la rétention de renseignements alléguée par le demandeur Plamondon constitue le </w:t>
      </w:r>
      <w:r w:rsidR="00DE6EFE" w:rsidRPr="006A525F">
        <w:t>« </w:t>
      </w:r>
      <w:r w:rsidRPr="006A525F">
        <w:t xml:space="preserve">facteur </w:t>
      </w:r>
      <w:r w:rsidR="00DE6EFE" w:rsidRPr="006A525F">
        <w:t>déterminant </w:t>
      </w:r>
      <w:r w:rsidRPr="006A525F">
        <w:t xml:space="preserve">» expliquant le verdict d’acquittement et les ordonnances </w:t>
      </w:r>
      <w:r w:rsidRPr="006A525F">
        <w:rPr>
          <w:i/>
        </w:rPr>
        <w:t>nolle prosequi</w:t>
      </w:r>
      <w:r w:rsidRPr="006A525F">
        <w:t>.</w:t>
      </w:r>
    </w:p>
    <w:p w14:paraId="62A53A96" w14:textId="77777777" w:rsidR="009A0698" w:rsidRPr="006A525F" w:rsidRDefault="00BD178A" w:rsidP="005D51E0">
      <w:pPr>
        <w:pStyle w:val="Citationenretrait"/>
      </w:pPr>
      <w:r w:rsidRPr="006A525F">
        <w:t>[320]</w:t>
      </w:r>
      <w:r w:rsidRPr="006A525F">
        <w:tab/>
        <w:t xml:space="preserve">Cela étant, même en considérant les déclarations de Jean-Noël Daley et de Pierre Gaudreault des 19 et 20 août 1985, celles de Pierrette Hardy et de François Gaudreault ou enfin la transcription de l’entrevue de Jean-Pierre Boudreault, le Tribunal n’aurait pu conclure que ces déclarations, considérées globalement ou individuellement, auraient entraînées selon la prépondérance des </w:t>
      </w:r>
      <w:r w:rsidRPr="006A525F">
        <w:lastRenderedPageBreak/>
        <w:t>probabilités des verdicts d’acquittement pour les meurtres de Simard, Sanschagrin et Ouellet.</w:t>
      </w:r>
    </w:p>
    <w:p w14:paraId="22D7B517" w14:textId="77777777" w:rsidR="009A0698" w:rsidRPr="006A525F" w:rsidRDefault="00BD178A" w:rsidP="009A0698">
      <w:pPr>
        <w:pStyle w:val="Citationenretrait"/>
      </w:pPr>
      <w:r w:rsidRPr="006A525F">
        <w:t>[321]</w:t>
      </w:r>
      <w:r w:rsidRPr="006A525F">
        <w:tab/>
        <w:t>Ces déclarations n’auraient pas été suffisantes pour remettre en question la valeur probante des témoignages des délateurs André « Boule » Desbiens et Michael Blass.</w:t>
      </w:r>
    </w:p>
    <w:p w14:paraId="484AE93B" w14:textId="77777777" w:rsidR="009A0698" w:rsidRPr="006A525F" w:rsidRDefault="00BD178A" w:rsidP="009A0698">
      <w:pPr>
        <w:pStyle w:val="Citationenretrait"/>
      </w:pPr>
      <w:r w:rsidRPr="006A525F">
        <w:t>[322]</w:t>
      </w:r>
      <w:r w:rsidRPr="006A525F">
        <w:tab/>
        <w:t>Certes, les délateurs Desbiens et Blass étaient des témoins tarés. Toutefois, les renseignements qu’ils ont fournis étaient corroborés et confirmés à plusieurs niveaux.</w:t>
      </w:r>
    </w:p>
    <w:p w14:paraId="7A60AB2F" w14:textId="6B132C52" w:rsidR="00D6420E" w:rsidRPr="006A525F" w:rsidRDefault="00BD178A" w:rsidP="009A0698">
      <w:pPr>
        <w:pStyle w:val="Citationenretrait"/>
      </w:pPr>
      <w:r w:rsidRPr="006A525F">
        <w:t>[323]</w:t>
      </w:r>
      <w:r w:rsidRPr="006A525F">
        <w:tab/>
        <w:t>D’ailleurs, et cela mérite d’être souligné, le Ministre n’a pas retenu la rétractation d’André « Boule » Desbiens pour justifier le Renvoi de l’affaire devant la Cour d’appel.</w:t>
      </w:r>
      <w:r>
        <w:rPr>
          <w:rStyle w:val="Appelnotedebasdep"/>
        </w:rPr>
        <w:footnoteReference w:id="65"/>
      </w:r>
    </w:p>
    <w:p w14:paraId="3CB373D9" w14:textId="2B1C2215" w:rsidR="00346585" w:rsidRPr="006A525F" w:rsidRDefault="00BD178A" w:rsidP="00E8383C">
      <w:pPr>
        <w:pStyle w:val="Citationenretrait"/>
        <w:jc w:val="right"/>
      </w:pPr>
      <w:r w:rsidRPr="006A525F">
        <w:t>[Renvois omis]</w:t>
      </w:r>
    </w:p>
    <w:p w14:paraId="40A48110" w14:textId="56615CC0" w:rsidR="00673A7F" w:rsidRPr="006A525F" w:rsidRDefault="00BD178A" w:rsidP="00A06898">
      <w:pPr>
        <w:pStyle w:val="Paragraphe"/>
        <w:spacing w:line="280" w:lineRule="exact"/>
      </w:pPr>
      <w:r w:rsidRPr="006A525F">
        <w:t>L’appréciation</w:t>
      </w:r>
      <w:r w:rsidR="00AA6EE3" w:rsidRPr="006A525F">
        <w:t xml:space="preserve"> de l’impact de ces déclarations soulève essentiellement la question du lien de cau</w:t>
      </w:r>
      <w:r w:rsidRPr="006A525F">
        <w:t xml:space="preserve">salité entre la faute alléguée, soit </w:t>
      </w:r>
      <w:r w:rsidR="00AA6EE3" w:rsidRPr="006A525F">
        <w:t xml:space="preserve">le défaut de transmettre les </w:t>
      </w:r>
      <w:r w:rsidRPr="006A525F">
        <w:t>renseignements, et le préjudice</w:t>
      </w:r>
      <w:r w:rsidR="00FD1CE1" w:rsidRPr="006A525F">
        <w:t>, lequel</w:t>
      </w:r>
      <w:r w:rsidRPr="006A525F">
        <w:t xml:space="preserve"> s’est matérialisé en l’espèce par l’emprisonnement de</w:t>
      </w:r>
      <w:r w:rsidR="00DE151C" w:rsidRPr="006A525F">
        <w:t xml:space="preserve"> l’appelant</w:t>
      </w:r>
      <w:r w:rsidR="00AA6EE3" w:rsidRPr="006A525F">
        <w:t>. En d’autres mots, il s’agit de trancher si la faute a été le « facteur déterminant » ayant mené au préjudice</w:t>
      </w:r>
      <w:r>
        <w:rPr>
          <w:rFonts w:cs="Arial"/>
          <w:vertAlign w:val="superscript"/>
        </w:rPr>
        <w:footnoteReference w:id="66"/>
      </w:r>
      <w:r w:rsidR="00AA6EE3" w:rsidRPr="006A525F">
        <w:t>.</w:t>
      </w:r>
    </w:p>
    <w:p w14:paraId="01F8152A" w14:textId="77777777" w:rsidR="00673A7F" w:rsidRPr="006A525F" w:rsidRDefault="00BD178A" w:rsidP="00A06898">
      <w:pPr>
        <w:pStyle w:val="Paragraphe"/>
        <w:spacing w:line="280" w:lineRule="exact"/>
      </w:pPr>
      <w:r w:rsidRPr="006A525F">
        <w:t xml:space="preserve">Étant une question hautement factuelle, l’appréciation </w:t>
      </w:r>
      <w:r w:rsidR="00AA6EE3" w:rsidRPr="006A525F">
        <w:t xml:space="preserve">du lien de causalité </w:t>
      </w:r>
      <w:r w:rsidRPr="006A525F">
        <w:t xml:space="preserve">par le juge de première instance </w:t>
      </w:r>
      <w:r w:rsidR="00AA6EE3" w:rsidRPr="006A525F">
        <w:t>comman</w:t>
      </w:r>
      <w:r w:rsidRPr="006A525F">
        <w:t xml:space="preserve">de la plus haute déférence. La </w:t>
      </w:r>
      <w:r w:rsidR="00AA6EE3" w:rsidRPr="006A525F">
        <w:t xml:space="preserve">Cour ne peut donc intervenir </w:t>
      </w:r>
      <w:r w:rsidRPr="006A525F">
        <w:t xml:space="preserve">à cet égard </w:t>
      </w:r>
      <w:r w:rsidR="00AA6EE3" w:rsidRPr="006A525F">
        <w:t>qu’en présence d’une erreur manifeste et déterminante, laquelle doit être clairement identifiée par l’appelant. Il ne s’agit donc pas ici de refaire le procès ou d’apprécier la preuve de façon panoramique.</w:t>
      </w:r>
    </w:p>
    <w:p w14:paraId="25509146" w14:textId="2593A879" w:rsidR="00673A7F" w:rsidRPr="006A525F" w:rsidRDefault="00BD178A" w:rsidP="00A06898">
      <w:pPr>
        <w:pStyle w:val="Paragraphe"/>
        <w:spacing w:line="280" w:lineRule="exact"/>
      </w:pPr>
      <w:r w:rsidRPr="006A525F">
        <w:t xml:space="preserve">De plus, en vertu du test de </w:t>
      </w:r>
      <w:r w:rsidRPr="006A525F">
        <w:rPr>
          <w:i/>
        </w:rPr>
        <w:t>Henry</w:t>
      </w:r>
      <w:r w:rsidRPr="006A525F">
        <w:t xml:space="preserve">, c’est l’appelant qui avait le fardeau de démontrer selon la balance des probabilités que </w:t>
      </w:r>
      <w:r w:rsidR="002E7BEF" w:rsidRPr="006A525F">
        <w:t xml:space="preserve">toutes </w:t>
      </w:r>
      <w:r w:rsidRPr="006A525F">
        <w:t xml:space="preserve">les déclarations </w:t>
      </w:r>
      <w:r w:rsidR="002E7BEF" w:rsidRPr="006A525F">
        <w:t xml:space="preserve">et le rapport d’entrevue qui ne lui ont pas été divulgués </w:t>
      </w:r>
      <w:r w:rsidRPr="006A525F">
        <w:t>aura</w:t>
      </w:r>
      <w:r w:rsidR="001B62A6" w:rsidRPr="006A525F">
        <w:t>ient pu conduire à</w:t>
      </w:r>
      <w:r w:rsidRPr="006A525F">
        <w:t xml:space="preserve"> un verdict de </w:t>
      </w:r>
      <w:r w:rsidR="00E8383C" w:rsidRPr="006A525F">
        <w:br/>
      </w:r>
      <w:r w:rsidRPr="006A525F">
        <w:t xml:space="preserve">non-culpabilité pour les trois chefs </w:t>
      </w:r>
      <w:r w:rsidR="00822976" w:rsidRPr="006A525F">
        <w:t>d’</w:t>
      </w:r>
      <w:r w:rsidRPr="006A525F">
        <w:t>accusation de meurtre</w:t>
      </w:r>
      <w:r>
        <w:rPr>
          <w:rStyle w:val="Appelnotedebasdep"/>
        </w:rPr>
        <w:footnoteReference w:id="67"/>
      </w:r>
      <w:r w:rsidRPr="006A525F">
        <w:t>.</w:t>
      </w:r>
    </w:p>
    <w:p w14:paraId="1EE1F9EF" w14:textId="61E9699C" w:rsidR="00AA6EE3" w:rsidRPr="006A525F" w:rsidRDefault="00BD178A" w:rsidP="00A06898">
      <w:pPr>
        <w:pStyle w:val="Paragraphe"/>
        <w:spacing w:line="280" w:lineRule="exact"/>
      </w:pPr>
      <w:r w:rsidRPr="006A525F">
        <w:t>Or, ce dernier, dans un paragraphe laconique de six lignes</w:t>
      </w:r>
      <w:r w:rsidR="00AF5968" w:rsidRPr="006A525F">
        <w:t xml:space="preserve"> dans</w:t>
      </w:r>
      <w:r w:rsidR="001B62A6" w:rsidRPr="006A525F">
        <w:t xml:space="preserve"> son mémoire en appel</w:t>
      </w:r>
      <w:r w:rsidRPr="006A525F">
        <w:t>, se contente d’alléguer de façon vague et très générale que le juge a commis une erreur manifeste et déterminante</w:t>
      </w:r>
      <w:r w:rsidR="00FD1CE1" w:rsidRPr="006A525F">
        <w:t xml:space="preserve"> à ce sujet</w:t>
      </w:r>
      <w:r w:rsidRPr="006A525F">
        <w:t xml:space="preserve">. </w:t>
      </w:r>
      <w:r w:rsidR="00AF5968" w:rsidRPr="006A525F">
        <w:t xml:space="preserve">N’étant pas plus </w:t>
      </w:r>
      <w:r w:rsidR="00DE6EFE" w:rsidRPr="006A525F">
        <w:t xml:space="preserve">convaincant </w:t>
      </w:r>
      <w:r w:rsidR="00AF5968" w:rsidRPr="006A525F">
        <w:t>lors de l’audience,</w:t>
      </w:r>
      <w:r w:rsidR="00FD1CE1" w:rsidRPr="006A525F">
        <w:t xml:space="preserve"> il </w:t>
      </w:r>
      <w:r w:rsidRPr="006A525F">
        <w:t>ne</w:t>
      </w:r>
      <w:r w:rsidR="009439BE" w:rsidRPr="006A525F">
        <w:t xml:space="preserve"> </w:t>
      </w:r>
      <w:r w:rsidR="00DE6EFE" w:rsidRPr="006A525F">
        <w:t>se décharge</w:t>
      </w:r>
      <w:r w:rsidRPr="006A525F">
        <w:t xml:space="preserve"> pas </w:t>
      </w:r>
      <w:r w:rsidR="00DE6EFE" w:rsidRPr="006A525F">
        <w:t xml:space="preserve">de </w:t>
      </w:r>
      <w:r w:rsidRPr="006A525F">
        <w:t>son fardeau et ce moyen doit être rejeté.</w:t>
      </w:r>
    </w:p>
    <w:p w14:paraId="5E3E0596" w14:textId="77777777" w:rsidR="001B62A6" w:rsidRPr="006A525F" w:rsidRDefault="00BD178A" w:rsidP="00A06898">
      <w:pPr>
        <w:pStyle w:val="Paragraphe"/>
        <w:numPr>
          <w:ilvl w:val="0"/>
          <w:numId w:val="0"/>
        </w:numPr>
        <w:spacing w:line="280" w:lineRule="exact"/>
        <w:jc w:val="center"/>
      </w:pPr>
      <w:r w:rsidRPr="006A525F">
        <w:t>**</w:t>
      </w:r>
      <w:r w:rsidR="002A2B1A" w:rsidRPr="006A525F">
        <w:t>*</w:t>
      </w:r>
    </w:p>
    <w:p w14:paraId="4B81A35B" w14:textId="779613DE" w:rsidR="004575CC" w:rsidRPr="000D5DEC" w:rsidRDefault="00BD178A" w:rsidP="00A06898">
      <w:pPr>
        <w:pStyle w:val="Paragraphe"/>
        <w:spacing w:line="280" w:lineRule="exact"/>
      </w:pPr>
      <w:r w:rsidRPr="006A525F">
        <w:lastRenderedPageBreak/>
        <w:t xml:space="preserve">En définitive, </w:t>
      </w:r>
      <w:r w:rsidR="001C263B" w:rsidRPr="006A525F">
        <w:t xml:space="preserve">le juge de première instance a conclu que 1° les déclarations de </w:t>
      </w:r>
      <w:r w:rsidR="00482296" w:rsidRPr="006A525F">
        <w:br/>
      </w:r>
      <w:r w:rsidR="001C263B" w:rsidRPr="006A525F">
        <w:t>MM. René Lemelin et Paul Godbout avaient bel et bien été divulguées à l’appelant en 1986, 2° les déclarations de Jean-Noël Daley et de Pierre Gaudreault, qui n’ont pas été divulguée</w:t>
      </w:r>
      <w:r w:rsidR="00FF19DA" w:rsidRPr="006A525F">
        <w:t xml:space="preserve">s alors qu’elles </w:t>
      </w:r>
      <w:r w:rsidR="001C263B" w:rsidRPr="006A525F">
        <w:t>auraient dû l’être, n</w:t>
      </w:r>
      <w:r w:rsidR="00FF19DA" w:rsidRPr="006A525F">
        <w:t xml:space="preserve">’ont pas été retenues </w:t>
      </w:r>
      <w:r w:rsidR="001C263B" w:rsidRPr="006A525F">
        <w:t>de manière intentionnelle, délibérée, mais par inadvertance</w:t>
      </w:r>
      <w:r w:rsidR="00FF19DA" w:rsidRPr="006A525F">
        <w:t>,</w:t>
      </w:r>
      <w:r w:rsidR="001C263B" w:rsidRPr="006A525F">
        <w:t xml:space="preserve"> et 3° un poursuivant raisonnable</w:t>
      </w:r>
      <w:r w:rsidR="001C263B" w:rsidRPr="000D5DEC">
        <w:t>, en 1986, considérant l’état du droit en la matière à l’époque, n’aurait pas divulgué les déclarations de Pierrette Hardy et François Gaudreault ainsi que les notes de l’entrevue de Jean-</w:t>
      </w:r>
      <w:r w:rsidR="003E54D7" w:rsidRPr="000D5DEC">
        <w:t>Pierre</w:t>
      </w:r>
      <w:r w:rsidR="001C263B" w:rsidRPr="000D5DEC">
        <w:t xml:space="preserve"> Boudreault. Le juge a également conclu qu’aucune de ces déclarations, individuellement ou en conjonction avec les autres, n’aurait été de nature à influer sur les verdicts prononcés en 198</w:t>
      </w:r>
      <w:r w:rsidR="00FF19DA">
        <w:t>6. L’appelant ne démontre pas ce</w:t>
      </w:r>
      <w:r w:rsidR="001C263B" w:rsidRPr="000D5DEC">
        <w:t xml:space="preserve"> en quoi, à l’égard de l’une ou de l’autre de ces déterminations, le juge aurait commis une erreur </w:t>
      </w:r>
      <w:r w:rsidR="006D0CC8" w:rsidRPr="000D5DEC">
        <w:t xml:space="preserve">révisable </w:t>
      </w:r>
      <w:r w:rsidR="001C263B" w:rsidRPr="000D5DEC">
        <w:t xml:space="preserve">dans son application des critères de l’arrêt </w:t>
      </w:r>
      <w:r w:rsidR="001C263B" w:rsidRPr="000D5DEC">
        <w:rPr>
          <w:i/>
        </w:rPr>
        <w:t>Henry</w:t>
      </w:r>
      <w:r w:rsidR="001C263B" w:rsidRPr="000D5DEC">
        <w:t xml:space="preserve"> et son appréciation de la preuve.</w:t>
      </w:r>
    </w:p>
    <w:p w14:paraId="5DE713C3" w14:textId="77777777" w:rsidR="00CD250C" w:rsidRPr="000D5DEC" w:rsidRDefault="00BD178A" w:rsidP="00A06898">
      <w:pPr>
        <w:pStyle w:val="Paragraphe"/>
        <w:numPr>
          <w:ilvl w:val="0"/>
          <w:numId w:val="0"/>
        </w:numPr>
        <w:spacing w:line="280" w:lineRule="exact"/>
        <w:rPr>
          <w:b/>
        </w:rPr>
      </w:pPr>
      <w:r w:rsidRPr="000D5DEC">
        <w:rPr>
          <w:b/>
        </w:rPr>
        <w:t>POUR CES MOTIFS, LA COUR :</w:t>
      </w:r>
    </w:p>
    <w:p w14:paraId="0494A40A" w14:textId="68FC4E42" w:rsidR="00515F70" w:rsidRPr="000D5DEC" w:rsidRDefault="00BD178A" w:rsidP="00A06898">
      <w:pPr>
        <w:pStyle w:val="Paragraphe"/>
        <w:spacing w:line="280" w:lineRule="exact"/>
      </w:pPr>
      <w:r w:rsidRPr="000D5DEC">
        <w:rPr>
          <w:b/>
        </w:rPr>
        <w:t>R</w:t>
      </w:r>
      <w:r w:rsidR="00F45A08" w:rsidRPr="000D5DEC">
        <w:rPr>
          <w:b/>
        </w:rPr>
        <w:t>EJETTE</w:t>
      </w:r>
      <w:r w:rsidRPr="000D5DEC">
        <w:rPr>
          <w:b/>
        </w:rPr>
        <w:t xml:space="preserve"> </w:t>
      </w:r>
      <w:r w:rsidRPr="000D5DEC">
        <w:t>l’appel, avec les frais de justice.</w:t>
      </w:r>
    </w:p>
    <w:bookmarkEnd w:id="9"/>
    <w:bookmarkEnd w:id="21"/>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1997"/>
        <w:gridCol w:w="2685"/>
        <w:gridCol w:w="4680"/>
      </w:tblGrid>
      <w:tr w:rsidR="00500140" w14:paraId="467F2B1D" w14:textId="77777777" w:rsidTr="00EA7758">
        <w:trPr>
          <w:trHeight w:val="576"/>
        </w:trPr>
        <w:tc>
          <w:tcPr>
            <w:tcW w:w="9362" w:type="dxa"/>
            <w:gridSpan w:val="3"/>
            <w:tcBorders>
              <w:top w:val="nil"/>
              <w:bottom w:val="nil"/>
            </w:tcBorders>
          </w:tcPr>
          <w:p w14:paraId="74BB0A18" w14:textId="77777777" w:rsidR="00F928C0" w:rsidRPr="000D5DEC" w:rsidRDefault="00F928C0" w:rsidP="00EA7758">
            <w:pPr>
              <w:keepNext/>
            </w:pPr>
          </w:p>
        </w:tc>
      </w:tr>
      <w:tr w:rsidR="00500140" w14:paraId="5BAB5A96" w14:textId="77777777" w:rsidTr="00EA7758">
        <w:trPr>
          <w:trHeight w:val="283"/>
        </w:trPr>
        <w:tc>
          <w:tcPr>
            <w:tcW w:w="4682" w:type="dxa"/>
            <w:gridSpan w:val="2"/>
            <w:tcBorders>
              <w:top w:val="nil"/>
              <w:bottom w:val="nil"/>
            </w:tcBorders>
          </w:tcPr>
          <w:p w14:paraId="17A5C83C" w14:textId="77777777" w:rsidR="00F928C0" w:rsidRPr="000D5DEC" w:rsidRDefault="00F928C0" w:rsidP="00EA7758">
            <w:pPr>
              <w:keepNext/>
            </w:pPr>
          </w:p>
        </w:tc>
        <w:tc>
          <w:tcPr>
            <w:tcW w:w="4680" w:type="dxa"/>
            <w:tcBorders>
              <w:top w:val="nil"/>
              <w:bottom w:val="single" w:sz="8" w:space="0" w:color="auto"/>
            </w:tcBorders>
          </w:tcPr>
          <w:p w14:paraId="4DFF7153" w14:textId="77777777" w:rsidR="00F928C0" w:rsidRPr="000D5DEC" w:rsidRDefault="00F928C0" w:rsidP="00EA7758">
            <w:pPr>
              <w:keepNext/>
            </w:pPr>
          </w:p>
        </w:tc>
      </w:tr>
      <w:tr w:rsidR="00500140" w14:paraId="3625684B" w14:textId="77777777" w:rsidTr="00EA7758">
        <w:trPr>
          <w:trHeight w:val="283"/>
        </w:trPr>
        <w:tc>
          <w:tcPr>
            <w:tcW w:w="4682" w:type="dxa"/>
            <w:gridSpan w:val="2"/>
            <w:tcBorders>
              <w:top w:val="nil"/>
            </w:tcBorders>
          </w:tcPr>
          <w:p w14:paraId="57BF19BD" w14:textId="77777777" w:rsidR="00F928C0" w:rsidRPr="000D5DEC" w:rsidRDefault="00F928C0" w:rsidP="00EA7758">
            <w:pPr>
              <w:keepNext/>
            </w:pPr>
          </w:p>
        </w:tc>
        <w:tc>
          <w:tcPr>
            <w:tcW w:w="4680" w:type="dxa"/>
            <w:tcBorders>
              <w:top w:val="single" w:sz="8" w:space="0" w:color="auto"/>
            </w:tcBorders>
          </w:tcPr>
          <w:p w14:paraId="594B3B0E" w14:textId="6B252459" w:rsidR="00F928C0" w:rsidRPr="000D5DEC" w:rsidRDefault="00D80867" w:rsidP="00EA7758">
            <w:r>
              <w:t>MARIE-FRANCE BICH, J.C.A.</w:t>
            </w:r>
          </w:p>
        </w:tc>
      </w:tr>
      <w:tr w:rsidR="00500140" w14:paraId="0416EE78" w14:textId="77777777" w:rsidTr="00EA7758">
        <w:trPr>
          <w:trHeight w:val="283"/>
        </w:trPr>
        <w:tc>
          <w:tcPr>
            <w:tcW w:w="4682" w:type="dxa"/>
            <w:gridSpan w:val="2"/>
            <w:tcBorders>
              <w:top w:val="nil"/>
            </w:tcBorders>
          </w:tcPr>
          <w:p w14:paraId="541EE7C7" w14:textId="77777777" w:rsidR="00F928C0" w:rsidRPr="000D5DEC" w:rsidRDefault="00F928C0" w:rsidP="00EA7758">
            <w:pPr>
              <w:keepNext/>
            </w:pPr>
            <w:bookmarkStart w:id="22" w:name="Signature2"/>
          </w:p>
        </w:tc>
        <w:tc>
          <w:tcPr>
            <w:tcW w:w="4680" w:type="dxa"/>
            <w:tcBorders>
              <w:top w:val="nil"/>
            </w:tcBorders>
          </w:tcPr>
          <w:p w14:paraId="40AE91AA" w14:textId="77777777" w:rsidR="00F928C0" w:rsidRPr="000D5DEC" w:rsidRDefault="00F928C0" w:rsidP="00EA7758">
            <w:pPr>
              <w:keepNext/>
            </w:pPr>
          </w:p>
        </w:tc>
      </w:tr>
      <w:tr w:rsidR="00500140" w14:paraId="6F0EF597" w14:textId="77777777" w:rsidTr="00EA7758">
        <w:trPr>
          <w:trHeight w:val="283"/>
        </w:trPr>
        <w:tc>
          <w:tcPr>
            <w:tcW w:w="4682" w:type="dxa"/>
            <w:gridSpan w:val="2"/>
            <w:tcBorders>
              <w:top w:val="nil"/>
              <w:bottom w:val="nil"/>
            </w:tcBorders>
          </w:tcPr>
          <w:p w14:paraId="7EC71E8C" w14:textId="77777777" w:rsidR="00F928C0" w:rsidRPr="000D5DEC" w:rsidRDefault="00F928C0" w:rsidP="00EA7758">
            <w:pPr>
              <w:keepNext/>
            </w:pPr>
          </w:p>
        </w:tc>
        <w:tc>
          <w:tcPr>
            <w:tcW w:w="4680" w:type="dxa"/>
            <w:tcBorders>
              <w:top w:val="nil"/>
              <w:bottom w:val="single" w:sz="8" w:space="0" w:color="auto"/>
            </w:tcBorders>
          </w:tcPr>
          <w:p w14:paraId="37EBE077" w14:textId="77777777" w:rsidR="00F928C0" w:rsidRPr="000D5DEC" w:rsidRDefault="00F928C0" w:rsidP="00EA7758">
            <w:pPr>
              <w:keepNext/>
            </w:pPr>
          </w:p>
        </w:tc>
      </w:tr>
      <w:tr w:rsidR="00500140" w14:paraId="27BFD1C1" w14:textId="77777777" w:rsidTr="00EA7758">
        <w:trPr>
          <w:trHeight w:val="283"/>
        </w:trPr>
        <w:tc>
          <w:tcPr>
            <w:tcW w:w="4682" w:type="dxa"/>
            <w:gridSpan w:val="2"/>
            <w:tcBorders>
              <w:top w:val="nil"/>
            </w:tcBorders>
          </w:tcPr>
          <w:p w14:paraId="2BF0A32F" w14:textId="77777777" w:rsidR="00F928C0" w:rsidRPr="000D5DEC" w:rsidRDefault="00F928C0" w:rsidP="00EA7758">
            <w:pPr>
              <w:keepNext/>
            </w:pPr>
          </w:p>
        </w:tc>
        <w:tc>
          <w:tcPr>
            <w:tcW w:w="4680" w:type="dxa"/>
            <w:tcBorders>
              <w:top w:val="single" w:sz="8" w:space="0" w:color="auto"/>
            </w:tcBorders>
          </w:tcPr>
          <w:p w14:paraId="49B10955" w14:textId="0AF0593B" w:rsidR="00F928C0" w:rsidRPr="000D5DEC" w:rsidRDefault="00D80867" w:rsidP="00EA7758">
            <w:pPr>
              <w:keepNext/>
            </w:pPr>
            <w:r>
              <w:t>DOMINIQUE BÉLANGER, J.C.A.</w:t>
            </w:r>
          </w:p>
        </w:tc>
      </w:tr>
      <w:tr w:rsidR="00500140" w14:paraId="02969B3B" w14:textId="77777777" w:rsidTr="00EA7758">
        <w:trPr>
          <w:trHeight w:val="283"/>
        </w:trPr>
        <w:tc>
          <w:tcPr>
            <w:tcW w:w="4682" w:type="dxa"/>
            <w:gridSpan w:val="2"/>
            <w:tcBorders>
              <w:top w:val="nil"/>
            </w:tcBorders>
          </w:tcPr>
          <w:p w14:paraId="04DEA4B8" w14:textId="77777777" w:rsidR="00F928C0" w:rsidRPr="000D5DEC" w:rsidRDefault="00F928C0" w:rsidP="00EA7758">
            <w:pPr>
              <w:keepNext/>
            </w:pPr>
            <w:bookmarkStart w:id="23" w:name="Signature3"/>
            <w:bookmarkEnd w:id="22"/>
          </w:p>
        </w:tc>
        <w:tc>
          <w:tcPr>
            <w:tcW w:w="4680" w:type="dxa"/>
            <w:tcBorders>
              <w:top w:val="nil"/>
            </w:tcBorders>
          </w:tcPr>
          <w:p w14:paraId="6C61E4E2" w14:textId="77777777" w:rsidR="00F928C0" w:rsidRPr="000D5DEC" w:rsidRDefault="00F928C0" w:rsidP="00EA7758">
            <w:pPr>
              <w:keepNext/>
            </w:pPr>
          </w:p>
        </w:tc>
      </w:tr>
      <w:tr w:rsidR="00500140" w14:paraId="332BA991" w14:textId="77777777" w:rsidTr="00EA7758">
        <w:trPr>
          <w:trHeight w:val="283"/>
        </w:trPr>
        <w:tc>
          <w:tcPr>
            <w:tcW w:w="4682" w:type="dxa"/>
            <w:gridSpan w:val="2"/>
            <w:tcBorders>
              <w:top w:val="nil"/>
              <w:bottom w:val="nil"/>
            </w:tcBorders>
          </w:tcPr>
          <w:p w14:paraId="66CDD3EA" w14:textId="77777777" w:rsidR="00F928C0" w:rsidRPr="000D5DEC" w:rsidRDefault="00F928C0" w:rsidP="00EA7758">
            <w:pPr>
              <w:keepNext/>
            </w:pPr>
          </w:p>
        </w:tc>
        <w:tc>
          <w:tcPr>
            <w:tcW w:w="4680" w:type="dxa"/>
            <w:tcBorders>
              <w:top w:val="nil"/>
              <w:bottom w:val="single" w:sz="8" w:space="0" w:color="auto"/>
            </w:tcBorders>
          </w:tcPr>
          <w:p w14:paraId="01479BAB" w14:textId="77777777" w:rsidR="00F928C0" w:rsidRPr="000D5DEC" w:rsidRDefault="00F928C0" w:rsidP="00EA7758">
            <w:pPr>
              <w:keepNext/>
            </w:pPr>
          </w:p>
        </w:tc>
      </w:tr>
      <w:tr w:rsidR="00500140" w14:paraId="519C4F98" w14:textId="77777777" w:rsidTr="00EA7758">
        <w:trPr>
          <w:trHeight w:val="283"/>
        </w:trPr>
        <w:tc>
          <w:tcPr>
            <w:tcW w:w="4682" w:type="dxa"/>
            <w:gridSpan w:val="2"/>
            <w:tcBorders>
              <w:top w:val="nil"/>
            </w:tcBorders>
          </w:tcPr>
          <w:p w14:paraId="2D14ED3B" w14:textId="77777777" w:rsidR="00F928C0" w:rsidRPr="000D5DEC" w:rsidRDefault="00F928C0" w:rsidP="00EA7758">
            <w:pPr>
              <w:keepNext/>
            </w:pPr>
          </w:p>
        </w:tc>
        <w:tc>
          <w:tcPr>
            <w:tcW w:w="4680" w:type="dxa"/>
            <w:tcBorders>
              <w:top w:val="single" w:sz="8" w:space="0" w:color="auto"/>
            </w:tcBorders>
          </w:tcPr>
          <w:p w14:paraId="16DDAF57" w14:textId="419BD951" w:rsidR="00F928C0" w:rsidRPr="000D5DEC" w:rsidRDefault="00D80867" w:rsidP="00EA7758">
            <w:pPr>
              <w:keepNext/>
            </w:pPr>
            <w:r>
              <w:t>SOPHIE LAVALLÉE, J.C.A.</w:t>
            </w:r>
          </w:p>
        </w:tc>
      </w:tr>
      <w:bookmarkEnd w:id="23"/>
      <w:tr w:rsidR="00500140" w14:paraId="2C903E09" w14:textId="77777777" w:rsidTr="00EA7758">
        <w:tc>
          <w:tcPr>
            <w:tcW w:w="9362" w:type="dxa"/>
            <w:gridSpan w:val="3"/>
            <w:tcBorders>
              <w:bottom w:val="nil"/>
            </w:tcBorders>
          </w:tcPr>
          <w:p w14:paraId="74A65823" w14:textId="77777777" w:rsidR="00F928C0" w:rsidRPr="000D5DEC" w:rsidRDefault="00F928C0" w:rsidP="00EA7758"/>
        </w:tc>
      </w:tr>
      <w:tr w:rsidR="00500140" w14:paraId="3C1E29AF" w14:textId="77777777" w:rsidTr="00EA7758">
        <w:tc>
          <w:tcPr>
            <w:tcW w:w="9362" w:type="dxa"/>
            <w:gridSpan w:val="3"/>
            <w:tcBorders>
              <w:top w:val="nil"/>
            </w:tcBorders>
          </w:tcPr>
          <w:p w14:paraId="34A8BAE8" w14:textId="77777777" w:rsidR="00F928C0" w:rsidRPr="000D5DEC" w:rsidRDefault="00BD178A" w:rsidP="00EA7758">
            <w:pPr>
              <w:pStyle w:val="zSoquijdatNomProcureurDem"/>
            </w:pPr>
            <w:r w:rsidRPr="000D5DEC">
              <w:t>M</w:t>
            </w:r>
            <w:r w:rsidRPr="000D5DEC">
              <w:rPr>
                <w:vertAlign w:val="superscript"/>
              </w:rPr>
              <w:t>e</w:t>
            </w:r>
            <w:r w:rsidRPr="000D5DEC">
              <w:t xml:space="preserve"> Michel Pelletier</w:t>
            </w:r>
          </w:p>
          <w:p w14:paraId="3D757D3C" w14:textId="2957455F" w:rsidR="00F928C0" w:rsidRPr="000D5DEC" w:rsidRDefault="00BD178A" w:rsidP="00EA7758">
            <w:pPr>
              <w:pStyle w:val="zSoquijdatNomProcureurDem"/>
            </w:pPr>
            <w:r w:rsidRPr="000D5DEC">
              <w:t>M</w:t>
            </w:r>
            <w:r w:rsidRPr="000D5DEC">
              <w:rPr>
                <w:vertAlign w:val="superscript"/>
              </w:rPr>
              <w:t>e</w:t>
            </w:r>
            <w:r w:rsidRPr="000D5DEC">
              <w:t xml:space="preserve"> Morgane Laloum</w:t>
            </w:r>
          </w:p>
          <w:p w14:paraId="6E5E80A2" w14:textId="01247809" w:rsidR="009E7299" w:rsidRPr="000D5DEC" w:rsidRDefault="00BD178A" w:rsidP="00EA7758">
            <w:pPr>
              <w:pStyle w:val="zSoquijdatNomProcureurDem"/>
            </w:pPr>
            <w:r>
              <w:t>et</w:t>
            </w:r>
          </w:p>
          <w:p w14:paraId="5F523E03" w14:textId="77777777" w:rsidR="00F928C0" w:rsidRPr="000D5DEC" w:rsidRDefault="00BD178A" w:rsidP="00F928C0">
            <w:pPr>
              <w:pStyle w:val="zSoquijdatNomProcureurDem"/>
            </w:pPr>
            <w:r w:rsidRPr="000D5DEC">
              <w:t>M</w:t>
            </w:r>
            <w:r w:rsidRPr="000D5DEC">
              <w:rPr>
                <w:vertAlign w:val="superscript"/>
              </w:rPr>
              <w:t>e</w:t>
            </w:r>
            <w:r w:rsidRPr="000D5DEC">
              <w:t xml:space="preserve"> Daniel Rock</w:t>
            </w:r>
          </w:p>
          <w:p w14:paraId="7121E369" w14:textId="77777777" w:rsidR="00F928C0" w:rsidRPr="005B093B" w:rsidRDefault="00BD178A" w:rsidP="00EA7758">
            <w:pPr>
              <w:pStyle w:val="zSoquijdatNomProcureurDem"/>
            </w:pPr>
            <w:r w:rsidRPr="005B093B">
              <w:t>ADVOCATIS</w:t>
            </w:r>
          </w:p>
        </w:tc>
      </w:tr>
      <w:tr w:rsidR="00500140" w14:paraId="5064F699" w14:textId="77777777" w:rsidTr="00EA7758">
        <w:tc>
          <w:tcPr>
            <w:tcW w:w="9362" w:type="dxa"/>
            <w:gridSpan w:val="3"/>
          </w:tcPr>
          <w:p w14:paraId="6C31DFD6" w14:textId="77777777" w:rsidR="00F928C0" w:rsidRPr="000D5DEC" w:rsidRDefault="00BD178A" w:rsidP="00EA7758">
            <w:pPr>
              <w:pStyle w:val="zSoquijlblProcureurDem"/>
              <w:rPr>
                <w:lang w:val="en-CA"/>
              </w:rPr>
            </w:pPr>
            <w:r w:rsidRPr="000D5DEC">
              <w:t>Pour l’appelant</w:t>
            </w:r>
          </w:p>
        </w:tc>
      </w:tr>
      <w:tr w:rsidR="00500140" w14:paraId="7AD6E2E7" w14:textId="77777777" w:rsidTr="00EA7758">
        <w:tc>
          <w:tcPr>
            <w:tcW w:w="9362" w:type="dxa"/>
            <w:gridSpan w:val="3"/>
          </w:tcPr>
          <w:p w14:paraId="4C552E1D" w14:textId="77777777" w:rsidR="00F928C0" w:rsidRPr="000D5DEC" w:rsidRDefault="00F928C0" w:rsidP="00EA7758">
            <w:pPr>
              <w:rPr>
                <w:lang w:val="en-CA"/>
              </w:rPr>
            </w:pPr>
          </w:p>
        </w:tc>
      </w:tr>
      <w:tr w:rsidR="00500140" w14:paraId="384AC68B" w14:textId="77777777" w:rsidTr="00EA7758">
        <w:tc>
          <w:tcPr>
            <w:tcW w:w="9362" w:type="dxa"/>
            <w:gridSpan w:val="3"/>
          </w:tcPr>
          <w:p w14:paraId="20CBA5FD" w14:textId="77777777" w:rsidR="00F928C0" w:rsidRPr="000D5DEC" w:rsidRDefault="00BD178A" w:rsidP="00EA7758">
            <w:pPr>
              <w:pStyle w:val="zSoquijdatNomProcureurDef"/>
            </w:pPr>
            <w:r w:rsidRPr="000D5DEC">
              <w:t>M</w:t>
            </w:r>
            <w:r w:rsidRPr="000D5DEC">
              <w:rPr>
                <w:vertAlign w:val="superscript"/>
              </w:rPr>
              <w:t>e</w:t>
            </w:r>
            <w:r w:rsidRPr="000D5DEC">
              <w:t xml:space="preserve"> Patricia Blair</w:t>
            </w:r>
          </w:p>
          <w:p w14:paraId="3FABAE4E" w14:textId="77777777" w:rsidR="00F928C0" w:rsidRPr="000D5DEC" w:rsidRDefault="00BD178A" w:rsidP="00EA7758">
            <w:pPr>
              <w:pStyle w:val="zSoquijdatNomProcureurDef"/>
            </w:pPr>
            <w:r w:rsidRPr="000D5DEC">
              <w:t>M</w:t>
            </w:r>
            <w:r w:rsidRPr="000D5DEC">
              <w:rPr>
                <w:vertAlign w:val="superscript"/>
              </w:rPr>
              <w:t>e</w:t>
            </w:r>
            <w:r w:rsidRPr="000D5DEC">
              <w:t xml:space="preserve"> Alexandre Ouellet</w:t>
            </w:r>
          </w:p>
        </w:tc>
      </w:tr>
      <w:tr w:rsidR="00500140" w14:paraId="185AD1EA" w14:textId="77777777" w:rsidTr="00EA7758">
        <w:tc>
          <w:tcPr>
            <w:tcW w:w="9362" w:type="dxa"/>
            <w:gridSpan w:val="3"/>
          </w:tcPr>
          <w:p w14:paraId="27AFA507" w14:textId="77777777" w:rsidR="00F928C0" w:rsidRPr="000D5DEC" w:rsidRDefault="00BD178A" w:rsidP="00EA7758">
            <w:pPr>
              <w:pStyle w:val="zSoquijdatCabinetProcureurDef"/>
              <w:rPr>
                <w:lang w:val="en-CA"/>
              </w:rPr>
            </w:pPr>
            <w:r w:rsidRPr="000D5DEC">
              <w:t>LAVOIE, ROUSSEAU (JUSTICE-QUÉBEC)</w:t>
            </w:r>
          </w:p>
        </w:tc>
      </w:tr>
      <w:tr w:rsidR="00500140" w14:paraId="3034D0CD" w14:textId="77777777" w:rsidTr="00EA7758">
        <w:tc>
          <w:tcPr>
            <w:tcW w:w="9362" w:type="dxa"/>
            <w:gridSpan w:val="3"/>
          </w:tcPr>
          <w:p w14:paraId="6F33C5B6" w14:textId="77777777" w:rsidR="00F928C0" w:rsidRPr="000D5DEC" w:rsidRDefault="00BD178A" w:rsidP="00EA7758">
            <w:pPr>
              <w:pStyle w:val="zSoquijlblProcureurDef"/>
              <w:rPr>
                <w:lang w:val="en-CA"/>
              </w:rPr>
            </w:pPr>
            <w:r w:rsidRPr="000D5DEC">
              <w:t>Pour l’intimé</w:t>
            </w:r>
          </w:p>
        </w:tc>
      </w:tr>
      <w:tr w:rsidR="00500140" w14:paraId="788929C4" w14:textId="77777777" w:rsidTr="00EA7758">
        <w:tc>
          <w:tcPr>
            <w:tcW w:w="9362" w:type="dxa"/>
            <w:gridSpan w:val="3"/>
          </w:tcPr>
          <w:p w14:paraId="753B21B6" w14:textId="77777777" w:rsidR="00F928C0" w:rsidRPr="000D5DEC" w:rsidRDefault="00F928C0" w:rsidP="00EA7758">
            <w:pPr>
              <w:rPr>
                <w:lang w:val="en-CA"/>
              </w:rPr>
            </w:pPr>
          </w:p>
        </w:tc>
      </w:tr>
      <w:tr w:rsidR="00500140" w14:paraId="39F27AB6" w14:textId="77777777" w:rsidTr="00EA7758">
        <w:tc>
          <w:tcPr>
            <w:tcW w:w="1997" w:type="dxa"/>
          </w:tcPr>
          <w:p w14:paraId="41143EB6" w14:textId="77777777" w:rsidR="00F928C0" w:rsidRPr="000D5DEC" w:rsidRDefault="00BD178A" w:rsidP="00EA7758">
            <w:pPr>
              <w:pStyle w:val="zSoquijlblDateAudience"/>
            </w:pPr>
            <w:r w:rsidRPr="000D5DEC">
              <w:t>Date d’audience :</w:t>
            </w:r>
          </w:p>
        </w:tc>
        <w:tc>
          <w:tcPr>
            <w:tcW w:w="7365" w:type="dxa"/>
            <w:gridSpan w:val="2"/>
          </w:tcPr>
          <w:p w14:paraId="40B6A55B" w14:textId="77777777" w:rsidR="00F928C0" w:rsidRDefault="00BD178A" w:rsidP="00EA7758">
            <w:pPr>
              <w:pStyle w:val="zSoquijdatDateAudience"/>
            </w:pPr>
            <w:r w:rsidRPr="000D5DEC">
              <w:t>9 mai 2022</w:t>
            </w:r>
          </w:p>
        </w:tc>
      </w:tr>
    </w:tbl>
    <w:p w14:paraId="265A6C1D" w14:textId="77777777" w:rsidR="00740A17" w:rsidRDefault="00740A17" w:rsidP="006B7CE5"/>
    <w:sectPr w:rsidR="00740A17" w:rsidSect="009E7299">
      <w:headerReference w:type="even" r:id="rId8"/>
      <w:headerReference w:type="default" r:id="rId9"/>
      <w:footerReference w:type="even" r:id="rId10"/>
      <w:footerReference w:type="default" r:id="rId11"/>
      <w:headerReference w:type="first" r:id="rId12"/>
      <w:footerReference w:type="first" r:id="rId13"/>
      <w:pgSz w:w="12242" w:h="15842" w:code="1"/>
      <w:pgMar w:top="1440" w:right="1008" w:bottom="1440" w:left="1872" w:header="1440" w:footer="792"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659F0" w14:textId="77777777" w:rsidR="001758DC" w:rsidRDefault="00BD178A">
      <w:pPr>
        <w:spacing w:line="240" w:lineRule="auto"/>
      </w:pPr>
      <w:r>
        <w:separator/>
      </w:r>
    </w:p>
  </w:endnote>
  <w:endnote w:type="continuationSeparator" w:id="0">
    <w:p w14:paraId="282DA2CE" w14:textId="77777777" w:rsidR="001758DC" w:rsidRDefault="00BD17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12109" w14:textId="77777777" w:rsidR="00482296" w:rsidRDefault="0048229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D8678" w14:textId="77777777" w:rsidR="00482296" w:rsidRDefault="0048229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1AEB1" w14:textId="77777777" w:rsidR="00482296" w:rsidRDefault="0048229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B19FCB" w14:textId="77777777" w:rsidR="008440AC" w:rsidRDefault="00BD178A">
      <w:r>
        <w:separator/>
      </w:r>
    </w:p>
  </w:footnote>
  <w:footnote w:type="continuationSeparator" w:id="0">
    <w:p w14:paraId="501FDB13" w14:textId="77777777" w:rsidR="008440AC" w:rsidRDefault="00BD178A">
      <w:r>
        <w:continuationSeparator/>
      </w:r>
    </w:p>
  </w:footnote>
  <w:footnote w:id="1">
    <w:p w14:paraId="0E5F9BD5" w14:textId="1766E827" w:rsidR="00793624" w:rsidRDefault="00BD178A">
      <w:pPr>
        <w:pStyle w:val="Notedebasdepage"/>
      </w:pPr>
      <w:r>
        <w:rPr>
          <w:rStyle w:val="Appelnotedebasdep"/>
        </w:rPr>
        <w:footnoteRef/>
      </w:r>
      <w:r>
        <w:t xml:space="preserve"> </w:t>
      </w:r>
      <w:r w:rsidR="00E27374">
        <w:tab/>
      </w:r>
      <w:r w:rsidRPr="00F50CB4">
        <w:rPr>
          <w:rFonts w:cs="Arial"/>
          <w:i/>
        </w:rPr>
        <w:t>Plamondon c. Procureure générale du Québec</w:t>
      </w:r>
      <w:r w:rsidRPr="00F50CB4">
        <w:rPr>
          <w:rFonts w:cs="Arial"/>
        </w:rPr>
        <w:t>, 2020 QCCS 1209 [jugement entrepris].</w:t>
      </w:r>
    </w:p>
  </w:footnote>
  <w:footnote w:id="2">
    <w:p w14:paraId="7604B735" w14:textId="77777777" w:rsidR="00FC4697" w:rsidRPr="00F50CB4" w:rsidRDefault="00BD178A" w:rsidP="00D73E34">
      <w:pPr>
        <w:pStyle w:val="Notedebasdepage"/>
        <w:ind w:left="357" w:hanging="357"/>
        <w:rPr>
          <w:rFonts w:cs="Arial"/>
        </w:rPr>
      </w:pPr>
      <w:r w:rsidRPr="00F50CB4">
        <w:rPr>
          <w:rStyle w:val="Appelnotedebasdep"/>
          <w:rFonts w:cs="Arial"/>
        </w:rPr>
        <w:footnoteRef/>
      </w:r>
      <w:r w:rsidRPr="00F50CB4">
        <w:rPr>
          <w:rFonts w:cs="Arial"/>
        </w:rPr>
        <w:t xml:space="preserve"> </w:t>
      </w:r>
      <w:r>
        <w:rPr>
          <w:rFonts w:cs="Arial"/>
        </w:rPr>
        <w:tab/>
      </w:r>
      <w:r w:rsidRPr="00F50CB4">
        <w:rPr>
          <w:rFonts w:cs="Arial"/>
          <w:i/>
        </w:rPr>
        <w:t>Charte canadienne des droits et libertés dans Loi de 1982 sur le Canada (R.-U.)</w:t>
      </w:r>
      <w:r w:rsidRPr="00F50CB4">
        <w:rPr>
          <w:rFonts w:cs="Arial"/>
        </w:rPr>
        <w:t>, 1982, c. 11, annexe</w:t>
      </w:r>
      <w:r>
        <w:rPr>
          <w:rFonts w:cs="Arial"/>
        </w:rPr>
        <w:t> </w:t>
      </w:r>
      <w:r w:rsidRPr="00F50CB4">
        <w:rPr>
          <w:rFonts w:cs="Arial"/>
        </w:rPr>
        <w:t>B, partie I.</w:t>
      </w:r>
    </w:p>
  </w:footnote>
  <w:footnote w:id="3">
    <w:p w14:paraId="6EB53FCA" w14:textId="77D3128C" w:rsidR="00FC4697" w:rsidRPr="00A61941" w:rsidRDefault="00BD178A" w:rsidP="00B25A6F">
      <w:pPr>
        <w:pStyle w:val="Notedebasdepage"/>
        <w:rPr>
          <w:rFonts w:cs="Arial"/>
        </w:rPr>
      </w:pPr>
      <w:r w:rsidRPr="00A61941">
        <w:rPr>
          <w:rStyle w:val="Appelnotedebasdep"/>
          <w:rFonts w:cs="Arial"/>
        </w:rPr>
        <w:footnoteRef/>
      </w:r>
      <w:r w:rsidRPr="00A61941">
        <w:rPr>
          <w:rFonts w:cs="Arial"/>
        </w:rPr>
        <w:t xml:space="preserve"> </w:t>
      </w:r>
      <w:r>
        <w:rPr>
          <w:rFonts w:cs="Arial"/>
        </w:rPr>
        <w:tab/>
      </w:r>
      <w:r w:rsidR="009A027B" w:rsidRPr="009136D6">
        <w:rPr>
          <w:rFonts w:cs="Arial"/>
        </w:rPr>
        <w:t>J</w:t>
      </w:r>
      <w:r w:rsidR="009136D6">
        <w:rPr>
          <w:rFonts w:cs="Arial"/>
        </w:rPr>
        <w:t xml:space="preserve">ugement entrepris, </w:t>
      </w:r>
      <w:r w:rsidRPr="009136D6">
        <w:rPr>
          <w:rFonts w:cs="Arial"/>
        </w:rPr>
        <w:t>paragr. 10 à 49.</w:t>
      </w:r>
    </w:p>
  </w:footnote>
  <w:footnote w:id="4">
    <w:p w14:paraId="3A5D0FA2" w14:textId="77777777" w:rsidR="00FC4697" w:rsidRPr="00B34ADA" w:rsidRDefault="00BD178A" w:rsidP="00B25A6F">
      <w:pPr>
        <w:pStyle w:val="Notedebasdepage"/>
        <w:rPr>
          <w:rFonts w:cs="Arial"/>
          <w:lang w:val="en-CA"/>
        </w:rPr>
      </w:pPr>
      <w:r w:rsidRPr="00C805DB">
        <w:rPr>
          <w:rStyle w:val="Appelnotedebasdep"/>
        </w:rPr>
        <w:footnoteRef/>
      </w:r>
      <w:r w:rsidRPr="00B34ADA">
        <w:rPr>
          <w:lang w:val="en-CA"/>
        </w:rPr>
        <w:t xml:space="preserve"> </w:t>
      </w:r>
      <w:r w:rsidRPr="00B34ADA">
        <w:rPr>
          <w:lang w:val="en-CA"/>
        </w:rPr>
        <w:tab/>
      </w:r>
      <w:r w:rsidRPr="00B34ADA">
        <w:rPr>
          <w:rFonts w:cs="Arial"/>
          <w:i/>
          <w:lang w:val="en-CA"/>
        </w:rPr>
        <w:t>R. c. Plamondon</w:t>
      </w:r>
      <w:r w:rsidRPr="00B34ADA">
        <w:rPr>
          <w:rFonts w:cs="Arial"/>
          <w:lang w:val="en-CA"/>
        </w:rPr>
        <w:t>, [1991] R.J.Q. 2447 (C.A.).</w:t>
      </w:r>
    </w:p>
  </w:footnote>
  <w:footnote w:id="5">
    <w:p w14:paraId="236AF0BC" w14:textId="623C4B16" w:rsidR="00FC4697" w:rsidRPr="00281F0B" w:rsidRDefault="00BD178A">
      <w:pPr>
        <w:pStyle w:val="Notedebasdepage"/>
      </w:pPr>
      <w:r w:rsidRPr="00281F0B">
        <w:rPr>
          <w:rStyle w:val="Appelnotedebasdep"/>
        </w:rPr>
        <w:footnoteRef/>
      </w:r>
      <w:r w:rsidRPr="00281F0B">
        <w:t xml:space="preserve"> </w:t>
      </w:r>
      <w:r w:rsidRPr="00281F0B">
        <w:tab/>
      </w:r>
      <w:r w:rsidRPr="00281F0B">
        <w:rPr>
          <w:i/>
        </w:rPr>
        <w:t>Id.</w:t>
      </w:r>
      <w:r w:rsidRPr="00281F0B">
        <w:t>, p. 2453-2456.</w:t>
      </w:r>
    </w:p>
  </w:footnote>
  <w:footnote w:id="6">
    <w:p w14:paraId="6667CE06" w14:textId="32E94F77" w:rsidR="00FC4697" w:rsidRPr="00281F0B" w:rsidRDefault="00BD178A">
      <w:pPr>
        <w:pStyle w:val="Notedebasdepage"/>
      </w:pPr>
      <w:r w:rsidRPr="00281F0B">
        <w:rPr>
          <w:rStyle w:val="Appelnotedebasdep"/>
        </w:rPr>
        <w:footnoteRef/>
      </w:r>
      <w:r w:rsidRPr="00281F0B">
        <w:t xml:space="preserve"> </w:t>
      </w:r>
      <w:r w:rsidRPr="00281F0B">
        <w:tab/>
      </w:r>
      <w:r w:rsidRPr="00281F0B">
        <w:rPr>
          <w:i/>
        </w:rPr>
        <w:t>Id.</w:t>
      </w:r>
      <w:r w:rsidRPr="00281F0B">
        <w:t>, p. 2459-2460.</w:t>
      </w:r>
    </w:p>
  </w:footnote>
  <w:footnote w:id="7">
    <w:p w14:paraId="1F2D9F62" w14:textId="79B0F113" w:rsidR="00FC4697" w:rsidRPr="00C248F8" w:rsidRDefault="00BD178A" w:rsidP="00B25A6F">
      <w:pPr>
        <w:pStyle w:val="Notedebasdepage"/>
        <w:rPr>
          <w:rFonts w:cs="Arial"/>
          <w:sz w:val="16"/>
          <w:szCs w:val="16"/>
        </w:rPr>
      </w:pPr>
      <w:r w:rsidRPr="00281F0B">
        <w:rPr>
          <w:rStyle w:val="Appelnotedebasdep"/>
          <w:rFonts w:cs="Arial"/>
        </w:rPr>
        <w:footnoteRef/>
      </w:r>
      <w:r w:rsidRPr="00281F0B">
        <w:rPr>
          <w:rFonts w:cs="Arial"/>
        </w:rPr>
        <w:t xml:space="preserve"> </w:t>
      </w:r>
      <w:r w:rsidRPr="00281F0B">
        <w:rPr>
          <w:rFonts w:cs="Arial"/>
        </w:rPr>
        <w:tab/>
      </w:r>
      <w:r w:rsidRPr="00281F0B">
        <w:rPr>
          <w:rFonts w:cs="Arial"/>
          <w:i/>
        </w:rPr>
        <w:t>Id.</w:t>
      </w:r>
      <w:r w:rsidRPr="00281F0B">
        <w:rPr>
          <w:rFonts w:cs="Arial"/>
        </w:rPr>
        <w:t xml:space="preserve">, p. 2462-2465, citant </w:t>
      </w:r>
      <w:r w:rsidRPr="00281F0B">
        <w:rPr>
          <w:rFonts w:cs="Arial"/>
          <w:i/>
        </w:rPr>
        <w:t>Vetrovec c. La Reine</w:t>
      </w:r>
      <w:r w:rsidRPr="00281F0B">
        <w:rPr>
          <w:rFonts w:cs="Arial"/>
        </w:rPr>
        <w:t>, [1982] 1 R.C.S. 811 [</w:t>
      </w:r>
      <w:r w:rsidRPr="00281F0B">
        <w:rPr>
          <w:rFonts w:cs="Arial"/>
          <w:i/>
        </w:rPr>
        <w:t>Vetrovec</w:t>
      </w:r>
      <w:r w:rsidRPr="00281F0B">
        <w:rPr>
          <w:rFonts w:cs="Arial"/>
        </w:rPr>
        <w:t>].</w:t>
      </w:r>
    </w:p>
  </w:footnote>
  <w:footnote w:id="8">
    <w:p w14:paraId="34482ACC" w14:textId="57E7549F" w:rsidR="00FC4697" w:rsidRPr="0040425E" w:rsidRDefault="00BD178A" w:rsidP="00B25A6F">
      <w:pPr>
        <w:pStyle w:val="Notedebasdepage"/>
      </w:pPr>
      <w:r w:rsidRPr="00C805DB">
        <w:rPr>
          <w:rStyle w:val="Appelnotedebasdep"/>
        </w:rPr>
        <w:footnoteRef/>
      </w:r>
      <w:r w:rsidRPr="0040425E">
        <w:t xml:space="preserve"> </w:t>
      </w:r>
      <w:r w:rsidRPr="0040425E">
        <w:tab/>
      </w:r>
      <w:r w:rsidRPr="0040425E">
        <w:rPr>
          <w:rFonts w:cs="Arial"/>
          <w:i/>
        </w:rPr>
        <w:t>R. c. Plamondon</w:t>
      </w:r>
      <w:r w:rsidRPr="0040425E">
        <w:rPr>
          <w:rFonts w:cs="Arial"/>
        </w:rPr>
        <w:t xml:space="preserve">, </w:t>
      </w:r>
      <w:r w:rsidRPr="0040425E">
        <w:rPr>
          <w:rFonts w:cs="Arial"/>
          <w:i/>
        </w:rPr>
        <w:t>supra</w:t>
      </w:r>
      <w:r w:rsidRPr="0040425E">
        <w:rPr>
          <w:rFonts w:cs="Arial"/>
        </w:rPr>
        <w:t xml:space="preserve">, note </w:t>
      </w:r>
      <w:r>
        <w:rPr>
          <w:rFonts w:cs="Arial"/>
        </w:rPr>
        <w:t>4</w:t>
      </w:r>
      <w:r w:rsidRPr="0040425E">
        <w:rPr>
          <w:rFonts w:cs="Arial"/>
        </w:rPr>
        <w:t>.</w:t>
      </w:r>
    </w:p>
  </w:footnote>
  <w:footnote w:id="9">
    <w:p w14:paraId="4F9EB6CA" w14:textId="77777777" w:rsidR="00FC4697" w:rsidRPr="00B94917" w:rsidRDefault="00BD178A" w:rsidP="00B25A6F">
      <w:pPr>
        <w:pStyle w:val="Notedebasdepage"/>
        <w:rPr>
          <w:rFonts w:cs="Arial"/>
        </w:rPr>
      </w:pPr>
      <w:r w:rsidRPr="00B94917">
        <w:rPr>
          <w:rStyle w:val="Appelnotedebasdep"/>
          <w:rFonts w:cs="Arial"/>
        </w:rPr>
        <w:footnoteRef/>
      </w:r>
      <w:r w:rsidRPr="00B94917">
        <w:rPr>
          <w:rFonts w:cs="Arial"/>
        </w:rPr>
        <w:t xml:space="preserve"> </w:t>
      </w:r>
      <w:r>
        <w:rPr>
          <w:rFonts w:cs="Arial"/>
        </w:rPr>
        <w:tab/>
      </w:r>
      <w:r w:rsidRPr="00B94917">
        <w:rPr>
          <w:rFonts w:cs="Arial"/>
        </w:rPr>
        <w:t>Jugement entrepris, paragr. 16 à 22.</w:t>
      </w:r>
    </w:p>
  </w:footnote>
  <w:footnote w:id="10">
    <w:p w14:paraId="16D745B1" w14:textId="4D0D1EF5" w:rsidR="00FC4697" w:rsidRPr="00B94917" w:rsidRDefault="00BD178A" w:rsidP="00B25A6F">
      <w:pPr>
        <w:pStyle w:val="Notedebasdepage"/>
        <w:rPr>
          <w:rFonts w:cs="Arial"/>
        </w:rPr>
      </w:pPr>
      <w:r w:rsidRPr="00B94917">
        <w:rPr>
          <w:rStyle w:val="Appelnotedebasdep"/>
          <w:rFonts w:cs="Arial"/>
        </w:rPr>
        <w:footnoteRef/>
      </w:r>
      <w:r w:rsidRPr="00B94917">
        <w:rPr>
          <w:rFonts w:cs="Arial"/>
        </w:rPr>
        <w:t xml:space="preserve"> </w:t>
      </w:r>
      <w:r>
        <w:rPr>
          <w:rFonts w:cs="Arial"/>
        </w:rPr>
        <w:tab/>
      </w:r>
      <w:r w:rsidRPr="00B94917">
        <w:rPr>
          <w:rFonts w:cs="Arial"/>
          <w:i/>
        </w:rPr>
        <w:t>Walter Torres Tenorio c. La Reine</w:t>
      </w:r>
      <w:r w:rsidRPr="00B94917">
        <w:rPr>
          <w:rFonts w:cs="Arial"/>
        </w:rPr>
        <w:t xml:space="preserve"> </w:t>
      </w:r>
      <w:r w:rsidRPr="00B94917">
        <w:rPr>
          <w:rFonts w:cs="Arial"/>
          <w:i/>
        </w:rPr>
        <w:t>et Procureur général du Québec</w:t>
      </w:r>
      <w:r w:rsidRPr="00B94917">
        <w:rPr>
          <w:rFonts w:cs="Arial"/>
        </w:rPr>
        <w:t>, (1991) Q.A.C. 250, (1991) 66 C.C.C.</w:t>
      </w:r>
      <w:r>
        <w:rPr>
          <w:rFonts w:cs="Arial"/>
        </w:rPr>
        <w:t xml:space="preserve"> </w:t>
      </w:r>
      <w:r w:rsidRPr="00B94917">
        <w:rPr>
          <w:rFonts w:cs="Arial"/>
        </w:rPr>
        <w:t>(3d) 429</w:t>
      </w:r>
      <w:r>
        <w:rPr>
          <w:rFonts w:cs="Arial"/>
        </w:rPr>
        <w:t xml:space="preserve">, demande d’autorisation d’appel </w:t>
      </w:r>
      <w:r w:rsidRPr="00B94917">
        <w:rPr>
          <w:rFonts w:cs="Arial"/>
        </w:rPr>
        <w:t xml:space="preserve">à la Cour suprême </w:t>
      </w:r>
      <w:r>
        <w:rPr>
          <w:rFonts w:cs="Arial"/>
        </w:rPr>
        <w:t xml:space="preserve">rejetée, 7 novembre 1991, </w:t>
      </w:r>
      <w:r w:rsidRPr="00B94917">
        <w:rPr>
          <w:rFonts w:cs="Arial"/>
        </w:rPr>
        <w:t>67 C.C.C. (3d) vi)).</w:t>
      </w:r>
    </w:p>
  </w:footnote>
  <w:footnote w:id="11">
    <w:p w14:paraId="5B9956C4" w14:textId="7C0A75F2" w:rsidR="00FC4697" w:rsidRPr="00281F0B" w:rsidRDefault="00BD178A" w:rsidP="00B25A6F">
      <w:pPr>
        <w:pStyle w:val="Notedebasdepage"/>
        <w:rPr>
          <w:rFonts w:cs="Arial"/>
        </w:rPr>
      </w:pPr>
      <w:r w:rsidRPr="009136D6">
        <w:rPr>
          <w:rStyle w:val="Appelnotedebasdep"/>
          <w:rFonts w:cs="Arial"/>
        </w:rPr>
        <w:footnoteRef/>
      </w:r>
      <w:r w:rsidRPr="009136D6">
        <w:rPr>
          <w:rFonts w:cs="Arial"/>
          <w:lang w:val="en-CA"/>
        </w:rPr>
        <w:t xml:space="preserve"> </w:t>
      </w:r>
      <w:r w:rsidRPr="009136D6">
        <w:rPr>
          <w:rFonts w:cs="Arial"/>
          <w:lang w:val="en-CA"/>
        </w:rPr>
        <w:tab/>
      </w:r>
      <w:r w:rsidRPr="009136D6">
        <w:rPr>
          <w:rFonts w:cs="Arial"/>
          <w:i/>
          <w:lang w:val="en-CA"/>
        </w:rPr>
        <w:t>Plamondon c. R.</w:t>
      </w:r>
      <w:r w:rsidRPr="009136D6">
        <w:rPr>
          <w:rFonts w:cs="Arial"/>
          <w:lang w:val="en-CA"/>
        </w:rPr>
        <w:t xml:space="preserve">, [1998] R.J.Q. 2990 (C.A.) </w:t>
      </w:r>
      <w:r w:rsidRPr="009136D6">
        <w:rPr>
          <w:rFonts w:cs="Arial"/>
        </w:rPr>
        <w:t>(autorisation d’appel à la Cour suprême refusée, 8</w:t>
      </w:r>
      <w:r w:rsidR="00D072FE" w:rsidRPr="009136D6">
        <w:rPr>
          <w:rFonts w:cs="Arial"/>
        </w:rPr>
        <w:t> </w:t>
      </w:r>
      <w:r w:rsidRPr="009136D6">
        <w:rPr>
          <w:rFonts w:cs="Arial"/>
        </w:rPr>
        <w:t>juillet</w:t>
      </w:r>
      <w:r w:rsidR="00D072FE" w:rsidRPr="009136D6">
        <w:rPr>
          <w:rFonts w:cs="Arial"/>
        </w:rPr>
        <w:t> </w:t>
      </w:r>
      <w:r w:rsidRPr="009136D6">
        <w:rPr>
          <w:rFonts w:cs="Arial"/>
        </w:rPr>
        <w:t>1999, n° 22477, p. 2993-2996</w:t>
      </w:r>
      <w:r w:rsidR="009136D6" w:rsidRPr="009136D6">
        <w:rPr>
          <w:rFonts w:cs="Arial"/>
        </w:rPr>
        <w:t>)</w:t>
      </w:r>
      <w:r w:rsidRPr="009136D6">
        <w:rPr>
          <w:rFonts w:cs="Arial"/>
        </w:rPr>
        <w:t>.</w:t>
      </w:r>
    </w:p>
  </w:footnote>
  <w:footnote w:id="12">
    <w:p w14:paraId="24A27146" w14:textId="0ECDDE7E" w:rsidR="00FC4697" w:rsidRPr="00DC5DDB" w:rsidRDefault="00BD178A" w:rsidP="00B25A6F">
      <w:pPr>
        <w:pStyle w:val="Notedebasdepage"/>
      </w:pPr>
      <w:r w:rsidRPr="00281F0B">
        <w:rPr>
          <w:rStyle w:val="Appelnotedebasdep"/>
        </w:rPr>
        <w:footnoteRef/>
      </w:r>
      <w:r w:rsidRPr="00281F0B">
        <w:t xml:space="preserve"> </w:t>
      </w:r>
      <w:r w:rsidRPr="00281F0B">
        <w:tab/>
      </w:r>
      <w:r w:rsidRPr="00281F0B">
        <w:rPr>
          <w:i/>
        </w:rPr>
        <w:t>Id.</w:t>
      </w:r>
      <w:r w:rsidRPr="00281F0B">
        <w:t xml:space="preserve">, p. </w:t>
      </w:r>
      <w:r w:rsidRPr="00281F0B">
        <w:rPr>
          <w:rFonts w:cs="Arial"/>
        </w:rPr>
        <w:t>p. 2996-2999.</w:t>
      </w:r>
    </w:p>
  </w:footnote>
  <w:footnote w:id="13">
    <w:p w14:paraId="06E05CA1" w14:textId="77777777" w:rsidR="00FC4697" w:rsidRPr="00883D93" w:rsidRDefault="00BD178A" w:rsidP="00B25A6F">
      <w:pPr>
        <w:pStyle w:val="Notedebasdepage"/>
        <w:rPr>
          <w:lang w:val="en-CA"/>
        </w:rPr>
      </w:pPr>
      <w:r w:rsidRPr="00E77EDC">
        <w:rPr>
          <w:rStyle w:val="Appelnotedebasdep"/>
        </w:rPr>
        <w:footnoteRef/>
      </w:r>
      <w:r w:rsidRPr="00E77EDC">
        <w:t xml:space="preserve"> </w:t>
      </w:r>
      <w:r>
        <w:tab/>
      </w:r>
      <w:r w:rsidRPr="00E77EDC">
        <w:t xml:space="preserve">Jugement entrepris, paragr. </w:t>
      </w:r>
      <w:r w:rsidRPr="00883D93">
        <w:rPr>
          <w:lang w:val="en-CA"/>
        </w:rPr>
        <w:t>29-33.</w:t>
      </w:r>
    </w:p>
  </w:footnote>
  <w:footnote w:id="14">
    <w:p w14:paraId="684E49ED" w14:textId="77777777" w:rsidR="00FC4697" w:rsidRPr="00883D93" w:rsidRDefault="00BD178A" w:rsidP="00B25A6F">
      <w:pPr>
        <w:pStyle w:val="Notedebasdepage"/>
        <w:rPr>
          <w:highlight w:val="yellow"/>
          <w:lang w:val="en-CA"/>
        </w:rPr>
      </w:pPr>
      <w:r w:rsidRPr="00E77EDC">
        <w:rPr>
          <w:rStyle w:val="Appelnotedebasdep"/>
        </w:rPr>
        <w:footnoteRef/>
      </w:r>
      <w:r w:rsidRPr="00883D93">
        <w:rPr>
          <w:lang w:val="en-CA"/>
        </w:rPr>
        <w:t xml:space="preserve"> </w:t>
      </w:r>
      <w:r w:rsidRPr="00883D93">
        <w:rPr>
          <w:lang w:val="en-CA"/>
        </w:rPr>
        <w:tab/>
      </w:r>
      <w:r w:rsidRPr="00883D93">
        <w:rPr>
          <w:i/>
          <w:iCs/>
          <w:lang w:val="en-CA"/>
        </w:rPr>
        <w:t>Plamondon c. R.</w:t>
      </w:r>
      <w:r w:rsidRPr="00883D93">
        <w:rPr>
          <w:lang w:val="en-CA"/>
        </w:rPr>
        <w:t>, 2013 QCCA 2012.</w:t>
      </w:r>
    </w:p>
  </w:footnote>
  <w:footnote w:id="15">
    <w:p w14:paraId="1E770734" w14:textId="77777777" w:rsidR="00FC4697" w:rsidRPr="00D73E34" w:rsidRDefault="00BD178A" w:rsidP="00B25A6F">
      <w:pPr>
        <w:pStyle w:val="Notedebasdepage"/>
      </w:pPr>
      <w:r>
        <w:rPr>
          <w:rStyle w:val="Appelnotedebasdep"/>
        </w:rPr>
        <w:footnoteRef/>
      </w:r>
      <w:r w:rsidRPr="00883D93">
        <w:rPr>
          <w:lang w:val="en-CA"/>
        </w:rPr>
        <w:t xml:space="preserve"> </w:t>
      </w:r>
      <w:r w:rsidRPr="00883D93">
        <w:rPr>
          <w:lang w:val="en-CA"/>
        </w:rPr>
        <w:tab/>
      </w:r>
      <w:r w:rsidRPr="00883D93">
        <w:rPr>
          <w:i/>
          <w:lang w:val="en-CA"/>
        </w:rPr>
        <w:t>Id.</w:t>
      </w:r>
      <w:r w:rsidRPr="00883D93">
        <w:rPr>
          <w:lang w:val="en-CA"/>
        </w:rPr>
        <w:t xml:space="preserve">, paragr. </w:t>
      </w:r>
      <w:r w:rsidRPr="00D73E34">
        <w:t>9-12.</w:t>
      </w:r>
    </w:p>
  </w:footnote>
  <w:footnote w:id="16">
    <w:p w14:paraId="575C2444" w14:textId="07AD5C8D" w:rsidR="00FC4697" w:rsidRPr="00D73E34" w:rsidRDefault="00BD178A" w:rsidP="00B25A6F">
      <w:pPr>
        <w:pStyle w:val="Notedebasdepage"/>
      </w:pPr>
      <w:r>
        <w:rPr>
          <w:rStyle w:val="Appelnotedebasdep"/>
        </w:rPr>
        <w:footnoteRef/>
      </w:r>
      <w:r w:rsidRPr="00D73E34">
        <w:t xml:space="preserve"> </w:t>
      </w:r>
      <w:r w:rsidRPr="00D73E34">
        <w:tab/>
        <w:t>Jugement entrepris, paragr. 49-51.</w:t>
      </w:r>
    </w:p>
  </w:footnote>
  <w:footnote w:id="17">
    <w:p w14:paraId="04E81E65" w14:textId="77777777" w:rsidR="00FC4697" w:rsidRPr="00394A19" w:rsidRDefault="00BD178A" w:rsidP="00EE00B2">
      <w:pPr>
        <w:pStyle w:val="Notedebasdepage"/>
      </w:pPr>
      <w:r>
        <w:rPr>
          <w:rStyle w:val="Appelnotedebasdep"/>
        </w:rPr>
        <w:footnoteRef/>
      </w:r>
      <w:r w:rsidRPr="00D73E34">
        <w:t xml:space="preserve"> </w:t>
      </w:r>
      <w:r w:rsidRPr="00D73E34">
        <w:tab/>
      </w:r>
      <w:r w:rsidRPr="00D73E34">
        <w:rPr>
          <w:i/>
        </w:rPr>
        <w:t>Id.</w:t>
      </w:r>
      <w:r w:rsidRPr="00D73E34">
        <w:t xml:space="preserve">, paragr. </w:t>
      </w:r>
      <w:r w:rsidRPr="00394A19">
        <w:t>117.</w:t>
      </w:r>
    </w:p>
  </w:footnote>
  <w:footnote w:id="18">
    <w:p w14:paraId="57E2CC6D" w14:textId="77777777" w:rsidR="00FC4697" w:rsidRPr="00EC1590" w:rsidRDefault="00BD178A" w:rsidP="00EE00B2">
      <w:pPr>
        <w:pStyle w:val="Notedebasdepage"/>
      </w:pPr>
      <w:r>
        <w:rPr>
          <w:rStyle w:val="Appelnotedebasdep"/>
        </w:rPr>
        <w:footnoteRef/>
      </w:r>
      <w:r w:rsidRPr="00D73E34">
        <w:t xml:space="preserve"> </w:t>
      </w:r>
      <w:r w:rsidRPr="00D73E34">
        <w:tab/>
      </w:r>
      <w:r w:rsidRPr="00D73E34">
        <w:rPr>
          <w:i/>
        </w:rPr>
        <w:t>Id.</w:t>
      </w:r>
      <w:r w:rsidRPr="00D73E34">
        <w:t xml:space="preserve">, paragr. </w:t>
      </w:r>
      <w:r w:rsidRPr="00EC1590">
        <w:t>216 et 225.</w:t>
      </w:r>
    </w:p>
  </w:footnote>
  <w:footnote w:id="19">
    <w:p w14:paraId="32C9533B" w14:textId="77777777" w:rsidR="00FC4697" w:rsidRPr="00A06898" w:rsidRDefault="00BD178A" w:rsidP="008B6941">
      <w:pPr>
        <w:pStyle w:val="Notedebasdepage"/>
      </w:pPr>
      <w:r>
        <w:rPr>
          <w:rStyle w:val="Appelnotedebasdep"/>
        </w:rPr>
        <w:footnoteRef/>
      </w:r>
      <w:r w:rsidRPr="00883D93">
        <w:t xml:space="preserve"> </w:t>
      </w:r>
      <w:r w:rsidRPr="00883D93">
        <w:tab/>
      </w:r>
      <w:r w:rsidRPr="00883D93">
        <w:rPr>
          <w:i/>
        </w:rPr>
        <w:t>Id.</w:t>
      </w:r>
      <w:r w:rsidRPr="00883D93">
        <w:t xml:space="preserve">, paragr. </w:t>
      </w:r>
      <w:r w:rsidRPr="00A06898">
        <w:t>226.</w:t>
      </w:r>
    </w:p>
  </w:footnote>
  <w:footnote w:id="20">
    <w:p w14:paraId="708ACBE8" w14:textId="77777777" w:rsidR="00FC4697" w:rsidRPr="001573B4" w:rsidRDefault="00BD178A" w:rsidP="00EE00B2">
      <w:pPr>
        <w:pStyle w:val="Notedebasdepage"/>
        <w:rPr>
          <w:lang w:val="en-CA"/>
        </w:rPr>
      </w:pPr>
      <w:r>
        <w:rPr>
          <w:rStyle w:val="Appelnotedebasdep"/>
        </w:rPr>
        <w:footnoteRef/>
      </w:r>
      <w:r w:rsidRPr="001573B4">
        <w:rPr>
          <w:lang w:val="en-CA"/>
        </w:rPr>
        <w:t xml:space="preserve"> </w:t>
      </w:r>
      <w:r w:rsidRPr="001573B4">
        <w:rPr>
          <w:lang w:val="en-CA"/>
        </w:rPr>
        <w:tab/>
      </w:r>
      <w:r w:rsidRPr="001573B4">
        <w:rPr>
          <w:i/>
          <w:lang w:val="en-CA"/>
        </w:rPr>
        <w:t>Id.</w:t>
      </w:r>
      <w:r w:rsidRPr="001573B4">
        <w:rPr>
          <w:lang w:val="en-CA"/>
        </w:rPr>
        <w:t>, paragr. 220.</w:t>
      </w:r>
    </w:p>
  </w:footnote>
  <w:footnote w:id="21">
    <w:p w14:paraId="17BD7C71" w14:textId="77777777" w:rsidR="00FC4697" w:rsidRPr="001573B4" w:rsidRDefault="00BD178A" w:rsidP="00EE00B2">
      <w:pPr>
        <w:pStyle w:val="Notedebasdepage"/>
        <w:rPr>
          <w:lang w:val="en-CA"/>
        </w:rPr>
      </w:pPr>
      <w:r>
        <w:rPr>
          <w:rStyle w:val="Appelnotedebasdep"/>
        </w:rPr>
        <w:footnoteRef/>
      </w:r>
      <w:r w:rsidRPr="001573B4">
        <w:rPr>
          <w:lang w:val="en-CA"/>
        </w:rPr>
        <w:t xml:space="preserve"> </w:t>
      </w:r>
      <w:r w:rsidRPr="001573B4">
        <w:rPr>
          <w:lang w:val="en-CA"/>
        </w:rPr>
        <w:tab/>
      </w:r>
      <w:r w:rsidRPr="001573B4">
        <w:rPr>
          <w:i/>
          <w:lang w:val="en-CA"/>
        </w:rPr>
        <w:t>Id.</w:t>
      </w:r>
      <w:r w:rsidRPr="001573B4">
        <w:rPr>
          <w:lang w:val="en-CA"/>
        </w:rPr>
        <w:t>, paragr. 221.</w:t>
      </w:r>
    </w:p>
  </w:footnote>
  <w:footnote w:id="22">
    <w:p w14:paraId="5B5BC9F3" w14:textId="53D67C50" w:rsidR="00FC4697" w:rsidRPr="009512D6" w:rsidRDefault="00BD178A" w:rsidP="00EE00B2">
      <w:pPr>
        <w:pStyle w:val="Notedebasdepage"/>
        <w:rPr>
          <w:lang w:val="en-CA"/>
        </w:rPr>
      </w:pPr>
      <w:r>
        <w:rPr>
          <w:rStyle w:val="Appelnotedebasdep"/>
        </w:rPr>
        <w:footnoteRef/>
      </w:r>
      <w:r w:rsidRPr="001573B4">
        <w:rPr>
          <w:lang w:val="en-CA"/>
        </w:rPr>
        <w:t xml:space="preserve"> </w:t>
      </w:r>
      <w:r w:rsidRPr="001573B4">
        <w:rPr>
          <w:lang w:val="en-CA"/>
        </w:rPr>
        <w:tab/>
      </w:r>
      <w:r w:rsidRPr="001573B4">
        <w:rPr>
          <w:i/>
          <w:lang w:val="en-CA"/>
        </w:rPr>
        <w:t>Id.</w:t>
      </w:r>
      <w:r w:rsidRPr="001573B4">
        <w:rPr>
          <w:lang w:val="en-CA"/>
        </w:rPr>
        <w:t>, para</w:t>
      </w:r>
      <w:r>
        <w:rPr>
          <w:lang w:val="en-CA"/>
        </w:rPr>
        <w:t>gr</w:t>
      </w:r>
      <w:r w:rsidRPr="001573B4">
        <w:rPr>
          <w:lang w:val="en-CA"/>
        </w:rPr>
        <w:t xml:space="preserve">. </w:t>
      </w:r>
      <w:r w:rsidRPr="009512D6">
        <w:rPr>
          <w:lang w:val="en-CA"/>
        </w:rPr>
        <w:t>294.</w:t>
      </w:r>
    </w:p>
  </w:footnote>
  <w:footnote w:id="23">
    <w:p w14:paraId="2BC83010" w14:textId="288F7CD5" w:rsidR="00FC4697" w:rsidRPr="00B5368B" w:rsidRDefault="00BD178A">
      <w:pPr>
        <w:pStyle w:val="Notedebasdepage"/>
        <w:rPr>
          <w:lang w:val="en-CA"/>
        </w:rPr>
      </w:pPr>
      <w:r>
        <w:rPr>
          <w:rStyle w:val="Appelnotedebasdep"/>
        </w:rPr>
        <w:footnoteRef/>
      </w:r>
      <w:r w:rsidRPr="00B5368B">
        <w:rPr>
          <w:lang w:val="en-CA"/>
        </w:rPr>
        <w:t xml:space="preserve"> </w:t>
      </w:r>
      <w:r w:rsidRPr="00B5368B">
        <w:rPr>
          <w:lang w:val="en-CA"/>
        </w:rPr>
        <w:tab/>
      </w:r>
      <w:r w:rsidRPr="00B5368B">
        <w:rPr>
          <w:i/>
          <w:lang w:val="en-CA"/>
        </w:rPr>
        <w:t>Id.</w:t>
      </w:r>
      <w:r w:rsidRPr="00B5368B">
        <w:rPr>
          <w:lang w:val="en-CA"/>
        </w:rPr>
        <w:t>, paragr. 286.</w:t>
      </w:r>
    </w:p>
  </w:footnote>
  <w:footnote w:id="24">
    <w:p w14:paraId="5EBA8F85" w14:textId="792E88EA" w:rsidR="00FC4697" w:rsidRPr="00883D93" w:rsidRDefault="00BD178A">
      <w:pPr>
        <w:pStyle w:val="Notedebasdepage"/>
        <w:rPr>
          <w:lang w:val="en-CA"/>
        </w:rPr>
      </w:pPr>
      <w:r>
        <w:rPr>
          <w:rStyle w:val="Appelnotedebasdep"/>
        </w:rPr>
        <w:footnoteRef/>
      </w:r>
      <w:r w:rsidRPr="00B5368B">
        <w:rPr>
          <w:lang w:val="en-CA"/>
        </w:rPr>
        <w:t xml:space="preserve"> </w:t>
      </w:r>
      <w:r w:rsidRPr="00B5368B">
        <w:rPr>
          <w:lang w:val="en-CA"/>
        </w:rPr>
        <w:tab/>
      </w:r>
      <w:r w:rsidRPr="00B5368B">
        <w:rPr>
          <w:i/>
          <w:lang w:val="en-CA"/>
        </w:rPr>
        <w:t>Id.</w:t>
      </w:r>
      <w:r w:rsidRPr="00B5368B">
        <w:rPr>
          <w:lang w:val="en-CA"/>
        </w:rPr>
        <w:t xml:space="preserve">, paragr. </w:t>
      </w:r>
      <w:r w:rsidRPr="00883D93">
        <w:rPr>
          <w:lang w:val="en-CA"/>
        </w:rPr>
        <w:t>187.</w:t>
      </w:r>
    </w:p>
  </w:footnote>
  <w:footnote w:id="25">
    <w:p w14:paraId="6B5F5361" w14:textId="77777777" w:rsidR="00FC4697" w:rsidRPr="00B5368B" w:rsidRDefault="00BD178A">
      <w:pPr>
        <w:pStyle w:val="Notedebasdepage"/>
      </w:pPr>
      <w:r>
        <w:rPr>
          <w:rStyle w:val="Appelnotedebasdep"/>
        </w:rPr>
        <w:footnoteRef/>
      </w:r>
      <w:r w:rsidRPr="00883D93">
        <w:rPr>
          <w:lang w:val="en-CA"/>
        </w:rPr>
        <w:t xml:space="preserve"> </w:t>
      </w:r>
      <w:r w:rsidRPr="00883D93">
        <w:rPr>
          <w:lang w:val="en-CA"/>
        </w:rPr>
        <w:tab/>
      </w:r>
      <w:r w:rsidRPr="00883D93">
        <w:rPr>
          <w:i/>
          <w:lang w:val="en-CA"/>
        </w:rPr>
        <w:t>Id.</w:t>
      </w:r>
      <w:r w:rsidRPr="00883D93">
        <w:rPr>
          <w:lang w:val="en-CA"/>
        </w:rPr>
        <w:t xml:space="preserve">, paragr. </w:t>
      </w:r>
      <w:r w:rsidRPr="00B5368B">
        <w:t>320.</w:t>
      </w:r>
    </w:p>
  </w:footnote>
  <w:footnote w:id="26">
    <w:p w14:paraId="430EA3DA" w14:textId="0BCE8FBA" w:rsidR="00FC4697" w:rsidRPr="00B5368B" w:rsidRDefault="00BD178A" w:rsidP="00E807C4">
      <w:pPr>
        <w:pStyle w:val="Notedebasdepage"/>
      </w:pPr>
      <w:r w:rsidRPr="00D423CC">
        <w:rPr>
          <w:rStyle w:val="Appelnotedebasdep"/>
        </w:rPr>
        <w:footnoteRef/>
      </w:r>
      <w:r w:rsidRPr="00B5368B">
        <w:t xml:space="preserve"> </w:t>
      </w:r>
      <w:r w:rsidRPr="00B5368B">
        <w:tab/>
      </w:r>
      <w:r>
        <w:rPr>
          <w:i/>
        </w:rPr>
        <w:t xml:space="preserve">Vancouver (Ville) c. </w:t>
      </w:r>
      <w:r w:rsidRPr="009C1E06">
        <w:rPr>
          <w:i/>
        </w:rPr>
        <w:t>Ward</w:t>
      </w:r>
      <w:r>
        <w:t xml:space="preserve">, </w:t>
      </w:r>
      <w:r w:rsidRPr="009C1E06">
        <w:t>2010</w:t>
      </w:r>
      <w:r w:rsidRPr="00B5368B">
        <w:t xml:space="preserve"> CSC 27, [2010] 2 R</w:t>
      </w:r>
      <w:r>
        <w:t>.</w:t>
      </w:r>
      <w:r w:rsidRPr="00B5368B">
        <w:t>C</w:t>
      </w:r>
      <w:r>
        <w:t>.</w:t>
      </w:r>
      <w:r w:rsidRPr="00B5368B">
        <w:t>S</w:t>
      </w:r>
      <w:r>
        <w:t>.</w:t>
      </w:r>
      <w:r w:rsidRPr="00B5368B">
        <w:t xml:space="preserve"> 28.</w:t>
      </w:r>
    </w:p>
  </w:footnote>
  <w:footnote w:id="27">
    <w:p w14:paraId="23B0C687" w14:textId="77777777" w:rsidR="00FC4697" w:rsidRPr="00CC213C" w:rsidRDefault="00BD178A">
      <w:pPr>
        <w:pStyle w:val="Notedebasdepage"/>
      </w:pPr>
      <w:r w:rsidRPr="00D423CC">
        <w:rPr>
          <w:rStyle w:val="Appelnotedebasdep"/>
        </w:rPr>
        <w:footnoteRef/>
      </w:r>
      <w:r w:rsidRPr="00B5368B">
        <w:t xml:space="preserve"> </w:t>
      </w:r>
      <w:r w:rsidRPr="00B5368B">
        <w:tab/>
      </w:r>
      <w:r w:rsidRPr="00B5368B">
        <w:rPr>
          <w:i/>
        </w:rPr>
        <w:t>Id.</w:t>
      </w:r>
      <w:r w:rsidRPr="00B5368B">
        <w:t xml:space="preserve">, paragr. </w:t>
      </w:r>
      <w:r w:rsidRPr="00D263DA">
        <w:t>16 à 45.</w:t>
      </w:r>
    </w:p>
  </w:footnote>
  <w:footnote w:id="28">
    <w:p w14:paraId="4FBCE4D6" w14:textId="77777777" w:rsidR="00FC4697" w:rsidRPr="00F50CB4" w:rsidRDefault="00BD178A" w:rsidP="00E807C4">
      <w:pPr>
        <w:pStyle w:val="Notedebasdepage"/>
        <w:ind w:left="357" w:hanging="357"/>
        <w:rPr>
          <w:rFonts w:cs="Arial"/>
        </w:rPr>
      </w:pPr>
      <w:r w:rsidRPr="00F50CB4">
        <w:rPr>
          <w:rStyle w:val="Appelnotedebasdep"/>
          <w:rFonts w:cs="Arial"/>
        </w:rPr>
        <w:footnoteRef/>
      </w:r>
      <w:r w:rsidRPr="00F50CB4">
        <w:rPr>
          <w:rFonts w:cs="Arial"/>
        </w:rPr>
        <w:t xml:space="preserve"> </w:t>
      </w:r>
      <w:r>
        <w:rPr>
          <w:rFonts w:cs="Arial"/>
        </w:rPr>
        <w:tab/>
      </w:r>
      <w:r w:rsidRPr="00F50CB4">
        <w:rPr>
          <w:rFonts w:cs="Arial"/>
          <w:i/>
        </w:rPr>
        <w:t xml:space="preserve">Henry c. Colombie-Britannique (Procureur général), </w:t>
      </w:r>
      <w:r w:rsidRPr="00F50CB4">
        <w:rPr>
          <w:rFonts w:cs="Arial"/>
        </w:rPr>
        <w:t xml:space="preserve">2015 CSC 24 </w:t>
      </w:r>
      <w:r>
        <w:rPr>
          <w:rFonts w:cs="Arial"/>
        </w:rPr>
        <w:t>[</w:t>
      </w:r>
      <w:r w:rsidRPr="00F50CB4">
        <w:rPr>
          <w:rFonts w:cs="Arial"/>
          <w:i/>
        </w:rPr>
        <w:t>Henry</w:t>
      </w:r>
      <w:r>
        <w:rPr>
          <w:rFonts w:cs="Arial"/>
        </w:rPr>
        <w:t>]</w:t>
      </w:r>
      <w:r w:rsidRPr="00F50CB4">
        <w:rPr>
          <w:rFonts w:cs="Arial"/>
        </w:rPr>
        <w:t>.</w:t>
      </w:r>
    </w:p>
  </w:footnote>
  <w:footnote w:id="29">
    <w:p w14:paraId="4D16A09D" w14:textId="77777777" w:rsidR="00FC4697" w:rsidRDefault="00BD178A" w:rsidP="006B23D6">
      <w:pPr>
        <w:pStyle w:val="Notedebasdepage"/>
      </w:pPr>
      <w:r>
        <w:rPr>
          <w:rStyle w:val="Appelnotedebasdep"/>
        </w:rPr>
        <w:footnoteRef/>
      </w:r>
      <w:r>
        <w:t xml:space="preserve"> </w:t>
      </w:r>
      <w:r>
        <w:tab/>
        <w:t>Jugement entrepris, paragr. 56.</w:t>
      </w:r>
    </w:p>
  </w:footnote>
  <w:footnote w:id="30">
    <w:p w14:paraId="5E6D5BCA" w14:textId="34AE47C0" w:rsidR="00FC4697" w:rsidRPr="002B50BF" w:rsidRDefault="00BD178A">
      <w:pPr>
        <w:pStyle w:val="Notedebasdepage"/>
      </w:pPr>
      <w:r>
        <w:rPr>
          <w:rStyle w:val="Appelnotedebasdep"/>
        </w:rPr>
        <w:footnoteRef/>
      </w:r>
      <w:r w:rsidRPr="009A0698">
        <w:t xml:space="preserve"> </w:t>
      </w:r>
      <w:r w:rsidRPr="009A0698">
        <w:tab/>
      </w:r>
      <w:r w:rsidRPr="009A0698">
        <w:rPr>
          <w:i/>
        </w:rPr>
        <w:t>Henry</w:t>
      </w:r>
      <w:r w:rsidRPr="009A0698">
        <w:t xml:space="preserve">, </w:t>
      </w:r>
      <w:r w:rsidR="00DA551A" w:rsidRPr="00DA551A">
        <w:rPr>
          <w:i/>
        </w:rPr>
        <w:t>supra</w:t>
      </w:r>
      <w:r w:rsidR="00DA551A">
        <w:t xml:space="preserve">, note 28, </w:t>
      </w:r>
      <w:r w:rsidRPr="00DA551A">
        <w:t>paragr</w:t>
      </w:r>
      <w:r w:rsidRPr="009A0698">
        <w:t xml:space="preserve">. </w:t>
      </w:r>
      <w:r w:rsidRPr="002B50BF">
        <w:t>28.</w:t>
      </w:r>
    </w:p>
  </w:footnote>
  <w:footnote w:id="31">
    <w:p w14:paraId="50AECC2A" w14:textId="7CE66A3B" w:rsidR="00FC4697" w:rsidRPr="002422CC" w:rsidRDefault="00BD178A" w:rsidP="00E807C4">
      <w:pPr>
        <w:pStyle w:val="Notedebasdepage"/>
        <w:rPr>
          <w:lang w:val="en-CA"/>
        </w:rPr>
      </w:pPr>
      <w:r>
        <w:rPr>
          <w:rStyle w:val="Appelnotedebasdep"/>
        </w:rPr>
        <w:footnoteRef/>
      </w:r>
      <w:r w:rsidRPr="00AF07BE">
        <w:rPr>
          <w:lang w:val="en-CA"/>
        </w:rPr>
        <w:t xml:space="preserve"> </w:t>
      </w:r>
      <w:r w:rsidRPr="00AF07BE">
        <w:rPr>
          <w:lang w:val="en-CA"/>
        </w:rPr>
        <w:tab/>
      </w:r>
      <w:r>
        <w:rPr>
          <w:i/>
          <w:lang w:val="en-CA"/>
        </w:rPr>
        <w:t>Id.</w:t>
      </w:r>
      <w:r w:rsidRPr="00AF07BE">
        <w:rPr>
          <w:lang w:val="en-CA"/>
        </w:rPr>
        <w:t xml:space="preserve">, paragr. </w:t>
      </w:r>
      <w:r w:rsidRPr="002422CC">
        <w:rPr>
          <w:lang w:val="en-CA"/>
        </w:rPr>
        <w:t>85.</w:t>
      </w:r>
    </w:p>
  </w:footnote>
  <w:footnote w:id="32">
    <w:p w14:paraId="5CDB38B4" w14:textId="7C0172EC" w:rsidR="00FC4697" w:rsidRPr="00D263DA" w:rsidRDefault="00BD178A" w:rsidP="007648A0">
      <w:pPr>
        <w:pStyle w:val="Notedebasdepage"/>
        <w:rPr>
          <w:lang w:val="en-CA"/>
        </w:rPr>
      </w:pPr>
      <w:r>
        <w:rPr>
          <w:rStyle w:val="Appelnotedebasdep"/>
        </w:rPr>
        <w:footnoteRef/>
      </w:r>
      <w:r w:rsidRPr="00D263DA">
        <w:rPr>
          <w:lang w:val="en-CA"/>
        </w:rPr>
        <w:t xml:space="preserve"> </w:t>
      </w:r>
      <w:r w:rsidRPr="00D263DA">
        <w:rPr>
          <w:lang w:val="en-CA"/>
        </w:rPr>
        <w:tab/>
      </w:r>
      <w:r w:rsidRPr="00C92697">
        <w:rPr>
          <w:i/>
          <w:lang w:val="en-CA"/>
        </w:rPr>
        <w:t>Id.</w:t>
      </w:r>
      <w:r w:rsidRPr="00D263DA">
        <w:rPr>
          <w:lang w:val="en-CA"/>
        </w:rPr>
        <w:t>, paragr. 86.</w:t>
      </w:r>
    </w:p>
  </w:footnote>
  <w:footnote w:id="33">
    <w:p w14:paraId="045C9F76" w14:textId="11642A8A" w:rsidR="00FC4697" w:rsidRPr="00D263DA" w:rsidRDefault="00BD178A">
      <w:pPr>
        <w:pStyle w:val="Notedebasdepage"/>
        <w:rPr>
          <w:lang w:val="en-CA"/>
        </w:rPr>
      </w:pPr>
      <w:r w:rsidRPr="00486CDD">
        <w:rPr>
          <w:rStyle w:val="Appelnotedebasdep"/>
        </w:rPr>
        <w:footnoteRef/>
      </w:r>
      <w:r w:rsidRPr="00486CDD">
        <w:rPr>
          <w:lang w:val="en-CA"/>
        </w:rPr>
        <w:t xml:space="preserve"> </w:t>
      </w:r>
      <w:r w:rsidRPr="00486CDD">
        <w:rPr>
          <w:lang w:val="en-CA"/>
        </w:rPr>
        <w:tab/>
      </w:r>
      <w:r w:rsidRPr="00486CDD">
        <w:rPr>
          <w:i/>
          <w:lang w:val="en-CA"/>
        </w:rPr>
        <w:t>Id.</w:t>
      </w:r>
      <w:r w:rsidRPr="00486CDD">
        <w:rPr>
          <w:lang w:val="en-CA"/>
        </w:rPr>
        <w:t>, paragr. 87-88.</w:t>
      </w:r>
    </w:p>
  </w:footnote>
  <w:footnote w:id="34">
    <w:p w14:paraId="1E828989" w14:textId="1D30F294" w:rsidR="00FC4697" w:rsidRPr="00486CDD" w:rsidRDefault="00BD178A">
      <w:pPr>
        <w:pStyle w:val="Notedebasdepage"/>
        <w:rPr>
          <w:lang w:val="en-CA"/>
        </w:rPr>
      </w:pPr>
      <w:r>
        <w:rPr>
          <w:rStyle w:val="Appelnotedebasdep"/>
        </w:rPr>
        <w:footnoteRef/>
      </w:r>
      <w:r w:rsidRPr="00D263DA">
        <w:rPr>
          <w:lang w:val="en-CA"/>
        </w:rPr>
        <w:t xml:space="preserve"> </w:t>
      </w:r>
      <w:r>
        <w:rPr>
          <w:lang w:val="en-CA"/>
        </w:rPr>
        <w:tab/>
      </w:r>
      <w:r w:rsidRPr="00C92697">
        <w:rPr>
          <w:i/>
          <w:lang w:val="en-CA"/>
        </w:rPr>
        <w:t>Id.</w:t>
      </w:r>
      <w:r>
        <w:rPr>
          <w:lang w:val="en-CA"/>
        </w:rPr>
        <w:t xml:space="preserve">, paragr. </w:t>
      </w:r>
      <w:r w:rsidRPr="00486CDD">
        <w:rPr>
          <w:lang w:val="en-CA"/>
        </w:rPr>
        <w:t>88.</w:t>
      </w:r>
    </w:p>
  </w:footnote>
  <w:footnote w:id="35">
    <w:p w14:paraId="6CE2CABF" w14:textId="10B62FF5" w:rsidR="00FC4697" w:rsidRPr="00486CDD" w:rsidRDefault="00BD178A" w:rsidP="007648A0">
      <w:pPr>
        <w:pStyle w:val="Notedebasdepage"/>
        <w:rPr>
          <w:highlight w:val="yellow"/>
          <w:lang w:val="en-CA"/>
        </w:rPr>
      </w:pPr>
      <w:r w:rsidRPr="00D263DA">
        <w:rPr>
          <w:rStyle w:val="Appelnotedebasdep"/>
        </w:rPr>
        <w:footnoteRef/>
      </w:r>
      <w:r w:rsidRPr="00486CDD">
        <w:rPr>
          <w:lang w:val="en-CA"/>
        </w:rPr>
        <w:t xml:space="preserve"> </w:t>
      </w:r>
      <w:r w:rsidRPr="00486CDD">
        <w:rPr>
          <w:lang w:val="en-CA"/>
        </w:rPr>
        <w:tab/>
      </w:r>
      <w:r w:rsidRPr="00486CDD">
        <w:rPr>
          <w:i/>
          <w:lang w:val="en-CA"/>
        </w:rPr>
        <w:t>Id.</w:t>
      </w:r>
      <w:r w:rsidRPr="00486CDD">
        <w:rPr>
          <w:lang w:val="en-CA"/>
        </w:rPr>
        <w:t>, paragr. 85.</w:t>
      </w:r>
    </w:p>
  </w:footnote>
  <w:footnote w:id="36">
    <w:p w14:paraId="392AC3E9" w14:textId="5249D3BD" w:rsidR="00FC4697" w:rsidRPr="009A0698" w:rsidRDefault="00BD178A">
      <w:pPr>
        <w:pStyle w:val="Notedebasdepage"/>
      </w:pPr>
      <w:r>
        <w:rPr>
          <w:rStyle w:val="Appelnotedebasdep"/>
        </w:rPr>
        <w:footnoteRef/>
      </w:r>
      <w:r w:rsidRPr="00486CDD">
        <w:rPr>
          <w:lang w:val="en-CA"/>
        </w:rPr>
        <w:t xml:space="preserve"> </w:t>
      </w:r>
      <w:r w:rsidRPr="00486CDD">
        <w:rPr>
          <w:lang w:val="en-CA"/>
        </w:rPr>
        <w:tab/>
      </w:r>
      <w:r w:rsidRPr="00486CDD">
        <w:rPr>
          <w:i/>
          <w:lang w:val="en-CA"/>
        </w:rPr>
        <w:t>Id.</w:t>
      </w:r>
      <w:r w:rsidRPr="00486CDD">
        <w:rPr>
          <w:lang w:val="en-CA"/>
        </w:rPr>
        <w:t xml:space="preserve">, paragr. </w:t>
      </w:r>
      <w:r w:rsidRPr="009A0698">
        <w:t>96.</w:t>
      </w:r>
    </w:p>
  </w:footnote>
  <w:footnote w:id="37">
    <w:p w14:paraId="7D31DD9D" w14:textId="77777777" w:rsidR="00FC4697" w:rsidRPr="00B50040" w:rsidRDefault="00BD178A" w:rsidP="00A24714">
      <w:pPr>
        <w:pStyle w:val="Notedebasdepage"/>
      </w:pPr>
      <w:r w:rsidRPr="00284B1C">
        <w:rPr>
          <w:rStyle w:val="Appelnotedebasdep"/>
        </w:rPr>
        <w:footnoteRef/>
      </w:r>
      <w:r w:rsidRPr="009A0698">
        <w:t xml:space="preserve"> </w:t>
      </w:r>
      <w:r w:rsidRPr="009A0698">
        <w:tab/>
      </w:r>
      <w:r w:rsidRPr="009A0698">
        <w:rPr>
          <w:i/>
        </w:rPr>
        <w:t>Id.</w:t>
      </w:r>
      <w:r w:rsidRPr="009A0698">
        <w:t xml:space="preserve">, paragr. </w:t>
      </w:r>
      <w:r w:rsidRPr="00B50040">
        <w:t>95-98.</w:t>
      </w:r>
    </w:p>
  </w:footnote>
  <w:footnote w:id="38">
    <w:p w14:paraId="47C749C8" w14:textId="6E87626A" w:rsidR="00FC4697" w:rsidRPr="002B50BF" w:rsidRDefault="00BD178A" w:rsidP="009C7733">
      <w:pPr>
        <w:pStyle w:val="Notedebasdepage"/>
      </w:pPr>
      <w:r>
        <w:rPr>
          <w:rStyle w:val="Appelnotedebasdep"/>
        </w:rPr>
        <w:footnoteRef/>
      </w:r>
      <w:r w:rsidRPr="00B50040">
        <w:t xml:space="preserve"> </w:t>
      </w:r>
      <w:r w:rsidRPr="00B50040">
        <w:tab/>
        <w:t xml:space="preserve">Jugement entrepris, paragr. </w:t>
      </w:r>
      <w:r w:rsidRPr="002B50BF">
        <w:t>117.</w:t>
      </w:r>
    </w:p>
  </w:footnote>
  <w:footnote w:id="39">
    <w:p w14:paraId="17CFE3CB" w14:textId="1D8394CC" w:rsidR="00FC4697" w:rsidRPr="002422CC" w:rsidRDefault="00BD178A">
      <w:pPr>
        <w:pStyle w:val="Notedebasdepage"/>
        <w:rPr>
          <w:lang w:val="en-CA"/>
        </w:rPr>
      </w:pPr>
      <w:r>
        <w:rPr>
          <w:rStyle w:val="Appelnotedebasdep"/>
        </w:rPr>
        <w:footnoteRef/>
      </w:r>
      <w:r w:rsidRPr="009A0698">
        <w:rPr>
          <w:lang w:val="en-CA"/>
        </w:rPr>
        <w:t xml:space="preserve"> </w:t>
      </w:r>
      <w:r w:rsidRPr="009A0698">
        <w:rPr>
          <w:lang w:val="en-CA"/>
        </w:rPr>
        <w:tab/>
      </w:r>
      <w:r w:rsidRPr="009A0698">
        <w:rPr>
          <w:i/>
          <w:lang w:val="en-CA"/>
        </w:rPr>
        <w:t>Id.</w:t>
      </w:r>
      <w:r w:rsidRPr="009A0698">
        <w:rPr>
          <w:lang w:val="en-CA"/>
        </w:rPr>
        <w:t xml:space="preserve">, paragr. </w:t>
      </w:r>
      <w:r w:rsidRPr="002422CC">
        <w:rPr>
          <w:lang w:val="en-CA"/>
        </w:rPr>
        <w:t>77-78.</w:t>
      </w:r>
    </w:p>
  </w:footnote>
  <w:footnote w:id="40">
    <w:p w14:paraId="3802E36E" w14:textId="77777777" w:rsidR="00FC4697" w:rsidRPr="00C97A48" w:rsidRDefault="00BD178A" w:rsidP="00DE4841">
      <w:pPr>
        <w:pStyle w:val="Notedebasdepage"/>
        <w:rPr>
          <w:lang w:val="en-CA"/>
        </w:rPr>
      </w:pPr>
      <w:r>
        <w:rPr>
          <w:rStyle w:val="Appelnotedebasdep"/>
        </w:rPr>
        <w:footnoteRef/>
      </w:r>
      <w:r w:rsidRPr="00C97A48">
        <w:rPr>
          <w:lang w:val="en-CA"/>
        </w:rPr>
        <w:t xml:space="preserve"> </w:t>
      </w:r>
      <w:r w:rsidRPr="00C97A48">
        <w:rPr>
          <w:lang w:val="en-CA"/>
        </w:rPr>
        <w:tab/>
      </w:r>
      <w:r w:rsidRPr="00C97A48">
        <w:rPr>
          <w:i/>
          <w:lang w:val="en-CA"/>
        </w:rPr>
        <w:t>R. c. Stinchcombe</w:t>
      </w:r>
      <w:r w:rsidRPr="00C97A48">
        <w:rPr>
          <w:lang w:val="en-CA"/>
        </w:rPr>
        <w:t xml:space="preserve">, [1991] 3 R.C.S. 326 </w:t>
      </w:r>
      <w:r w:rsidRPr="00C97A48">
        <w:rPr>
          <w:rFonts w:cs="Arial"/>
          <w:lang w:val="en-CA"/>
        </w:rPr>
        <w:t>[</w:t>
      </w:r>
      <w:r w:rsidRPr="00C97A48">
        <w:rPr>
          <w:i/>
          <w:lang w:val="en-CA"/>
        </w:rPr>
        <w:t>Stinchcombe</w:t>
      </w:r>
      <w:r w:rsidRPr="00C97A48">
        <w:rPr>
          <w:rFonts w:cs="Arial"/>
          <w:lang w:val="en-CA"/>
        </w:rPr>
        <w:t>]</w:t>
      </w:r>
      <w:r w:rsidRPr="00C97A48">
        <w:rPr>
          <w:lang w:val="en-CA"/>
        </w:rPr>
        <w:t>.</w:t>
      </w:r>
    </w:p>
  </w:footnote>
  <w:footnote w:id="41">
    <w:p w14:paraId="61DBC9CD" w14:textId="77777777" w:rsidR="00FC4697" w:rsidRDefault="00BD178A" w:rsidP="00DE4841">
      <w:pPr>
        <w:pStyle w:val="Notedebasdepage"/>
      </w:pPr>
      <w:r>
        <w:rPr>
          <w:rStyle w:val="Appelnotedebasdep"/>
        </w:rPr>
        <w:footnoteRef/>
      </w:r>
      <w:r w:rsidRPr="00D263DA">
        <w:t xml:space="preserve"> </w:t>
      </w:r>
      <w:r w:rsidRPr="00D263DA">
        <w:tab/>
      </w:r>
      <w:r w:rsidRPr="00D263DA">
        <w:rPr>
          <w:i/>
        </w:rPr>
        <w:t>R. c. McNeil</w:t>
      </w:r>
      <w:r w:rsidRPr="00D263DA">
        <w:t>, 2009 CSC 3, [2</w:t>
      </w:r>
      <w:r w:rsidRPr="00775043">
        <w:t>009] 1 R</w:t>
      </w:r>
      <w:r>
        <w:t>.</w:t>
      </w:r>
      <w:r w:rsidRPr="00775043">
        <w:t>C</w:t>
      </w:r>
      <w:r>
        <w:t>.</w:t>
      </w:r>
      <w:r w:rsidRPr="00775043">
        <w:t>S</w:t>
      </w:r>
      <w:r>
        <w:t>.</w:t>
      </w:r>
      <w:r w:rsidRPr="00775043">
        <w:t xml:space="preserve"> 66</w:t>
      </w:r>
      <w:r>
        <w:t>, paragr. 14 [</w:t>
      </w:r>
      <w:r w:rsidRPr="00AF05C3">
        <w:rPr>
          <w:i/>
        </w:rPr>
        <w:t>McNeil</w:t>
      </w:r>
      <w:r>
        <w:t xml:space="preserve">] </w:t>
      </w:r>
      <w:r w:rsidRPr="005E7854">
        <w:t>et</w:t>
      </w:r>
      <w:r>
        <w:t xml:space="preserve"> </w:t>
      </w:r>
      <w:r w:rsidRPr="005E7854">
        <w:rPr>
          <w:i/>
        </w:rPr>
        <w:t>R. c. Taillefer</w:t>
      </w:r>
      <w:r w:rsidRPr="005E7854">
        <w:t xml:space="preserve"> ; </w:t>
      </w:r>
      <w:r w:rsidRPr="005E7854">
        <w:rPr>
          <w:i/>
        </w:rPr>
        <w:t>R. c. Duguay</w:t>
      </w:r>
      <w:r>
        <w:t xml:space="preserve">, 2003 </w:t>
      </w:r>
      <w:r w:rsidRPr="005E7854">
        <w:t>CSC 70, [2003] 3 R</w:t>
      </w:r>
      <w:r>
        <w:t>.</w:t>
      </w:r>
      <w:r w:rsidRPr="005E7854">
        <w:t>C</w:t>
      </w:r>
      <w:r>
        <w:t>.</w:t>
      </w:r>
      <w:r w:rsidRPr="005E7854">
        <w:t>S</w:t>
      </w:r>
      <w:r>
        <w:t>.</w:t>
      </w:r>
      <w:r w:rsidRPr="005E7854">
        <w:t xml:space="preserve"> 307</w:t>
      </w:r>
      <w:r>
        <w:t>, paragr. 64 et 70 [</w:t>
      </w:r>
      <w:r>
        <w:rPr>
          <w:i/>
        </w:rPr>
        <w:t>Taillefer</w:t>
      </w:r>
      <w:r>
        <w:t>].</w:t>
      </w:r>
    </w:p>
  </w:footnote>
  <w:footnote w:id="42">
    <w:p w14:paraId="47D9AB51" w14:textId="77777777" w:rsidR="00FC4697" w:rsidRPr="002B50BF" w:rsidRDefault="00BD178A" w:rsidP="00DE4841">
      <w:pPr>
        <w:pStyle w:val="Notedebasdepage"/>
        <w:rPr>
          <w:lang w:val="en-CA"/>
        </w:rPr>
      </w:pPr>
      <w:r>
        <w:rPr>
          <w:rStyle w:val="Appelnotedebasdep"/>
        </w:rPr>
        <w:footnoteRef/>
      </w:r>
      <w:r w:rsidRPr="002B50BF">
        <w:rPr>
          <w:lang w:val="en-CA"/>
        </w:rPr>
        <w:t xml:space="preserve"> </w:t>
      </w:r>
      <w:r w:rsidRPr="002B50BF">
        <w:rPr>
          <w:lang w:val="en-CA"/>
        </w:rPr>
        <w:tab/>
      </w:r>
      <w:r w:rsidRPr="002B50BF">
        <w:rPr>
          <w:i/>
          <w:lang w:val="en-CA"/>
        </w:rPr>
        <w:t>Boucher v. The Queen</w:t>
      </w:r>
      <w:r w:rsidRPr="002B50BF">
        <w:rPr>
          <w:lang w:val="en-CA"/>
        </w:rPr>
        <w:t>, [1955] S.C.R. 16, 1954 CanLII 3 (SCC).</w:t>
      </w:r>
    </w:p>
  </w:footnote>
  <w:footnote w:id="43">
    <w:p w14:paraId="048E2735" w14:textId="37E501C9" w:rsidR="00FC4697" w:rsidRDefault="00BD178A" w:rsidP="00DE4841">
      <w:pPr>
        <w:pStyle w:val="Notedebasdepage"/>
      </w:pPr>
      <w:r>
        <w:rPr>
          <w:rStyle w:val="Appelnotedebasdep"/>
        </w:rPr>
        <w:footnoteRef/>
      </w:r>
      <w:r>
        <w:t xml:space="preserve"> </w:t>
      </w:r>
      <w:r>
        <w:tab/>
      </w:r>
      <w:r>
        <w:rPr>
          <w:i/>
        </w:rPr>
        <w:t>McNeil</w:t>
      </w:r>
      <w:r>
        <w:t xml:space="preserve">, </w:t>
      </w:r>
      <w:r>
        <w:rPr>
          <w:i/>
        </w:rPr>
        <w:t>supra</w:t>
      </w:r>
      <w:r>
        <w:t>, note 41, paragr. 24-25.</w:t>
      </w:r>
    </w:p>
  </w:footnote>
  <w:footnote w:id="44">
    <w:p w14:paraId="337D80A3" w14:textId="5880F00D" w:rsidR="00FC4697" w:rsidRPr="008F2301" w:rsidRDefault="00BD178A" w:rsidP="00AC4490">
      <w:pPr>
        <w:pStyle w:val="Notedebasdepage"/>
        <w:rPr>
          <w:rFonts w:cs="Arial"/>
        </w:rPr>
      </w:pPr>
      <w:r w:rsidRPr="008F2301">
        <w:rPr>
          <w:rStyle w:val="Appelnotedebasdep"/>
          <w:rFonts w:cs="Arial"/>
        </w:rPr>
        <w:footnoteRef/>
      </w:r>
      <w:r w:rsidRPr="008F2301">
        <w:rPr>
          <w:rFonts w:cs="Arial"/>
        </w:rPr>
        <w:t xml:space="preserve"> </w:t>
      </w:r>
      <w:r>
        <w:rPr>
          <w:rFonts w:cs="Arial"/>
        </w:rPr>
        <w:tab/>
      </w:r>
      <w:r w:rsidRPr="008F2301">
        <w:rPr>
          <w:rFonts w:cs="Arial"/>
        </w:rPr>
        <w:t>Jugement entrepris, paragr. 210-21</w:t>
      </w:r>
      <w:r>
        <w:rPr>
          <w:rFonts w:cs="Arial"/>
        </w:rPr>
        <w:t>4</w:t>
      </w:r>
      <w:r w:rsidRPr="008F2301">
        <w:rPr>
          <w:rFonts w:cs="Arial"/>
        </w:rPr>
        <w:t>.</w:t>
      </w:r>
    </w:p>
  </w:footnote>
  <w:footnote w:id="45">
    <w:p w14:paraId="70BCC866" w14:textId="7E7D2FE9" w:rsidR="00FC4697" w:rsidRPr="00C712D0" w:rsidRDefault="00BD178A" w:rsidP="00EA7758">
      <w:pPr>
        <w:pStyle w:val="Notedebasdepage"/>
      </w:pPr>
      <w:r w:rsidRPr="008F2301">
        <w:rPr>
          <w:rStyle w:val="Appelnotedebasdep"/>
        </w:rPr>
        <w:footnoteRef/>
      </w:r>
      <w:r w:rsidRPr="00C712D0">
        <w:t xml:space="preserve"> </w:t>
      </w:r>
      <w:r>
        <w:tab/>
      </w:r>
      <w:r w:rsidRPr="00C712D0">
        <w:rPr>
          <w:i/>
          <w:lang w:eastAsia="fr-CA"/>
        </w:rPr>
        <w:t>Stinchcombe</w:t>
      </w:r>
      <w:r>
        <w:rPr>
          <w:lang w:eastAsia="fr-CA"/>
        </w:rPr>
        <w:t xml:space="preserve">, </w:t>
      </w:r>
      <w:r w:rsidR="00DA551A" w:rsidRPr="00DA551A">
        <w:rPr>
          <w:i/>
          <w:lang w:eastAsia="fr-CA"/>
        </w:rPr>
        <w:t>supra</w:t>
      </w:r>
      <w:r w:rsidR="00DA551A">
        <w:rPr>
          <w:lang w:eastAsia="fr-CA"/>
        </w:rPr>
        <w:t xml:space="preserve">, note 40, </w:t>
      </w:r>
      <w:r w:rsidRPr="008F2FB8">
        <w:rPr>
          <w:lang w:eastAsia="fr-CA"/>
        </w:rPr>
        <w:t>p</w:t>
      </w:r>
      <w:r w:rsidRPr="00F928C0">
        <w:rPr>
          <w:lang w:eastAsia="fr-CA"/>
        </w:rPr>
        <w:t>. 331.</w:t>
      </w:r>
    </w:p>
  </w:footnote>
  <w:footnote w:id="46">
    <w:p w14:paraId="1560F36F" w14:textId="77777777" w:rsidR="00FC4697" w:rsidRPr="00EC1590" w:rsidRDefault="00BD178A" w:rsidP="00EA7758">
      <w:pPr>
        <w:pStyle w:val="Notedebasdepage"/>
        <w:rPr>
          <w:lang w:val="en-CA"/>
        </w:rPr>
      </w:pPr>
      <w:r>
        <w:rPr>
          <w:rStyle w:val="Appelnotedebasdep"/>
        </w:rPr>
        <w:footnoteRef/>
      </w:r>
      <w:r>
        <w:t xml:space="preserve"> </w:t>
      </w:r>
      <w:r>
        <w:tab/>
      </w:r>
      <w:r w:rsidRPr="00F32C88">
        <w:t xml:space="preserve">Martin Vauclair et Tristan Desjardins, </w:t>
      </w:r>
      <w:r w:rsidRPr="00F32C88">
        <w:rPr>
          <w:i/>
        </w:rPr>
        <w:t>Traité général de preuve et de procédure pénales</w:t>
      </w:r>
      <w:r>
        <w:t>, 28</w:t>
      </w:r>
      <w:r w:rsidRPr="00F32C88">
        <w:rPr>
          <w:vertAlign w:val="superscript"/>
        </w:rPr>
        <w:t>e</w:t>
      </w:r>
      <w:r>
        <w:t xml:space="preserve"> </w:t>
      </w:r>
      <w:r w:rsidRPr="00F32C88">
        <w:t xml:space="preserve">éd., Cowansville, Yvon Blais, 2021, paragr. </w:t>
      </w:r>
      <w:r w:rsidRPr="00EC1590">
        <w:rPr>
          <w:lang w:val="en-CA"/>
        </w:rPr>
        <w:t>21.2 et 21.8.</w:t>
      </w:r>
    </w:p>
  </w:footnote>
  <w:footnote w:id="47">
    <w:p w14:paraId="43679EE6" w14:textId="77777777" w:rsidR="00FC4697" w:rsidRPr="00E9072B" w:rsidRDefault="00BD178A" w:rsidP="00EA7758">
      <w:pPr>
        <w:pStyle w:val="Notedebasdepage"/>
        <w:rPr>
          <w:lang w:val="en-CA"/>
        </w:rPr>
      </w:pPr>
      <w:r>
        <w:rPr>
          <w:rStyle w:val="Appelnotedebasdep"/>
        </w:rPr>
        <w:footnoteRef/>
      </w:r>
      <w:r w:rsidRPr="00F928C0">
        <w:rPr>
          <w:lang w:val="en-CA"/>
        </w:rPr>
        <w:t xml:space="preserve"> </w:t>
      </w:r>
      <w:r w:rsidRPr="00F928C0">
        <w:rPr>
          <w:lang w:val="en-CA"/>
        </w:rPr>
        <w:tab/>
        <w:t xml:space="preserve">Voir Barry K. Grossman, « Disclosure by the Prosecution: Reconciling Duty and Discretion » (1988) 30:3 </w:t>
      </w:r>
      <w:r w:rsidRPr="00F928C0">
        <w:rPr>
          <w:i/>
          <w:lang w:val="en-CA"/>
        </w:rPr>
        <w:t>Crim L</w:t>
      </w:r>
      <w:r w:rsidRPr="00E9072B">
        <w:rPr>
          <w:i/>
          <w:lang w:val="en-CA"/>
        </w:rPr>
        <w:t>.Q.</w:t>
      </w:r>
      <w:r w:rsidRPr="00E9072B">
        <w:rPr>
          <w:lang w:val="en-CA"/>
        </w:rPr>
        <w:t xml:space="preserve"> 346, p. 356 et 373. </w:t>
      </w:r>
    </w:p>
  </w:footnote>
  <w:footnote w:id="48">
    <w:p w14:paraId="7947B285" w14:textId="77777777" w:rsidR="00FC4697" w:rsidRDefault="00BD178A" w:rsidP="00EA7758">
      <w:pPr>
        <w:pStyle w:val="Notedebasdepage"/>
      </w:pPr>
      <w:r>
        <w:rPr>
          <w:rStyle w:val="Appelnotedebasdep"/>
        </w:rPr>
        <w:footnoteRef/>
      </w:r>
      <w:r>
        <w:t xml:space="preserve">  </w:t>
      </w:r>
      <w:r>
        <w:tab/>
      </w:r>
      <w:r w:rsidRPr="003B77EF">
        <w:rPr>
          <w:i/>
        </w:rPr>
        <w:t>R. v. Savion</w:t>
      </w:r>
      <w:r>
        <w:rPr>
          <w:i/>
        </w:rPr>
        <w:t xml:space="preserve"> and Mizrahi</w:t>
      </w:r>
      <w:r w:rsidRPr="003B77EF">
        <w:t>, 52 CCC (2d) 276, 1980 CanLII 2872</w:t>
      </w:r>
      <w:r>
        <w:t>, p. 284</w:t>
      </w:r>
      <w:r w:rsidRPr="003B77EF">
        <w:t xml:space="preserve"> (Ont. C.A.)</w:t>
      </w:r>
      <w:r>
        <w:t>.</w:t>
      </w:r>
    </w:p>
  </w:footnote>
  <w:footnote w:id="49">
    <w:p w14:paraId="4E9897C5" w14:textId="03AA6C85" w:rsidR="00FC4697" w:rsidRPr="003923C1" w:rsidRDefault="00BD178A" w:rsidP="00EA7758">
      <w:pPr>
        <w:pStyle w:val="Notedebasdepage"/>
      </w:pPr>
      <w:r>
        <w:rPr>
          <w:rStyle w:val="Appelnotedebasdep"/>
        </w:rPr>
        <w:footnoteRef/>
      </w:r>
      <w:r>
        <w:t xml:space="preserve"> </w:t>
      </w:r>
      <w:r>
        <w:tab/>
        <w:t xml:space="preserve">Pierre Béliveau et Diane Labrèche, </w:t>
      </w:r>
      <w:r>
        <w:rPr>
          <w:i/>
        </w:rPr>
        <w:t>Procédure pénale : textes et commentaires</w:t>
      </w:r>
      <w:r>
        <w:t xml:space="preserve">, Cowansville, Yvon Blais, 1984, p. 512. Voir aussi Pierre Béliveau, Jacques Bellemare, et Jean-Pierre Lussier, </w:t>
      </w:r>
      <w:r>
        <w:rPr>
          <w:i/>
        </w:rPr>
        <w:t>Traité de procédure pénale</w:t>
      </w:r>
      <w:r>
        <w:t xml:space="preserve">, t. 1, Montréal, Yvon Blais, 1981, p. 376-377. </w:t>
      </w:r>
      <w:r w:rsidRPr="003923C1">
        <w:t xml:space="preserve">Voir dans le même sens : Barry K. Grossman, </w:t>
      </w:r>
      <w:r w:rsidRPr="003923C1">
        <w:rPr>
          <w:i/>
        </w:rPr>
        <w:t xml:space="preserve">supra </w:t>
      </w:r>
      <w:r>
        <w:t xml:space="preserve">note </w:t>
      </w:r>
      <w:r w:rsidRPr="00803976">
        <w:t>4</w:t>
      </w:r>
      <w:r w:rsidR="00317C12" w:rsidRPr="00803976">
        <w:t>7</w:t>
      </w:r>
      <w:r w:rsidRPr="003923C1">
        <w:t>, p. 346.</w:t>
      </w:r>
    </w:p>
  </w:footnote>
  <w:footnote w:id="50">
    <w:p w14:paraId="4F03395B" w14:textId="3E7EBBA6" w:rsidR="00FC4697" w:rsidRDefault="00BD178A" w:rsidP="008A2251">
      <w:pPr>
        <w:pStyle w:val="Notedebasdepage"/>
      </w:pPr>
      <w:r>
        <w:rPr>
          <w:rStyle w:val="Appelnotedebasdep"/>
        </w:rPr>
        <w:footnoteRef/>
      </w:r>
      <w:r>
        <w:t xml:space="preserve"> </w:t>
      </w:r>
      <w:r>
        <w:tab/>
        <w:t xml:space="preserve">Pièce </w:t>
      </w:r>
      <w:r>
        <w:rPr>
          <w:rFonts w:cs="Arial"/>
          <w:color w:val="000000"/>
        </w:rPr>
        <w:t>PG</w:t>
      </w:r>
      <w:r w:rsidR="00DA551A">
        <w:rPr>
          <w:rFonts w:cs="Arial"/>
          <w:color w:val="000000"/>
        </w:rPr>
        <w:t>Q-9, Requêtes préliminaires, 18 </w:t>
      </w:r>
      <w:r>
        <w:rPr>
          <w:rFonts w:cs="Arial"/>
          <w:color w:val="000000"/>
        </w:rPr>
        <w:t>février</w:t>
      </w:r>
      <w:r w:rsidR="00DA551A">
        <w:rPr>
          <w:rFonts w:cs="Arial"/>
          <w:color w:val="000000"/>
        </w:rPr>
        <w:t> </w:t>
      </w:r>
      <w:r>
        <w:rPr>
          <w:rFonts w:cs="Arial"/>
          <w:color w:val="000000"/>
        </w:rPr>
        <w:t>1986; Jugement entrepris, paragr. 213-214.</w:t>
      </w:r>
    </w:p>
  </w:footnote>
  <w:footnote w:id="51">
    <w:p w14:paraId="49BC3B43" w14:textId="16BC453C" w:rsidR="00FC4697" w:rsidRDefault="00BD178A" w:rsidP="00555BCE">
      <w:pPr>
        <w:pStyle w:val="Notedebasdepage"/>
      </w:pPr>
      <w:r>
        <w:rPr>
          <w:rStyle w:val="Appelnotedebasdep"/>
        </w:rPr>
        <w:footnoteRef/>
      </w:r>
      <w:r>
        <w:t xml:space="preserve"> </w:t>
      </w:r>
      <w:r>
        <w:tab/>
        <w:t>Procès-verbal de la conférence préparatoire du 5 septembre 2019.</w:t>
      </w:r>
    </w:p>
  </w:footnote>
  <w:footnote w:id="52">
    <w:p w14:paraId="553A660F" w14:textId="124E8EEB" w:rsidR="00FC4697" w:rsidRPr="00346585" w:rsidRDefault="00BD178A" w:rsidP="003C18DA">
      <w:pPr>
        <w:pStyle w:val="Notedebasdepage"/>
      </w:pPr>
      <w:r w:rsidRPr="00346585">
        <w:rPr>
          <w:rStyle w:val="Appelnotedebasdep"/>
        </w:rPr>
        <w:footnoteRef/>
      </w:r>
      <w:r w:rsidRPr="00346585">
        <w:t xml:space="preserve"> </w:t>
      </w:r>
      <w:r w:rsidRPr="00346585">
        <w:tab/>
        <w:t>Jugement entrepris, paragr. 216, 225 et 226.</w:t>
      </w:r>
    </w:p>
  </w:footnote>
  <w:footnote w:id="53">
    <w:p w14:paraId="52AB0E70" w14:textId="3681A037" w:rsidR="00FC4697" w:rsidRPr="00284B1C" w:rsidRDefault="00BD178A">
      <w:pPr>
        <w:pStyle w:val="Notedebasdepage"/>
      </w:pPr>
      <w:r>
        <w:rPr>
          <w:rStyle w:val="Appelnotedebasdep"/>
        </w:rPr>
        <w:footnoteRef/>
      </w:r>
      <w:r w:rsidRPr="00284B1C">
        <w:t xml:space="preserve"> </w:t>
      </w:r>
      <w:r w:rsidRPr="00284B1C">
        <w:tab/>
      </w:r>
      <w:r w:rsidRPr="00284B1C">
        <w:rPr>
          <w:i/>
        </w:rPr>
        <w:t>J.G. c. Nadeau</w:t>
      </w:r>
      <w:r w:rsidRPr="00284B1C">
        <w:t>, 2016 QCCA 167, par</w:t>
      </w:r>
      <w:r w:rsidRPr="00D263DA">
        <w:t>agr</w:t>
      </w:r>
      <w:r w:rsidRPr="00284B1C">
        <w:t>. 77</w:t>
      </w:r>
      <w:r w:rsidRPr="00D263DA">
        <w:t>.</w:t>
      </w:r>
    </w:p>
  </w:footnote>
  <w:footnote w:id="54">
    <w:p w14:paraId="0755BE99" w14:textId="0941FD7F" w:rsidR="00FC4697" w:rsidRPr="009E7299" w:rsidRDefault="00BD178A">
      <w:pPr>
        <w:pStyle w:val="Notedebasdepage"/>
      </w:pPr>
      <w:r w:rsidRPr="00284B1C">
        <w:rPr>
          <w:rStyle w:val="Appelnotedebasdep"/>
        </w:rPr>
        <w:footnoteRef/>
      </w:r>
      <w:r w:rsidRPr="00284B1C">
        <w:t xml:space="preserve"> </w:t>
      </w:r>
      <w:r w:rsidRPr="00284B1C">
        <w:tab/>
        <w:t xml:space="preserve">Jugement entrepris, paragr. </w:t>
      </w:r>
      <w:r w:rsidRPr="009E7299">
        <w:t>225.</w:t>
      </w:r>
    </w:p>
  </w:footnote>
  <w:footnote w:id="55">
    <w:p w14:paraId="7F7DBA3C" w14:textId="751561BE" w:rsidR="00FC4697" w:rsidRPr="00A06898" w:rsidRDefault="00BD178A" w:rsidP="00CA41FA">
      <w:pPr>
        <w:pStyle w:val="Notedebasdepage"/>
      </w:pPr>
      <w:r w:rsidRPr="003B3298">
        <w:rPr>
          <w:rStyle w:val="Appelnotedebasdep"/>
        </w:rPr>
        <w:footnoteRef/>
      </w:r>
      <w:r w:rsidRPr="00BC2FC8">
        <w:t xml:space="preserve"> </w:t>
      </w:r>
      <w:r w:rsidRPr="00BC2FC8">
        <w:tab/>
      </w:r>
      <w:r w:rsidRPr="00BC2FC8">
        <w:rPr>
          <w:i/>
        </w:rPr>
        <w:t>Id.</w:t>
      </w:r>
      <w:r w:rsidRPr="00BC2FC8">
        <w:t xml:space="preserve">, paragr. </w:t>
      </w:r>
      <w:r w:rsidRPr="00A06898">
        <w:t>220.</w:t>
      </w:r>
    </w:p>
  </w:footnote>
  <w:footnote w:id="56">
    <w:p w14:paraId="155E9B04" w14:textId="5053BC85" w:rsidR="00FC4697" w:rsidRPr="001573B4" w:rsidRDefault="00BD178A" w:rsidP="00CA41FA">
      <w:pPr>
        <w:pStyle w:val="Notedebasdepage"/>
        <w:rPr>
          <w:lang w:val="en-CA"/>
        </w:rPr>
      </w:pPr>
      <w:r w:rsidRPr="00C92697">
        <w:rPr>
          <w:rStyle w:val="Appelnotedebasdep"/>
        </w:rPr>
        <w:footnoteRef/>
      </w:r>
      <w:r w:rsidRPr="00C92697">
        <w:rPr>
          <w:lang w:val="en-CA"/>
        </w:rPr>
        <w:t xml:space="preserve"> </w:t>
      </w:r>
      <w:r w:rsidRPr="00C92697">
        <w:rPr>
          <w:lang w:val="en-CA"/>
        </w:rPr>
        <w:tab/>
      </w:r>
      <w:r w:rsidRPr="00C92697">
        <w:rPr>
          <w:i/>
          <w:lang w:val="en-CA"/>
        </w:rPr>
        <w:t>Id.</w:t>
      </w:r>
      <w:r w:rsidRPr="00C92697">
        <w:rPr>
          <w:lang w:val="en-CA"/>
        </w:rPr>
        <w:t>, paragr. 221.</w:t>
      </w:r>
    </w:p>
  </w:footnote>
  <w:footnote w:id="57">
    <w:p w14:paraId="1B503837" w14:textId="6300C3A3" w:rsidR="00FC4697" w:rsidRPr="009E7299" w:rsidRDefault="00BD178A">
      <w:pPr>
        <w:pStyle w:val="Notedebasdepage"/>
        <w:rPr>
          <w:lang w:val="en-CA"/>
        </w:rPr>
      </w:pPr>
      <w:r>
        <w:rPr>
          <w:rStyle w:val="Appelnotedebasdep"/>
        </w:rPr>
        <w:footnoteRef/>
      </w:r>
      <w:r w:rsidRPr="009E7299">
        <w:rPr>
          <w:lang w:val="en-CA"/>
        </w:rPr>
        <w:t xml:space="preserve"> </w:t>
      </w:r>
      <w:r w:rsidRPr="009E7299">
        <w:rPr>
          <w:lang w:val="en-CA"/>
        </w:rPr>
        <w:tab/>
      </w:r>
      <w:r w:rsidRPr="009E7299">
        <w:rPr>
          <w:i/>
          <w:lang w:val="en-CA"/>
        </w:rPr>
        <w:t>Id.</w:t>
      </w:r>
      <w:r w:rsidRPr="009E7299">
        <w:rPr>
          <w:lang w:val="en-CA"/>
        </w:rPr>
        <w:t>, paragr. 242-244.</w:t>
      </w:r>
    </w:p>
  </w:footnote>
  <w:footnote w:id="58">
    <w:p w14:paraId="696DAECF" w14:textId="377415F4" w:rsidR="00FC4697" w:rsidRPr="00555BCE" w:rsidRDefault="00BD178A">
      <w:pPr>
        <w:pStyle w:val="Notedebasdepage"/>
        <w:rPr>
          <w:lang w:val="en-CA"/>
        </w:rPr>
      </w:pPr>
      <w:r>
        <w:rPr>
          <w:rStyle w:val="Appelnotedebasdep"/>
        </w:rPr>
        <w:footnoteRef/>
      </w:r>
      <w:r w:rsidRPr="00555BCE">
        <w:rPr>
          <w:lang w:val="en-CA"/>
        </w:rPr>
        <w:t xml:space="preserve"> </w:t>
      </w:r>
      <w:r>
        <w:rPr>
          <w:lang w:val="en-CA"/>
        </w:rPr>
        <w:tab/>
      </w:r>
      <w:r w:rsidRPr="00555BCE">
        <w:rPr>
          <w:i/>
          <w:lang w:val="en-CA"/>
        </w:rPr>
        <w:t>Id.</w:t>
      </w:r>
      <w:r w:rsidRPr="00555BCE">
        <w:rPr>
          <w:lang w:val="en-CA"/>
        </w:rPr>
        <w:t>,</w:t>
      </w:r>
      <w:r>
        <w:rPr>
          <w:lang w:val="en-CA"/>
        </w:rPr>
        <w:t xml:space="preserve"> paragr. 244.</w:t>
      </w:r>
    </w:p>
  </w:footnote>
  <w:footnote w:id="59">
    <w:p w14:paraId="4A6E7CD7" w14:textId="36652852" w:rsidR="00FC4697" w:rsidRPr="009E7299" w:rsidRDefault="00BD178A">
      <w:pPr>
        <w:pStyle w:val="Notedebasdepage"/>
        <w:rPr>
          <w:lang w:val="en-CA"/>
        </w:rPr>
      </w:pPr>
      <w:r>
        <w:rPr>
          <w:rStyle w:val="Appelnotedebasdep"/>
        </w:rPr>
        <w:footnoteRef/>
      </w:r>
      <w:r w:rsidRPr="009E7299">
        <w:rPr>
          <w:lang w:val="en-CA"/>
        </w:rPr>
        <w:t xml:space="preserve"> </w:t>
      </w:r>
      <w:r w:rsidRPr="009E7299">
        <w:rPr>
          <w:lang w:val="en-CA"/>
        </w:rPr>
        <w:tab/>
      </w:r>
      <w:r w:rsidRPr="009E7299">
        <w:rPr>
          <w:i/>
          <w:lang w:val="en-CA"/>
        </w:rPr>
        <w:t>Id.</w:t>
      </w:r>
      <w:r w:rsidRPr="009E7299">
        <w:rPr>
          <w:lang w:val="en-CA"/>
        </w:rPr>
        <w:t>, paragr. 302.</w:t>
      </w:r>
    </w:p>
  </w:footnote>
  <w:footnote w:id="60">
    <w:p w14:paraId="2FD82A8B" w14:textId="133E46DC" w:rsidR="00FC4697" w:rsidRPr="00BC2FC8" w:rsidRDefault="00BD178A" w:rsidP="00AA6EE3">
      <w:pPr>
        <w:pStyle w:val="Notedebasdepage"/>
        <w:rPr>
          <w:lang w:val="en-CA"/>
        </w:rPr>
      </w:pPr>
      <w:r>
        <w:rPr>
          <w:rStyle w:val="Appelnotedebasdep"/>
        </w:rPr>
        <w:footnoteRef/>
      </w:r>
      <w:r w:rsidRPr="00B5368B">
        <w:rPr>
          <w:lang w:val="en-CA"/>
        </w:rPr>
        <w:t xml:space="preserve"> </w:t>
      </w:r>
      <w:r w:rsidRPr="00B5368B">
        <w:rPr>
          <w:lang w:val="en-CA"/>
        </w:rPr>
        <w:tab/>
      </w:r>
      <w:r w:rsidRPr="007E5663">
        <w:rPr>
          <w:i/>
          <w:lang w:val="en-CA"/>
        </w:rPr>
        <w:t>Id</w:t>
      </w:r>
      <w:r w:rsidRPr="00B5368B">
        <w:rPr>
          <w:i/>
          <w:lang w:val="en-CA"/>
        </w:rPr>
        <w:t>.</w:t>
      </w:r>
      <w:r w:rsidRPr="00B5368B">
        <w:rPr>
          <w:lang w:val="en-CA"/>
        </w:rPr>
        <w:t xml:space="preserve">, paragr. </w:t>
      </w:r>
      <w:r w:rsidRPr="00BC2FC8">
        <w:rPr>
          <w:lang w:val="en-CA"/>
        </w:rPr>
        <w:t>294.</w:t>
      </w:r>
    </w:p>
  </w:footnote>
  <w:footnote w:id="61">
    <w:p w14:paraId="6BBA8228" w14:textId="1FB1F4BB" w:rsidR="00FC4697" w:rsidRPr="00D73E34" w:rsidRDefault="00BD178A">
      <w:pPr>
        <w:pStyle w:val="Notedebasdepage"/>
      </w:pPr>
      <w:r>
        <w:rPr>
          <w:rStyle w:val="Appelnotedebasdep"/>
        </w:rPr>
        <w:footnoteRef/>
      </w:r>
      <w:r w:rsidRPr="00BC2FC8">
        <w:rPr>
          <w:lang w:val="en-CA"/>
        </w:rPr>
        <w:t xml:space="preserve"> </w:t>
      </w:r>
      <w:r w:rsidRPr="00BC2FC8">
        <w:rPr>
          <w:lang w:val="en-CA"/>
        </w:rPr>
        <w:tab/>
      </w:r>
      <w:r w:rsidRPr="00BC2FC8">
        <w:rPr>
          <w:i/>
          <w:lang w:val="en-CA"/>
        </w:rPr>
        <w:t>Id.</w:t>
      </w:r>
      <w:r w:rsidRPr="00BC2FC8">
        <w:rPr>
          <w:lang w:val="en-CA"/>
        </w:rPr>
        <w:t xml:space="preserve">, paragr. </w:t>
      </w:r>
      <w:r>
        <w:t>246</w:t>
      </w:r>
      <w:r w:rsidRPr="00D73E34">
        <w:t xml:space="preserve"> à 263.</w:t>
      </w:r>
    </w:p>
  </w:footnote>
  <w:footnote w:id="62">
    <w:p w14:paraId="115BC56B" w14:textId="630DD48E" w:rsidR="00FC4697" w:rsidRPr="00394A19" w:rsidRDefault="00BD178A">
      <w:pPr>
        <w:pStyle w:val="Notedebasdepage"/>
      </w:pPr>
      <w:r>
        <w:rPr>
          <w:rStyle w:val="Appelnotedebasdep"/>
        </w:rPr>
        <w:footnoteRef/>
      </w:r>
      <w:r w:rsidRPr="00D73E34">
        <w:t xml:space="preserve"> </w:t>
      </w:r>
      <w:r w:rsidRPr="00D73E34">
        <w:tab/>
      </w:r>
      <w:r w:rsidRPr="00D73E34">
        <w:rPr>
          <w:i/>
        </w:rPr>
        <w:t>Id.</w:t>
      </w:r>
      <w:r w:rsidRPr="00D73E34">
        <w:t xml:space="preserve">, paragr. </w:t>
      </w:r>
      <w:r w:rsidRPr="00394A19">
        <w:t>273-274.</w:t>
      </w:r>
    </w:p>
  </w:footnote>
  <w:footnote w:id="63">
    <w:p w14:paraId="12E4ED31" w14:textId="4444F62D" w:rsidR="00FC4697" w:rsidRPr="00D73E34" w:rsidRDefault="00BD178A">
      <w:pPr>
        <w:pStyle w:val="Notedebasdepage"/>
      </w:pPr>
      <w:r>
        <w:rPr>
          <w:rStyle w:val="Appelnotedebasdep"/>
        </w:rPr>
        <w:footnoteRef/>
      </w:r>
      <w:r w:rsidRPr="00D73E34">
        <w:t xml:space="preserve"> </w:t>
      </w:r>
      <w:r w:rsidRPr="00D73E34">
        <w:tab/>
      </w:r>
      <w:r w:rsidRPr="00D73E34">
        <w:rPr>
          <w:i/>
        </w:rPr>
        <w:t>Henry</w:t>
      </w:r>
      <w:r w:rsidRPr="00D73E34">
        <w:t xml:space="preserve">, </w:t>
      </w:r>
      <w:r w:rsidR="00DA551A" w:rsidRPr="00DA551A">
        <w:rPr>
          <w:i/>
        </w:rPr>
        <w:t>supra</w:t>
      </w:r>
      <w:r w:rsidR="00DA551A">
        <w:t>, note 28</w:t>
      </w:r>
      <w:r w:rsidR="00803976">
        <w:t xml:space="preserve">, </w:t>
      </w:r>
      <w:r w:rsidRPr="00DA551A">
        <w:t>paragr</w:t>
      </w:r>
      <w:r w:rsidRPr="00D73E34">
        <w:t>. 86.</w:t>
      </w:r>
    </w:p>
  </w:footnote>
  <w:footnote w:id="64">
    <w:p w14:paraId="1B7B2A87" w14:textId="78FAF61A" w:rsidR="00FC4697" w:rsidRPr="00D73E34" w:rsidRDefault="00BD178A">
      <w:pPr>
        <w:pStyle w:val="Notedebasdepage"/>
      </w:pPr>
      <w:r>
        <w:rPr>
          <w:rStyle w:val="Appelnotedebasdep"/>
        </w:rPr>
        <w:footnoteRef/>
      </w:r>
      <w:r w:rsidRPr="00D73E34">
        <w:t xml:space="preserve"> </w:t>
      </w:r>
      <w:r w:rsidRPr="00D73E34">
        <w:tab/>
      </w:r>
      <w:r w:rsidRPr="00D73E34">
        <w:rPr>
          <w:i/>
        </w:rPr>
        <w:t>Id.</w:t>
      </w:r>
      <w:r w:rsidRPr="00D73E34">
        <w:t>, paragr. 86.</w:t>
      </w:r>
    </w:p>
  </w:footnote>
  <w:footnote w:id="65">
    <w:p w14:paraId="14986548" w14:textId="39CB8ABA" w:rsidR="00FC4697" w:rsidRDefault="00BD178A">
      <w:pPr>
        <w:pStyle w:val="Notedebasdepage"/>
      </w:pPr>
      <w:r>
        <w:rPr>
          <w:rStyle w:val="Appelnotedebasdep"/>
        </w:rPr>
        <w:footnoteRef/>
      </w:r>
      <w:r>
        <w:t xml:space="preserve"> </w:t>
      </w:r>
      <w:r>
        <w:tab/>
        <w:t>Jugement entrepris, paragr. 306-323.</w:t>
      </w:r>
    </w:p>
  </w:footnote>
  <w:footnote w:id="66">
    <w:p w14:paraId="17A15EFE" w14:textId="01D9FFD4" w:rsidR="00FC4697" w:rsidRPr="00CC7A98" w:rsidRDefault="00BD178A" w:rsidP="00AA6EE3">
      <w:pPr>
        <w:pStyle w:val="Notedebasdepage"/>
        <w:rPr>
          <w:rFonts w:cs="Arial"/>
        </w:rPr>
      </w:pPr>
      <w:r w:rsidRPr="00AA6709">
        <w:rPr>
          <w:rStyle w:val="Appelnotedebasdep"/>
          <w:rFonts w:cs="Arial"/>
        </w:rPr>
        <w:footnoteRef/>
      </w:r>
      <w:r w:rsidRPr="00B50040">
        <w:rPr>
          <w:rFonts w:cs="Arial"/>
        </w:rPr>
        <w:t xml:space="preserve"> </w:t>
      </w:r>
      <w:r w:rsidRPr="00B50040">
        <w:rPr>
          <w:rFonts w:cs="Arial"/>
        </w:rPr>
        <w:tab/>
      </w:r>
      <w:r w:rsidRPr="005D51E0">
        <w:rPr>
          <w:i/>
        </w:rPr>
        <w:t>Henry</w:t>
      </w:r>
      <w:r w:rsidRPr="005D51E0">
        <w:t xml:space="preserve">, </w:t>
      </w:r>
      <w:r w:rsidRPr="005D51E0">
        <w:rPr>
          <w:i/>
        </w:rPr>
        <w:t>supra</w:t>
      </w:r>
      <w:r>
        <w:t>, note 28</w:t>
      </w:r>
      <w:r w:rsidRPr="00B50040">
        <w:rPr>
          <w:rFonts w:cs="Arial"/>
        </w:rPr>
        <w:t xml:space="preserve">, paragr. </w:t>
      </w:r>
      <w:r w:rsidRPr="00CC7A98">
        <w:rPr>
          <w:rFonts w:cs="Arial"/>
        </w:rPr>
        <w:t>95-97.</w:t>
      </w:r>
    </w:p>
  </w:footnote>
  <w:footnote w:id="67">
    <w:p w14:paraId="24C5F4D7" w14:textId="190C5292" w:rsidR="00FC4697" w:rsidRPr="00CC7A98" w:rsidRDefault="00BD178A">
      <w:pPr>
        <w:pStyle w:val="Notedebasdepage"/>
      </w:pPr>
      <w:r w:rsidRPr="00AA6709">
        <w:rPr>
          <w:rStyle w:val="Appelnotedebasdep"/>
        </w:rPr>
        <w:footnoteRef/>
      </w:r>
      <w:r w:rsidRPr="00CC7A98">
        <w:t xml:space="preserve"> </w:t>
      </w:r>
      <w:r w:rsidRPr="00CC7A98">
        <w:tab/>
      </w:r>
      <w:r w:rsidRPr="00CC7A98">
        <w:rPr>
          <w:i/>
        </w:rPr>
        <w:t>Id.</w:t>
      </w:r>
      <w:r w:rsidRPr="00CC7A98">
        <w:t>, paragr. 95.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C5472" w14:textId="0FDEA3DA" w:rsidR="00FC4697" w:rsidRDefault="00FC469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D0273" w14:textId="1A5D034C" w:rsidR="00FC4697" w:rsidRDefault="00BD178A" w:rsidP="008A235F">
    <w:pPr>
      <w:tabs>
        <w:tab w:val="center" w:pos="4709"/>
        <w:tab w:val="right" w:pos="9360"/>
      </w:tabs>
      <w:spacing w:after="120" w:line="360" w:lineRule="auto"/>
      <w:ind w:right="524"/>
    </w:pPr>
    <w:bookmarkStart w:id="24" w:name="EntDossier"/>
    <w:r>
      <w:t>200-09-700001-206</w:t>
    </w:r>
    <w:bookmarkEnd w:id="24"/>
    <w:r w:rsidRPr="007462D6">
      <w:t xml:space="preserve"> </w:t>
    </w:r>
    <w:r>
      <w:tab/>
    </w:r>
    <w:r>
      <w:tab/>
      <w:t xml:space="preserve">PAGE : </w:t>
    </w:r>
    <w:r>
      <w:fldChar w:fldCharType="begin"/>
    </w:r>
    <w:r>
      <w:instrText xml:space="preserve"> PAGE </w:instrText>
    </w:r>
    <w:r>
      <w:fldChar w:fldCharType="separate"/>
    </w:r>
    <w:r w:rsidR="009317FB">
      <w:rPr>
        <w:noProof/>
      </w:rPr>
      <w:t>20</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C9862" w14:textId="1DE5B1B1" w:rsidR="00FC4697" w:rsidRDefault="00FC469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80E1E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12EA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2647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51C3B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4EAB8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1219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8070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6436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DCE6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34AE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F1F36"/>
    <w:multiLevelType w:val="hybridMultilevel"/>
    <w:tmpl w:val="E638B4FE"/>
    <w:lvl w:ilvl="0" w:tplc="C9625D44">
      <w:start w:val="1"/>
      <w:numFmt w:val="decimal"/>
      <w:lvlText w:val="%1)"/>
      <w:lvlJc w:val="left"/>
      <w:pPr>
        <w:ind w:left="1080" w:hanging="360"/>
      </w:pPr>
      <w:rPr>
        <w:rFonts w:hint="default"/>
      </w:rPr>
    </w:lvl>
    <w:lvl w:ilvl="1" w:tplc="5DAE6596" w:tentative="1">
      <w:start w:val="1"/>
      <w:numFmt w:val="lowerLetter"/>
      <w:lvlText w:val="%2."/>
      <w:lvlJc w:val="left"/>
      <w:pPr>
        <w:ind w:left="1800" w:hanging="360"/>
      </w:pPr>
    </w:lvl>
    <w:lvl w:ilvl="2" w:tplc="A080D632" w:tentative="1">
      <w:start w:val="1"/>
      <w:numFmt w:val="lowerRoman"/>
      <w:lvlText w:val="%3."/>
      <w:lvlJc w:val="right"/>
      <w:pPr>
        <w:ind w:left="2520" w:hanging="180"/>
      </w:pPr>
    </w:lvl>
    <w:lvl w:ilvl="3" w:tplc="BA38AECA" w:tentative="1">
      <w:start w:val="1"/>
      <w:numFmt w:val="decimal"/>
      <w:lvlText w:val="%4."/>
      <w:lvlJc w:val="left"/>
      <w:pPr>
        <w:ind w:left="3240" w:hanging="360"/>
      </w:pPr>
    </w:lvl>
    <w:lvl w:ilvl="4" w:tplc="F5B6CF76" w:tentative="1">
      <w:start w:val="1"/>
      <w:numFmt w:val="lowerLetter"/>
      <w:lvlText w:val="%5."/>
      <w:lvlJc w:val="left"/>
      <w:pPr>
        <w:ind w:left="3960" w:hanging="360"/>
      </w:pPr>
    </w:lvl>
    <w:lvl w:ilvl="5" w:tplc="9FCCEB7A" w:tentative="1">
      <w:start w:val="1"/>
      <w:numFmt w:val="lowerRoman"/>
      <w:lvlText w:val="%6."/>
      <w:lvlJc w:val="right"/>
      <w:pPr>
        <w:ind w:left="4680" w:hanging="180"/>
      </w:pPr>
    </w:lvl>
    <w:lvl w:ilvl="6" w:tplc="2D6A95FA" w:tentative="1">
      <w:start w:val="1"/>
      <w:numFmt w:val="decimal"/>
      <w:lvlText w:val="%7."/>
      <w:lvlJc w:val="left"/>
      <w:pPr>
        <w:ind w:left="5400" w:hanging="360"/>
      </w:pPr>
    </w:lvl>
    <w:lvl w:ilvl="7" w:tplc="0D84EAC2" w:tentative="1">
      <w:start w:val="1"/>
      <w:numFmt w:val="lowerLetter"/>
      <w:lvlText w:val="%8."/>
      <w:lvlJc w:val="left"/>
      <w:pPr>
        <w:ind w:left="6120" w:hanging="360"/>
      </w:pPr>
    </w:lvl>
    <w:lvl w:ilvl="8" w:tplc="BB901442" w:tentative="1">
      <w:start w:val="1"/>
      <w:numFmt w:val="lowerRoman"/>
      <w:lvlText w:val="%9."/>
      <w:lvlJc w:val="right"/>
      <w:pPr>
        <w:ind w:left="6840" w:hanging="180"/>
      </w:pPr>
    </w:lvl>
  </w:abstractNum>
  <w:abstractNum w:abstractNumId="11" w15:restartNumberingAfterBreak="0">
    <w:nsid w:val="28BB52DE"/>
    <w:multiLevelType w:val="multilevel"/>
    <w:tmpl w:val="79E601F0"/>
    <w:lvl w:ilvl="0">
      <w:start w:val="1"/>
      <w:numFmt w:val="decimal"/>
      <w:pStyle w:val="Paragraphe"/>
      <w:lvlText w:val="[%1]"/>
      <w:lvlJc w:val="left"/>
      <w:pPr>
        <w:tabs>
          <w:tab w:val="num" w:pos="720"/>
        </w:tabs>
        <w:ind w:left="0" w:firstLine="0"/>
      </w:pPr>
      <w:rPr>
        <w:rFonts w:hint="default"/>
      </w:rPr>
    </w:lvl>
    <w:lvl w:ilvl="1">
      <w:start w:val="1"/>
      <w:numFmt w:val="decimal"/>
      <w:pStyle w:val="Sous-paragraphe"/>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29CB010F"/>
    <w:multiLevelType w:val="hybridMultilevel"/>
    <w:tmpl w:val="0E66A458"/>
    <w:lvl w:ilvl="0" w:tplc="2AB246D8">
      <w:start w:val="1"/>
      <w:numFmt w:val="decimal"/>
      <w:lvlText w:val="%1)"/>
      <w:lvlJc w:val="left"/>
      <w:pPr>
        <w:ind w:left="720" w:hanging="360"/>
      </w:pPr>
      <w:rPr>
        <w:rFonts w:hint="default"/>
      </w:rPr>
    </w:lvl>
    <w:lvl w:ilvl="1" w:tplc="27CC2B82" w:tentative="1">
      <w:start w:val="1"/>
      <w:numFmt w:val="lowerLetter"/>
      <w:lvlText w:val="%2."/>
      <w:lvlJc w:val="left"/>
      <w:pPr>
        <w:ind w:left="1440" w:hanging="360"/>
      </w:pPr>
    </w:lvl>
    <w:lvl w:ilvl="2" w:tplc="6B760F2A" w:tentative="1">
      <w:start w:val="1"/>
      <w:numFmt w:val="lowerRoman"/>
      <w:lvlText w:val="%3."/>
      <w:lvlJc w:val="right"/>
      <w:pPr>
        <w:ind w:left="2160" w:hanging="180"/>
      </w:pPr>
    </w:lvl>
    <w:lvl w:ilvl="3" w:tplc="275691EA" w:tentative="1">
      <w:start w:val="1"/>
      <w:numFmt w:val="decimal"/>
      <w:lvlText w:val="%4."/>
      <w:lvlJc w:val="left"/>
      <w:pPr>
        <w:ind w:left="2880" w:hanging="360"/>
      </w:pPr>
    </w:lvl>
    <w:lvl w:ilvl="4" w:tplc="23EEEE36" w:tentative="1">
      <w:start w:val="1"/>
      <w:numFmt w:val="lowerLetter"/>
      <w:lvlText w:val="%5."/>
      <w:lvlJc w:val="left"/>
      <w:pPr>
        <w:ind w:left="3600" w:hanging="360"/>
      </w:pPr>
    </w:lvl>
    <w:lvl w:ilvl="5" w:tplc="3496D2B6" w:tentative="1">
      <w:start w:val="1"/>
      <w:numFmt w:val="lowerRoman"/>
      <w:lvlText w:val="%6."/>
      <w:lvlJc w:val="right"/>
      <w:pPr>
        <w:ind w:left="4320" w:hanging="180"/>
      </w:pPr>
    </w:lvl>
    <w:lvl w:ilvl="6" w:tplc="1D605C8A" w:tentative="1">
      <w:start w:val="1"/>
      <w:numFmt w:val="decimal"/>
      <w:lvlText w:val="%7."/>
      <w:lvlJc w:val="left"/>
      <w:pPr>
        <w:ind w:left="5040" w:hanging="360"/>
      </w:pPr>
    </w:lvl>
    <w:lvl w:ilvl="7" w:tplc="AD922604" w:tentative="1">
      <w:start w:val="1"/>
      <w:numFmt w:val="lowerLetter"/>
      <w:lvlText w:val="%8."/>
      <w:lvlJc w:val="left"/>
      <w:pPr>
        <w:ind w:left="5760" w:hanging="360"/>
      </w:pPr>
    </w:lvl>
    <w:lvl w:ilvl="8" w:tplc="DBAC11F8" w:tentative="1">
      <w:start w:val="1"/>
      <w:numFmt w:val="lowerRoman"/>
      <w:lvlText w:val="%9."/>
      <w:lvlJc w:val="right"/>
      <w:pPr>
        <w:ind w:left="6480" w:hanging="180"/>
      </w:pPr>
    </w:lvl>
  </w:abstractNum>
  <w:abstractNum w:abstractNumId="13" w15:restartNumberingAfterBreak="0">
    <w:nsid w:val="3A0E62F6"/>
    <w:multiLevelType w:val="hybridMultilevel"/>
    <w:tmpl w:val="6A4675F4"/>
    <w:lvl w:ilvl="0" w:tplc="33FA5624">
      <w:start w:val="18"/>
      <w:numFmt w:val="bullet"/>
      <w:lvlText w:val="-"/>
      <w:lvlJc w:val="left"/>
      <w:pPr>
        <w:ind w:left="1080" w:hanging="360"/>
      </w:pPr>
      <w:rPr>
        <w:rFonts w:ascii="Arial" w:eastAsia="Times New Roman" w:hAnsi="Arial" w:cs="Arial" w:hint="default"/>
      </w:rPr>
    </w:lvl>
    <w:lvl w:ilvl="1" w:tplc="0E2E3F16" w:tentative="1">
      <w:start w:val="1"/>
      <w:numFmt w:val="bullet"/>
      <w:lvlText w:val="o"/>
      <w:lvlJc w:val="left"/>
      <w:pPr>
        <w:ind w:left="1800" w:hanging="360"/>
      </w:pPr>
      <w:rPr>
        <w:rFonts w:ascii="Courier New" w:hAnsi="Courier New" w:cs="Courier New" w:hint="default"/>
      </w:rPr>
    </w:lvl>
    <w:lvl w:ilvl="2" w:tplc="A95482E2" w:tentative="1">
      <w:start w:val="1"/>
      <w:numFmt w:val="bullet"/>
      <w:lvlText w:val=""/>
      <w:lvlJc w:val="left"/>
      <w:pPr>
        <w:ind w:left="2520" w:hanging="360"/>
      </w:pPr>
      <w:rPr>
        <w:rFonts w:ascii="Wingdings" w:hAnsi="Wingdings" w:hint="default"/>
      </w:rPr>
    </w:lvl>
    <w:lvl w:ilvl="3" w:tplc="BCCA367A" w:tentative="1">
      <w:start w:val="1"/>
      <w:numFmt w:val="bullet"/>
      <w:lvlText w:val=""/>
      <w:lvlJc w:val="left"/>
      <w:pPr>
        <w:ind w:left="3240" w:hanging="360"/>
      </w:pPr>
      <w:rPr>
        <w:rFonts w:ascii="Symbol" w:hAnsi="Symbol" w:hint="default"/>
      </w:rPr>
    </w:lvl>
    <w:lvl w:ilvl="4" w:tplc="61A43D8C" w:tentative="1">
      <w:start w:val="1"/>
      <w:numFmt w:val="bullet"/>
      <w:lvlText w:val="o"/>
      <w:lvlJc w:val="left"/>
      <w:pPr>
        <w:ind w:left="3960" w:hanging="360"/>
      </w:pPr>
      <w:rPr>
        <w:rFonts w:ascii="Courier New" w:hAnsi="Courier New" w:cs="Courier New" w:hint="default"/>
      </w:rPr>
    </w:lvl>
    <w:lvl w:ilvl="5" w:tplc="AB485848" w:tentative="1">
      <w:start w:val="1"/>
      <w:numFmt w:val="bullet"/>
      <w:lvlText w:val=""/>
      <w:lvlJc w:val="left"/>
      <w:pPr>
        <w:ind w:left="4680" w:hanging="360"/>
      </w:pPr>
      <w:rPr>
        <w:rFonts w:ascii="Wingdings" w:hAnsi="Wingdings" w:hint="default"/>
      </w:rPr>
    </w:lvl>
    <w:lvl w:ilvl="6" w:tplc="53EAB216" w:tentative="1">
      <w:start w:val="1"/>
      <w:numFmt w:val="bullet"/>
      <w:lvlText w:val=""/>
      <w:lvlJc w:val="left"/>
      <w:pPr>
        <w:ind w:left="5400" w:hanging="360"/>
      </w:pPr>
      <w:rPr>
        <w:rFonts w:ascii="Symbol" w:hAnsi="Symbol" w:hint="default"/>
      </w:rPr>
    </w:lvl>
    <w:lvl w:ilvl="7" w:tplc="88A8063A" w:tentative="1">
      <w:start w:val="1"/>
      <w:numFmt w:val="bullet"/>
      <w:lvlText w:val="o"/>
      <w:lvlJc w:val="left"/>
      <w:pPr>
        <w:ind w:left="6120" w:hanging="360"/>
      </w:pPr>
      <w:rPr>
        <w:rFonts w:ascii="Courier New" w:hAnsi="Courier New" w:cs="Courier New" w:hint="default"/>
      </w:rPr>
    </w:lvl>
    <w:lvl w:ilvl="8" w:tplc="5D5CE9EA" w:tentative="1">
      <w:start w:val="1"/>
      <w:numFmt w:val="bullet"/>
      <w:lvlText w:val=""/>
      <w:lvlJc w:val="left"/>
      <w:pPr>
        <w:ind w:left="6840" w:hanging="360"/>
      </w:pPr>
      <w:rPr>
        <w:rFonts w:ascii="Wingdings" w:hAnsi="Wingdings" w:hint="default"/>
      </w:rPr>
    </w:lvl>
  </w:abstractNum>
  <w:abstractNum w:abstractNumId="14" w15:restartNumberingAfterBreak="0">
    <w:nsid w:val="41301C32"/>
    <w:multiLevelType w:val="hybridMultilevel"/>
    <w:tmpl w:val="2C04119C"/>
    <w:lvl w:ilvl="0" w:tplc="8E722136">
      <w:start w:val="1"/>
      <w:numFmt w:val="decimal"/>
      <w:lvlText w:val="%1."/>
      <w:lvlJc w:val="left"/>
      <w:pPr>
        <w:ind w:left="1440" w:hanging="360"/>
      </w:pPr>
    </w:lvl>
    <w:lvl w:ilvl="1" w:tplc="78362310" w:tentative="1">
      <w:start w:val="1"/>
      <w:numFmt w:val="lowerLetter"/>
      <w:lvlText w:val="%2."/>
      <w:lvlJc w:val="left"/>
      <w:pPr>
        <w:ind w:left="2160" w:hanging="360"/>
      </w:pPr>
    </w:lvl>
    <w:lvl w:ilvl="2" w:tplc="83CA5F0E" w:tentative="1">
      <w:start w:val="1"/>
      <w:numFmt w:val="lowerRoman"/>
      <w:lvlText w:val="%3."/>
      <w:lvlJc w:val="right"/>
      <w:pPr>
        <w:ind w:left="2880" w:hanging="180"/>
      </w:pPr>
    </w:lvl>
    <w:lvl w:ilvl="3" w:tplc="07048FD2" w:tentative="1">
      <w:start w:val="1"/>
      <w:numFmt w:val="decimal"/>
      <w:lvlText w:val="%4."/>
      <w:lvlJc w:val="left"/>
      <w:pPr>
        <w:ind w:left="3600" w:hanging="360"/>
      </w:pPr>
    </w:lvl>
    <w:lvl w:ilvl="4" w:tplc="D020EFBA" w:tentative="1">
      <w:start w:val="1"/>
      <w:numFmt w:val="lowerLetter"/>
      <w:lvlText w:val="%5."/>
      <w:lvlJc w:val="left"/>
      <w:pPr>
        <w:ind w:left="4320" w:hanging="360"/>
      </w:pPr>
    </w:lvl>
    <w:lvl w:ilvl="5" w:tplc="6C903DAA" w:tentative="1">
      <w:start w:val="1"/>
      <w:numFmt w:val="lowerRoman"/>
      <w:lvlText w:val="%6."/>
      <w:lvlJc w:val="right"/>
      <w:pPr>
        <w:ind w:left="5040" w:hanging="180"/>
      </w:pPr>
    </w:lvl>
    <w:lvl w:ilvl="6" w:tplc="24F65A40" w:tentative="1">
      <w:start w:val="1"/>
      <w:numFmt w:val="decimal"/>
      <w:lvlText w:val="%7."/>
      <w:lvlJc w:val="left"/>
      <w:pPr>
        <w:ind w:left="5760" w:hanging="360"/>
      </w:pPr>
    </w:lvl>
    <w:lvl w:ilvl="7" w:tplc="D97E55A0" w:tentative="1">
      <w:start w:val="1"/>
      <w:numFmt w:val="lowerLetter"/>
      <w:lvlText w:val="%8."/>
      <w:lvlJc w:val="left"/>
      <w:pPr>
        <w:ind w:left="6480" w:hanging="360"/>
      </w:pPr>
    </w:lvl>
    <w:lvl w:ilvl="8" w:tplc="656A1C02" w:tentative="1">
      <w:start w:val="1"/>
      <w:numFmt w:val="lowerRoman"/>
      <w:lvlText w:val="%9."/>
      <w:lvlJc w:val="right"/>
      <w:pPr>
        <w:ind w:left="7200" w:hanging="180"/>
      </w:pPr>
    </w:lvl>
  </w:abstractNum>
  <w:abstractNum w:abstractNumId="15" w15:restartNumberingAfterBreak="0">
    <w:nsid w:val="4A9D1B84"/>
    <w:multiLevelType w:val="multilevel"/>
    <w:tmpl w:val="2766DEE4"/>
    <w:lvl w:ilvl="0">
      <w:start w:val="1"/>
      <w:numFmt w:val="bullet"/>
      <w:lvlText w:val=""/>
      <w:lvlJc w:val="left"/>
      <w:pPr>
        <w:tabs>
          <w:tab w:val="num" w:pos="792"/>
        </w:tabs>
        <w:ind w:left="792" w:hanging="72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54CE22C2"/>
    <w:multiLevelType w:val="hybridMultilevel"/>
    <w:tmpl w:val="A0D23EDC"/>
    <w:lvl w:ilvl="0" w:tplc="F7BEC26E">
      <w:start w:val="1"/>
      <w:numFmt w:val="decimal"/>
      <w:lvlText w:val="%1."/>
      <w:lvlJc w:val="left"/>
      <w:pPr>
        <w:ind w:left="1080" w:hanging="360"/>
      </w:pPr>
      <w:rPr>
        <w:rFonts w:hint="default"/>
      </w:rPr>
    </w:lvl>
    <w:lvl w:ilvl="1" w:tplc="67129F46">
      <w:start w:val="1"/>
      <w:numFmt w:val="lowerLetter"/>
      <w:lvlText w:val="%2."/>
      <w:lvlJc w:val="left"/>
      <w:pPr>
        <w:ind w:left="1800" w:hanging="360"/>
      </w:pPr>
    </w:lvl>
    <w:lvl w:ilvl="2" w:tplc="C0D8D766" w:tentative="1">
      <w:start w:val="1"/>
      <w:numFmt w:val="lowerRoman"/>
      <w:lvlText w:val="%3."/>
      <w:lvlJc w:val="right"/>
      <w:pPr>
        <w:ind w:left="2520" w:hanging="180"/>
      </w:pPr>
    </w:lvl>
    <w:lvl w:ilvl="3" w:tplc="FA38F73C" w:tentative="1">
      <w:start w:val="1"/>
      <w:numFmt w:val="decimal"/>
      <w:lvlText w:val="%4."/>
      <w:lvlJc w:val="left"/>
      <w:pPr>
        <w:ind w:left="3240" w:hanging="360"/>
      </w:pPr>
    </w:lvl>
    <w:lvl w:ilvl="4" w:tplc="6DACDECE" w:tentative="1">
      <w:start w:val="1"/>
      <w:numFmt w:val="lowerLetter"/>
      <w:lvlText w:val="%5."/>
      <w:lvlJc w:val="left"/>
      <w:pPr>
        <w:ind w:left="3960" w:hanging="360"/>
      </w:pPr>
    </w:lvl>
    <w:lvl w:ilvl="5" w:tplc="1A105666" w:tentative="1">
      <w:start w:val="1"/>
      <w:numFmt w:val="lowerRoman"/>
      <w:lvlText w:val="%6."/>
      <w:lvlJc w:val="right"/>
      <w:pPr>
        <w:ind w:left="4680" w:hanging="180"/>
      </w:pPr>
    </w:lvl>
    <w:lvl w:ilvl="6" w:tplc="DAFC846C" w:tentative="1">
      <w:start w:val="1"/>
      <w:numFmt w:val="decimal"/>
      <w:lvlText w:val="%7."/>
      <w:lvlJc w:val="left"/>
      <w:pPr>
        <w:ind w:left="5400" w:hanging="360"/>
      </w:pPr>
    </w:lvl>
    <w:lvl w:ilvl="7" w:tplc="C40474FA" w:tentative="1">
      <w:start w:val="1"/>
      <w:numFmt w:val="lowerLetter"/>
      <w:lvlText w:val="%8."/>
      <w:lvlJc w:val="left"/>
      <w:pPr>
        <w:ind w:left="6120" w:hanging="360"/>
      </w:pPr>
    </w:lvl>
    <w:lvl w:ilvl="8" w:tplc="11C41142" w:tentative="1">
      <w:start w:val="1"/>
      <w:numFmt w:val="lowerRoman"/>
      <w:lvlText w:val="%9."/>
      <w:lvlJc w:val="right"/>
      <w:pPr>
        <w:ind w:left="6840" w:hanging="180"/>
      </w:pPr>
    </w:lvl>
  </w:abstractNum>
  <w:abstractNum w:abstractNumId="17" w15:restartNumberingAfterBreak="0">
    <w:nsid w:val="609C0DCC"/>
    <w:multiLevelType w:val="multilevel"/>
    <w:tmpl w:val="F11C8164"/>
    <w:lvl w:ilvl="0">
      <w:start w:val="1"/>
      <w:numFmt w:val="decimal"/>
      <w:lvlText w:val="[%1]"/>
      <w:lvlJc w:val="left"/>
      <w:pPr>
        <w:tabs>
          <w:tab w:val="num" w:pos="360"/>
        </w:tabs>
        <w:ind w:left="0" w:firstLine="0"/>
      </w:pPr>
      <w:rPr>
        <w:rFonts w:ascii="Arial" w:hAnsi="Arial" w:hint="default"/>
        <w:b w:val="0"/>
        <w:i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614E3D27"/>
    <w:multiLevelType w:val="hybridMultilevel"/>
    <w:tmpl w:val="09044C26"/>
    <w:lvl w:ilvl="0" w:tplc="7AB4D0CC">
      <w:start w:val="1"/>
      <w:numFmt w:val="bullet"/>
      <w:lvlText w:val=""/>
      <w:lvlJc w:val="left"/>
      <w:pPr>
        <w:ind w:left="1512" w:hanging="360"/>
      </w:pPr>
      <w:rPr>
        <w:rFonts w:ascii="Symbol" w:hAnsi="Symbol" w:hint="default"/>
      </w:rPr>
    </w:lvl>
    <w:lvl w:ilvl="1" w:tplc="B4ACA036">
      <w:start w:val="1"/>
      <w:numFmt w:val="decimal"/>
      <w:lvlText w:val="%2."/>
      <w:lvlJc w:val="left"/>
      <w:pPr>
        <w:ind w:left="2232" w:hanging="360"/>
      </w:pPr>
      <w:rPr>
        <w:rFonts w:hint="default"/>
      </w:rPr>
    </w:lvl>
    <w:lvl w:ilvl="2" w:tplc="BC80FA38" w:tentative="1">
      <w:start w:val="1"/>
      <w:numFmt w:val="bullet"/>
      <w:lvlText w:val=""/>
      <w:lvlJc w:val="left"/>
      <w:pPr>
        <w:ind w:left="2952" w:hanging="360"/>
      </w:pPr>
      <w:rPr>
        <w:rFonts w:ascii="Wingdings" w:hAnsi="Wingdings" w:hint="default"/>
      </w:rPr>
    </w:lvl>
    <w:lvl w:ilvl="3" w:tplc="F438CEA2" w:tentative="1">
      <w:start w:val="1"/>
      <w:numFmt w:val="bullet"/>
      <w:lvlText w:val=""/>
      <w:lvlJc w:val="left"/>
      <w:pPr>
        <w:ind w:left="3672" w:hanging="360"/>
      </w:pPr>
      <w:rPr>
        <w:rFonts w:ascii="Symbol" w:hAnsi="Symbol" w:hint="default"/>
      </w:rPr>
    </w:lvl>
    <w:lvl w:ilvl="4" w:tplc="DCCC2A8E" w:tentative="1">
      <w:start w:val="1"/>
      <w:numFmt w:val="bullet"/>
      <w:lvlText w:val="o"/>
      <w:lvlJc w:val="left"/>
      <w:pPr>
        <w:ind w:left="4392" w:hanging="360"/>
      </w:pPr>
      <w:rPr>
        <w:rFonts w:ascii="Courier New" w:hAnsi="Courier New" w:cs="Courier New" w:hint="default"/>
      </w:rPr>
    </w:lvl>
    <w:lvl w:ilvl="5" w:tplc="0B94950C" w:tentative="1">
      <w:start w:val="1"/>
      <w:numFmt w:val="bullet"/>
      <w:lvlText w:val=""/>
      <w:lvlJc w:val="left"/>
      <w:pPr>
        <w:ind w:left="5112" w:hanging="360"/>
      </w:pPr>
      <w:rPr>
        <w:rFonts w:ascii="Wingdings" w:hAnsi="Wingdings" w:hint="default"/>
      </w:rPr>
    </w:lvl>
    <w:lvl w:ilvl="6" w:tplc="7CDEDFA2" w:tentative="1">
      <w:start w:val="1"/>
      <w:numFmt w:val="bullet"/>
      <w:lvlText w:val=""/>
      <w:lvlJc w:val="left"/>
      <w:pPr>
        <w:ind w:left="5832" w:hanging="360"/>
      </w:pPr>
      <w:rPr>
        <w:rFonts w:ascii="Symbol" w:hAnsi="Symbol" w:hint="default"/>
      </w:rPr>
    </w:lvl>
    <w:lvl w:ilvl="7" w:tplc="D242D632" w:tentative="1">
      <w:start w:val="1"/>
      <w:numFmt w:val="bullet"/>
      <w:lvlText w:val="o"/>
      <w:lvlJc w:val="left"/>
      <w:pPr>
        <w:ind w:left="6552" w:hanging="360"/>
      </w:pPr>
      <w:rPr>
        <w:rFonts w:ascii="Courier New" w:hAnsi="Courier New" w:cs="Courier New" w:hint="default"/>
      </w:rPr>
    </w:lvl>
    <w:lvl w:ilvl="8" w:tplc="CD32766E" w:tentative="1">
      <w:start w:val="1"/>
      <w:numFmt w:val="bullet"/>
      <w:lvlText w:val=""/>
      <w:lvlJc w:val="left"/>
      <w:pPr>
        <w:ind w:left="7272" w:hanging="360"/>
      </w:pPr>
      <w:rPr>
        <w:rFonts w:ascii="Wingdings" w:hAnsi="Wingdings" w:hint="default"/>
      </w:rPr>
    </w:lvl>
  </w:abstractNum>
  <w:abstractNum w:abstractNumId="19" w15:restartNumberingAfterBreak="0">
    <w:nsid w:val="6F4A4358"/>
    <w:multiLevelType w:val="hybridMultilevel"/>
    <w:tmpl w:val="2C04119C"/>
    <w:lvl w:ilvl="0" w:tplc="E6107DCE">
      <w:start w:val="1"/>
      <w:numFmt w:val="decimal"/>
      <w:lvlText w:val="%1."/>
      <w:lvlJc w:val="left"/>
      <w:pPr>
        <w:ind w:left="1440" w:hanging="360"/>
      </w:pPr>
    </w:lvl>
    <w:lvl w:ilvl="1" w:tplc="E04A2C8E" w:tentative="1">
      <w:start w:val="1"/>
      <w:numFmt w:val="lowerLetter"/>
      <w:lvlText w:val="%2."/>
      <w:lvlJc w:val="left"/>
      <w:pPr>
        <w:ind w:left="2160" w:hanging="360"/>
      </w:pPr>
    </w:lvl>
    <w:lvl w:ilvl="2" w:tplc="AE78A308" w:tentative="1">
      <w:start w:val="1"/>
      <w:numFmt w:val="lowerRoman"/>
      <w:lvlText w:val="%3."/>
      <w:lvlJc w:val="right"/>
      <w:pPr>
        <w:ind w:left="2880" w:hanging="180"/>
      </w:pPr>
    </w:lvl>
    <w:lvl w:ilvl="3" w:tplc="0F86FAC0" w:tentative="1">
      <w:start w:val="1"/>
      <w:numFmt w:val="decimal"/>
      <w:lvlText w:val="%4."/>
      <w:lvlJc w:val="left"/>
      <w:pPr>
        <w:ind w:left="3600" w:hanging="360"/>
      </w:pPr>
    </w:lvl>
    <w:lvl w:ilvl="4" w:tplc="24DC5DE0" w:tentative="1">
      <w:start w:val="1"/>
      <w:numFmt w:val="lowerLetter"/>
      <w:lvlText w:val="%5."/>
      <w:lvlJc w:val="left"/>
      <w:pPr>
        <w:ind w:left="4320" w:hanging="360"/>
      </w:pPr>
    </w:lvl>
    <w:lvl w:ilvl="5" w:tplc="E312D8F6" w:tentative="1">
      <w:start w:val="1"/>
      <w:numFmt w:val="lowerRoman"/>
      <w:lvlText w:val="%6."/>
      <w:lvlJc w:val="right"/>
      <w:pPr>
        <w:ind w:left="5040" w:hanging="180"/>
      </w:pPr>
    </w:lvl>
    <w:lvl w:ilvl="6" w:tplc="EE221DA0" w:tentative="1">
      <w:start w:val="1"/>
      <w:numFmt w:val="decimal"/>
      <w:lvlText w:val="%7."/>
      <w:lvlJc w:val="left"/>
      <w:pPr>
        <w:ind w:left="5760" w:hanging="360"/>
      </w:pPr>
    </w:lvl>
    <w:lvl w:ilvl="7" w:tplc="CD584A78" w:tentative="1">
      <w:start w:val="1"/>
      <w:numFmt w:val="lowerLetter"/>
      <w:lvlText w:val="%8."/>
      <w:lvlJc w:val="left"/>
      <w:pPr>
        <w:ind w:left="6480" w:hanging="360"/>
      </w:pPr>
    </w:lvl>
    <w:lvl w:ilvl="8" w:tplc="61183158" w:tentative="1">
      <w:start w:val="1"/>
      <w:numFmt w:val="lowerRoman"/>
      <w:lvlText w:val="%9."/>
      <w:lvlJc w:val="right"/>
      <w:pPr>
        <w:ind w:left="7200" w:hanging="180"/>
      </w:pPr>
    </w:lvl>
  </w:abstractNum>
  <w:num w:numId="1">
    <w:abstractNumId w:val="17"/>
  </w:num>
  <w:num w:numId="2">
    <w:abstractNumId w:val="17"/>
  </w:num>
  <w:num w:numId="3">
    <w:abstractNumId w:val="17"/>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7"/>
  </w:num>
  <w:num w:numId="15">
    <w:abstractNumId w:val="17"/>
  </w:num>
  <w:num w:numId="16">
    <w:abstractNumId w:val="17"/>
  </w:num>
  <w:num w:numId="17">
    <w:abstractNumId w:val="15"/>
  </w:num>
  <w:num w:numId="18">
    <w:abstractNumId w:val="11"/>
  </w:num>
  <w:num w:numId="19">
    <w:abstractNumId w:val="13"/>
  </w:num>
  <w:num w:numId="20">
    <w:abstractNumId w:val="16"/>
  </w:num>
  <w:num w:numId="21">
    <w:abstractNumId w:val="10"/>
  </w:num>
  <w:num w:numId="22">
    <w:abstractNumId w:val="14"/>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1"/>
  </w:num>
  <w:num w:numId="29">
    <w:abstractNumId w:val="11"/>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efaultTabStop w:val="720"/>
  <w:hyphenationZone w:val="425"/>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CE5"/>
    <w:rsid w:val="000036B1"/>
    <w:rsid w:val="00012B1E"/>
    <w:rsid w:val="000131E1"/>
    <w:rsid w:val="000323F1"/>
    <w:rsid w:val="0004394C"/>
    <w:rsid w:val="0005122F"/>
    <w:rsid w:val="00053691"/>
    <w:rsid w:val="000543CC"/>
    <w:rsid w:val="00085490"/>
    <w:rsid w:val="000903B0"/>
    <w:rsid w:val="00095069"/>
    <w:rsid w:val="000A38AA"/>
    <w:rsid w:val="000A7516"/>
    <w:rsid w:val="000B04E1"/>
    <w:rsid w:val="000B42AF"/>
    <w:rsid w:val="000C048D"/>
    <w:rsid w:val="000D5DEC"/>
    <w:rsid w:val="000E328D"/>
    <w:rsid w:val="00104FE1"/>
    <w:rsid w:val="00110B53"/>
    <w:rsid w:val="00112321"/>
    <w:rsid w:val="00117914"/>
    <w:rsid w:val="00122A2C"/>
    <w:rsid w:val="0013028C"/>
    <w:rsid w:val="00130C99"/>
    <w:rsid w:val="00140E97"/>
    <w:rsid w:val="00142122"/>
    <w:rsid w:val="00143DE8"/>
    <w:rsid w:val="00153DAB"/>
    <w:rsid w:val="0015610F"/>
    <w:rsid w:val="001573B4"/>
    <w:rsid w:val="00157D58"/>
    <w:rsid w:val="00160B31"/>
    <w:rsid w:val="001632CC"/>
    <w:rsid w:val="00164E54"/>
    <w:rsid w:val="001758DC"/>
    <w:rsid w:val="00180860"/>
    <w:rsid w:val="00181F56"/>
    <w:rsid w:val="00186F2B"/>
    <w:rsid w:val="00190FA7"/>
    <w:rsid w:val="001972F2"/>
    <w:rsid w:val="001A4521"/>
    <w:rsid w:val="001B62A6"/>
    <w:rsid w:val="001B7E19"/>
    <w:rsid w:val="001C263B"/>
    <w:rsid w:val="001C33F3"/>
    <w:rsid w:val="001D1F93"/>
    <w:rsid w:val="00205DC4"/>
    <w:rsid w:val="0021548E"/>
    <w:rsid w:val="00223D66"/>
    <w:rsid w:val="002273F5"/>
    <w:rsid w:val="00230015"/>
    <w:rsid w:val="00230E32"/>
    <w:rsid w:val="002422CC"/>
    <w:rsid w:val="00242A1A"/>
    <w:rsid w:val="00260E44"/>
    <w:rsid w:val="00265766"/>
    <w:rsid w:val="0027792D"/>
    <w:rsid w:val="00281F0B"/>
    <w:rsid w:val="00282E51"/>
    <w:rsid w:val="00283DC9"/>
    <w:rsid w:val="00284B1C"/>
    <w:rsid w:val="00285E84"/>
    <w:rsid w:val="002A2B1A"/>
    <w:rsid w:val="002B0EE0"/>
    <w:rsid w:val="002B4A07"/>
    <w:rsid w:val="002B50BF"/>
    <w:rsid w:val="002C0CCA"/>
    <w:rsid w:val="002C19EA"/>
    <w:rsid w:val="002C3662"/>
    <w:rsid w:val="002C4107"/>
    <w:rsid w:val="002E1F0E"/>
    <w:rsid w:val="002E229C"/>
    <w:rsid w:val="002E4B20"/>
    <w:rsid w:val="002E51F1"/>
    <w:rsid w:val="002E75DB"/>
    <w:rsid w:val="002E7BEF"/>
    <w:rsid w:val="002F054A"/>
    <w:rsid w:val="002F1350"/>
    <w:rsid w:val="002F2764"/>
    <w:rsid w:val="002F6136"/>
    <w:rsid w:val="00301F3C"/>
    <w:rsid w:val="0030263E"/>
    <w:rsid w:val="00306968"/>
    <w:rsid w:val="0031406F"/>
    <w:rsid w:val="00317C12"/>
    <w:rsid w:val="0032262F"/>
    <w:rsid w:val="00322DE0"/>
    <w:rsid w:val="0032363D"/>
    <w:rsid w:val="0033190E"/>
    <w:rsid w:val="0033326A"/>
    <w:rsid w:val="00334F8A"/>
    <w:rsid w:val="00346585"/>
    <w:rsid w:val="0035196B"/>
    <w:rsid w:val="00361325"/>
    <w:rsid w:val="00362B9D"/>
    <w:rsid w:val="00365BDB"/>
    <w:rsid w:val="00374215"/>
    <w:rsid w:val="00374826"/>
    <w:rsid w:val="00374888"/>
    <w:rsid w:val="00374E40"/>
    <w:rsid w:val="00375865"/>
    <w:rsid w:val="003923C1"/>
    <w:rsid w:val="00394A19"/>
    <w:rsid w:val="00396AC6"/>
    <w:rsid w:val="00396E92"/>
    <w:rsid w:val="003A27B6"/>
    <w:rsid w:val="003B2973"/>
    <w:rsid w:val="003B3298"/>
    <w:rsid w:val="003B77EF"/>
    <w:rsid w:val="003C18DA"/>
    <w:rsid w:val="003C2162"/>
    <w:rsid w:val="003D3812"/>
    <w:rsid w:val="003D487D"/>
    <w:rsid w:val="003D6A30"/>
    <w:rsid w:val="003E3239"/>
    <w:rsid w:val="003E3E3C"/>
    <w:rsid w:val="003E54D7"/>
    <w:rsid w:val="003E607E"/>
    <w:rsid w:val="003F25EC"/>
    <w:rsid w:val="003F4958"/>
    <w:rsid w:val="003F60DC"/>
    <w:rsid w:val="0040425E"/>
    <w:rsid w:val="00405879"/>
    <w:rsid w:val="00407DBD"/>
    <w:rsid w:val="00423DF1"/>
    <w:rsid w:val="00430C58"/>
    <w:rsid w:val="004331C4"/>
    <w:rsid w:val="0043564D"/>
    <w:rsid w:val="00441C25"/>
    <w:rsid w:val="00446452"/>
    <w:rsid w:val="0045549B"/>
    <w:rsid w:val="004575CC"/>
    <w:rsid w:val="00470073"/>
    <w:rsid w:val="00472DC8"/>
    <w:rsid w:val="004802EC"/>
    <w:rsid w:val="00482296"/>
    <w:rsid w:val="00486CDD"/>
    <w:rsid w:val="004949E4"/>
    <w:rsid w:val="004A29F1"/>
    <w:rsid w:val="004A6641"/>
    <w:rsid w:val="004A68DA"/>
    <w:rsid w:val="004A6B46"/>
    <w:rsid w:val="004B1E94"/>
    <w:rsid w:val="004B33FF"/>
    <w:rsid w:val="004C31FD"/>
    <w:rsid w:val="004D2F69"/>
    <w:rsid w:val="004D36F3"/>
    <w:rsid w:val="004D4AFC"/>
    <w:rsid w:val="004D6E79"/>
    <w:rsid w:val="004E4FBA"/>
    <w:rsid w:val="004E55B8"/>
    <w:rsid w:val="004F688A"/>
    <w:rsid w:val="00500140"/>
    <w:rsid w:val="005015A9"/>
    <w:rsid w:val="00504CFE"/>
    <w:rsid w:val="005131F1"/>
    <w:rsid w:val="0051484F"/>
    <w:rsid w:val="00515F70"/>
    <w:rsid w:val="00516B3E"/>
    <w:rsid w:val="0052122B"/>
    <w:rsid w:val="005262C9"/>
    <w:rsid w:val="00531D70"/>
    <w:rsid w:val="00536432"/>
    <w:rsid w:val="00537E12"/>
    <w:rsid w:val="00544147"/>
    <w:rsid w:val="00555448"/>
    <w:rsid w:val="00555BCE"/>
    <w:rsid w:val="00566BF6"/>
    <w:rsid w:val="0057775C"/>
    <w:rsid w:val="00583434"/>
    <w:rsid w:val="0058349F"/>
    <w:rsid w:val="00585B93"/>
    <w:rsid w:val="00586BA6"/>
    <w:rsid w:val="0059051A"/>
    <w:rsid w:val="00590F2E"/>
    <w:rsid w:val="005A0602"/>
    <w:rsid w:val="005A78BF"/>
    <w:rsid w:val="005B093B"/>
    <w:rsid w:val="005B2E76"/>
    <w:rsid w:val="005B6B4C"/>
    <w:rsid w:val="005C7516"/>
    <w:rsid w:val="005D1522"/>
    <w:rsid w:val="005D51E0"/>
    <w:rsid w:val="005D6572"/>
    <w:rsid w:val="005E7854"/>
    <w:rsid w:val="005F3B79"/>
    <w:rsid w:val="005F5F5F"/>
    <w:rsid w:val="00602F21"/>
    <w:rsid w:val="00606C69"/>
    <w:rsid w:val="00624770"/>
    <w:rsid w:val="00632ADE"/>
    <w:rsid w:val="00636069"/>
    <w:rsid w:val="00641902"/>
    <w:rsid w:val="0064250B"/>
    <w:rsid w:val="0064363D"/>
    <w:rsid w:val="00644BF7"/>
    <w:rsid w:val="00652FB8"/>
    <w:rsid w:val="00672CE5"/>
    <w:rsid w:val="00673A7F"/>
    <w:rsid w:val="006826AA"/>
    <w:rsid w:val="0068356A"/>
    <w:rsid w:val="00687D61"/>
    <w:rsid w:val="006918D7"/>
    <w:rsid w:val="006A0DB0"/>
    <w:rsid w:val="006A3BFC"/>
    <w:rsid w:val="006A525F"/>
    <w:rsid w:val="006A6629"/>
    <w:rsid w:val="006B040E"/>
    <w:rsid w:val="006B18BA"/>
    <w:rsid w:val="006B23D6"/>
    <w:rsid w:val="006B5B10"/>
    <w:rsid w:val="006B780C"/>
    <w:rsid w:val="006B7CE5"/>
    <w:rsid w:val="006C2962"/>
    <w:rsid w:val="006D0CC8"/>
    <w:rsid w:val="006E3946"/>
    <w:rsid w:val="006E5A8B"/>
    <w:rsid w:val="006F0572"/>
    <w:rsid w:val="006F3D68"/>
    <w:rsid w:val="006F49F7"/>
    <w:rsid w:val="00701931"/>
    <w:rsid w:val="00707BB9"/>
    <w:rsid w:val="00716950"/>
    <w:rsid w:val="00723A38"/>
    <w:rsid w:val="00736FE3"/>
    <w:rsid w:val="00740A17"/>
    <w:rsid w:val="00745D19"/>
    <w:rsid w:val="007462D6"/>
    <w:rsid w:val="0074738B"/>
    <w:rsid w:val="00757F76"/>
    <w:rsid w:val="0076062E"/>
    <w:rsid w:val="007648A0"/>
    <w:rsid w:val="00775043"/>
    <w:rsid w:val="007803CA"/>
    <w:rsid w:val="007867CA"/>
    <w:rsid w:val="007931B0"/>
    <w:rsid w:val="00793624"/>
    <w:rsid w:val="007953F3"/>
    <w:rsid w:val="00797552"/>
    <w:rsid w:val="007A7803"/>
    <w:rsid w:val="007B061E"/>
    <w:rsid w:val="007B11B9"/>
    <w:rsid w:val="007B3077"/>
    <w:rsid w:val="007B48D5"/>
    <w:rsid w:val="007D087C"/>
    <w:rsid w:val="007E16EB"/>
    <w:rsid w:val="007E33E4"/>
    <w:rsid w:val="007E4CC9"/>
    <w:rsid w:val="007E5663"/>
    <w:rsid w:val="00800D23"/>
    <w:rsid w:val="00803976"/>
    <w:rsid w:val="008065C3"/>
    <w:rsid w:val="00816273"/>
    <w:rsid w:val="00822976"/>
    <w:rsid w:val="00825697"/>
    <w:rsid w:val="0082717B"/>
    <w:rsid w:val="00827B04"/>
    <w:rsid w:val="0083032E"/>
    <w:rsid w:val="0084161B"/>
    <w:rsid w:val="00841907"/>
    <w:rsid w:val="0084374C"/>
    <w:rsid w:val="008440AC"/>
    <w:rsid w:val="008526E9"/>
    <w:rsid w:val="0086036A"/>
    <w:rsid w:val="008653A3"/>
    <w:rsid w:val="008657A2"/>
    <w:rsid w:val="00866645"/>
    <w:rsid w:val="00875ECA"/>
    <w:rsid w:val="00882210"/>
    <w:rsid w:val="00883D93"/>
    <w:rsid w:val="00894DDB"/>
    <w:rsid w:val="008A2251"/>
    <w:rsid w:val="008A235F"/>
    <w:rsid w:val="008A6185"/>
    <w:rsid w:val="008B6941"/>
    <w:rsid w:val="008C1983"/>
    <w:rsid w:val="008C1FE9"/>
    <w:rsid w:val="008C7DCE"/>
    <w:rsid w:val="008D18FC"/>
    <w:rsid w:val="008D398B"/>
    <w:rsid w:val="008D5F77"/>
    <w:rsid w:val="008D7DDF"/>
    <w:rsid w:val="008D7E49"/>
    <w:rsid w:val="008F2301"/>
    <w:rsid w:val="008F2FB8"/>
    <w:rsid w:val="008F364A"/>
    <w:rsid w:val="008F3F53"/>
    <w:rsid w:val="009136D6"/>
    <w:rsid w:val="00913E03"/>
    <w:rsid w:val="00920F32"/>
    <w:rsid w:val="009229E9"/>
    <w:rsid w:val="00926953"/>
    <w:rsid w:val="009317FB"/>
    <w:rsid w:val="00932703"/>
    <w:rsid w:val="00936469"/>
    <w:rsid w:val="009400B7"/>
    <w:rsid w:val="009439BE"/>
    <w:rsid w:val="009512D6"/>
    <w:rsid w:val="0095440C"/>
    <w:rsid w:val="00954DC2"/>
    <w:rsid w:val="00957B92"/>
    <w:rsid w:val="00960DCD"/>
    <w:rsid w:val="00970966"/>
    <w:rsid w:val="00970AC6"/>
    <w:rsid w:val="00974442"/>
    <w:rsid w:val="00987C3E"/>
    <w:rsid w:val="00992A31"/>
    <w:rsid w:val="009A027B"/>
    <w:rsid w:val="009A0698"/>
    <w:rsid w:val="009B2AF0"/>
    <w:rsid w:val="009B4B1F"/>
    <w:rsid w:val="009B6DCD"/>
    <w:rsid w:val="009C1E06"/>
    <w:rsid w:val="009C31A4"/>
    <w:rsid w:val="009C7733"/>
    <w:rsid w:val="009E41D0"/>
    <w:rsid w:val="009E50C7"/>
    <w:rsid w:val="009E5731"/>
    <w:rsid w:val="009E7299"/>
    <w:rsid w:val="009F1F69"/>
    <w:rsid w:val="00A06898"/>
    <w:rsid w:val="00A11842"/>
    <w:rsid w:val="00A17003"/>
    <w:rsid w:val="00A23BF4"/>
    <w:rsid w:val="00A24714"/>
    <w:rsid w:val="00A2593B"/>
    <w:rsid w:val="00A264C5"/>
    <w:rsid w:val="00A327AF"/>
    <w:rsid w:val="00A34E05"/>
    <w:rsid w:val="00A40D24"/>
    <w:rsid w:val="00A43D8B"/>
    <w:rsid w:val="00A4436A"/>
    <w:rsid w:val="00A454F1"/>
    <w:rsid w:val="00A543CC"/>
    <w:rsid w:val="00A5786A"/>
    <w:rsid w:val="00A61941"/>
    <w:rsid w:val="00A77E9A"/>
    <w:rsid w:val="00A844FD"/>
    <w:rsid w:val="00A93CFF"/>
    <w:rsid w:val="00A976CA"/>
    <w:rsid w:val="00AA0F76"/>
    <w:rsid w:val="00AA2083"/>
    <w:rsid w:val="00AA6709"/>
    <w:rsid w:val="00AA6EE3"/>
    <w:rsid w:val="00AB7DD2"/>
    <w:rsid w:val="00AC4490"/>
    <w:rsid w:val="00AF05C3"/>
    <w:rsid w:val="00AF07BE"/>
    <w:rsid w:val="00AF0C7C"/>
    <w:rsid w:val="00AF5968"/>
    <w:rsid w:val="00AF6867"/>
    <w:rsid w:val="00B00A40"/>
    <w:rsid w:val="00B01D86"/>
    <w:rsid w:val="00B07E4E"/>
    <w:rsid w:val="00B11FD1"/>
    <w:rsid w:val="00B137E9"/>
    <w:rsid w:val="00B13E88"/>
    <w:rsid w:val="00B1448A"/>
    <w:rsid w:val="00B23BF3"/>
    <w:rsid w:val="00B25A6F"/>
    <w:rsid w:val="00B30EA2"/>
    <w:rsid w:val="00B34ADA"/>
    <w:rsid w:val="00B36ED3"/>
    <w:rsid w:val="00B50040"/>
    <w:rsid w:val="00B50A71"/>
    <w:rsid w:val="00B513C9"/>
    <w:rsid w:val="00B5368B"/>
    <w:rsid w:val="00B556F6"/>
    <w:rsid w:val="00B56EF4"/>
    <w:rsid w:val="00B601C7"/>
    <w:rsid w:val="00B70485"/>
    <w:rsid w:val="00B76944"/>
    <w:rsid w:val="00B777A9"/>
    <w:rsid w:val="00B82A13"/>
    <w:rsid w:val="00B94917"/>
    <w:rsid w:val="00BA3A35"/>
    <w:rsid w:val="00BB312B"/>
    <w:rsid w:val="00BC2FC8"/>
    <w:rsid w:val="00BC66CE"/>
    <w:rsid w:val="00BD067C"/>
    <w:rsid w:val="00BD178A"/>
    <w:rsid w:val="00BD27C4"/>
    <w:rsid w:val="00BD4C20"/>
    <w:rsid w:val="00BD7B5D"/>
    <w:rsid w:val="00BF3B46"/>
    <w:rsid w:val="00C02AF8"/>
    <w:rsid w:val="00C162F0"/>
    <w:rsid w:val="00C17E01"/>
    <w:rsid w:val="00C248F8"/>
    <w:rsid w:val="00C25A6C"/>
    <w:rsid w:val="00C31AC4"/>
    <w:rsid w:val="00C409BE"/>
    <w:rsid w:val="00C423CA"/>
    <w:rsid w:val="00C60147"/>
    <w:rsid w:val="00C62838"/>
    <w:rsid w:val="00C62959"/>
    <w:rsid w:val="00C652ED"/>
    <w:rsid w:val="00C67B1E"/>
    <w:rsid w:val="00C712D0"/>
    <w:rsid w:val="00C72775"/>
    <w:rsid w:val="00C74E74"/>
    <w:rsid w:val="00C7793C"/>
    <w:rsid w:val="00C8216F"/>
    <w:rsid w:val="00C82724"/>
    <w:rsid w:val="00C92697"/>
    <w:rsid w:val="00C939A8"/>
    <w:rsid w:val="00C97145"/>
    <w:rsid w:val="00C97A48"/>
    <w:rsid w:val="00CA03EA"/>
    <w:rsid w:val="00CA0A12"/>
    <w:rsid w:val="00CA0E71"/>
    <w:rsid w:val="00CA41FA"/>
    <w:rsid w:val="00CB57A2"/>
    <w:rsid w:val="00CC213C"/>
    <w:rsid w:val="00CC7A98"/>
    <w:rsid w:val="00CC7ABE"/>
    <w:rsid w:val="00CD1A0F"/>
    <w:rsid w:val="00CD250C"/>
    <w:rsid w:val="00CF1521"/>
    <w:rsid w:val="00D00D43"/>
    <w:rsid w:val="00D010FD"/>
    <w:rsid w:val="00D02812"/>
    <w:rsid w:val="00D04552"/>
    <w:rsid w:val="00D066FD"/>
    <w:rsid w:val="00D072FE"/>
    <w:rsid w:val="00D11996"/>
    <w:rsid w:val="00D20056"/>
    <w:rsid w:val="00D263DA"/>
    <w:rsid w:val="00D308E5"/>
    <w:rsid w:val="00D33CDB"/>
    <w:rsid w:val="00D423CC"/>
    <w:rsid w:val="00D42CDF"/>
    <w:rsid w:val="00D47F86"/>
    <w:rsid w:val="00D517E2"/>
    <w:rsid w:val="00D6420E"/>
    <w:rsid w:val="00D73E34"/>
    <w:rsid w:val="00D80867"/>
    <w:rsid w:val="00D87329"/>
    <w:rsid w:val="00D91406"/>
    <w:rsid w:val="00D95B4C"/>
    <w:rsid w:val="00DA0B74"/>
    <w:rsid w:val="00DA551A"/>
    <w:rsid w:val="00DA5F2F"/>
    <w:rsid w:val="00DB2119"/>
    <w:rsid w:val="00DB2E39"/>
    <w:rsid w:val="00DC05BC"/>
    <w:rsid w:val="00DC3CEC"/>
    <w:rsid w:val="00DC47CD"/>
    <w:rsid w:val="00DC5DDB"/>
    <w:rsid w:val="00DD29BF"/>
    <w:rsid w:val="00DD3A24"/>
    <w:rsid w:val="00DE151C"/>
    <w:rsid w:val="00DE42E3"/>
    <w:rsid w:val="00DE4841"/>
    <w:rsid w:val="00DE6EFE"/>
    <w:rsid w:val="00DF3516"/>
    <w:rsid w:val="00DF6E1C"/>
    <w:rsid w:val="00E03C07"/>
    <w:rsid w:val="00E14321"/>
    <w:rsid w:val="00E20E3C"/>
    <w:rsid w:val="00E27374"/>
    <w:rsid w:val="00E3295D"/>
    <w:rsid w:val="00E36290"/>
    <w:rsid w:val="00E36897"/>
    <w:rsid w:val="00E656AC"/>
    <w:rsid w:val="00E77EDC"/>
    <w:rsid w:val="00E807C4"/>
    <w:rsid w:val="00E81E61"/>
    <w:rsid w:val="00E8383C"/>
    <w:rsid w:val="00E848B4"/>
    <w:rsid w:val="00E9072B"/>
    <w:rsid w:val="00E91417"/>
    <w:rsid w:val="00E94329"/>
    <w:rsid w:val="00E95034"/>
    <w:rsid w:val="00EA3254"/>
    <w:rsid w:val="00EA3925"/>
    <w:rsid w:val="00EA7758"/>
    <w:rsid w:val="00EB1377"/>
    <w:rsid w:val="00EC1590"/>
    <w:rsid w:val="00EC1B3A"/>
    <w:rsid w:val="00EC1E33"/>
    <w:rsid w:val="00EC51DD"/>
    <w:rsid w:val="00ED23C5"/>
    <w:rsid w:val="00ED2C9F"/>
    <w:rsid w:val="00ED4EDE"/>
    <w:rsid w:val="00EE00B2"/>
    <w:rsid w:val="00EF3C14"/>
    <w:rsid w:val="00F07022"/>
    <w:rsid w:val="00F1119E"/>
    <w:rsid w:val="00F1122C"/>
    <w:rsid w:val="00F32C88"/>
    <w:rsid w:val="00F33E30"/>
    <w:rsid w:val="00F35A34"/>
    <w:rsid w:val="00F40882"/>
    <w:rsid w:val="00F43559"/>
    <w:rsid w:val="00F45A08"/>
    <w:rsid w:val="00F50CB4"/>
    <w:rsid w:val="00F51A15"/>
    <w:rsid w:val="00F54CFF"/>
    <w:rsid w:val="00F5789B"/>
    <w:rsid w:val="00F673F2"/>
    <w:rsid w:val="00F710C5"/>
    <w:rsid w:val="00F75097"/>
    <w:rsid w:val="00F75AAB"/>
    <w:rsid w:val="00F75C76"/>
    <w:rsid w:val="00F928C0"/>
    <w:rsid w:val="00FB7EE1"/>
    <w:rsid w:val="00FC4697"/>
    <w:rsid w:val="00FC720B"/>
    <w:rsid w:val="00FD1CE1"/>
    <w:rsid w:val="00FE3FE9"/>
    <w:rsid w:val="00FE6A10"/>
    <w:rsid w:val="00FF19DA"/>
    <w:rsid w:val="00FF42A0"/>
    <w:rsid w:val="00FF4BB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80" w:lineRule="exact"/>
    </w:pPr>
    <w:rPr>
      <w:rFonts w:ascii="Arial" w:hAnsi="Arial"/>
      <w:sz w:val="24"/>
      <w:lang w:eastAsia="fr-FR"/>
    </w:rPr>
  </w:style>
  <w:style w:type="paragraph" w:styleId="Titre1">
    <w:name w:val="heading 1"/>
    <w:basedOn w:val="Normal"/>
    <w:next w:val="Normal"/>
    <w:qFormat/>
    <w:pPr>
      <w:keepNext/>
      <w:spacing w:before="240" w:after="60" w:line="500" w:lineRule="exact"/>
      <w:outlineLvl w:val="0"/>
    </w:pPr>
    <w:rPr>
      <w:b/>
      <w:kern w:val="28"/>
      <w:sz w:val="28"/>
    </w:rPr>
  </w:style>
  <w:style w:type="paragraph" w:styleId="Titre2">
    <w:name w:val="heading 2"/>
    <w:basedOn w:val="Normal"/>
    <w:next w:val="Normal"/>
    <w:qFormat/>
    <w:pPr>
      <w:keepNext/>
      <w:spacing w:before="240" w:after="60"/>
      <w:outlineLvl w:val="1"/>
    </w:pPr>
    <w:rPr>
      <w:b/>
      <w:i/>
    </w:rPr>
  </w:style>
  <w:style w:type="paragraph" w:styleId="Titre3">
    <w:name w:val="heading 3"/>
    <w:basedOn w:val="Normal"/>
    <w:next w:val="Normal"/>
    <w:qFormat/>
    <w:pPr>
      <w:keepNext/>
      <w:spacing w:before="240" w:after="60"/>
      <w:outlineLvl w:val="2"/>
    </w:pPr>
  </w:style>
  <w:style w:type="paragraph" w:styleId="Titre4">
    <w:name w:val="heading 4"/>
    <w:basedOn w:val="Normal"/>
    <w:next w:val="Normal"/>
    <w:qFormat/>
    <w:pPr>
      <w:keepNext/>
      <w:spacing w:before="240" w:after="60"/>
      <w:outlineLvl w:val="3"/>
    </w:pPr>
    <w:rPr>
      <w:b/>
    </w:rPr>
  </w:style>
  <w:style w:type="paragraph" w:styleId="Titre5">
    <w:name w:val="heading 5"/>
    <w:basedOn w:val="Normal"/>
    <w:next w:val="Normal"/>
    <w:qFormat/>
    <w:pPr>
      <w:spacing w:before="240" w:after="60"/>
      <w:outlineLvl w:val="4"/>
    </w:pPr>
    <w:rPr>
      <w:sz w:val="22"/>
    </w:rPr>
  </w:style>
  <w:style w:type="paragraph" w:styleId="Titre6">
    <w:name w:val="heading 6"/>
    <w:basedOn w:val="Normal"/>
    <w:next w:val="Normal"/>
    <w:qFormat/>
    <w:pPr>
      <w:spacing w:before="240" w:after="60"/>
      <w:outlineLvl w:val="5"/>
    </w:pPr>
    <w:rPr>
      <w:i/>
      <w:sz w:val="22"/>
    </w:rPr>
  </w:style>
  <w:style w:type="paragraph" w:styleId="Titre7">
    <w:name w:val="heading 7"/>
    <w:basedOn w:val="Normal"/>
    <w:next w:val="Normal"/>
    <w:qFormat/>
    <w:pPr>
      <w:spacing w:before="240" w:after="60"/>
      <w:outlineLvl w:val="6"/>
    </w:pPr>
    <w:rPr>
      <w:sz w:val="20"/>
    </w:rPr>
  </w:style>
  <w:style w:type="paragraph" w:styleId="Titre8">
    <w:name w:val="heading 8"/>
    <w:basedOn w:val="Normal"/>
    <w:next w:val="Normal"/>
    <w:qFormat/>
    <w:pPr>
      <w:spacing w:before="240" w:after="60"/>
      <w:outlineLvl w:val="7"/>
    </w:pPr>
    <w:rPr>
      <w:i/>
      <w:sz w:val="20"/>
    </w:rPr>
  </w:style>
  <w:style w:type="paragraph" w:styleId="Titre9">
    <w:name w:val="heading 9"/>
    <w:basedOn w:val="Normal"/>
    <w:next w:val="Normal"/>
    <w:qFormat/>
    <w:p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
    <w:name w:val="Paragraphe"/>
    <w:basedOn w:val="Normal"/>
    <w:link w:val="ParagrapheCar"/>
    <w:qFormat/>
    <w:pPr>
      <w:numPr>
        <w:numId w:val="18"/>
      </w:numPr>
      <w:spacing w:before="120" w:after="120" w:line="500" w:lineRule="exact"/>
      <w:jc w:val="both"/>
    </w:pPr>
    <w:rPr>
      <w:kern w:val="28"/>
    </w:rPr>
  </w:style>
  <w:style w:type="paragraph" w:customStyle="1" w:styleId="Citationenretrait">
    <w:name w:val="Citation en retrait"/>
    <w:basedOn w:val="Normal"/>
    <w:qFormat/>
    <w:pPr>
      <w:spacing w:before="120" w:after="120"/>
      <w:ind w:left="720" w:right="720"/>
      <w:jc w:val="both"/>
    </w:pPr>
    <w:rPr>
      <w:kern w:val="24"/>
      <w:sz w:val="22"/>
    </w:rPr>
  </w:style>
  <w:style w:type="character" w:customStyle="1" w:styleId="Citationintgre">
    <w:name w:val="Citation intégrée"/>
    <w:rPr>
      <w:rFonts w:ascii="Arial" w:hAnsi="Arial"/>
      <w:i/>
      <w:noProof w:val="0"/>
      <w:sz w:val="22"/>
      <w:lang w:val="fr-CA"/>
    </w:rPr>
  </w:style>
  <w:style w:type="paragraph" w:styleId="Corpsdetexte">
    <w:name w:val="Body Text"/>
    <w:basedOn w:val="Normal"/>
    <w:semiHidden/>
    <w:pPr>
      <w:spacing w:after="120"/>
    </w:pPr>
  </w:style>
  <w:style w:type="paragraph" w:styleId="Notedebasdepage">
    <w:name w:val="footnote text"/>
    <w:basedOn w:val="Normal"/>
    <w:link w:val="NotedebasdepageCar"/>
    <w:qFormat/>
    <w:pPr>
      <w:spacing w:line="240" w:lineRule="auto"/>
      <w:ind w:left="360" w:hanging="360"/>
      <w:jc w:val="both"/>
    </w:pPr>
    <w:rPr>
      <w:sz w:val="20"/>
    </w:rPr>
  </w:style>
  <w:style w:type="paragraph" w:styleId="Notedefin">
    <w:name w:val="endnote text"/>
    <w:basedOn w:val="Normal"/>
    <w:semiHidden/>
    <w:pPr>
      <w:ind w:left="-360"/>
      <w:jc w:val="both"/>
    </w:pPr>
    <w:rPr>
      <w:sz w:val="20"/>
    </w:rPr>
  </w:style>
  <w:style w:type="paragraph" w:customStyle="1" w:styleId="zSoquijlblCour">
    <w:name w:val="zSoquij_lblCour"/>
    <w:basedOn w:val="Normal"/>
    <w:pPr>
      <w:spacing w:line="500" w:lineRule="exact"/>
      <w:jc w:val="center"/>
    </w:pPr>
    <w:rPr>
      <w:b/>
      <w:sz w:val="36"/>
    </w:rPr>
  </w:style>
  <w:style w:type="paragraph" w:customStyle="1" w:styleId="zSoquijlblPays">
    <w:name w:val="zSoquij_lblPays"/>
    <w:basedOn w:val="Normal"/>
  </w:style>
  <w:style w:type="paragraph" w:customStyle="1" w:styleId="zSoquijlblProvince">
    <w:name w:val="zSoquij_lblProvince"/>
    <w:basedOn w:val="Normal"/>
  </w:style>
  <w:style w:type="paragraph" w:customStyle="1" w:styleId="zSoquijlblGreffe">
    <w:name w:val="zSoquij_lblGreffe"/>
    <w:basedOn w:val="Normal"/>
  </w:style>
  <w:style w:type="paragraph" w:customStyle="1" w:styleId="zSoquijdatGreffe">
    <w:name w:val="zSoquij_datGreffe"/>
    <w:basedOn w:val="Normal"/>
  </w:style>
  <w:style w:type="paragraph" w:customStyle="1" w:styleId="zSoquijdatDivision">
    <w:name w:val="zSoquij_datDivision"/>
    <w:basedOn w:val="Normal"/>
    <w:pPr>
      <w:jc w:val="center"/>
    </w:pPr>
    <w:rPr>
      <w:sz w:val="22"/>
    </w:rPr>
  </w:style>
  <w:style w:type="paragraph" w:customStyle="1" w:styleId="zSoquijlblNoDossier">
    <w:name w:val="zSoquij_lblNoDossier"/>
    <w:basedOn w:val="Normal"/>
  </w:style>
  <w:style w:type="paragraph" w:customStyle="1" w:styleId="zSoquijdatNoDossier">
    <w:name w:val="zSoquij_datNoDossier"/>
    <w:basedOn w:val="Normal"/>
  </w:style>
  <w:style w:type="paragraph" w:customStyle="1" w:styleId="zSoquijdatNoDossierAnt">
    <w:name w:val="zSoquij_datNoDossierAnt"/>
    <w:basedOn w:val="Normal"/>
    <w:pPr>
      <w:ind w:left="950"/>
    </w:pPr>
  </w:style>
  <w:style w:type="paragraph" w:customStyle="1" w:styleId="zSoquijdatDateJugement">
    <w:name w:val="zSoquij_datDateJugement"/>
    <w:basedOn w:val="Normal"/>
  </w:style>
  <w:style w:type="paragraph" w:customStyle="1" w:styleId="zSoquijlblDateJugement">
    <w:name w:val="zSoquij_lblDateJugement"/>
    <w:basedOn w:val="Normal"/>
  </w:style>
  <w:style w:type="paragraph" w:customStyle="1" w:styleId="zSoquijlblJuge">
    <w:name w:val="zSoquij_lblJuge"/>
    <w:basedOn w:val="Normal"/>
    <w:rPr>
      <w:b/>
    </w:rPr>
  </w:style>
  <w:style w:type="paragraph" w:customStyle="1" w:styleId="zSoquijdatQteJuge">
    <w:name w:val="zSoquij_datQteJuge"/>
    <w:basedOn w:val="Normal"/>
    <w:rPr>
      <w:b/>
    </w:rPr>
  </w:style>
  <w:style w:type="paragraph" w:customStyle="1" w:styleId="zSoquijdatJuge">
    <w:name w:val="zSoquij_datJuge"/>
    <w:basedOn w:val="Normal"/>
    <w:rPr>
      <w:b/>
    </w:rPr>
  </w:style>
  <w:style w:type="paragraph" w:customStyle="1" w:styleId="zSoquijdatNomPartieDem">
    <w:name w:val="zSoquij_datNomPartieDem"/>
    <w:basedOn w:val="Normal"/>
    <w:rPr>
      <w:b/>
      <w:bCs/>
    </w:rPr>
  </w:style>
  <w:style w:type="paragraph" w:customStyle="1" w:styleId="zSoquijdatQtePartieDem">
    <w:name w:val="zSoquij_datQtePartieDem"/>
    <w:basedOn w:val="Normal"/>
    <w:pPr>
      <w:ind w:left="708"/>
    </w:pPr>
  </w:style>
  <w:style w:type="paragraph" w:customStyle="1" w:styleId="zSoquijlblLienParties">
    <w:name w:val="zSoquij_lblLienParties"/>
    <w:basedOn w:val="Normal"/>
  </w:style>
  <w:style w:type="paragraph" w:customStyle="1" w:styleId="zSoquijdatNomPartieDef">
    <w:name w:val="zSoquij_datNomPartieDef"/>
    <w:basedOn w:val="Normal"/>
    <w:rPr>
      <w:b/>
      <w:bCs/>
    </w:rPr>
  </w:style>
  <w:style w:type="paragraph" w:customStyle="1" w:styleId="zSoquijdatQtePartieDef">
    <w:name w:val="zSoquij_datQtePartieDef"/>
    <w:basedOn w:val="Normal"/>
    <w:pPr>
      <w:ind w:left="708"/>
    </w:pPr>
  </w:style>
  <w:style w:type="paragraph" w:customStyle="1" w:styleId="zSoquijlblTypeDocument">
    <w:name w:val="zSoquij_lblTypeDocument"/>
    <w:basedOn w:val="Normal"/>
    <w:pPr>
      <w:jc w:val="center"/>
    </w:pPr>
  </w:style>
  <w:style w:type="paragraph" w:customStyle="1" w:styleId="zSoquijlblProcureurDem">
    <w:name w:val="zSoquij_lblProcureurDem"/>
    <w:basedOn w:val="Normal"/>
  </w:style>
  <w:style w:type="paragraph" w:customStyle="1" w:styleId="zSoquijlblProcureurDef">
    <w:name w:val="zSoquij_lblProcureurDef"/>
    <w:basedOn w:val="Normal"/>
  </w:style>
  <w:style w:type="paragraph" w:customStyle="1" w:styleId="zSoquijlblDateAudience">
    <w:name w:val="zSoquij_lblDateAudience"/>
    <w:basedOn w:val="Normal"/>
  </w:style>
  <w:style w:type="paragraph" w:customStyle="1" w:styleId="zSoquijdatDateAudience">
    <w:name w:val="zSoquij_datDateAudience"/>
    <w:basedOn w:val="Normal"/>
  </w:style>
  <w:style w:type="paragraph" w:customStyle="1" w:styleId="zSoquijlblNomChambre">
    <w:name w:val="zSoquij_lblNomChambre"/>
    <w:basedOn w:val="Normal"/>
  </w:style>
  <w:style w:type="paragraph" w:customStyle="1" w:styleId="zSoquijlblOpinionJuge">
    <w:name w:val="zSoquij_lblOpinionJuge"/>
    <w:basedOn w:val="Normal"/>
    <w:pPr>
      <w:jc w:val="center"/>
    </w:pPr>
  </w:style>
  <w:style w:type="character" w:customStyle="1" w:styleId="zSoquijlblEntNoDossier">
    <w:name w:val="zSoquij_lblEntNoDossier"/>
    <w:basedOn w:val="Policepardfaut"/>
    <w:rPr>
      <w:noProof w:val="0"/>
      <w:lang w:val="fr-CA"/>
    </w:rPr>
  </w:style>
  <w:style w:type="paragraph" w:customStyle="1" w:styleId="zSoquijlblTitrePartie">
    <w:name w:val="zSoquij_lblTitrePartie"/>
    <w:basedOn w:val="Normal"/>
  </w:style>
  <w:style w:type="paragraph" w:customStyle="1" w:styleId="zSoquijdatIdJuge">
    <w:name w:val="zSoquij_datIdJuge"/>
    <w:basedOn w:val="Normal"/>
    <w:pPr>
      <w:jc w:val="right"/>
    </w:pPr>
  </w:style>
  <w:style w:type="paragraph" w:customStyle="1" w:styleId="Sous-paragraphe">
    <w:name w:val="Sous-paragraphe"/>
    <w:basedOn w:val="Normal"/>
    <w:qFormat/>
    <w:pPr>
      <w:widowControl w:val="0"/>
      <w:numPr>
        <w:ilvl w:val="1"/>
        <w:numId w:val="18"/>
      </w:numPr>
      <w:spacing w:after="120"/>
      <w:jc w:val="both"/>
    </w:pPr>
    <w:rPr>
      <w:kern w:val="28"/>
    </w:rPr>
  </w:style>
  <w:style w:type="paragraph" w:customStyle="1" w:styleId="zSoquijdatNomProcureurDem">
    <w:name w:val="zSoquij_datNomProcureurDem"/>
    <w:basedOn w:val="zSoquijlblProcureurDem"/>
    <w:pPr>
      <w:keepNext/>
    </w:pPr>
  </w:style>
  <w:style w:type="paragraph" w:customStyle="1" w:styleId="zSoquijdatNomProcureurDef">
    <w:name w:val="zSoquij_datNomProcureurDef"/>
    <w:basedOn w:val="zSoquijlblProcureurDef"/>
    <w:pPr>
      <w:keepNext/>
    </w:pPr>
  </w:style>
  <w:style w:type="paragraph" w:customStyle="1" w:styleId="zSoquijdatCabinetProcureurDem">
    <w:name w:val="zSoquij_datCabinetProcureurDem"/>
    <w:basedOn w:val="Normal"/>
    <w:pPr>
      <w:keepNext/>
    </w:pPr>
  </w:style>
  <w:style w:type="paragraph" w:customStyle="1" w:styleId="zSoquijdatCabinetProcureurDef">
    <w:name w:val="zSoquij_datCabinetProcureurDef"/>
    <w:basedOn w:val="zSoquijlblProcureurDef"/>
    <w:pPr>
      <w:keepNext/>
    </w:pPr>
  </w:style>
  <w:style w:type="paragraph" w:styleId="En-tte">
    <w:name w:val="header"/>
    <w:basedOn w:val="Normal"/>
    <w:semiHidden/>
    <w:pPr>
      <w:tabs>
        <w:tab w:val="center" w:pos="4320"/>
        <w:tab w:val="right" w:pos="8640"/>
      </w:tabs>
    </w:pPr>
  </w:style>
  <w:style w:type="paragraph" w:styleId="Pieddepage">
    <w:name w:val="footer"/>
    <w:basedOn w:val="Normal"/>
    <w:semiHidden/>
    <w:pPr>
      <w:tabs>
        <w:tab w:val="center" w:pos="4320"/>
        <w:tab w:val="right" w:pos="8640"/>
      </w:tabs>
    </w:pPr>
  </w:style>
  <w:style w:type="paragraph" w:customStyle="1" w:styleId="Tableaudroiteanglais">
    <w:name w:val="Tableau droite anglais"/>
    <w:basedOn w:val="Tableaugauchefranais"/>
    <w:pPr>
      <w:ind w:left="144" w:right="720"/>
      <w:jc w:val="both"/>
    </w:pPr>
    <w:rPr>
      <w:lang w:val="en-CA"/>
    </w:rPr>
  </w:style>
  <w:style w:type="paragraph" w:customStyle="1" w:styleId="Tableaugauchefranais">
    <w:name w:val="Tableau gauche français"/>
    <w:basedOn w:val="Normal"/>
    <w:pPr>
      <w:ind w:left="720" w:right="144"/>
    </w:pPr>
    <w:rPr>
      <w:sz w:val="22"/>
    </w:rPr>
  </w:style>
  <w:style w:type="character" w:styleId="Appelnotedebasdep">
    <w:name w:val="footnote reference"/>
    <w:aliases w:val="Char Char6 Char Char Char Char Char Char Char Char Char Char Char Char,Char6 Char Char Char Char Char Char Char Char Char Char Char Char Char,Footnote,Ref,de nota al pie,fr"/>
    <w:qFormat/>
    <w:rPr>
      <w:noProof w:val="0"/>
      <w:vertAlign w:val="superscript"/>
      <w:lang w:val="fr-CA"/>
    </w:rPr>
  </w:style>
  <w:style w:type="paragraph" w:styleId="Corpsdetexte3">
    <w:name w:val="Body Text 3"/>
    <w:basedOn w:val="Normal"/>
    <w:semiHidden/>
    <w:pPr>
      <w:spacing w:after="120"/>
    </w:pPr>
    <w:rPr>
      <w:sz w:val="16"/>
    </w:rPr>
  </w:style>
  <w:style w:type="paragraph" w:customStyle="1" w:styleId="zSoquijdatRepertorie">
    <w:name w:val="zSoquij_datRepertorie"/>
    <w:basedOn w:val="zSoquijlblCour"/>
    <w:pPr>
      <w:spacing w:line="240" w:lineRule="auto"/>
      <w:jc w:val="left"/>
    </w:pPr>
    <w:rPr>
      <w:sz w:val="22"/>
    </w:rPr>
  </w:style>
  <w:style w:type="paragraph" w:customStyle="1" w:styleId="zSoquijdatRefNeutre">
    <w:name w:val="zSoquij_datRefNeutre"/>
    <w:basedOn w:val="zSoquijlblCour"/>
    <w:pPr>
      <w:spacing w:line="240" w:lineRule="auto"/>
      <w:jc w:val="left"/>
    </w:pPr>
    <w:rPr>
      <w:sz w:val="22"/>
    </w:rPr>
  </w:style>
  <w:style w:type="table" w:styleId="Grilledutableau">
    <w:name w:val="Table Grid"/>
    <w:basedOn w:val="TableauNormal"/>
    <w:uiPriority w:val="39"/>
    <w:rsid w:val="00E20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E3239"/>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E3239"/>
    <w:rPr>
      <w:rFonts w:ascii="Segoe UI" w:hAnsi="Segoe UI" w:cs="Segoe UI"/>
      <w:sz w:val="18"/>
      <w:szCs w:val="18"/>
      <w:lang w:eastAsia="fr-FR"/>
    </w:rPr>
  </w:style>
  <w:style w:type="character" w:customStyle="1" w:styleId="NotedebasdepageCar">
    <w:name w:val="Note de bas de page Car"/>
    <w:basedOn w:val="Policepardfaut"/>
    <w:link w:val="Notedebasdepage"/>
    <w:rsid w:val="00B25A6F"/>
    <w:rPr>
      <w:rFonts w:ascii="Arial" w:hAnsi="Arial"/>
      <w:lang w:eastAsia="fr-FR"/>
    </w:rPr>
  </w:style>
  <w:style w:type="paragraph" w:styleId="Paragraphedeliste">
    <w:name w:val="List Paragraph"/>
    <w:basedOn w:val="Normal"/>
    <w:uiPriority w:val="34"/>
    <w:qFormat/>
    <w:rsid w:val="00B25A6F"/>
    <w:pPr>
      <w:spacing w:line="240" w:lineRule="auto"/>
      <w:ind w:left="720"/>
      <w:contextualSpacing/>
    </w:pPr>
    <w:rPr>
      <w:rFonts w:ascii="Times New Roman" w:hAnsi="Times New Roman"/>
      <w:szCs w:val="24"/>
    </w:rPr>
  </w:style>
  <w:style w:type="paragraph" w:customStyle="1" w:styleId="NoParagrjugement">
    <w:name w:val="No Paragr. jugement"/>
    <w:basedOn w:val="Normal"/>
    <w:rsid w:val="00B25A6F"/>
    <w:pPr>
      <w:tabs>
        <w:tab w:val="num" w:pos="720"/>
      </w:tabs>
      <w:spacing w:before="120" w:after="120" w:line="240" w:lineRule="auto"/>
      <w:jc w:val="both"/>
    </w:pPr>
    <w:rPr>
      <w:kern w:val="28"/>
    </w:rPr>
  </w:style>
  <w:style w:type="character" w:styleId="Lienhypertexte">
    <w:name w:val="Hyperlink"/>
    <w:uiPriority w:val="99"/>
    <w:rsid w:val="00B25A6F"/>
    <w:rPr>
      <w:noProof w:val="0"/>
      <w:color w:val="0000FF"/>
      <w:u w:val="single"/>
      <w:lang w:val="fr-CA"/>
    </w:rPr>
  </w:style>
  <w:style w:type="character" w:customStyle="1" w:styleId="ParagrapheCar">
    <w:name w:val="Paragraphe Car"/>
    <w:link w:val="Paragraphe"/>
    <w:qFormat/>
    <w:locked/>
    <w:rsid w:val="00282E51"/>
    <w:rPr>
      <w:rFonts w:ascii="Arial" w:hAnsi="Arial"/>
      <w:kern w:val="28"/>
      <w:sz w:val="24"/>
      <w:lang w:eastAsia="fr-FR"/>
    </w:rPr>
  </w:style>
  <w:style w:type="character" w:styleId="Marquedecommentaire">
    <w:name w:val="annotation reference"/>
    <w:basedOn w:val="Policepardfaut"/>
    <w:uiPriority w:val="99"/>
    <w:semiHidden/>
    <w:unhideWhenUsed/>
    <w:rsid w:val="00C82724"/>
    <w:rPr>
      <w:sz w:val="16"/>
      <w:szCs w:val="16"/>
    </w:rPr>
  </w:style>
  <w:style w:type="paragraph" w:styleId="Commentaire">
    <w:name w:val="annotation text"/>
    <w:basedOn w:val="Normal"/>
    <w:link w:val="CommentaireCar"/>
    <w:uiPriority w:val="99"/>
    <w:semiHidden/>
    <w:unhideWhenUsed/>
    <w:rsid w:val="00C82724"/>
    <w:pPr>
      <w:spacing w:line="240" w:lineRule="auto"/>
    </w:pPr>
    <w:rPr>
      <w:sz w:val="20"/>
    </w:rPr>
  </w:style>
  <w:style w:type="character" w:customStyle="1" w:styleId="CommentaireCar">
    <w:name w:val="Commentaire Car"/>
    <w:basedOn w:val="Policepardfaut"/>
    <w:link w:val="Commentaire"/>
    <w:uiPriority w:val="99"/>
    <w:semiHidden/>
    <w:rsid w:val="00C82724"/>
    <w:rPr>
      <w:rFonts w:ascii="Arial" w:hAnsi="Arial"/>
      <w:lang w:eastAsia="fr-FR"/>
    </w:rPr>
  </w:style>
  <w:style w:type="paragraph" w:styleId="Objetducommentaire">
    <w:name w:val="annotation subject"/>
    <w:basedOn w:val="Commentaire"/>
    <w:next w:val="Commentaire"/>
    <w:link w:val="ObjetducommentaireCar"/>
    <w:uiPriority w:val="99"/>
    <w:semiHidden/>
    <w:unhideWhenUsed/>
    <w:rsid w:val="00C82724"/>
    <w:rPr>
      <w:b/>
      <w:bCs/>
    </w:rPr>
  </w:style>
  <w:style w:type="character" w:customStyle="1" w:styleId="ObjetducommentaireCar">
    <w:name w:val="Objet du commentaire Car"/>
    <w:basedOn w:val="CommentaireCar"/>
    <w:link w:val="Objetducommentaire"/>
    <w:uiPriority w:val="99"/>
    <w:semiHidden/>
    <w:rsid w:val="00C82724"/>
    <w:rPr>
      <w:rFonts w:ascii="Arial" w:hAnsi="Arial"/>
      <w:b/>
      <w:bCs/>
      <w:lang w:eastAsia="fr-FR"/>
    </w:rPr>
  </w:style>
  <w:style w:type="paragraph" w:customStyle="1" w:styleId="Default">
    <w:name w:val="Default"/>
    <w:rsid w:val="00394A19"/>
    <w:pPr>
      <w:autoSpaceDE w:val="0"/>
      <w:autoSpaceDN w:val="0"/>
      <w:adjustRightInd w:val="0"/>
    </w:pPr>
    <w:rPr>
      <w:rFonts w:ascii="Arial" w:hAnsi="Arial" w:cs="Arial"/>
      <w:color w:val="000000"/>
      <w:sz w:val="24"/>
      <w:szCs w:val="24"/>
    </w:rPr>
  </w:style>
  <w:style w:type="paragraph" w:styleId="Rvision">
    <w:name w:val="Revision"/>
    <w:hidden/>
    <w:uiPriority w:val="99"/>
    <w:semiHidden/>
    <w:rsid w:val="00230E32"/>
    <w:rPr>
      <w:rFonts w:ascii="Arial" w:hAnsi="Arial"/>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98143-1356-4F7F-A069-0D8B4A085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9245</Words>
  <Characters>48286</Characters>
  <Application>Microsoft Office Word</Application>
  <DocSecurity>0</DocSecurity>
  <Lines>402</Lines>
  <Paragraphs>114</Paragraphs>
  <ScaleCrop>false</ScaleCrop>
  <Company/>
  <LinksUpToDate>false</LinksUpToDate>
  <CharactersWithSpaces>57417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2022-06-21T18:08:00Z</dcterms:created>
  <dcterms:modified xsi:type="dcterms:W3CDTF">2022-06-21T18:08:00Z</dcterms:modified>
</cp:coreProperties>
</file>