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874C0" w14:textId="593CCDE0" w:rsidR="00704B33" w:rsidRPr="005D05E9" w:rsidRDefault="00704B33">
      <w:pPr>
        <w:rPr>
          <w:lang w:val="en-CA"/>
        </w:rPr>
      </w:pPr>
      <w:r w:rsidRPr="005D05E9">
        <w:rPr>
          <w:lang w:val="en-CA"/>
        </w:rPr>
        <w:t>Unofficial English Translation of the J</w:t>
      </w:r>
      <w:r>
        <w:rPr>
          <w:lang w:val="en-CA"/>
        </w:rPr>
        <w:t>udgment of the Court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0"/>
        <w:gridCol w:w="81"/>
        <w:gridCol w:w="2269"/>
        <w:gridCol w:w="3402"/>
        <w:gridCol w:w="1988"/>
      </w:tblGrid>
      <w:tr w:rsidR="00233D4B" w14:paraId="6189AAD9" w14:textId="77777777" w:rsidTr="008D18FC">
        <w:trPr>
          <w:trHeight w:val="248"/>
        </w:trPr>
        <w:tc>
          <w:tcPr>
            <w:tcW w:w="7372" w:type="dxa"/>
            <w:gridSpan w:val="5"/>
          </w:tcPr>
          <w:p w14:paraId="3A4D5670" w14:textId="77777777" w:rsidR="008F364A" w:rsidRPr="00173159" w:rsidRDefault="00173159" w:rsidP="00173159">
            <w:pPr>
              <w:pStyle w:val="zSoquijdatRepertorie"/>
              <w:rPr>
                <w:rFonts w:cs="Arial"/>
              </w:rPr>
            </w:pPr>
            <w:r>
              <w:rPr>
                <w:rFonts w:cs="Arial"/>
              </w:rPr>
              <w:t>Droit de la famille — 21771</w:t>
            </w:r>
          </w:p>
        </w:tc>
        <w:tc>
          <w:tcPr>
            <w:tcW w:w="1988" w:type="dxa"/>
          </w:tcPr>
          <w:p w14:paraId="43F9CF11" w14:textId="77777777" w:rsidR="008F364A" w:rsidRPr="00FC4707" w:rsidRDefault="00FC4707" w:rsidP="00FC4707">
            <w:pPr>
              <w:pStyle w:val="zSoquijdatRefNeutre"/>
              <w:jc w:val="right"/>
              <w:rPr>
                <w:rFonts w:cs="Arial"/>
              </w:rPr>
            </w:pPr>
            <w:r w:rsidRPr="00FC4707">
              <w:rPr>
                <w:rFonts w:cs="Arial"/>
              </w:rPr>
              <w:t>2021 QCCA 702</w:t>
            </w:r>
          </w:p>
        </w:tc>
      </w:tr>
      <w:tr w:rsidR="00233D4B" w14:paraId="444816FE" w14:textId="77777777" w:rsidTr="008D18FC">
        <w:trPr>
          <w:trHeight w:val="247"/>
        </w:trPr>
        <w:tc>
          <w:tcPr>
            <w:tcW w:w="9360" w:type="dxa"/>
            <w:gridSpan w:val="6"/>
          </w:tcPr>
          <w:p w14:paraId="796C2158" w14:textId="3EC8C382" w:rsidR="008F364A" w:rsidRPr="007C7728" w:rsidRDefault="00AA6CA3">
            <w:pPr>
              <w:pStyle w:val="zSoquijlblCour"/>
            </w:pPr>
            <w:r>
              <w:t>COURT OF APPEAL</w:t>
            </w:r>
          </w:p>
        </w:tc>
      </w:tr>
      <w:tr w:rsidR="00233D4B" w14:paraId="4A45F0A8" w14:textId="77777777" w:rsidTr="008D18FC">
        <w:trPr>
          <w:trHeight w:val="540"/>
        </w:trPr>
        <w:tc>
          <w:tcPr>
            <w:tcW w:w="9360" w:type="dxa"/>
            <w:gridSpan w:val="6"/>
          </w:tcPr>
          <w:p w14:paraId="1CA6E904" w14:textId="77777777" w:rsidR="008F364A" w:rsidRPr="007C7728" w:rsidRDefault="008F364A">
            <w:pPr>
              <w:pStyle w:val="zSoquijdatDivision"/>
            </w:pPr>
          </w:p>
        </w:tc>
      </w:tr>
      <w:tr w:rsidR="00233D4B" w14:paraId="1E412E9A" w14:textId="77777777" w:rsidTr="008D18FC">
        <w:tc>
          <w:tcPr>
            <w:tcW w:w="9360" w:type="dxa"/>
            <w:gridSpan w:val="6"/>
          </w:tcPr>
          <w:p w14:paraId="782E2B54" w14:textId="77777777" w:rsidR="008F364A" w:rsidRPr="007C7728" w:rsidRDefault="009E7D68">
            <w:pPr>
              <w:pStyle w:val="zSoquijlblPays"/>
            </w:pPr>
            <w:r w:rsidRPr="007C7728">
              <w:t>CANADA</w:t>
            </w:r>
          </w:p>
        </w:tc>
      </w:tr>
      <w:tr w:rsidR="00233D4B" w14:paraId="7BD746BA" w14:textId="77777777" w:rsidTr="008D18FC">
        <w:tc>
          <w:tcPr>
            <w:tcW w:w="9360" w:type="dxa"/>
            <w:gridSpan w:val="6"/>
          </w:tcPr>
          <w:p w14:paraId="45A591CD" w14:textId="779EC86B" w:rsidR="008F364A" w:rsidRPr="007C7728" w:rsidRDefault="009E7D68">
            <w:pPr>
              <w:pStyle w:val="zSoquijlblProvince"/>
            </w:pPr>
            <w:r w:rsidRPr="007C7728">
              <w:t xml:space="preserve">PROVINCE </w:t>
            </w:r>
            <w:r w:rsidR="00ED1ACF">
              <w:t>OF QUEBEC</w:t>
            </w:r>
          </w:p>
        </w:tc>
      </w:tr>
      <w:tr w:rsidR="00233D4B" w14:paraId="6601E26E" w14:textId="77777777" w:rsidTr="00ED1ACF">
        <w:tc>
          <w:tcPr>
            <w:tcW w:w="1701" w:type="dxa"/>
            <w:gridSpan w:val="3"/>
          </w:tcPr>
          <w:p w14:paraId="0CC144EF" w14:textId="4730E558" w:rsidR="008F364A" w:rsidRPr="007C7728" w:rsidRDefault="00ED1ACF">
            <w:pPr>
              <w:pStyle w:val="zSoquijlblGreffe"/>
            </w:pPr>
            <w:r>
              <w:t xml:space="preserve">REGISTRY OF </w:t>
            </w:r>
          </w:p>
          <w:p w14:paraId="6D7E45EF" w14:textId="77777777" w:rsidR="008F364A" w:rsidRPr="007C7728" w:rsidRDefault="008F364A">
            <w:pPr>
              <w:pStyle w:val="zSoquijlblGreffe"/>
            </w:pPr>
          </w:p>
        </w:tc>
        <w:tc>
          <w:tcPr>
            <w:tcW w:w="7659" w:type="dxa"/>
            <w:gridSpan w:val="3"/>
          </w:tcPr>
          <w:p w14:paraId="204DDC1C" w14:textId="0027EAA9" w:rsidR="008F364A" w:rsidRPr="007C7728" w:rsidRDefault="00ED1ACF">
            <w:pPr>
              <w:pStyle w:val="zSoquijdatGreffe"/>
            </w:pPr>
            <w:r>
              <w:t>MONTREAL</w:t>
            </w:r>
          </w:p>
        </w:tc>
      </w:tr>
      <w:tr w:rsidR="00233D4B" w14:paraId="36983156" w14:textId="77777777" w:rsidTr="008D18FC">
        <w:tc>
          <w:tcPr>
            <w:tcW w:w="1030" w:type="dxa"/>
          </w:tcPr>
          <w:p w14:paraId="71588201" w14:textId="5460913D" w:rsidR="008F364A" w:rsidRPr="007C7728" w:rsidRDefault="009E7D68">
            <w:pPr>
              <w:pStyle w:val="zSoquijlblNoDossier"/>
            </w:pPr>
            <w:r w:rsidRPr="007C7728">
              <w:t>N</w:t>
            </w:r>
            <w:r w:rsidR="00B67C74">
              <w:t>o</w:t>
            </w:r>
            <w:r w:rsidRPr="007C7728">
              <w:t>:</w:t>
            </w:r>
          </w:p>
        </w:tc>
        <w:tc>
          <w:tcPr>
            <w:tcW w:w="8330" w:type="dxa"/>
            <w:gridSpan w:val="5"/>
          </w:tcPr>
          <w:p w14:paraId="6B805DB7" w14:textId="77777777" w:rsidR="008F364A" w:rsidRPr="007C7728" w:rsidRDefault="009E7D68">
            <w:pPr>
              <w:pStyle w:val="zSoquijdatNoDossier"/>
            </w:pPr>
            <w:bookmarkStart w:id="0" w:name="NoDossier"/>
            <w:r w:rsidRPr="007C7728">
              <w:t>500-09-028934-206</w:t>
            </w:r>
            <w:bookmarkEnd w:id="0"/>
          </w:p>
        </w:tc>
      </w:tr>
      <w:tr w:rsidR="00233D4B" w14:paraId="0F98C87E" w14:textId="77777777" w:rsidTr="008D18FC">
        <w:tc>
          <w:tcPr>
            <w:tcW w:w="9360" w:type="dxa"/>
            <w:gridSpan w:val="6"/>
          </w:tcPr>
          <w:p w14:paraId="07A993D3" w14:textId="77777777" w:rsidR="00155239" w:rsidRPr="007C7728" w:rsidRDefault="009E7D68" w:rsidP="00155239">
            <w:pPr>
              <w:pStyle w:val="zSoquijdatNoDossierAnt"/>
            </w:pPr>
            <w:r w:rsidRPr="007C7728">
              <w:t>(500-12-332269-160)</w:t>
            </w:r>
          </w:p>
        </w:tc>
      </w:tr>
      <w:tr w:rsidR="00233D4B" w14:paraId="686D105E" w14:textId="77777777" w:rsidTr="008D18FC">
        <w:tc>
          <w:tcPr>
            <w:tcW w:w="9360" w:type="dxa"/>
            <w:gridSpan w:val="6"/>
          </w:tcPr>
          <w:p w14:paraId="73503E25" w14:textId="77777777" w:rsidR="008F364A" w:rsidRPr="007C7728" w:rsidRDefault="008F364A"/>
        </w:tc>
      </w:tr>
      <w:tr w:rsidR="00233D4B" w14:paraId="0191FC29" w14:textId="77777777" w:rsidTr="008D18FC">
        <w:tc>
          <w:tcPr>
            <w:tcW w:w="1030" w:type="dxa"/>
          </w:tcPr>
          <w:p w14:paraId="3B19DAF6" w14:textId="5F760D69" w:rsidR="008F364A" w:rsidRPr="007C7728" w:rsidRDefault="009E7D68">
            <w:pPr>
              <w:pStyle w:val="zSoquijlblDateJugement"/>
            </w:pPr>
            <w:r w:rsidRPr="007C7728">
              <w:t>DATE:</w:t>
            </w:r>
          </w:p>
        </w:tc>
        <w:tc>
          <w:tcPr>
            <w:tcW w:w="8330" w:type="dxa"/>
            <w:gridSpan w:val="5"/>
          </w:tcPr>
          <w:p w14:paraId="69F1F006" w14:textId="6EE3B7D9" w:rsidR="008F364A" w:rsidRPr="007C7728" w:rsidRDefault="00B67C74">
            <w:pPr>
              <w:pStyle w:val="zSoquijdatDateJugement"/>
            </w:pPr>
            <w:r>
              <w:t>April 23, 2021</w:t>
            </w:r>
          </w:p>
        </w:tc>
      </w:tr>
      <w:tr w:rsidR="00233D4B" w14:paraId="44E7B417" w14:textId="77777777" w:rsidTr="008D18FC">
        <w:tc>
          <w:tcPr>
            <w:tcW w:w="9360" w:type="dxa"/>
            <w:gridSpan w:val="6"/>
            <w:tcBorders>
              <w:bottom w:val="single" w:sz="8" w:space="0" w:color="auto"/>
            </w:tcBorders>
          </w:tcPr>
          <w:p w14:paraId="58836C89" w14:textId="77777777" w:rsidR="008F364A" w:rsidRPr="007C7728" w:rsidRDefault="008F364A"/>
        </w:tc>
      </w:tr>
      <w:tr w:rsidR="00233D4B" w14:paraId="4EAB5BC5" w14:textId="77777777" w:rsidTr="008D18FC">
        <w:tc>
          <w:tcPr>
            <w:tcW w:w="9360" w:type="dxa"/>
            <w:gridSpan w:val="6"/>
            <w:tcBorders>
              <w:top w:val="single" w:sz="8" w:space="0" w:color="auto"/>
            </w:tcBorders>
          </w:tcPr>
          <w:p w14:paraId="07F4A004" w14:textId="77777777" w:rsidR="008F364A" w:rsidRPr="007C7728" w:rsidRDefault="008F364A"/>
        </w:tc>
      </w:tr>
      <w:tr w:rsidR="00233D4B" w:rsidRPr="005076A6" w14:paraId="376E9202" w14:textId="77777777" w:rsidTr="008D18FC">
        <w:tc>
          <w:tcPr>
            <w:tcW w:w="1620" w:type="dxa"/>
            <w:gridSpan w:val="2"/>
          </w:tcPr>
          <w:p w14:paraId="1EEC75C0" w14:textId="416925C9" w:rsidR="008F364A" w:rsidRPr="007C7728" w:rsidRDefault="00724461" w:rsidP="00423DF1">
            <w:pPr>
              <w:pStyle w:val="zSoquijlblJuge"/>
              <w:ind w:right="-142"/>
            </w:pPr>
            <w:bookmarkStart w:id="1" w:name="FORMATION"/>
            <w:r>
              <w:t>CORAM</w:t>
            </w:r>
            <w:r w:rsidR="00740A17" w:rsidRPr="007C7728">
              <w:t>:</w:t>
            </w:r>
            <w:bookmarkEnd w:id="1"/>
          </w:p>
        </w:tc>
        <w:tc>
          <w:tcPr>
            <w:tcW w:w="2350" w:type="dxa"/>
            <w:gridSpan w:val="2"/>
          </w:tcPr>
          <w:p w14:paraId="706E10C7" w14:textId="2B58FBE2" w:rsidR="008F364A" w:rsidRPr="007C7728" w:rsidRDefault="00862295">
            <w:pPr>
              <w:pStyle w:val="zSoquijdatQteJuge"/>
            </w:pPr>
            <w:r>
              <w:t>THE HONOURABLE</w:t>
            </w:r>
          </w:p>
        </w:tc>
        <w:tc>
          <w:tcPr>
            <w:tcW w:w="5390" w:type="dxa"/>
            <w:gridSpan w:val="2"/>
          </w:tcPr>
          <w:p w14:paraId="49868DD1" w14:textId="5060B90B" w:rsidR="008F364A" w:rsidRPr="007C7728" w:rsidRDefault="009E7D68">
            <w:pPr>
              <w:pStyle w:val="zSoquijdatJuge"/>
              <w:rPr>
                <w:lang w:val="en-CA"/>
              </w:rPr>
            </w:pPr>
            <w:bookmarkStart w:id="2" w:name="NomJuge1"/>
            <w:r w:rsidRPr="007C7728">
              <w:rPr>
                <w:lang w:val="en-CA"/>
              </w:rPr>
              <w:t>ALLAN R. HILTON, J.A.</w:t>
            </w:r>
            <w:bookmarkEnd w:id="2"/>
          </w:p>
          <w:p w14:paraId="49FB5794" w14:textId="09135B36" w:rsidR="008F364A" w:rsidRPr="007C7728" w:rsidRDefault="009E7D68">
            <w:pPr>
              <w:pStyle w:val="zSoquijdatJuge"/>
              <w:rPr>
                <w:lang w:val="en-CA"/>
              </w:rPr>
            </w:pPr>
            <w:bookmarkStart w:id="3" w:name="NomJuge2"/>
            <w:r w:rsidRPr="007C7728">
              <w:rPr>
                <w:lang w:val="en-CA"/>
              </w:rPr>
              <w:t>MARK SC</w:t>
            </w:r>
            <w:bookmarkStart w:id="4" w:name="_GoBack"/>
            <w:bookmarkEnd w:id="4"/>
            <w:r w:rsidRPr="007C7728">
              <w:rPr>
                <w:lang w:val="en-CA"/>
              </w:rPr>
              <w:t>HRAGER, J.A.</w:t>
            </w:r>
            <w:bookmarkEnd w:id="3"/>
          </w:p>
          <w:p w14:paraId="4A5B9BA3" w14:textId="58386FD8" w:rsidR="005A78BF" w:rsidRPr="007C7728" w:rsidRDefault="009E7D68" w:rsidP="00155239">
            <w:pPr>
              <w:pStyle w:val="zSoquijdatJuge"/>
              <w:rPr>
                <w:lang w:val="de-DE"/>
              </w:rPr>
            </w:pPr>
            <w:bookmarkStart w:id="5" w:name="_Hlt520513784"/>
            <w:bookmarkStart w:id="6" w:name="NomJuge3"/>
            <w:bookmarkEnd w:id="5"/>
            <w:r w:rsidRPr="007C7728">
              <w:rPr>
                <w:lang w:val="en-CA"/>
              </w:rPr>
              <w:t>PATRICK HEALY, J.A.</w:t>
            </w:r>
            <w:bookmarkEnd w:id="6"/>
          </w:p>
        </w:tc>
      </w:tr>
      <w:tr w:rsidR="00233D4B" w:rsidRPr="005076A6" w14:paraId="78085DC4" w14:textId="77777777" w:rsidTr="008D18FC">
        <w:tc>
          <w:tcPr>
            <w:tcW w:w="9360" w:type="dxa"/>
            <w:gridSpan w:val="6"/>
            <w:tcBorders>
              <w:bottom w:val="single" w:sz="8" w:space="0" w:color="auto"/>
            </w:tcBorders>
          </w:tcPr>
          <w:p w14:paraId="27E42FBE" w14:textId="77777777" w:rsidR="008F364A" w:rsidRPr="007C7728" w:rsidRDefault="008F364A">
            <w:pPr>
              <w:rPr>
                <w:lang w:val="de-DE"/>
              </w:rPr>
            </w:pPr>
          </w:p>
        </w:tc>
      </w:tr>
      <w:tr w:rsidR="00233D4B" w:rsidRPr="005076A6" w14:paraId="12CF045B" w14:textId="77777777" w:rsidTr="008D18FC">
        <w:tc>
          <w:tcPr>
            <w:tcW w:w="9360" w:type="dxa"/>
            <w:gridSpan w:val="6"/>
          </w:tcPr>
          <w:p w14:paraId="74022EEC" w14:textId="77777777" w:rsidR="008F364A" w:rsidRPr="007C7728" w:rsidRDefault="008F364A">
            <w:pPr>
              <w:pStyle w:val="zSoquijlblTitrePartie"/>
              <w:rPr>
                <w:lang w:val="de-DE"/>
              </w:rPr>
            </w:pPr>
          </w:p>
        </w:tc>
      </w:tr>
      <w:tr w:rsidR="00233D4B" w14:paraId="73003AEC" w14:textId="77777777" w:rsidTr="008D18FC">
        <w:tc>
          <w:tcPr>
            <w:tcW w:w="9360" w:type="dxa"/>
            <w:gridSpan w:val="6"/>
          </w:tcPr>
          <w:p w14:paraId="2AE6CAD6" w14:textId="77777777" w:rsidR="008F364A" w:rsidRPr="00DA76CA" w:rsidRDefault="009E7D68">
            <w:pPr>
              <w:pStyle w:val="zSoquijdatNomPartieDem"/>
              <w:rPr>
                <w:lang w:val="en-CA"/>
              </w:rPr>
            </w:pPr>
            <w:r w:rsidRPr="00DA76CA">
              <w:rPr>
                <w:lang w:val="en-CA"/>
              </w:rPr>
              <w:t>L… C…</w:t>
            </w:r>
          </w:p>
        </w:tc>
      </w:tr>
      <w:tr w:rsidR="00233D4B" w14:paraId="63067929" w14:textId="77777777" w:rsidTr="008D18FC">
        <w:tc>
          <w:tcPr>
            <w:tcW w:w="9360" w:type="dxa"/>
            <w:gridSpan w:val="6"/>
          </w:tcPr>
          <w:p w14:paraId="6AE15F00" w14:textId="63F4C146" w:rsidR="008F364A" w:rsidRPr="00DA76CA" w:rsidRDefault="00EE2886">
            <w:pPr>
              <w:pStyle w:val="zSoquijdatQtePartieDem"/>
              <w:rPr>
                <w:lang w:val="en-CA"/>
              </w:rPr>
            </w:pPr>
            <w:r w:rsidRPr="00DA76CA">
              <w:rPr>
                <w:lang w:val="en-CA"/>
              </w:rPr>
              <w:t>APPELLANT</w:t>
            </w:r>
            <w:r w:rsidR="009E7D68" w:rsidRPr="00DA76CA">
              <w:rPr>
                <w:lang w:val="en-CA"/>
              </w:rPr>
              <w:t xml:space="preserve"> – </w:t>
            </w:r>
            <w:r w:rsidR="00801E56" w:rsidRPr="00DA76CA">
              <w:rPr>
                <w:lang w:val="en-CA"/>
              </w:rPr>
              <w:t>P</w:t>
            </w:r>
            <w:r w:rsidRPr="00DA76CA">
              <w:rPr>
                <w:lang w:val="en-CA"/>
              </w:rPr>
              <w:t>laintiff</w:t>
            </w:r>
          </w:p>
        </w:tc>
      </w:tr>
      <w:tr w:rsidR="00233D4B" w14:paraId="13C2673A" w14:textId="77777777" w:rsidTr="008D18FC">
        <w:tc>
          <w:tcPr>
            <w:tcW w:w="9360" w:type="dxa"/>
            <w:gridSpan w:val="6"/>
          </w:tcPr>
          <w:p w14:paraId="0A6304F8" w14:textId="38E10754" w:rsidR="008F364A" w:rsidRPr="00DA76CA" w:rsidRDefault="00EE2886">
            <w:pPr>
              <w:pStyle w:val="zSoquijlblLienParties"/>
              <w:rPr>
                <w:lang w:val="en-CA"/>
              </w:rPr>
            </w:pPr>
            <w:r w:rsidRPr="00DA76CA">
              <w:rPr>
                <w:lang w:val="en-CA"/>
              </w:rPr>
              <w:t>v</w:t>
            </w:r>
            <w:r w:rsidR="009E7D68" w:rsidRPr="00DA76CA">
              <w:rPr>
                <w:lang w:val="en-CA"/>
              </w:rPr>
              <w:t>.</w:t>
            </w:r>
          </w:p>
        </w:tc>
      </w:tr>
      <w:tr w:rsidR="00233D4B" w14:paraId="030AECEA" w14:textId="77777777" w:rsidTr="008D18FC">
        <w:tc>
          <w:tcPr>
            <w:tcW w:w="9360" w:type="dxa"/>
            <w:gridSpan w:val="6"/>
          </w:tcPr>
          <w:p w14:paraId="23FEDA56" w14:textId="77777777" w:rsidR="008F364A" w:rsidRPr="00DA76CA" w:rsidRDefault="008F364A">
            <w:pPr>
              <w:rPr>
                <w:lang w:val="en-CA"/>
              </w:rPr>
            </w:pPr>
          </w:p>
        </w:tc>
      </w:tr>
      <w:tr w:rsidR="00233D4B" w14:paraId="179DC68A" w14:textId="77777777" w:rsidTr="008D18FC">
        <w:tc>
          <w:tcPr>
            <w:tcW w:w="9360" w:type="dxa"/>
            <w:gridSpan w:val="6"/>
          </w:tcPr>
          <w:p w14:paraId="552F6E0D" w14:textId="77777777" w:rsidR="008F364A" w:rsidRPr="00DA76CA" w:rsidRDefault="009E7D68">
            <w:pPr>
              <w:pStyle w:val="zSoquijdatNomPartieDef"/>
              <w:rPr>
                <w:lang w:val="en-CA"/>
              </w:rPr>
            </w:pPr>
            <w:r w:rsidRPr="00DA76CA">
              <w:rPr>
                <w:lang w:val="en-CA"/>
              </w:rPr>
              <w:t>LO… CA…</w:t>
            </w:r>
          </w:p>
        </w:tc>
      </w:tr>
      <w:tr w:rsidR="00233D4B" w14:paraId="2ACD0471" w14:textId="77777777" w:rsidTr="008D18FC">
        <w:tc>
          <w:tcPr>
            <w:tcW w:w="9360" w:type="dxa"/>
            <w:gridSpan w:val="6"/>
          </w:tcPr>
          <w:p w14:paraId="1AD65023" w14:textId="17F5F7CA" w:rsidR="008F364A" w:rsidRPr="00DA76CA" w:rsidRDefault="00EE2886">
            <w:pPr>
              <w:pStyle w:val="zSoquijdatQtePartieDef"/>
              <w:rPr>
                <w:lang w:val="en-CA"/>
              </w:rPr>
            </w:pPr>
            <w:r w:rsidRPr="00DA76CA">
              <w:rPr>
                <w:lang w:val="en-CA"/>
              </w:rPr>
              <w:t>RESPONDENT</w:t>
            </w:r>
            <w:r w:rsidR="009E7D68" w:rsidRPr="00DA76CA">
              <w:rPr>
                <w:lang w:val="en-CA"/>
              </w:rPr>
              <w:t xml:space="preserve"> – </w:t>
            </w:r>
            <w:r w:rsidR="00801E56" w:rsidRPr="00DA76CA">
              <w:rPr>
                <w:lang w:val="en-CA"/>
              </w:rPr>
              <w:t>D</w:t>
            </w:r>
            <w:r w:rsidRPr="00DA76CA">
              <w:rPr>
                <w:lang w:val="en-CA"/>
              </w:rPr>
              <w:t>efendant</w:t>
            </w:r>
          </w:p>
        </w:tc>
      </w:tr>
      <w:tr w:rsidR="00233D4B" w14:paraId="4F38DB11" w14:textId="77777777" w:rsidTr="008D18FC">
        <w:tc>
          <w:tcPr>
            <w:tcW w:w="9360" w:type="dxa"/>
            <w:gridSpan w:val="6"/>
          </w:tcPr>
          <w:p w14:paraId="16301F99" w14:textId="77777777" w:rsidR="008F364A" w:rsidRPr="007C7728" w:rsidRDefault="008F364A">
            <w:pPr>
              <w:rPr>
                <w:lang w:val="en-CA"/>
              </w:rPr>
            </w:pPr>
          </w:p>
        </w:tc>
      </w:tr>
      <w:tr w:rsidR="00233D4B" w14:paraId="4B0E0CC5" w14:textId="77777777" w:rsidTr="008D18FC">
        <w:tc>
          <w:tcPr>
            <w:tcW w:w="9360" w:type="dxa"/>
            <w:gridSpan w:val="6"/>
            <w:tcBorders>
              <w:top w:val="single" w:sz="8" w:space="0" w:color="auto"/>
            </w:tcBorders>
          </w:tcPr>
          <w:p w14:paraId="5338F4A4" w14:textId="77777777" w:rsidR="008F364A" w:rsidRPr="007C7728" w:rsidRDefault="008F364A">
            <w:pPr>
              <w:rPr>
                <w:lang w:val="en-CA"/>
              </w:rPr>
            </w:pPr>
            <w:bookmarkStart w:id="7" w:name="Arret"/>
          </w:p>
        </w:tc>
      </w:tr>
      <w:tr w:rsidR="00233D4B" w14:paraId="078393AB" w14:textId="77777777" w:rsidTr="008D18FC">
        <w:tc>
          <w:tcPr>
            <w:tcW w:w="9360" w:type="dxa"/>
            <w:gridSpan w:val="6"/>
          </w:tcPr>
          <w:p w14:paraId="750CCF8F" w14:textId="005743F1" w:rsidR="008F364A" w:rsidRPr="007C7728" w:rsidRDefault="003C5C1A">
            <w:pPr>
              <w:pStyle w:val="zSoquijlblTypeDocument"/>
            </w:pPr>
            <w:r>
              <w:t>JUDGMENT</w:t>
            </w:r>
          </w:p>
        </w:tc>
      </w:tr>
      <w:tr w:rsidR="00233D4B" w14:paraId="5FC14B0B" w14:textId="77777777" w:rsidTr="008D18FC">
        <w:tc>
          <w:tcPr>
            <w:tcW w:w="9360" w:type="dxa"/>
            <w:gridSpan w:val="6"/>
            <w:tcBorders>
              <w:bottom w:val="single" w:sz="8" w:space="0" w:color="auto"/>
            </w:tcBorders>
          </w:tcPr>
          <w:p w14:paraId="5DC4BE31" w14:textId="77777777" w:rsidR="008F364A" w:rsidRPr="007C7728" w:rsidRDefault="008F364A"/>
        </w:tc>
      </w:tr>
      <w:tr w:rsidR="00233D4B" w14:paraId="73367252" w14:textId="77777777" w:rsidTr="008D18FC">
        <w:tc>
          <w:tcPr>
            <w:tcW w:w="9360" w:type="dxa"/>
            <w:gridSpan w:val="6"/>
            <w:tcBorders>
              <w:top w:val="single" w:sz="8" w:space="0" w:color="auto"/>
            </w:tcBorders>
          </w:tcPr>
          <w:p w14:paraId="1568DEC2" w14:textId="77777777" w:rsidR="008F364A" w:rsidRPr="007C7728" w:rsidRDefault="008F364A"/>
        </w:tc>
      </w:tr>
    </w:tbl>
    <w:p w14:paraId="0ACC9653" w14:textId="0AD3EE77" w:rsidR="009E623E" w:rsidRPr="00954D4A" w:rsidRDefault="00F53202" w:rsidP="00952322">
      <w:pPr>
        <w:pStyle w:val="Paragraphe"/>
        <w:spacing w:before="180" w:after="180" w:line="240" w:lineRule="auto"/>
        <w:rPr>
          <w:lang w:val="en-CA"/>
        </w:rPr>
      </w:pPr>
      <w:r w:rsidRPr="005904A0">
        <w:rPr>
          <w:lang w:val="en-CA"/>
        </w:rPr>
        <w:t xml:space="preserve">The appellant appeals from a judgment </w:t>
      </w:r>
      <w:r w:rsidR="003976F4" w:rsidRPr="005904A0">
        <w:rPr>
          <w:lang w:val="en-CA"/>
        </w:rPr>
        <w:t>rendered on April 30, 2020, by</w:t>
      </w:r>
      <w:r w:rsidR="00D7218A" w:rsidRPr="005904A0">
        <w:rPr>
          <w:lang w:val="en-CA"/>
        </w:rPr>
        <w:t xml:space="preserve"> </w:t>
      </w:r>
      <w:r w:rsidRPr="005904A0">
        <w:rPr>
          <w:lang w:val="en-CA"/>
        </w:rPr>
        <w:t xml:space="preserve">the Superior Court, District of Montreal (the Honourable </w:t>
      </w:r>
      <w:r w:rsidR="00D35764" w:rsidRPr="005904A0">
        <w:rPr>
          <w:lang w:val="en-CA"/>
        </w:rPr>
        <w:t>Madam</w:t>
      </w:r>
      <w:r w:rsidR="003A6DB4" w:rsidRPr="005904A0">
        <w:rPr>
          <w:lang w:val="en-CA"/>
        </w:rPr>
        <w:t xml:space="preserve"> Justice Guylaine </w:t>
      </w:r>
      <w:proofErr w:type="spellStart"/>
      <w:r w:rsidR="003A6DB4" w:rsidRPr="005904A0">
        <w:rPr>
          <w:lang w:val="en-CA"/>
        </w:rPr>
        <w:t>Duplessis</w:t>
      </w:r>
      <w:proofErr w:type="spellEnd"/>
      <w:r w:rsidR="003A6DB4" w:rsidRPr="005904A0">
        <w:rPr>
          <w:lang w:val="en-CA"/>
        </w:rPr>
        <w:t>)</w:t>
      </w:r>
      <w:r w:rsidR="00D7218A" w:rsidRPr="005904A0">
        <w:rPr>
          <w:lang w:val="en-CA"/>
        </w:rPr>
        <w:t xml:space="preserve">, </w:t>
      </w:r>
      <w:r w:rsidR="00704B33">
        <w:rPr>
          <w:lang w:val="en-CA"/>
        </w:rPr>
        <w:t>which</w:t>
      </w:r>
      <w:r w:rsidR="00704B33" w:rsidRPr="005904A0">
        <w:rPr>
          <w:lang w:val="en-CA"/>
        </w:rPr>
        <w:t xml:space="preserve"> </w:t>
      </w:r>
      <w:r w:rsidR="00037654" w:rsidRPr="005904A0">
        <w:rPr>
          <w:lang w:val="en-CA"/>
        </w:rPr>
        <w:t xml:space="preserve">granted the parties’ divorce, ordered the </w:t>
      </w:r>
      <w:r w:rsidR="00B75E8B" w:rsidRPr="005904A0">
        <w:rPr>
          <w:lang w:val="en-CA"/>
        </w:rPr>
        <w:t xml:space="preserve">respondent to </w:t>
      </w:r>
      <w:r w:rsidR="005123DB" w:rsidRPr="005904A0">
        <w:rPr>
          <w:lang w:val="en-CA"/>
        </w:rPr>
        <w:t>pay the appellant spousal support</w:t>
      </w:r>
      <w:r w:rsidR="00184850" w:rsidRPr="005904A0">
        <w:rPr>
          <w:lang w:val="en-CA"/>
        </w:rPr>
        <w:t xml:space="preserve"> of $</w:t>
      </w:r>
      <w:r w:rsidR="00131E7C" w:rsidRPr="005904A0">
        <w:rPr>
          <w:lang w:val="en-CA"/>
        </w:rPr>
        <w:t xml:space="preserve"> </w:t>
      </w:r>
      <w:r w:rsidR="00184850" w:rsidRPr="005904A0">
        <w:rPr>
          <w:lang w:val="en-CA"/>
        </w:rPr>
        <w:t>2,200 per month</w:t>
      </w:r>
      <w:r w:rsidR="00176E07" w:rsidRPr="005904A0">
        <w:rPr>
          <w:lang w:val="en-CA"/>
        </w:rPr>
        <w:t xml:space="preserve"> subject to a two-year review </w:t>
      </w:r>
      <w:r w:rsidR="0069274E">
        <w:rPr>
          <w:lang w:val="en-CA"/>
        </w:rPr>
        <w:t>term</w:t>
      </w:r>
      <w:r w:rsidR="00176E07" w:rsidRPr="005904A0">
        <w:rPr>
          <w:lang w:val="en-CA"/>
        </w:rPr>
        <w:t>, and dismissed the</w:t>
      </w:r>
      <w:r w:rsidR="006D4944" w:rsidRPr="005904A0">
        <w:rPr>
          <w:lang w:val="en-CA"/>
        </w:rPr>
        <w:t xml:space="preserve"> appellant’s application for </w:t>
      </w:r>
      <w:r w:rsidR="00A300E8" w:rsidRPr="005904A0">
        <w:rPr>
          <w:lang w:val="en-CA"/>
        </w:rPr>
        <w:t>a provision for costs.</w:t>
      </w:r>
      <w:bookmarkStart w:id="8" w:name="_Ref68609312"/>
      <w:r w:rsidR="00A300E8">
        <w:rPr>
          <w:rStyle w:val="Appelnotedebasdep"/>
        </w:rPr>
        <w:footnoteReference w:id="1"/>
      </w:r>
      <w:bookmarkEnd w:id="8"/>
    </w:p>
    <w:p w14:paraId="65AF9C3B" w14:textId="7F6FF869" w:rsidR="009E623E" w:rsidRPr="00083CC6" w:rsidRDefault="00983020" w:rsidP="00952322">
      <w:pPr>
        <w:pStyle w:val="Paragraphe"/>
        <w:spacing w:before="180" w:after="180" w:line="240" w:lineRule="auto"/>
        <w:rPr>
          <w:i/>
          <w:iCs/>
          <w:lang w:val="en-CA"/>
        </w:rPr>
      </w:pPr>
      <w:r w:rsidRPr="00083CC6">
        <w:rPr>
          <w:lang w:val="en-CA"/>
        </w:rPr>
        <w:t>This appeal</w:t>
      </w:r>
      <w:r w:rsidR="00083CC6" w:rsidRPr="00083CC6">
        <w:rPr>
          <w:lang w:val="en-CA"/>
        </w:rPr>
        <w:t xml:space="preserve"> </w:t>
      </w:r>
      <w:r w:rsidR="005441D6">
        <w:rPr>
          <w:lang w:val="en-CA"/>
        </w:rPr>
        <w:t>raises questions regarding</w:t>
      </w:r>
      <w:r w:rsidR="00083CC6" w:rsidRPr="00083CC6">
        <w:rPr>
          <w:lang w:val="en-CA"/>
        </w:rPr>
        <w:t xml:space="preserve"> the imposition of the review </w:t>
      </w:r>
      <w:r w:rsidR="0069274E">
        <w:rPr>
          <w:lang w:val="en-CA"/>
        </w:rPr>
        <w:t>term</w:t>
      </w:r>
      <w:r w:rsidR="00083CC6" w:rsidRPr="00083CC6">
        <w:rPr>
          <w:lang w:val="en-CA"/>
        </w:rPr>
        <w:t xml:space="preserve"> o</w:t>
      </w:r>
      <w:r w:rsidR="00083CC6">
        <w:rPr>
          <w:lang w:val="en-CA"/>
        </w:rPr>
        <w:t>n support payments, the calculation of the</w:t>
      </w:r>
      <w:r w:rsidR="00AB6584">
        <w:rPr>
          <w:lang w:val="en-CA"/>
        </w:rPr>
        <w:t xml:space="preserve"> quantum of support, and the dismissal of the application for a provision </w:t>
      </w:r>
      <w:r w:rsidR="00E532A9">
        <w:rPr>
          <w:lang w:val="en-CA"/>
        </w:rPr>
        <w:t>for</w:t>
      </w:r>
      <w:r w:rsidR="00AB6584">
        <w:rPr>
          <w:lang w:val="en-CA"/>
        </w:rPr>
        <w:t xml:space="preserve"> costs. </w:t>
      </w:r>
    </w:p>
    <w:p w14:paraId="1D097879" w14:textId="2180DF55" w:rsidR="00BA32E7" w:rsidRPr="00B9560D" w:rsidRDefault="005076A6" w:rsidP="00952322">
      <w:pPr>
        <w:pStyle w:val="Paragraphe"/>
        <w:spacing w:before="180" w:after="180" w:line="240" w:lineRule="auto"/>
        <w:rPr>
          <w:lang w:val="en-CA"/>
        </w:rPr>
      </w:pPr>
      <w:r>
        <w:rPr>
          <w:lang w:val="en-CA"/>
        </w:rPr>
        <w:lastRenderedPageBreak/>
        <w:t>Given</w:t>
      </w:r>
      <w:r w:rsidR="00CD5174">
        <w:rPr>
          <w:lang w:val="en-CA"/>
        </w:rPr>
        <w:t xml:space="preserve"> </w:t>
      </w:r>
      <w:r w:rsidR="00B9560D">
        <w:rPr>
          <w:lang w:val="en-CA"/>
        </w:rPr>
        <w:t xml:space="preserve">the high standard of review in this </w:t>
      </w:r>
      <w:r w:rsidR="00562E2D">
        <w:rPr>
          <w:lang w:val="en-CA"/>
        </w:rPr>
        <w:t>matter</w:t>
      </w:r>
      <w:r w:rsidR="00B9560D">
        <w:rPr>
          <w:lang w:val="en-CA"/>
        </w:rPr>
        <w:t>, t</w:t>
      </w:r>
      <w:r w:rsidR="00EC591A" w:rsidRPr="00B9560D">
        <w:rPr>
          <w:lang w:val="en-CA"/>
        </w:rPr>
        <w:t xml:space="preserve">he appellant </w:t>
      </w:r>
      <w:r w:rsidR="004B48DF">
        <w:rPr>
          <w:lang w:val="en-CA"/>
        </w:rPr>
        <w:t>has</w:t>
      </w:r>
      <w:r w:rsidR="009631EF">
        <w:rPr>
          <w:lang w:val="en-CA"/>
        </w:rPr>
        <w:t xml:space="preserve"> not</w:t>
      </w:r>
      <w:r w:rsidR="00C212BB" w:rsidRPr="00B9560D">
        <w:rPr>
          <w:lang w:val="en-CA"/>
        </w:rPr>
        <w:t xml:space="preserve"> </w:t>
      </w:r>
      <w:r w:rsidR="00704B33">
        <w:rPr>
          <w:lang w:val="en-CA"/>
        </w:rPr>
        <w:t>persuaded</w:t>
      </w:r>
      <w:r w:rsidR="00704B33" w:rsidRPr="00B9560D">
        <w:rPr>
          <w:lang w:val="en-CA"/>
        </w:rPr>
        <w:t xml:space="preserve"> </w:t>
      </w:r>
      <w:r w:rsidR="00C212BB" w:rsidRPr="00B9560D">
        <w:rPr>
          <w:lang w:val="en-CA"/>
        </w:rPr>
        <w:t>us</w:t>
      </w:r>
      <w:r w:rsidR="00562E2D">
        <w:rPr>
          <w:lang w:val="en-CA"/>
        </w:rPr>
        <w:t xml:space="preserve"> to</w:t>
      </w:r>
      <w:r w:rsidR="00B9560D">
        <w:rPr>
          <w:lang w:val="en-CA"/>
        </w:rPr>
        <w:t xml:space="preserve"> intervene</w:t>
      </w:r>
      <w:r w:rsidR="00562E2D">
        <w:rPr>
          <w:lang w:val="en-CA"/>
        </w:rPr>
        <w:t>.</w:t>
      </w:r>
    </w:p>
    <w:p w14:paraId="0F5F8929" w14:textId="77777777" w:rsidR="00BA32E7" w:rsidRPr="00952322" w:rsidRDefault="009E7D68" w:rsidP="00952322">
      <w:pPr>
        <w:pStyle w:val="Paragraphe"/>
        <w:numPr>
          <w:ilvl w:val="0"/>
          <w:numId w:val="0"/>
        </w:numPr>
        <w:tabs>
          <w:tab w:val="left" w:pos="708"/>
        </w:tabs>
        <w:spacing w:before="180" w:after="180" w:line="240" w:lineRule="auto"/>
        <w:jc w:val="center"/>
      </w:pPr>
      <w:r w:rsidRPr="00952322">
        <w:rPr>
          <w:lang w:val="fr-FR"/>
        </w:rPr>
        <w:t>* * *</w:t>
      </w:r>
    </w:p>
    <w:p w14:paraId="5F1D9D25" w14:textId="35C3BE21" w:rsidR="0039754A" w:rsidRPr="00DF741A" w:rsidRDefault="00562E2D" w:rsidP="00952322">
      <w:pPr>
        <w:pStyle w:val="Paragraphe"/>
        <w:spacing w:before="180" w:after="180" w:line="240" w:lineRule="auto"/>
        <w:rPr>
          <w:lang w:val="en-CA"/>
        </w:rPr>
      </w:pPr>
      <w:r w:rsidRPr="00DF741A">
        <w:rPr>
          <w:lang w:val="en-CA"/>
        </w:rPr>
        <w:t>The appellant</w:t>
      </w:r>
      <w:r w:rsidR="00DF741A" w:rsidRPr="00DF741A">
        <w:rPr>
          <w:lang w:val="en-CA"/>
        </w:rPr>
        <w:t xml:space="preserve"> </w:t>
      </w:r>
      <w:r w:rsidR="00AC3DC2">
        <w:rPr>
          <w:lang w:val="en-CA"/>
        </w:rPr>
        <w:t>argues</w:t>
      </w:r>
      <w:r w:rsidR="00D94373" w:rsidRPr="00DF741A">
        <w:rPr>
          <w:lang w:val="en-CA"/>
        </w:rPr>
        <w:t xml:space="preserve"> </w:t>
      </w:r>
      <w:r w:rsidR="00DF741A" w:rsidRPr="00DF741A">
        <w:rPr>
          <w:lang w:val="en-CA"/>
        </w:rPr>
        <w:t>that the trial judge erred in i</w:t>
      </w:r>
      <w:r w:rsidR="00DF741A">
        <w:rPr>
          <w:lang w:val="en-CA"/>
        </w:rPr>
        <w:t xml:space="preserve">mposing a review </w:t>
      </w:r>
      <w:r w:rsidR="005F265F">
        <w:rPr>
          <w:lang w:val="en-CA"/>
        </w:rPr>
        <w:t>term</w:t>
      </w:r>
      <w:r w:rsidR="00DF741A">
        <w:rPr>
          <w:lang w:val="en-CA"/>
        </w:rPr>
        <w:t xml:space="preserve"> </w:t>
      </w:r>
      <w:r w:rsidR="003B37AF">
        <w:rPr>
          <w:lang w:val="en-CA"/>
        </w:rPr>
        <w:t xml:space="preserve">on the </w:t>
      </w:r>
      <w:r w:rsidR="00D5412D">
        <w:rPr>
          <w:lang w:val="en-CA"/>
        </w:rPr>
        <w:t>respondent’s</w:t>
      </w:r>
      <w:r w:rsidR="006C5EDC">
        <w:rPr>
          <w:lang w:val="en-CA"/>
        </w:rPr>
        <w:t xml:space="preserve"> obligation of </w:t>
      </w:r>
      <w:r w:rsidR="003B37AF">
        <w:rPr>
          <w:lang w:val="en-CA"/>
        </w:rPr>
        <w:t xml:space="preserve">support </w:t>
      </w:r>
      <w:r w:rsidR="00252624">
        <w:rPr>
          <w:lang w:val="en-CA"/>
        </w:rPr>
        <w:t xml:space="preserve">when the </w:t>
      </w:r>
      <w:r w:rsidR="00AC3DC2">
        <w:rPr>
          <w:lang w:val="en-CA"/>
        </w:rPr>
        <w:t xml:space="preserve">overall </w:t>
      </w:r>
      <w:r w:rsidR="008D1549">
        <w:rPr>
          <w:lang w:val="en-CA"/>
        </w:rPr>
        <w:t xml:space="preserve">analysis of </w:t>
      </w:r>
      <w:r w:rsidR="005023E6">
        <w:rPr>
          <w:lang w:val="en-CA"/>
        </w:rPr>
        <w:t xml:space="preserve">the appellant’s needs, the length </w:t>
      </w:r>
      <w:r w:rsidR="007F6045">
        <w:rPr>
          <w:lang w:val="en-CA"/>
        </w:rPr>
        <w:t>of the</w:t>
      </w:r>
      <w:r w:rsidR="009E0DA3">
        <w:rPr>
          <w:lang w:val="en-CA"/>
        </w:rPr>
        <w:t xml:space="preserve"> marriage, and the functions performed by the parties during their marriage </w:t>
      </w:r>
      <w:r w:rsidR="000B1399">
        <w:rPr>
          <w:lang w:val="en-CA"/>
        </w:rPr>
        <w:t xml:space="preserve">weigh strongly </w:t>
      </w:r>
      <w:r w:rsidR="00CD0B4C">
        <w:rPr>
          <w:lang w:val="en-CA"/>
        </w:rPr>
        <w:t xml:space="preserve">in favour of spousal support without </w:t>
      </w:r>
      <w:r w:rsidR="00AC3DC2">
        <w:rPr>
          <w:lang w:val="en-CA"/>
        </w:rPr>
        <w:t xml:space="preserve">a </w:t>
      </w:r>
      <w:r w:rsidR="00CD0B4C">
        <w:rPr>
          <w:lang w:val="en-CA"/>
        </w:rPr>
        <w:t xml:space="preserve">term or, at the very least, </w:t>
      </w:r>
      <w:r w:rsidR="00332CE6">
        <w:rPr>
          <w:lang w:val="en-CA"/>
        </w:rPr>
        <w:t xml:space="preserve">with a reasonable </w:t>
      </w:r>
      <w:r w:rsidR="0093725F">
        <w:rPr>
          <w:lang w:val="en-CA"/>
        </w:rPr>
        <w:t>review</w:t>
      </w:r>
      <w:r w:rsidR="00332CE6">
        <w:rPr>
          <w:lang w:val="en-CA"/>
        </w:rPr>
        <w:t xml:space="preserve"> </w:t>
      </w:r>
      <w:r w:rsidR="005F265F">
        <w:rPr>
          <w:lang w:val="en-CA"/>
        </w:rPr>
        <w:t>term</w:t>
      </w:r>
      <w:r w:rsidR="0087514D">
        <w:rPr>
          <w:lang w:val="en-CA"/>
        </w:rPr>
        <w:t xml:space="preserve">. </w:t>
      </w:r>
      <w:r w:rsidR="00AC3DC2">
        <w:rPr>
          <w:lang w:val="en-CA"/>
        </w:rPr>
        <w:t>Specifically</w:t>
      </w:r>
      <w:r w:rsidR="0087514D">
        <w:rPr>
          <w:lang w:val="en-CA"/>
        </w:rPr>
        <w:t xml:space="preserve">, the appellant </w:t>
      </w:r>
      <w:r w:rsidR="00AC3DC2">
        <w:rPr>
          <w:lang w:val="en-CA"/>
        </w:rPr>
        <w:t xml:space="preserve">argues </w:t>
      </w:r>
      <w:r w:rsidR="0087514D">
        <w:rPr>
          <w:lang w:val="en-CA"/>
        </w:rPr>
        <w:t xml:space="preserve">that the judge erred in </w:t>
      </w:r>
      <w:r w:rsidR="00F95063">
        <w:rPr>
          <w:lang w:val="en-CA"/>
        </w:rPr>
        <w:t xml:space="preserve">giving undue weight to </w:t>
      </w:r>
      <w:r w:rsidR="00315051">
        <w:rPr>
          <w:lang w:val="en-CA"/>
        </w:rPr>
        <w:t xml:space="preserve">the economic self-sufficiency </w:t>
      </w:r>
      <w:r w:rsidR="00692BD3">
        <w:rPr>
          <w:lang w:val="en-CA"/>
        </w:rPr>
        <w:t>objective of s. 15.2(6)</w:t>
      </w:r>
      <w:r w:rsidR="001F7163">
        <w:rPr>
          <w:lang w:val="en-CA"/>
        </w:rPr>
        <w:t xml:space="preserve">(d) of the </w:t>
      </w:r>
      <w:r w:rsidR="001F7163">
        <w:rPr>
          <w:i/>
          <w:iCs/>
          <w:lang w:val="en-CA"/>
        </w:rPr>
        <w:t>Divorce Act</w:t>
      </w:r>
      <w:r w:rsidR="001F7163">
        <w:rPr>
          <w:lang w:val="en-CA"/>
        </w:rPr>
        <w:t>.</w:t>
      </w:r>
    </w:p>
    <w:p w14:paraId="0E227793" w14:textId="04B2942E" w:rsidR="0039754A" w:rsidRPr="00E73F7C" w:rsidRDefault="00E73F7C" w:rsidP="00952322">
      <w:pPr>
        <w:numPr>
          <w:ilvl w:val="0"/>
          <w:numId w:val="18"/>
        </w:numPr>
        <w:spacing w:before="180" w:after="180" w:line="240" w:lineRule="auto"/>
        <w:jc w:val="both"/>
        <w:rPr>
          <w:kern w:val="28"/>
          <w:lang w:val="en-CA"/>
        </w:rPr>
      </w:pPr>
      <w:r w:rsidRPr="00E73F7C">
        <w:rPr>
          <w:kern w:val="28"/>
          <w:lang w:val="en-CA"/>
        </w:rPr>
        <w:t>She first submits that her financial situation is a d</w:t>
      </w:r>
      <w:r>
        <w:rPr>
          <w:kern w:val="28"/>
          <w:lang w:val="en-CA"/>
        </w:rPr>
        <w:t xml:space="preserve">irect result of </w:t>
      </w:r>
      <w:r w:rsidR="00EA1801">
        <w:rPr>
          <w:kern w:val="28"/>
          <w:lang w:val="en-CA"/>
        </w:rPr>
        <w:t xml:space="preserve">her role in their traditional marriage, that </w:t>
      </w:r>
      <w:r w:rsidR="0051045A">
        <w:rPr>
          <w:kern w:val="28"/>
          <w:lang w:val="en-CA"/>
        </w:rPr>
        <w:t xml:space="preserve">they </w:t>
      </w:r>
      <w:r w:rsidR="00EA1801">
        <w:rPr>
          <w:kern w:val="28"/>
          <w:lang w:val="en-CA"/>
        </w:rPr>
        <w:t>mutual</w:t>
      </w:r>
      <w:r w:rsidR="0051045A">
        <w:rPr>
          <w:kern w:val="28"/>
          <w:lang w:val="en-CA"/>
        </w:rPr>
        <w:t>ly</w:t>
      </w:r>
      <w:r w:rsidR="00EA1801">
        <w:rPr>
          <w:kern w:val="28"/>
          <w:lang w:val="en-CA"/>
        </w:rPr>
        <w:t xml:space="preserve"> agree</w:t>
      </w:r>
      <w:r w:rsidR="0051045A">
        <w:rPr>
          <w:kern w:val="28"/>
          <w:lang w:val="en-CA"/>
        </w:rPr>
        <w:t xml:space="preserve">d that she would change careers </w:t>
      </w:r>
      <w:r w:rsidR="00EA1801">
        <w:rPr>
          <w:kern w:val="28"/>
          <w:lang w:val="en-CA"/>
        </w:rPr>
        <w:t xml:space="preserve">in 2000 </w:t>
      </w:r>
      <w:r w:rsidR="0051045A">
        <w:rPr>
          <w:kern w:val="28"/>
          <w:lang w:val="en-CA"/>
        </w:rPr>
        <w:t xml:space="preserve">and </w:t>
      </w:r>
      <w:r w:rsidR="00EA1801">
        <w:rPr>
          <w:kern w:val="28"/>
          <w:lang w:val="en-CA"/>
        </w:rPr>
        <w:t>become</w:t>
      </w:r>
      <w:r w:rsidR="00543608">
        <w:rPr>
          <w:kern w:val="28"/>
          <w:lang w:val="en-CA"/>
        </w:rPr>
        <w:t xml:space="preserve"> a financial security adviser, and that she </w:t>
      </w:r>
      <w:r w:rsidR="000A6511">
        <w:rPr>
          <w:kern w:val="28"/>
          <w:lang w:val="en-CA"/>
        </w:rPr>
        <w:t xml:space="preserve">worked part-time </w:t>
      </w:r>
      <w:r w:rsidR="0051045A">
        <w:rPr>
          <w:kern w:val="28"/>
          <w:lang w:val="en-CA"/>
        </w:rPr>
        <w:t xml:space="preserve">so that she could </w:t>
      </w:r>
      <w:r w:rsidR="000A6511">
        <w:rPr>
          <w:kern w:val="28"/>
          <w:lang w:val="en-CA"/>
        </w:rPr>
        <w:t xml:space="preserve">take care of the children and </w:t>
      </w:r>
      <w:r w:rsidR="008D2C63">
        <w:rPr>
          <w:kern w:val="28"/>
          <w:lang w:val="en-CA"/>
        </w:rPr>
        <w:t>household chores.</w:t>
      </w:r>
      <w:r w:rsidR="00BE7AE0">
        <w:rPr>
          <w:kern w:val="28"/>
          <w:lang w:val="en-CA"/>
        </w:rPr>
        <w:t xml:space="preserve"> She add</w:t>
      </w:r>
      <w:r w:rsidR="00747362">
        <w:rPr>
          <w:kern w:val="28"/>
          <w:lang w:val="en-CA"/>
        </w:rPr>
        <w:t>s</w:t>
      </w:r>
      <w:r w:rsidR="00BE7AE0">
        <w:rPr>
          <w:kern w:val="28"/>
          <w:lang w:val="en-CA"/>
        </w:rPr>
        <w:t xml:space="preserve"> that the judge erred in not considering the appellant’s efforts to achieve financial independence </w:t>
      </w:r>
      <w:r w:rsidR="00C70064">
        <w:rPr>
          <w:kern w:val="28"/>
          <w:lang w:val="en-CA"/>
        </w:rPr>
        <w:t>and that the two</w:t>
      </w:r>
      <w:r w:rsidR="005076A6">
        <w:rPr>
          <w:kern w:val="28"/>
          <w:lang w:val="en-CA"/>
        </w:rPr>
        <w:noBreakHyphen/>
      </w:r>
      <w:r w:rsidR="00C70064">
        <w:rPr>
          <w:kern w:val="28"/>
          <w:lang w:val="en-CA"/>
        </w:rPr>
        <w:t xml:space="preserve">year </w:t>
      </w:r>
      <w:r w:rsidR="0093725F">
        <w:rPr>
          <w:kern w:val="28"/>
          <w:lang w:val="en-CA"/>
        </w:rPr>
        <w:t>review</w:t>
      </w:r>
      <w:r w:rsidR="00C70064">
        <w:rPr>
          <w:kern w:val="28"/>
          <w:lang w:val="en-CA"/>
        </w:rPr>
        <w:t xml:space="preserve"> </w:t>
      </w:r>
      <w:r w:rsidR="005F265F">
        <w:rPr>
          <w:kern w:val="28"/>
          <w:lang w:val="en-CA"/>
        </w:rPr>
        <w:t>term</w:t>
      </w:r>
      <w:r w:rsidR="00747362">
        <w:rPr>
          <w:kern w:val="28"/>
          <w:lang w:val="en-CA"/>
        </w:rPr>
        <w:t xml:space="preserve"> was simply unrealistic in the circumstances. She also </w:t>
      </w:r>
      <w:r w:rsidR="0051045A">
        <w:rPr>
          <w:kern w:val="28"/>
          <w:lang w:val="en-CA"/>
        </w:rPr>
        <w:t xml:space="preserve">submits </w:t>
      </w:r>
      <w:r w:rsidR="00747362">
        <w:rPr>
          <w:kern w:val="28"/>
          <w:lang w:val="en-CA"/>
        </w:rPr>
        <w:t xml:space="preserve">that the judge </w:t>
      </w:r>
      <w:r w:rsidR="00F60EB3">
        <w:rPr>
          <w:kern w:val="28"/>
          <w:lang w:val="en-CA"/>
        </w:rPr>
        <w:t xml:space="preserve">decided </w:t>
      </w:r>
      <w:r w:rsidR="00F60EB3">
        <w:rPr>
          <w:i/>
          <w:iCs/>
          <w:kern w:val="28"/>
          <w:lang w:val="en-CA"/>
        </w:rPr>
        <w:t xml:space="preserve">ultra </w:t>
      </w:r>
      <w:proofErr w:type="spellStart"/>
      <w:r w:rsidR="00F60EB3">
        <w:rPr>
          <w:i/>
          <w:iCs/>
          <w:kern w:val="28"/>
          <w:lang w:val="en-CA"/>
        </w:rPr>
        <w:t>petita</w:t>
      </w:r>
      <w:proofErr w:type="spellEnd"/>
      <w:r w:rsidR="00F60EB3">
        <w:rPr>
          <w:kern w:val="28"/>
          <w:lang w:val="en-CA"/>
        </w:rPr>
        <w:t xml:space="preserve"> by </w:t>
      </w:r>
      <w:r w:rsidR="00E6013B">
        <w:rPr>
          <w:kern w:val="28"/>
          <w:lang w:val="en-CA"/>
        </w:rPr>
        <w:t xml:space="preserve">imposing a shorter term than the four years proposed by the </w:t>
      </w:r>
      <w:r w:rsidR="003F5580">
        <w:rPr>
          <w:kern w:val="28"/>
          <w:lang w:val="en-CA"/>
        </w:rPr>
        <w:t>respondent</w:t>
      </w:r>
      <w:r w:rsidR="00E6013B">
        <w:rPr>
          <w:kern w:val="28"/>
          <w:lang w:val="en-CA"/>
        </w:rPr>
        <w:t>.</w:t>
      </w:r>
    </w:p>
    <w:p w14:paraId="5B5201CA" w14:textId="02C544EC" w:rsidR="0039754A" w:rsidRPr="00BD58A2" w:rsidRDefault="00AC5426" w:rsidP="00952322">
      <w:pPr>
        <w:numPr>
          <w:ilvl w:val="0"/>
          <w:numId w:val="18"/>
        </w:numPr>
        <w:spacing w:before="180" w:after="180" w:line="240" w:lineRule="auto"/>
        <w:jc w:val="both"/>
        <w:rPr>
          <w:kern w:val="28"/>
          <w:lang w:val="en-CA"/>
        </w:rPr>
      </w:pPr>
      <w:r w:rsidRPr="00BD58A2">
        <w:rPr>
          <w:kern w:val="28"/>
          <w:lang w:val="en-CA"/>
        </w:rPr>
        <w:t xml:space="preserve">Section 15.2(3) of the </w:t>
      </w:r>
      <w:r w:rsidRPr="00BD58A2">
        <w:rPr>
          <w:i/>
          <w:iCs/>
          <w:kern w:val="28"/>
          <w:lang w:val="en-CA"/>
        </w:rPr>
        <w:t>Divorce Act</w:t>
      </w:r>
      <w:r w:rsidR="005E4449" w:rsidRPr="005E4449">
        <w:rPr>
          <w:kern w:val="28"/>
          <w:vertAlign w:val="superscript"/>
        </w:rPr>
        <w:footnoteReference w:id="2"/>
      </w:r>
      <w:r w:rsidRPr="00BD58A2">
        <w:rPr>
          <w:kern w:val="28"/>
          <w:lang w:val="en-CA"/>
        </w:rPr>
        <w:t xml:space="preserve"> provides </w:t>
      </w:r>
      <w:r w:rsidR="00BD58A2" w:rsidRPr="00BD58A2">
        <w:rPr>
          <w:kern w:val="28"/>
          <w:lang w:val="en-CA"/>
        </w:rPr>
        <w:t>that the court m</w:t>
      </w:r>
      <w:r w:rsidR="00BD58A2">
        <w:rPr>
          <w:kern w:val="28"/>
          <w:lang w:val="en-CA"/>
        </w:rPr>
        <w:t xml:space="preserve">ay </w:t>
      </w:r>
      <w:r w:rsidR="002F72F9">
        <w:rPr>
          <w:kern w:val="28"/>
          <w:lang w:val="en-CA"/>
        </w:rPr>
        <w:t>limit the duration of a spousal support order.</w:t>
      </w:r>
    </w:p>
    <w:p w14:paraId="741B95D8" w14:textId="20C9400A" w:rsidR="005D55DA" w:rsidRPr="00400B12" w:rsidRDefault="002F72F9" w:rsidP="00952322">
      <w:pPr>
        <w:pStyle w:val="Paragraphe"/>
        <w:spacing w:before="180" w:after="180" w:line="240" w:lineRule="auto"/>
        <w:rPr>
          <w:rFonts w:cs="Arial"/>
          <w:szCs w:val="24"/>
          <w:lang w:val="en-CA"/>
        </w:rPr>
      </w:pPr>
      <w:r w:rsidRPr="00400B12">
        <w:rPr>
          <w:lang w:val="en-CA"/>
        </w:rPr>
        <w:t xml:space="preserve">The Court has </w:t>
      </w:r>
      <w:r w:rsidR="00DE0502" w:rsidRPr="00400B12">
        <w:rPr>
          <w:lang w:val="en-CA"/>
        </w:rPr>
        <w:t xml:space="preserve">repeatedly </w:t>
      </w:r>
      <w:r w:rsidR="00715653" w:rsidRPr="00400B12">
        <w:rPr>
          <w:lang w:val="en-CA"/>
        </w:rPr>
        <w:t xml:space="preserve">held </w:t>
      </w:r>
      <w:r w:rsidR="00400B12" w:rsidRPr="00400B12">
        <w:rPr>
          <w:lang w:val="en-CA"/>
        </w:rPr>
        <w:t xml:space="preserve">that </w:t>
      </w:r>
      <w:r w:rsidR="00F757BA">
        <w:rPr>
          <w:lang w:val="en-CA"/>
        </w:rPr>
        <w:t xml:space="preserve">specifying a </w:t>
      </w:r>
      <w:r w:rsidR="005F265F">
        <w:rPr>
          <w:lang w:val="en-CA"/>
        </w:rPr>
        <w:t>term</w:t>
      </w:r>
      <w:r w:rsidR="00F757BA">
        <w:rPr>
          <w:lang w:val="en-CA"/>
        </w:rPr>
        <w:t xml:space="preserve"> </w:t>
      </w:r>
      <w:r w:rsidR="00400B12">
        <w:rPr>
          <w:lang w:val="en-CA"/>
        </w:rPr>
        <w:t>is exceptional and must be justified by real and concrete circumstances.</w:t>
      </w:r>
      <w:r w:rsidR="001620D0">
        <w:rPr>
          <w:rStyle w:val="Appelnotedebasdep"/>
          <w:szCs w:val="24"/>
        </w:rPr>
        <w:footnoteReference w:id="3"/>
      </w:r>
      <w:r w:rsidR="001620D0">
        <w:rPr>
          <w:lang w:val="en-CA"/>
        </w:rPr>
        <w:t xml:space="preserve"> </w:t>
      </w:r>
      <w:r w:rsidR="00F206FF">
        <w:rPr>
          <w:lang w:val="en-CA"/>
        </w:rPr>
        <w:t xml:space="preserve">While appellate courts must generally show </w:t>
      </w:r>
      <w:r w:rsidR="00046CE8">
        <w:rPr>
          <w:lang w:val="en-CA"/>
        </w:rPr>
        <w:t xml:space="preserve">deference in </w:t>
      </w:r>
      <w:r w:rsidR="00F265CE">
        <w:rPr>
          <w:lang w:val="en-CA"/>
        </w:rPr>
        <w:t xml:space="preserve">cases </w:t>
      </w:r>
      <w:r w:rsidR="00E06935">
        <w:rPr>
          <w:lang w:val="en-CA"/>
        </w:rPr>
        <w:t xml:space="preserve">concerning </w:t>
      </w:r>
      <w:r w:rsidR="00F265CE">
        <w:rPr>
          <w:lang w:val="en-CA"/>
        </w:rPr>
        <w:t xml:space="preserve">support, </w:t>
      </w:r>
      <w:r w:rsidR="00063E71">
        <w:rPr>
          <w:lang w:val="en-CA"/>
        </w:rPr>
        <w:t>the imposition of a term</w:t>
      </w:r>
      <w:r w:rsidR="00B04C76">
        <w:rPr>
          <w:lang w:val="en-CA"/>
        </w:rPr>
        <w:t xml:space="preserve"> for spousal support is an exception to this principle: [</w:t>
      </w:r>
      <w:r w:rsidR="00171ADD" w:rsidRPr="00171ADD">
        <w:rPr>
          <w:smallCaps/>
          <w:lang w:val="en-CA"/>
        </w:rPr>
        <w:t>translation</w:t>
      </w:r>
      <w:r w:rsidR="00B04C76">
        <w:rPr>
          <w:lang w:val="en-CA"/>
        </w:rPr>
        <w:t>]</w:t>
      </w:r>
      <w:r w:rsidR="00F92333">
        <w:rPr>
          <w:lang w:val="en-CA"/>
        </w:rPr>
        <w:t xml:space="preserve"> “The Court shows less deference with regard to these issues and will not hesitate to intervene to vary, even rescind, the </w:t>
      </w:r>
      <w:r w:rsidR="005F265F">
        <w:rPr>
          <w:lang w:val="en-CA"/>
        </w:rPr>
        <w:t>term</w:t>
      </w:r>
      <w:r w:rsidR="00F92333">
        <w:rPr>
          <w:lang w:val="en-CA"/>
        </w:rPr>
        <w:t xml:space="preserve"> when there has b</w:t>
      </w:r>
      <w:r w:rsidR="00664A00">
        <w:rPr>
          <w:lang w:val="en-CA"/>
        </w:rPr>
        <w:t>e</w:t>
      </w:r>
      <w:r w:rsidR="00F92333">
        <w:rPr>
          <w:lang w:val="en-CA"/>
        </w:rPr>
        <w:t>en an error.”</w:t>
      </w:r>
      <w:r w:rsidR="00F92333">
        <w:rPr>
          <w:vertAlign w:val="superscript"/>
        </w:rPr>
        <w:footnoteReference w:id="4"/>
      </w:r>
    </w:p>
    <w:p w14:paraId="61507C26" w14:textId="21A6BFC2" w:rsidR="00620518" w:rsidRPr="00C75FC9" w:rsidRDefault="007838B5" w:rsidP="00952322">
      <w:pPr>
        <w:pStyle w:val="Paragraphe"/>
        <w:spacing w:before="180" w:after="180" w:line="240" w:lineRule="auto"/>
        <w:rPr>
          <w:rFonts w:cs="Arial"/>
          <w:szCs w:val="24"/>
          <w:lang w:val="en-CA"/>
        </w:rPr>
      </w:pPr>
      <w:r>
        <w:rPr>
          <w:lang w:val="en-CA"/>
        </w:rPr>
        <w:lastRenderedPageBreak/>
        <w:t xml:space="preserve">The imposition of a term is justified </w:t>
      </w:r>
      <w:r w:rsidR="00E06935">
        <w:rPr>
          <w:lang w:val="en-CA"/>
        </w:rPr>
        <w:t xml:space="preserve">in particular </w:t>
      </w:r>
      <w:r w:rsidR="00E479AD">
        <w:rPr>
          <w:lang w:val="en-CA"/>
        </w:rPr>
        <w:t>where</w:t>
      </w:r>
      <w:r w:rsidR="00C75FC9" w:rsidRPr="00C75FC9">
        <w:rPr>
          <w:lang w:val="en-CA"/>
        </w:rPr>
        <w:t xml:space="preserve"> t</w:t>
      </w:r>
      <w:r w:rsidR="00C75FC9">
        <w:rPr>
          <w:lang w:val="en-CA"/>
        </w:rPr>
        <w:t xml:space="preserve">he </w:t>
      </w:r>
      <w:r w:rsidR="00DD007A">
        <w:rPr>
          <w:lang w:val="en-CA"/>
        </w:rPr>
        <w:t xml:space="preserve">recipient of support is able to work and has </w:t>
      </w:r>
      <w:r w:rsidR="00901870">
        <w:rPr>
          <w:lang w:val="en-CA"/>
        </w:rPr>
        <w:t xml:space="preserve">real </w:t>
      </w:r>
      <w:r w:rsidR="005D553C">
        <w:rPr>
          <w:lang w:val="en-CA"/>
        </w:rPr>
        <w:t>possibilities of becoming</w:t>
      </w:r>
      <w:r w:rsidR="00271FCE">
        <w:rPr>
          <w:lang w:val="en-CA"/>
        </w:rPr>
        <w:t xml:space="preserve"> financially</w:t>
      </w:r>
      <w:r w:rsidR="00901870">
        <w:rPr>
          <w:lang w:val="en-CA"/>
        </w:rPr>
        <w:t xml:space="preserve"> </w:t>
      </w:r>
      <w:r w:rsidR="005A7659">
        <w:rPr>
          <w:lang w:val="en-CA"/>
        </w:rPr>
        <w:t xml:space="preserve">self-sufficient </w:t>
      </w:r>
      <w:r w:rsidR="003532C9">
        <w:rPr>
          <w:lang w:val="en-CA"/>
        </w:rPr>
        <w:t xml:space="preserve">that </w:t>
      </w:r>
      <w:r w:rsidR="00603BA6">
        <w:rPr>
          <w:lang w:val="en-CA"/>
        </w:rPr>
        <w:t xml:space="preserve">no longer depend on the marriage or its failure, but </w:t>
      </w:r>
      <w:r w:rsidR="00DD4C64">
        <w:rPr>
          <w:lang w:val="en-CA"/>
        </w:rPr>
        <w:t xml:space="preserve">rather </w:t>
      </w:r>
      <w:r w:rsidR="00603BA6">
        <w:rPr>
          <w:lang w:val="en-CA"/>
        </w:rPr>
        <w:t>on the recipient’s personal or professional choices.</w:t>
      </w:r>
      <w:r w:rsidR="00603BA6">
        <w:rPr>
          <w:vertAlign w:val="superscript"/>
        </w:rPr>
        <w:footnoteReference w:id="5"/>
      </w:r>
    </w:p>
    <w:p w14:paraId="67B7A13C" w14:textId="0C01AC93" w:rsidR="00620518" w:rsidRPr="003252A2" w:rsidRDefault="003930B9" w:rsidP="00952322">
      <w:pPr>
        <w:pStyle w:val="Paragraphe"/>
        <w:spacing w:before="180" w:after="18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Where</w:t>
      </w:r>
      <w:r w:rsidR="00CB683E" w:rsidRPr="003252A2">
        <w:rPr>
          <w:rFonts w:cs="Arial"/>
          <w:szCs w:val="24"/>
          <w:lang w:val="en-CA"/>
        </w:rPr>
        <w:t xml:space="preserve"> the circumstances do not justify </w:t>
      </w:r>
      <w:r w:rsidR="003252A2" w:rsidRPr="003252A2">
        <w:rPr>
          <w:rFonts w:cs="Arial"/>
          <w:szCs w:val="24"/>
          <w:lang w:val="en-CA"/>
        </w:rPr>
        <w:t>the</w:t>
      </w:r>
      <w:r w:rsidR="00D91FB7">
        <w:rPr>
          <w:rFonts w:cs="Arial"/>
          <w:szCs w:val="24"/>
          <w:lang w:val="en-CA"/>
        </w:rPr>
        <w:t xml:space="preserve"> imposition of a </w:t>
      </w:r>
      <w:r w:rsidR="005F265F">
        <w:rPr>
          <w:rFonts w:cs="Arial"/>
          <w:szCs w:val="24"/>
          <w:lang w:val="en-CA"/>
        </w:rPr>
        <w:t>term</w:t>
      </w:r>
      <w:r w:rsidR="003252A2">
        <w:rPr>
          <w:rFonts w:cs="Arial"/>
          <w:szCs w:val="24"/>
          <w:lang w:val="en-CA"/>
        </w:rPr>
        <w:t xml:space="preserve">, </w:t>
      </w:r>
      <w:r w:rsidR="003464BE">
        <w:rPr>
          <w:rFonts w:cs="Arial"/>
          <w:szCs w:val="24"/>
          <w:lang w:val="en-CA"/>
        </w:rPr>
        <w:t xml:space="preserve">it is still possible to provide for a review </w:t>
      </w:r>
      <w:r w:rsidR="005F265F">
        <w:rPr>
          <w:rFonts w:cs="Arial"/>
          <w:szCs w:val="24"/>
          <w:lang w:val="en-CA"/>
        </w:rPr>
        <w:t>term</w:t>
      </w:r>
      <w:r>
        <w:rPr>
          <w:rFonts w:cs="Arial"/>
          <w:szCs w:val="24"/>
          <w:lang w:val="en-CA"/>
        </w:rPr>
        <w:t>,</w:t>
      </w:r>
      <w:r w:rsidR="003532C9">
        <w:rPr>
          <w:rFonts w:cs="Arial"/>
          <w:szCs w:val="24"/>
          <w:lang w:val="en-CA"/>
        </w:rPr>
        <w:t xml:space="preserve"> for example</w:t>
      </w:r>
      <w:r>
        <w:rPr>
          <w:rFonts w:cs="Arial"/>
          <w:szCs w:val="24"/>
          <w:lang w:val="en-CA"/>
        </w:rPr>
        <w:t xml:space="preserve"> to encourage the former spouse to make serious efforts to improve their financial situation.</w:t>
      </w:r>
      <w:r w:rsidR="002A4A93">
        <w:rPr>
          <w:rFonts w:cs="Arial"/>
          <w:szCs w:val="24"/>
          <w:vertAlign w:val="superscript"/>
        </w:rPr>
        <w:footnoteReference w:id="6"/>
      </w:r>
    </w:p>
    <w:p w14:paraId="0AB15610" w14:textId="0C6800F2" w:rsidR="00620518" w:rsidRPr="002437BB" w:rsidRDefault="003A1415" w:rsidP="00952322">
      <w:pPr>
        <w:pStyle w:val="Paragraphe"/>
        <w:spacing w:before="180" w:after="180" w:line="240" w:lineRule="auto"/>
        <w:rPr>
          <w:lang w:val="en-CA"/>
        </w:rPr>
      </w:pPr>
      <w:r w:rsidRPr="002437BB">
        <w:rPr>
          <w:lang w:val="en-CA"/>
        </w:rPr>
        <w:t xml:space="preserve">Contrary to </w:t>
      </w:r>
      <w:r w:rsidR="002437BB" w:rsidRPr="002437BB">
        <w:rPr>
          <w:lang w:val="en-CA"/>
        </w:rPr>
        <w:t>what the appellant asserts, the trial judge i</w:t>
      </w:r>
      <w:r w:rsidR="002437BB">
        <w:rPr>
          <w:lang w:val="en-CA"/>
        </w:rPr>
        <w:t xml:space="preserve">s not </w:t>
      </w:r>
      <w:r w:rsidR="00462DB6">
        <w:rPr>
          <w:lang w:val="en-CA"/>
        </w:rPr>
        <w:t xml:space="preserve">bound by the parties’ </w:t>
      </w:r>
      <w:r w:rsidR="00257891">
        <w:rPr>
          <w:lang w:val="en-CA"/>
        </w:rPr>
        <w:t>applications regarding</w:t>
      </w:r>
      <w:r w:rsidR="00462DB6">
        <w:rPr>
          <w:lang w:val="en-CA"/>
        </w:rPr>
        <w:t xml:space="preserve"> support</w:t>
      </w:r>
      <w:r w:rsidR="005076A6">
        <w:rPr>
          <w:lang w:val="en-CA"/>
        </w:rPr>
        <w:t xml:space="preserve"> issues</w:t>
      </w:r>
      <w:r w:rsidR="00BE7490" w:rsidRPr="00BE7490">
        <w:rPr>
          <w:rStyle w:val="Appelnotedebasdep"/>
        </w:rPr>
        <w:footnoteReference w:id="7"/>
      </w:r>
      <w:r w:rsidR="00462DB6">
        <w:rPr>
          <w:lang w:val="en-CA"/>
        </w:rPr>
        <w:t xml:space="preserve"> and </w:t>
      </w:r>
      <w:r w:rsidR="00A5220E">
        <w:rPr>
          <w:lang w:val="en-CA"/>
        </w:rPr>
        <w:t>has a broad discretion when determining the obligations of each</w:t>
      </w:r>
      <w:r w:rsidR="00FB341E">
        <w:rPr>
          <w:lang w:val="en-CA"/>
        </w:rPr>
        <w:t xml:space="preserve"> party under the </w:t>
      </w:r>
      <w:r w:rsidR="00FB341E">
        <w:rPr>
          <w:i/>
          <w:iCs/>
          <w:lang w:val="en-CA"/>
        </w:rPr>
        <w:t>Divorce Act</w:t>
      </w:r>
      <w:r w:rsidR="00FB341E">
        <w:rPr>
          <w:lang w:val="en-CA"/>
        </w:rPr>
        <w:t>.</w:t>
      </w:r>
    </w:p>
    <w:p w14:paraId="503F606E" w14:textId="3A459A53" w:rsidR="00620518" w:rsidRPr="00645B8B" w:rsidRDefault="00645B8B" w:rsidP="00952322">
      <w:pPr>
        <w:pStyle w:val="Paragraphe"/>
        <w:spacing w:before="180" w:after="180" w:line="240" w:lineRule="auto"/>
        <w:rPr>
          <w:lang w:val="en-CA"/>
        </w:rPr>
      </w:pPr>
      <w:r w:rsidRPr="00645B8B">
        <w:rPr>
          <w:lang w:val="en-CA"/>
        </w:rPr>
        <w:t xml:space="preserve">It was thus open </w:t>
      </w:r>
      <w:r w:rsidR="00592C33">
        <w:rPr>
          <w:lang w:val="en-CA"/>
        </w:rPr>
        <w:t>to</w:t>
      </w:r>
      <w:r w:rsidR="00592C33" w:rsidRPr="00645B8B">
        <w:rPr>
          <w:lang w:val="en-CA"/>
        </w:rPr>
        <w:t xml:space="preserve"> </w:t>
      </w:r>
      <w:r w:rsidRPr="00645B8B">
        <w:rPr>
          <w:lang w:val="en-CA"/>
        </w:rPr>
        <w:t>the judge to impose a two</w:t>
      </w:r>
      <w:r>
        <w:rPr>
          <w:lang w:val="en-CA"/>
        </w:rPr>
        <w:t xml:space="preserve">-year review </w:t>
      </w:r>
      <w:r w:rsidR="005F265F">
        <w:rPr>
          <w:lang w:val="en-CA"/>
        </w:rPr>
        <w:t>term</w:t>
      </w:r>
      <w:r>
        <w:rPr>
          <w:lang w:val="en-CA"/>
        </w:rPr>
        <w:t xml:space="preserve"> rather than a fixed four-year </w:t>
      </w:r>
      <w:r w:rsidR="005F265F">
        <w:rPr>
          <w:lang w:val="en-CA"/>
        </w:rPr>
        <w:t>term</w:t>
      </w:r>
      <w:r w:rsidR="00046E72">
        <w:rPr>
          <w:lang w:val="en-CA"/>
        </w:rPr>
        <w:t xml:space="preserve">, </w:t>
      </w:r>
      <w:r w:rsidR="00592C33">
        <w:rPr>
          <w:lang w:val="en-CA"/>
        </w:rPr>
        <w:t>especially since</w:t>
      </w:r>
      <w:r w:rsidR="00046E72">
        <w:rPr>
          <w:lang w:val="en-CA"/>
        </w:rPr>
        <w:t xml:space="preserve"> a review </w:t>
      </w:r>
      <w:r w:rsidR="005F265F">
        <w:rPr>
          <w:lang w:val="en-CA"/>
        </w:rPr>
        <w:t>term</w:t>
      </w:r>
      <w:r w:rsidR="00046E72">
        <w:rPr>
          <w:lang w:val="en-CA"/>
        </w:rPr>
        <w:t xml:space="preserve"> is </w:t>
      </w:r>
      <w:r w:rsidR="00F72C09">
        <w:rPr>
          <w:lang w:val="en-CA"/>
        </w:rPr>
        <w:t>different from</w:t>
      </w:r>
      <w:r w:rsidR="00046E72">
        <w:rPr>
          <w:lang w:val="en-CA"/>
        </w:rPr>
        <w:t xml:space="preserve"> a fixed </w:t>
      </w:r>
      <w:r w:rsidR="005F265F">
        <w:rPr>
          <w:lang w:val="en-CA"/>
        </w:rPr>
        <w:t>term</w:t>
      </w:r>
      <w:r w:rsidR="00046E72">
        <w:rPr>
          <w:lang w:val="en-CA"/>
        </w:rPr>
        <w:t>.</w:t>
      </w:r>
      <w:r w:rsidR="002F3EA6">
        <w:rPr>
          <w:lang w:val="en-CA"/>
        </w:rPr>
        <w:t xml:space="preserve"> The latter is final, </w:t>
      </w:r>
      <w:r w:rsidR="00592C33">
        <w:rPr>
          <w:lang w:val="en-CA"/>
        </w:rPr>
        <w:t xml:space="preserve">whereas </w:t>
      </w:r>
      <w:r w:rsidR="002F3EA6">
        <w:rPr>
          <w:lang w:val="en-CA"/>
        </w:rPr>
        <w:t xml:space="preserve">the former puts the onus on the </w:t>
      </w:r>
      <w:r w:rsidR="00592C33">
        <w:rPr>
          <w:lang w:val="en-CA"/>
        </w:rPr>
        <w:t xml:space="preserve">support </w:t>
      </w:r>
      <w:r w:rsidR="002F3EA6">
        <w:rPr>
          <w:lang w:val="en-CA"/>
        </w:rPr>
        <w:t xml:space="preserve">recipient </w:t>
      </w:r>
      <w:r w:rsidR="002C2260">
        <w:rPr>
          <w:lang w:val="en-CA"/>
        </w:rPr>
        <w:t xml:space="preserve">to </w:t>
      </w:r>
      <w:r w:rsidR="009B0DBB">
        <w:rPr>
          <w:lang w:val="en-CA"/>
        </w:rPr>
        <w:t>return to court to justify the extension.</w:t>
      </w:r>
    </w:p>
    <w:p w14:paraId="2A6333C7" w14:textId="06C6FA38" w:rsidR="00D03C8E" w:rsidRPr="00E21001" w:rsidRDefault="00267D40" w:rsidP="00952322">
      <w:pPr>
        <w:pStyle w:val="Paragraphe"/>
        <w:spacing w:before="180" w:after="180" w:line="240" w:lineRule="auto"/>
        <w:rPr>
          <w:lang w:val="en-CA"/>
        </w:rPr>
      </w:pPr>
      <w:r w:rsidRPr="00E21001">
        <w:rPr>
          <w:lang w:val="en-CA"/>
        </w:rPr>
        <w:t>The judge noted that</w:t>
      </w:r>
      <w:r w:rsidR="00E21001" w:rsidRPr="00E21001">
        <w:rPr>
          <w:lang w:val="en-CA"/>
        </w:rPr>
        <w:t xml:space="preserve">, since </w:t>
      </w:r>
      <w:r w:rsidR="00592C33">
        <w:rPr>
          <w:lang w:val="en-CA"/>
        </w:rPr>
        <w:t>her</w:t>
      </w:r>
      <w:r w:rsidR="00592C33" w:rsidRPr="00E21001">
        <w:rPr>
          <w:lang w:val="en-CA"/>
        </w:rPr>
        <w:t xml:space="preserve"> </w:t>
      </w:r>
      <w:r w:rsidR="00E21001" w:rsidRPr="00E21001">
        <w:rPr>
          <w:lang w:val="en-CA"/>
        </w:rPr>
        <w:t>career change in 2000, t</w:t>
      </w:r>
      <w:r w:rsidR="00E21001">
        <w:rPr>
          <w:lang w:val="en-CA"/>
        </w:rPr>
        <w:t>he appellant’s income has not been significant,</w:t>
      </w:r>
      <w:r w:rsidR="005B1845">
        <w:rPr>
          <w:rStyle w:val="Appelnotedebasdep"/>
        </w:rPr>
        <w:footnoteReference w:id="8"/>
      </w:r>
      <w:r w:rsidR="00E21001">
        <w:rPr>
          <w:lang w:val="en-CA"/>
        </w:rPr>
        <w:t xml:space="preserve"> </w:t>
      </w:r>
      <w:r w:rsidR="00EC0309">
        <w:rPr>
          <w:lang w:val="en-CA"/>
        </w:rPr>
        <w:t xml:space="preserve">that </w:t>
      </w:r>
      <w:r w:rsidR="00E21001">
        <w:rPr>
          <w:lang w:val="en-CA"/>
        </w:rPr>
        <w:t>the respondent</w:t>
      </w:r>
      <w:r w:rsidR="0094248C">
        <w:rPr>
          <w:lang w:val="en-CA"/>
        </w:rPr>
        <w:t xml:space="preserve"> had been asking the appellant to increase her income </w:t>
      </w:r>
      <w:r w:rsidR="00AE1B4F">
        <w:rPr>
          <w:lang w:val="en-CA"/>
        </w:rPr>
        <w:t xml:space="preserve">and decrease her expenses </w:t>
      </w:r>
      <w:r w:rsidR="0094248C">
        <w:rPr>
          <w:lang w:val="en-CA"/>
        </w:rPr>
        <w:t>prior to the breakdown of the marriage</w:t>
      </w:r>
      <w:r w:rsidR="00AE1B4F">
        <w:rPr>
          <w:lang w:val="en-CA"/>
        </w:rPr>
        <w:t>,</w:t>
      </w:r>
      <w:r w:rsidR="005B1845">
        <w:rPr>
          <w:rStyle w:val="Appelnotedebasdep"/>
        </w:rPr>
        <w:footnoteReference w:id="9"/>
      </w:r>
      <w:r w:rsidR="00AE1B4F">
        <w:rPr>
          <w:lang w:val="en-CA"/>
        </w:rPr>
        <w:t xml:space="preserve"> and that the breakdown</w:t>
      </w:r>
      <w:r w:rsidR="00592C33">
        <w:rPr>
          <w:lang w:val="en-CA"/>
        </w:rPr>
        <w:t xml:space="preserve"> of the marriage</w:t>
      </w:r>
      <w:r w:rsidR="00AE1B4F">
        <w:rPr>
          <w:lang w:val="en-CA"/>
        </w:rPr>
        <w:t xml:space="preserve"> </w:t>
      </w:r>
      <w:r w:rsidR="007B3387">
        <w:rPr>
          <w:lang w:val="en-CA"/>
        </w:rPr>
        <w:t>was in part related to financial pressure resulting from the appellant’s lack of effort in this regard.</w:t>
      </w:r>
      <w:r w:rsidR="005B1845">
        <w:rPr>
          <w:rStyle w:val="Appelnotedebasdep"/>
        </w:rPr>
        <w:footnoteReference w:id="10"/>
      </w:r>
      <w:r w:rsidR="007B3387">
        <w:rPr>
          <w:lang w:val="en-CA"/>
        </w:rPr>
        <w:t xml:space="preserve"> </w:t>
      </w:r>
      <w:r w:rsidR="002556C7">
        <w:rPr>
          <w:lang w:val="en-CA"/>
        </w:rPr>
        <w:t xml:space="preserve">Although the judge’s conclusions </w:t>
      </w:r>
      <w:r w:rsidR="00C80296">
        <w:rPr>
          <w:lang w:val="en-CA"/>
        </w:rPr>
        <w:t xml:space="preserve">about the appellant’s efforts to </w:t>
      </w:r>
      <w:r w:rsidR="00622840">
        <w:rPr>
          <w:lang w:val="en-CA"/>
        </w:rPr>
        <w:t>achieve financial</w:t>
      </w:r>
      <w:r w:rsidR="00860755">
        <w:rPr>
          <w:lang w:val="en-CA"/>
        </w:rPr>
        <w:t xml:space="preserve"> independence</w:t>
      </w:r>
      <w:r w:rsidR="00622840">
        <w:rPr>
          <w:lang w:val="en-CA"/>
        </w:rPr>
        <w:t xml:space="preserve"> are harsh,</w:t>
      </w:r>
      <w:r w:rsidR="005B1845">
        <w:rPr>
          <w:rStyle w:val="Appelnotedebasdep"/>
        </w:rPr>
        <w:footnoteReference w:id="11"/>
      </w:r>
      <w:r w:rsidR="00622840">
        <w:rPr>
          <w:lang w:val="en-CA"/>
        </w:rPr>
        <w:t xml:space="preserve"> they are nevertheless</w:t>
      </w:r>
      <w:r w:rsidR="00D4734D">
        <w:rPr>
          <w:lang w:val="en-CA"/>
        </w:rPr>
        <w:t xml:space="preserve"> findings of fact</w:t>
      </w:r>
      <w:r w:rsidR="00622840">
        <w:rPr>
          <w:lang w:val="en-CA"/>
        </w:rPr>
        <w:t xml:space="preserve"> </w:t>
      </w:r>
      <w:r w:rsidR="004B5040">
        <w:rPr>
          <w:lang w:val="en-CA"/>
        </w:rPr>
        <w:t xml:space="preserve">that </w:t>
      </w:r>
      <w:r w:rsidR="00622840">
        <w:rPr>
          <w:lang w:val="en-CA"/>
        </w:rPr>
        <w:t xml:space="preserve">the appellant </w:t>
      </w:r>
      <w:r w:rsidR="00D4734D">
        <w:rPr>
          <w:lang w:val="en-CA"/>
        </w:rPr>
        <w:t xml:space="preserve">has </w:t>
      </w:r>
      <w:r w:rsidR="00622840">
        <w:rPr>
          <w:lang w:val="en-CA"/>
        </w:rPr>
        <w:t>not</w:t>
      </w:r>
      <w:r w:rsidR="004D56DA">
        <w:rPr>
          <w:lang w:val="en-CA"/>
        </w:rPr>
        <w:t xml:space="preserve"> </w:t>
      </w:r>
      <w:r w:rsidR="00D4734D">
        <w:rPr>
          <w:lang w:val="en-CA"/>
        </w:rPr>
        <w:t xml:space="preserve">shown </w:t>
      </w:r>
      <w:r w:rsidR="004D56DA">
        <w:rPr>
          <w:lang w:val="en-CA"/>
        </w:rPr>
        <w:t>to be tainted</w:t>
      </w:r>
      <w:r w:rsidR="00FD516B">
        <w:rPr>
          <w:lang w:val="en-CA"/>
        </w:rPr>
        <w:t xml:space="preserve"> by</w:t>
      </w:r>
      <w:r w:rsidR="00EC7256">
        <w:rPr>
          <w:lang w:val="en-CA"/>
        </w:rPr>
        <w:t xml:space="preserve"> any palpable and overriding error. </w:t>
      </w:r>
      <w:r w:rsidR="004B5040">
        <w:rPr>
          <w:lang w:val="en-CA"/>
        </w:rPr>
        <w:t xml:space="preserve">The circumstances show that the </w:t>
      </w:r>
      <w:r w:rsidR="009C7BB9">
        <w:rPr>
          <w:lang w:val="en-CA"/>
        </w:rPr>
        <w:t xml:space="preserve">appellant’s precarious situation is a </w:t>
      </w:r>
      <w:r w:rsidR="009C7BB9">
        <w:rPr>
          <w:lang w:val="en-CA"/>
        </w:rPr>
        <w:lastRenderedPageBreak/>
        <w:t xml:space="preserve">result </w:t>
      </w:r>
      <w:r w:rsidR="00D4734D">
        <w:rPr>
          <w:lang w:val="en-CA"/>
        </w:rPr>
        <w:t xml:space="preserve">of </w:t>
      </w:r>
      <w:r w:rsidR="009C7BB9">
        <w:rPr>
          <w:lang w:val="en-CA"/>
        </w:rPr>
        <w:t>not only the breakdown</w:t>
      </w:r>
      <w:r w:rsidR="00D71707">
        <w:rPr>
          <w:lang w:val="en-CA"/>
        </w:rPr>
        <w:t xml:space="preserve"> of the marriage, but also her own choices. In the circumstances, </w:t>
      </w:r>
      <w:r w:rsidR="005B1845">
        <w:rPr>
          <w:lang w:val="en-CA"/>
        </w:rPr>
        <w:t xml:space="preserve">it was not an error to impose a review </w:t>
      </w:r>
      <w:r w:rsidR="005F265F">
        <w:rPr>
          <w:lang w:val="en-CA"/>
        </w:rPr>
        <w:t>term</w:t>
      </w:r>
      <w:r w:rsidR="005B1845">
        <w:rPr>
          <w:lang w:val="en-CA"/>
        </w:rPr>
        <w:t>.</w:t>
      </w:r>
      <w:r w:rsidR="005B1845">
        <w:rPr>
          <w:vertAlign w:val="superscript"/>
        </w:rPr>
        <w:footnoteReference w:id="12"/>
      </w:r>
    </w:p>
    <w:p w14:paraId="3AC62EA3" w14:textId="26AD358D" w:rsidR="008472F8" w:rsidRPr="001A1042" w:rsidRDefault="001233FD" w:rsidP="00952322">
      <w:pPr>
        <w:pStyle w:val="Paragraphe"/>
        <w:spacing w:before="180" w:after="180" w:line="240" w:lineRule="auto"/>
        <w:rPr>
          <w:lang w:val="en-CA"/>
        </w:rPr>
      </w:pPr>
      <w:r>
        <w:rPr>
          <w:lang w:val="en-CA"/>
        </w:rPr>
        <w:t>The</w:t>
      </w:r>
      <w:r w:rsidR="001A1042" w:rsidRPr="001A1042">
        <w:rPr>
          <w:lang w:val="en-CA"/>
        </w:rPr>
        <w:t xml:space="preserve"> two-year </w:t>
      </w:r>
      <w:r w:rsidR="005F265F">
        <w:rPr>
          <w:lang w:val="en-CA"/>
        </w:rPr>
        <w:t>term</w:t>
      </w:r>
      <w:r w:rsidR="001A1042" w:rsidRPr="001A1042">
        <w:rPr>
          <w:lang w:val="en-CA"/>
        </w:rPr>
        <w:t xml:space="preserve"> in this case </w:t>
      </w:r>
      <w:r w:rsidR="00E05446">
        <w:rPr>
          <w:lang w:val="en-CA"/>
        </w:rPr>
        <w:t>is also</w:t>
      </w:r>
      <w:r w:rsidR="00166F69">
        <w:rPr>
          <w:lang w:val="en-CA"/>
        </w:rPr>
        <w:t xml:space="preserve"> </w:t>
      </w:r>
      <w:r w:rsidR="001A1042" w:rsidRPr="001A1042">
        <w:rPr>
          <w:lang w:val="en-CA"/>
        </w:rPr>
        <w:t>n</w:t>
      </w:r>
      <w:r w:rsidR="001A1042">
        <w:rPr>
          <w:lang w:val="en-CA"/>
        </w:rPr>
        <w:t xml:space="preserve">ot </w:t>
      </w:r>
      <w:r w:rsidR="00497D63">
        <w:rPr>
          <w:lang w:val="en-CA"/>
        </w:rPr>
        <w:t xml:space="preserve">affected by </w:t>
      </w:r>
      <w:r w:rsidR="001C68F6">
        <w:rPr>
          <w:lang w:val="en-CA"/>
        </w:rPr>
        <w:t>a palpable error, particularly as the evidence shows that the issue was discussed between the parties in 2017, before their separation.</w:t>
      </w:r>
    </w:p>
    <w:p w14:paraId="5FF7F8C8" w14:textId="59DAD070" w:rsidR="00D03C8E" w:rsidRPr="00B704FD" w:rsidRDefault="005A5854" w:rsidP="00952322">
      <w:pPr>
        <w:pStyle w:val="Paragraphe"/>
        <w:spacing w:before="180" w:after="180" w:line="240" w:lineRule="auto"/>
        <w:rPr>
          <w:lang w:val="en-CA"/>
        </w:rPr>
      </w:pPr>
      <w:r w:rsidRPr="00B704FD">
        <w:rPr>
          <w:lang w:val="en-CA"/>
        </w:rPr>
        <w:t xml:space="preserve">The appellant correctly affirms that </w:t>
      </w:r>
      <w:r w:rsidR="008E6F7A" w:rsidRPr="00B704FD">
        <w:rPr>
          <w:lang w:val="en-CA"/>
        </w:rPr>
        <w:t xml:space="preserve">the </w:t>
      </w:r>
      <w:r w:rsidR="00B50B9C">
        <w:rPr>
          <w:lang w:val="en-CA"/>
        </w:rPr>
        <w:t xml:space="preserve">support recipient’s </w:t>
      </w:r>
      <w:r w:rsidR="008E6F7A" w:rsidRPr="00B704FD">
        <w:rPr>
          <w:lang w:val="en-CA"/>
        </w:rPr>
        <w:t xml:space="preserve">financial independence </w:t>
      </w:r>
      <w:r w:rsidR="00B704FD">
        <w:rPr>
          <w:lang w:val="en-CA"/>
        </w:rPr>
        <w:t xml:space="preserve">must be </w:t>
      </w:r>
      <w:r w:rsidR="00D96163">
        <w:rPr>
          <w:lang w:val="en-CA"/>
        </w:rPr>
        <w:t>assessed</w:t>
      </w:r>
      <w:r w:rsidR="00B704FD">
        <w:rPr>
          <w:lang w:val="en-CA"/>
        </w:rPr>
        <w:t xml:space="preserve"> in light of the </w:t>
      </w:r>
      <w:r w:rsidR="00602D0D">
        <w:rPr>
          <w:lang w:val="en-CA"/>
        </w:rPr>
        <w:t>parties’ stand</w:t>
      </w:r>
      <w:r w:rsidR="005A7A7B">
        <w:rPr>
          <w:lang w:val="en-CA"/>
        </w:rPr>
        <w:t xml:space="preserve">ard of living and </w:t>
      </w:r>
      <w:r w:rsidR="00D96163">
        <w:rPr>
          <w:lang w:val="en-CA"/>
        </w:rPr>
        <w:t>their actual earning capacity.</w:t>
      </w:r>
      <w:r w:rsidR="00D96163">
        <w:rPr>
          <w:rStyle w:val="Appelnotedebasdep"/>
        </w:rPr>
        <w:footnoteReference w:id="13"/>
      </w:r>
      <w:r w:rsidR="00D96163">
        <w:rPr>
          <w:lang w:val="en-CA"/>
        </w:rPr>
        <w:t xml:space="preserve"> However, </w:t>
      </w:r>
      <w:r w:rsidR="00950063">
        <w:rPr>
          <w:lang w:val="en-CA"/>
        </w:rPr>
        <w:t xml:space="preserve">the </w:t>
      </w:r>
      <w:r w:rsidR="004B4D09">
        <w:rPr>
          <w:lang w:val="en-CA"/>
        </w:rPr>
        <w:t xml:space="preserve">case law specifies that it is not necessary to </w:t>
      </w:r>
      <w:r w:rsidR="00B93D52">
        <w:rPr>
          <w:lang w:val="en-CA"/>
        </w:rPr>
        <w:t>keep up</w:t>
      </w:r>
      <w:r w:rsidR="004B4D09">
        <w:rPr>
          <w:lang w:val="en-CA"/>
        </w:rPr>
        <w:t xml:space="preserve"> the status quo </w:t>
      </w:r>
      <w:r w:rsidR="003B5CEE">
        <w:rPr>
          <w:lang w:val="en-CA"/>
        </w:rPr>
        <w:t xml:space="preserve">for this standard </w:t>
      </w:r>
      <w:r w:rsidR="00950063">
        <w:rPr>
          <w:lang w:val="en-CA"/>
        </w:rPr>
        <w:t xml:space="preserve">if </w:t>
      </w:r>
      <w:r w:rsidR="003B5CEE">
        <w:rPr>
          <w:lang w:val="en-CA"/>
        </w:rPr>
        <w:t>the parties were living beyond their means.</w:t>
      </w:r>
      <w:r w:rsidR="003B5CEE">
        <w:rPr>
          <w:rStyle w:val="Appelnotedebasdep"/>
        </w:rPr>
        <w:footnoteReference w:id="14"/>
      </w:r>
      <w:r w:rsidR="003B5CEE">
        <w:rPr>
          <w:lang w:val="en-CA"/>
        </w:rPr>
        <w:t xml:space="preserve"> The evidence shows that</w:t>
      </w:r>
      <w:r w:rsidR="00950063">
        <w:rPr>
          <w:lang w:val="en-CA"/>
        </w:rPr>
        <w:t xml:space="preserve">, although their standard of living </w:t>
      </w:r>
      <w:r w:rsidR="00702C73">
        <w:rPr>
          <w:lang w:val="en-CA"/>
        </w:rPr>
        <w:t xml:space="preserve">was not </w:t>
      </w:r>
      <w:r w:rsidR="001E286D">
        <w:rPr>
          <w:lang w:val="en-CA"/>
        </w:rPr>
        <w:t xml:space="preserve">extravagant, </w:t>
      </w:r>
      <w:r w:rsidR="00950063">
        <w:rPr>
          <w:lang w:val="en-CA"/>
        </w:rPr>
        <w:t>it</w:t>
      </w:r>
      <w:r w:rsidR="00AB3A50">
        <w:rPr>
          <w:lang w:val="en-CA"/>
        </w:rPr>
        <w:t xml:space="preserve"> was too high considering their financial resources</w:t>
      </w:r>
      <w:r w:rsidR="009E6641">
        <w:rPr>
          <w:lang w:val="en-CA"/>
        </w:rPr>
        <w:t>,</w:t>
      </w:r>
      <w:r w:rsidR="00AB3A50">
        <w:rPr>
          <w:lang w:val="en-CA"/>
        </w:rPr>
        <w:t xml:space="preserve"> as they </w:t>
      </w:r>
      <w:r w:rsidR="002A39E1">
        <w:rPr>
          <w:lang w:val="en-CA"/>
        </w:rPr>
        <w:t xml:space="preserve">were unable to substantially reduce their debt </w:t>
      </w:r>
      <w:r w:rsidR="00950063">
        <w:rPr>
          <w:lang w:val="en-CA"/>
        </w:rPr>
        <w:t xml:space="preserve">while </w:t>
      </w:r>
      <w:r w:rsidR="005B6359">
        <w:rPr>
          <w:lang w:val="en-CA"/>
        </w:rPr>
        <w:t xml:space="preserve">they </w:t>
      </w:r>
      <w:r w:rsidR="00D839B8">
        <w:rPr>
          <w:lang w:val="en-CA"/>
        </w:rPr>
        <w:t>liv</w:t>
      </w:r>
      <w:r w:rsidR="00950063">
        <w:rPr>
          <w:lang w:val="en-CA"/>
        </w:rPr>
        <w:t xml:space="preserve">ed </w:t>
      </w:r>
      <w:r w:rsidR="005B6359">
        <w:rPr>
          <w:lang w:val="en-CA"/>
        </w:rPr>
        <w:t>together.</w:t>
      </w:r>
      <w:r w:rsidR="005B6359">
        <w:rPr>
          <w:rStyle w:val="Appelnotedebasdep"/>
        </w:rPr>
        <w:footnoteReference w:id="15"/>
      </w:r>
    </w:p>
    <w:p w14:paraId="470FFB21" w14:textId="4A52D88E" w:rsidR="00D03C8E" w:rsidRPr="0034186C" w:rsidRDefault="0034186C" w:rsidP="00952322">
      <w:pPr>
        <w:pStyle w:val="Paragraphe"/>
        <w:spacing w:before="180" w:after="180" w:line="240" w:lineRule="auto"/>
        <w:rPr>
          <w:lang w:val="en-CA"/>
        </w:rPr>
      </w:pPr>
      <w:r w:rsidRPr="0034186C">
        <w:rPr>
          <w:lang w:val="en-CA"/>
        </w:rPr>
        <w:t>Although she was 54 years old at the time of t</w:t>
      </w:r>
      <w:r>
        <w:rPr>
          <w:lang w:val="en-CA"/>
        </w:rPr>
        <w:t xml:space="preserve">he judgment under appeal, the appellant has </w:t>
      </w:r>
      <w:r w:rsidR="00137761">
        <w:rPr>
          <w:lang w:val="en-CA"/>
        </w:rPr>
        <w:t xml:space="preserve">almost 20 years of experience and is </w:t>
      </w:r>
      <w:r w:rsidR="001B7477">
        <w:rPr>
          <w:lang w:val="en-CA"/>
        </w:rPr>
        <w:t xml:space="preserve">accomplished </w:t>
      </w:r>
      <w:r w:rsidR="00137761">
        <w:rPr>
          <w:lang w:val="en-CA"/>
        </w:rPr>
        <w:t>in her field. Despite her undeniable potential,</w:t>
      </w:r>
      <w:r w:rsidR="00406F53">
        <w:rPr>
          <w:rStyle w:val="Appelnotedebasdep"/>
        </w:rPr>
        <w:footnoteReference w:id="16"/>
      </w:r>
      <w:r w:rsidR="00137761">
        <w:rPr>
          <w:lang w:val="en-CA"/>
        </w:rPr>
        <w:t xml:space="preserve"> she </w:t>
      </w:r>
      <w:r w:rsidR="003A1F23">
        <w:rPr>
          <w:lang w:val="en-CA"/>
        </w:rPr>
        <w:t xml:space="preserve">has not demonstrated </w:t>
      </w:r>
      <w:r w:rsidR="00950063">
        <w:rPr>
          <w:lang w:val="en-CA"/>
        </w:rPr>
        <w:t xml:space="preserve">that she made </w:t>
      </w:r>
      <w:r w:rsidR="003A1F23">
        <w:rPr>
          <w:lang w:val="en-CA"/>
        </w:rPr>
        <w:t xml:space="preserve">any serious effort to increase her income. Since it is a review </w:t>
      </w:r>
      <w:r w:rsidR="005F265F">
        <w:rPr>
          <w:lang w:val="en-CA"/>
        </w:rPr>
        <w:t>term</w:t>
      </w:r>
      <w:r w:rsidR="003A1F23">
        <w:rPr>
          <w:lang w:val="en-CA"/>
        </w:rPr>
        <w:t xml:space="preserve">, </w:t>
      </w:r>
      <w:r w:rsidR="000D61C0">
        <w:rPr>
          <w:lang w:val="en-CA"/>
        </w:rPr>
        <w:t xml:space="preserve">the spousal support may be continued </w:t>
      </w:r>
      <w:r w:rsidR="00C62EC7">
        <w:rPr>
          <w:lang w:val="en-CA"/>
        </w:rPr>
        <w:t xml:space="preserve">if </w:t>
      </w:r>
      <w:r w:rsidR="000D61C0">
        <w:rPr>
          <w:lang w:val="en-CA"/>
        </w:rPr>
        <w:t xml:space="preserve">the appellant </w:t>
      </w:r>
      <w:r w:rsidR="00950063">
        <w:rPr>
          <w:lang w:val="en-CA"/>
        </w:rPr>
        <w:t xml:space="preserve">shows </w:t>
      </w:r>
      <w:r w:rsidR="00C62EC7">
        <w:rPr>
          <w:lang w:val="en-CA"/>
        </w:rPr>
        <w:t>that</w:t>
      </w:r>
      <w:r w:rsidR="00950063">
        <w:rPr>
          <w:lang w:val="en-CA"/>
        </w:rPr>
        <w:t>,</w:t>
      </w:r>
      <w:r w:rsidR="00C62EC7">
        <w:rPr>
          <w:lang w:val="en-CA"/>
        </w:rPr>
        <w:t xml:space="preserve"> despite her serious effort and the steps she</w:t>
      </w:r>
      <w:r w:rsidR="0081387E">
        <w:rPr>
          <w:lang w:val="en-CA"/>
        </w:rPr>
        <w:t xml:space="preserve"> has taken, she has not been able to achieve financial independence.</w:t>
      </w:r>
    </w:p>
    <w:p w14:paraId="4B21FF19" w14:textId="77777777" w:rsidR="00D03C8E" w:rsidRPr="00952322" w:rsidRDefault="009E7D68" w:rsidP="00952322">
      <w:pPr>
        <w:pStyle w:val="Paragraphe"/>
        <w:numPr>
          <w:ilvl w:val="0"/>
          <w:numId w:val="0"/>
        </w:numPr>
        <w:spacing w:before="180" w:after="180" w:line="240" w:lineRule="auto"/>
        <w:jc w:val="center"/>
      </w:pPr>
      <w:r w:rsidRPr="00952322">
        <w:rPr>
          <w:lang w:val="fr-FR"/>
        </w:rPr>
        <w:t>* * *</w:t>
      </w:r>
    </w:p>
    <w:p w14:paraId="72444150" w14:textId="0D37C0ED" w:rsidR="003B0EC4" w:rsidRPr="00262E69" w:rsidRDefault="00E0554C" w:rsidP="00952322">
      <w:pPr>
        <w:pStyle w:val="Paragraphe"/>
        <w:spacing w:before="180" w:after="180" w:line="240" w:lineRule="auto"/>
        <w:rPr>
          <w:lang w:val="en-CA"/>
        </w:rPr>
      </w:pPr>
      <w:r w:rsidRPr="00313EC8">
        <w:rPr>
          <w:lang w:val="en-CA"/>
        </w:rPr>
        <w:t>On the issue of calculating</w:t>
      </w:r>
      <w:r w:rsidR="00262E69" w:rsidRPr="00313EC8">
        <w:rPr>
          <w:lang w:val="en-CA"/>
        </w:rPr>
        <w:t xml:space="preserve"> support, the judge reduced the amount provided for as</w:t>
      </w:r>
      <w:r w:rsidR="0003123B" w:rsidRPr="00313EC8">
        <w:rPr>
          <w:lang w:val="en-CA"/>
        </w:rPr>
        <w:t xml:space="preserve"> an RRSP loan by $100</w:t>
      </w:r>
      <w:r w:rsidR="003F319F" w:rsidRPr="00313EC8">
        <w:rPr>
          <w:lang w:val="en-CA"/>
        </w:rPr>
        <w:t>.</w:t>
      </w:r>
      <w:r w:rsidR="00BA11E4" w:rsidRPr="00BA11E4">
        <w:rPr>
          <w:rStyle w:val="Appelnotedebasdep"/>
        </w:rPr>
        <w:footnoteReference w:id="17"/>
      </w:r>
      <w:r w:rsidR="003F319F" w:rsidRPr="00313EC8">
        <w:rPr>
          <w:lang w:val="en-CA"/>
        </w:rPr>
        <w:t xml:space="preserve"> </w:t>
      </w:r>
      <w:r w:rsidR="003F319F">
        <w:rPr>
          <w:lang w:val="en-CA"/>
        </w:rPr>
        <w:t xml:space="preserve">It is understood that she considered the amounts on lines 44 and 48 of Form III to be duplicates. The appellant submits that </w:t>
      </w:r>
      <w:r w:rsidR="003B301E">
        <w:rPr>
          <w:lang w:val="en-CA"/>
        </w:rPr>
        <w:t xml:space="preserve">they are actually two distinct sources of contributions, one being a monthly contribution to her RRSPs (line 44), and the other (line 48), </w:t>
      </w:r>
      <w:r w:rsidR="00313EC8">
        <w:rPr>
          <w:lang w:val="en-CA"/>
        </w:rPr>
        <w:t>a</w:t>
      </w:r>
      <w:r w:rsidR="000D4354">
        <w:rPr>
          <w:lang w:val="en-CA"/>
        </w:rPr>
        <w:t xml:space="preserve"> repayment of an RRSP loan taken out in 2018.</w:t>
      </w:r>
    </w:p>
    <w:p w14:paraId="3F8A9518" w14:textId="118C9C47" w:rsidR="00620518" w:rsidRPr="001C4417" w:rsidRDefault="00674223" w:rsidP="00952322">
      <w:pPr>
        <w:pStyle w:val="Paragraphe"/>
        <w:spacing w:before="180" w:after="180" w:line="240" w:lineRule="auto"/>
        <w:rPr>
          <w:lang w:val="en-CA"/>
        </w:rPr>
      </w:pPr>
      <w:r>
        <w:rPr>
          <w:lang w:val="en-CA"/>
        </w:rPr>
        <w:lastRenderedPageBreak/>
        <w:t>There is n</w:t>
      </w:r>
      <w:r w:rsidR="000D4354" w:rsidRPr="001C4417">
        <w:rPr>
          <w:lang w:val="en-CA"/>
        </w:rPr>
        <w:t>o documentary</w:t>
      </w:r>
      <w:r w:rsidR="001C4417" w:rsidRPr="001C4417">
        <w:rPr>
          <w:lang w:val="en-CA"/>
        </w:rPr>
        <w:t xml:space="preserve"> evidence </w:t>
      </w:r>
      <w:r>
        <w:rPr>
          <w:lang w:val="en-CA"/>
        </w:rPr>
        <w:t xml:space="preserve">before </w:t>
      </w:r>
      <w:r w:rsidR="001C4417" w:rsidRPr="001C4417">
        <w:rPr>
          <w:lang w:val="en-CA"/>
        </w:rPr>
        <w:t>the Court o</w:t>
      </w:r>
      <w:r w:rsidR="001C4417">
        <w:rPr>
          <w:lang w:val="en-CA"/>
        </w:rPr>
        <w:t xml:space="preserve">n this </w:t>
      </w:r>
      <w:r>
        <w:rPr>
          <w:lang w:val="en-CA"/>
        </w:rPr>
        <w:t>issue</w:t>
      </w:r>
      <w:r w:rsidR="001C4417">
        <w:rPr>
          <w:lang w:val="en-CA"/>
        </w:rPr>
        <w:t xml:space="preserve">, and the appellant’s testimony does not </w:t>
      </w:r>
      <w:r>
        <w:rPr>
          <w:lang w:val="en-CA"/>
        </w:rPr>
        <w:t>clearly demonstrate</w:t>
      </w:r>
      <w:r w:rsidR="001C4417">
        <w:rPr>
          <w:lang w:val="en-CA"/>
        </w:rPr>
        <w:t xml:space="preserve"> that the judge </w:t>
      </w:r>
      <w:r>
        <w:rPr>
          <w:lang w:val="en-CA"/>
        </w:rPr>
        <w:t>erred</w:t>
      </w:r>
      <w:r w:rsidR="007F6136">
        <w:rPr>
          <w:lang w:val="en-CA"/>
        </w:rPr>
        <w:t xml:space="preserve"> </w:t>
      </w:r>
      <w:r w:rsidR="00F8305B">
        <w:rPr>
          <w:lang w:val="en-CA"/>
        </w:rPr>
        <w:t xml:space="preserve">in a way that would </w:t>
      </w:r>
      <w:r>
        <w:rPr>
          <w:lang w:val="en-CA"/>
        </w:rPr>
        <w:t xml:space="preserve">justify the Court’s intervention </w:t>
      </w:r>
      <w:r w:rsidR="0088450D">
        <w:rPr>
          <w:lang w:val="en-CA"/>
        </w:rPr>
        <w:t>in this regard.</w:t>
      </w:r>
    </w:p>
    <w:p w14:paraId="42869D73" w14:textId="38194073" w:rsidR="0045069B" w:rsidRPr="0088450D" w:rsidRDefault="0088450D" w:rsidP="00952322">
      <w:pPr>
        <w:pStyle w:val="Paragraphe"/>
        <w:spacing w:before="180" w:after="180" w:line="240" w:lineRule="auto"/>
        <w:rPr>
          <w:lang w:val="en-CA"/>
        </w:rPr>
      </w:pPr>
      <w:r w:rsidRPr="0088450D">
        <w:rPr>
          <w:lang w:val="en-CA"/>
        </w:rPr>
        <w:t>As for her argument that the judge erred in c</w:t>
      </w:r>
      <w:r>
        <w:rPr>
          <w:lang w:val="en-CA"/>
        </w:rPr>
        <w:t xml:space="preserve">onverting the net </w:t>
      </w:r>
      <w:r w:rsidR="003F65B6">
        <w:rPr>
          <w:lang w:val="en-CA"/>
        </w:rPr>
        <w:t xml:space="preserve">support </w:t>
      </w:r>
      <w:r>
        <w:rPr>
          <w:lang w:val="en-CA"/>
        </w:rPr>
        <w:t xml:space="preserve">amount to </w:t>
      </w:r>
      <w:r w:rsidR="003F65B6">
        <w:rPr>
          <w:lang w:val="en-CA"/>
        </w:rPr>
        <w:t>a taxable amount, the appellant is simply wrong.</w:t>
      </w:r>
    </w:p>
    <w:p w14:paraId="4153158D" w14:textId="77777777" w:rsidR="0045069B" w:rsidRPr="00952322" w:rsidRDefault="009E7D68" w:rsidP="00952322">
      <w:pPr>
        <w:pStyle w:val="Paragraphe"/>
        <w:numPr>
          <w:ilvl w:val="0"/>
          <w:numId w:val="0"/>
        </w:numPr>
        <w:spacing w:before="180" w:after="180" w:line="240" w:lineRule="auto"/>
        <w:jc w:val="center"/>
      </w:pPr>
      <w:r w:rsidRPr="00952322">
        <w:rPr>
          <w:lang w:val="fr-FR"/>
        </w:rPr>
        <w:t>* * *</w:t>
      </w:r>
    </w:p>
    <w:p w14:paraId="5FAAD7CC" w14:textId="5A539A31" w:rsidR="00145582" w:rsidRPr="00145582" w:rsidRDefault="008B650F" w:rsidP="00145582">
      <w:pPr>
        <w:pStyle w:val="Paragraphe"/>
        <w:spacing w:before="180" w:after="180" w:line="240" w:lineRule="auto"/>
        <w:rPr>
          <w:lang w:val="en-CA"/>
        </w:rPr>
      </w:pPr>
      <w:r w:rsidRPr="009061A3">
        <w:rPr>
          <w:lang w:val="en-CA"/>
        </w:rPr>
        <w:t xml:space="preserve">The appellant submits that the judge </w:t>
      </w:r>
      <w:r w:rsidR="008927AE" w:rsidRPr="009061A3">
        <w:rPr>
          <w:lang w:val="en-CA"/>
        </w:rPr>
        <w:t xml:space="preserve">failed to consider </w:t>
      </w:r>
      <w:r w:rsidR="009061A3" w:rsidRPr="009061A3">
        <w:rPr>
          <w:lang w:val="en-CA"/>
        </w:rPr>
        <w:t>a</w:t>
      </w:r>
      <w:r w:rsidR="009061A3">
        <w:rPr>
          <w:lang w:val="en-CA"/>
        </w:rPr>
        <w:t xml:space="preserve">ll of the factors to be analyzed </w:t>
      </w:r>
      <w:r w:rsidR="0013153C">
        <w:rPr>
          <w:lang w:val="en-CA"/>
        </w:rPr>
        <w:t>when</w:t>
      </w:r>
      <w:r w:rsidR="001B1E3B">
        <w:rPr>
          <w:lang w:val="en-CA"/>
        </w:rPr>
        <w:t xml:space="preserve"> </w:t>
      </w:r>
      <w:r w:rsidR="003A4C13">
        <w:rPr>
          <w:lang w:val="en-CA"/>
        </w:rPr>
        <w:t xml:space="preserve">ordering a provision for costs. </w:t>
      </w:r>
      <w:r w:rsidR="0066155A">
        <w:rPr>
          <w:lang w:val="en-CA"/>
        </w:rPr>
        <w:t>In particular</w:t>
      </w:r>
      <w:r w:rsidR="003A4C13">
        <w:rPr>
          <w:lang w:val="en-CA"/>
        </w:rPr>
        <w:t xml:space="preserve">, she alleges that the judge </w:t>
      </w:r>
      <w:r w:rsidR="00CA0D75">
        <w:rPr>
          <w:lang w:val="en-CA"/>
        </w:rPr>
        <w:t xml:space="preserve">did not take into account the great disparity in the parties’ incomes and misjudged the respondent’s ability to pay. </w:t>
      </w:r>
      <w:r w:rsidR="00811BC4">
        <w:rPr>
          <w:lang w:val="en-CA"/>
        </w:rPr>
        <w:t xml:space="preserve">The appellant also </w:t>
      </w:r>
      <w:r w:rsidR="0066155A">
        <w:rPr>
          <w:lang w:val="en-CA"/>
        </w:rPr>
        <w:t xml:space="preserve">argues </w:t>
      </w:r>
      <w:r w:rsidR="00811BC4">
        <w:rPr>
          <w:lang w:val="en-CA"/>
        </w:rPr>
        <w:t>that the judge erred in dismissing the</w:t>
      </w:r>
      <w:r w:rsidR="00113C22">
        <w:rPr>
          <w:lang w:val="en-CA"/>
        </w:rPr>
        <w:t xml:space="preserve"> </w:t>
      </w:r>
      <w:r w:rsidR="00516AB1">
        <w:rPr>
          <w:lang w:val="en-CA"/>
        </w:rPr>
        <w:t xml:space="preserve">application for </w:t>
      </w:r>
      <w:r w:rsidR="0066155A">
        <w:rPr>
          <w:lang w:val="en-CA"/>
        </w:rPr>
        <w:t xml:space="preserve">a </w:t>
      </w:r>
      <w:r w:rsidR="00516AB1">
        <w:rPr>
          <w:lang w:val="en-CA"/>
        </w:rPr>
        <w:t xml:space="preserve">provision </w:t>
      </w:r>
      <w:r w:rsidR="00E532A9">
        <w:rPr>
          <w:lang w:val="en-CA"/>
        </w:rPr>
        <w:t>for</w:t>
      </w:r>
      <w:r w:rsidR="00516AB1">
        <w:rPr>
          <w:lang w:val="en-CA"/>
        </w:rPr>
        <w:t xml:space="preserve"> costs</w:t>
      </w:r>
      <w:r w:rsidR="00145582">
        <w:rPr>
          <w:lang w:val="en-CA"/>
        </w:rPr>
        <w:t xml:space="preserve"> solely on</w:t>
      </w:r>
      <w:r w:rsidR="0066155A">
        <w:rPr>
          <w:lang w:val="en-CA"/>
        </w:rPr>
        <w:t xml:space="preserve"> the basis of</w:t>
      </w:r>
      <w:r w:rsidR="00145582">
        <w:rPr>
          <w:lang w:val="en-CA"/>
        </w:rPr>
        <w:t xml:space="preserve"> her inadequate assessment of the appellant’s</w:t>
      </w:r>
      <w:r w:rsidR="00A32801">
        <w:rPr>
          <w:lang w:val="en-CA"/>
        </w:rPr>
        <w:t xml:space="preserve"> </w:t>
      </w:r>
      <w:r w:rsidR="00FB2E01">
        <w:rPr>
          <w:lang w:val="en-CA"/>
        </w:rPr>
        <w:t>attitude</w:t>
      </w:r>
      <w:r w:rsidR="00145582">
        <w:rPr>
          <w:lang w:val="en-CA"/>
        </w:rPr>
        <w:t>.</w:t>
      </w:r>
    </w:p>
    <w:p w14:paraId="4C4C3028" w14:textId="011FD412" w:rsidR="0045069B" w:rsidRPr="000E0B67" w:rsidRDefault="000E0B67" w:rsidP="00952322">
      <w:pPr>
        <w:pStyle w:val="Paragraphe"/>
        <w:spacing w:before="180" w:after="180" w:line="240" w:lineRule="auto"/>
        <w:rPr>
          <w:lang w:val="en-CA"/>
        </w:rPr>
      </w:pPr>
      <w:r w:rsidRPr="000E0B67">
        <w:rPr>
          <w:lang w:val="en-CA"/>
        </w:rPr>
        <w:t xml:space="preserve">The </w:t>
      </w:r>
      <w:r w:rsidR="003A4B6B">
        <w:rPr>
          <w:lang w:val="en-CA"/>
        </w:rPr>
        <w:t>award</w:t>
      </w:r>
      <w:r w:rsidRPr="000E0B67">
        <w:rPr>
          <w:lang w:val="en-CA"/>
        </w:rPr>
        <w:t xml:space="preserve"> of a provision for costs depends on t</w:t>
      </w:r>
      <w:r>
        <w:rPr>
          <w:lang w:val="en-CA"/>
        </w:rPr>
        <w:t xml:space="preserve">he needs </w:t>
      </w:r>
      <w:r w:rsidR="00AE289D">
        <w:rPr>
          <w:lang w:val="en-CA"/>
        </w:rPr>
        <w:t xml:space="preserve">of the </w:t>
      </w:r>
      <w:r w:rsidR="00FB2E01">
        <w:rPr>
          <w:lang w:val="en-CA"/>
        </w:rPr>
        <w:t xml:space="preserve">person seeking it </w:t>
      </w:r>
      <w:r w:rsidR="00AE289D">
        <w:rPr>
          <w:lang w:val="en-CA"/>
        </w:rPr>
        <w:t>and the financial means of</w:t>
      </w:r>
      <w:r w:rsidR="003B7D6F">
        <w:rPr>
          <w:lang w:val="en-CA"/>
        </w:rPr>
        <w:t xml:space="preserve"> </w:t>
      </w:r>
      <w:r w:rsidR="00FB2E01">
        <w:rPr>
          <w:lang w:val="en-CA"/>
        </w:rPr>
        <w:t xml:space="preserve">that person’s </w:t>
      </w:r>
      <w:r w:rsidR="003B7D6F">
        <w:rPr>
          <w:lang w:val="en-CA"/>
        </w:rPr>
        <w:t xml:space="preserve">support </w:t>
      </w:r>
      <w:r w:rsidR="00FB2E01">
        <w:rPr>
          <w:lang w:val="en-CA"/>
        </w:rPr>
        <w:t>debtor</w:t>
      </w:r>
      <w:r w:rsidR="003B7D6F">
        <w:rPr>
          <w:lang w:val="en-CA"/>
        </w:rPr>
        <w:t xml:space="preserve">. </w:t>
      </w:r>
      <w:r w:rsidR="00FF507E">
        <w:rPr>
          <w:lang w:val="en-CA"/>
        </w:rPr>
        <w:t xml:space="preserve">It is </w:t>
      </w:r>
      <w:r w:rsidR="00907F2F">
        <w:rPr>
          <w:lang w:val="en-CA"/>
        </w:rPr>
        <w:t>[</w:t>
      </w:r>
      <w:r w:rsidR="00907F2F" w:rsidRPr="00907F2F">
        <w:rPr>
          <w:smallCaps/>
          <w:lang w:val="en-CA"/>
        </w:rPr>
        <w:t>translation</w:t>
      </w:r>
      <w:r w:rsidR="00907F2F">
        <w:rPr>
          <w:lang w:val="en-CA"/>
        </w:rPr>
        <w:t xml:space="preserve">] “by no means automatic, as the </w:t>
      </w:r>
      <w:r w:rsidR="00BB02A3">
        <w:rPr>
          <w:lang w:val="en-CA"/>
        </w:rPr>
        <w:t>creditor has the responsibility to manage their income adequately to ensure their fair share of the costs</w:t>
      </w:r>
      <w:r w:rsidR="00F303AC">
        <w:rPr>
          <w:lang w:val="en-CA"/>
        </w:rPr>
        <w:t>.</w:t>
      </w:r>
      <w:r w:rsidR="00BB02A3">
        <w:rPr>
          <w:lang w:val="en-CA"/>
        </w:rPr>
        <w:t>”</w:t>
      </w:r>
      <w:r w:rsidR="00BB02A3">
        <w:rPr>
          <w:rStyle w:val="Appelnotedebasdep"/>
        </w:rPr>
        <w:footnoteReference w:id="18"/>
      </w:r>
      <w:r w:rsidR="00BB02A3">
        <w:rPr>
          <w:lang w:val="en-CA"/>
        </w:rPr>
        <w:t xml:space="preserve"> While the creditor is not required to liquidate </w:t>
      </w:r>
      <w:r w:rsidR="00C64EAF">
        <w:rPr>
          <w:lang w:val="en-CA"/>
        </w:rPr>
        <w:t>assets or to incur debt to assert their rights, [</w:t>
      </w:r>
      <w:r w:rsidR="00C64EAF" w:rsidRPr="00907F2F">
        <w:rPr>
          <w:smallCaps/>
          <w:lang w:val="en-CA"/>
        </w:rPr>
        <w:t>translation</w:t>
      </w:r>
      <w:r w:rsidR="00C64EAF">
        <w:rPr>
          <w:lang w:val="en-CA"/>
        </w:rPr>
        <w:t xml:space="preserve">] “it must also be remembered that the provision for costs is not designed to finance </w:t>
      </w:r>
      <w:r w:rsidR="00CF07F1">
        <w:rPr>
          <w:lang w:val="en-CA"/>
        </w:rPr>
        <w:t>unnecessary litigation [but rather] to ensure some equality of power between the parties.”</w:t>
      </w:r>
      <w:r w:rsidR="00CF07F1">
        <w:rPr>
          <w:rStyle w:val="Appelnotedebasdep"/>
        </w:rPr>
        <w:footnoteReference w:id="19"/>
      </w:r>
      <w:r w:rsidR="00CF07F1">
        <w:rPr>
          <w:lang w:val="en-CA"/>
        </w:rPr>
        <w:t xml:space="preserve"> That being said, the Court must </w:t>
      </w:r>
      <w:r w:rsidR="00FB2E01">
        <w:rPr>
          <w:lang w:val="en-CA"/>
        </w:rPr>
        <w:t xml:space="preserve">consider </w:t>
      </w:r>
      <w:r w:rsidR="00CF07F1">
        <w:rPr>
          <w:lang w:val="en-CA"/>
        </w:rPr>
        <w:t xml:space="preserve">the proceedings </w:t>
      </w:r>
      <w:r w:rsidR="00FB2E01">
        <w:rPr>
          <w:lang w:val="en-CA"/>
        </w:rPr>
        <w:t xml:space="preserve">and how they unfold </w:t>
      </w:r>
      <w:r w:rsidR="00CF07F1">
        <w:rPr>
          <w:lang w:val="en-CA"/>
        </w:rPr>
        <w:t xml:space="preserve">to identify the relevant factors in the case, </w:t>
      </w:r>
      <w:r w:rsidR="005E402D">
        <w:rPr>
          <w:lang w:val="en-CA"/>
        </w:rPr>
        <w:t>with the conduct of the parties playing a key role in the exercise of judicial discretion.</w:t>
      </w:r>
      <w:r w:rsidR="005E402D">
        <w:rPr>
          <w:rStyle w:val="Appelnotedebasdep"/>
        </w:rPr>
        <w:footnoteReference w:id="20"/>
      </w:r>
    </w:p>
    <w:p w14:paraId="21E05C27" w14:textId="40C56FB7" w:rsidR="0045069B" w:rsidRPr="00193E0B" w:rsidRDefault="00193E0B" w:rsidP="00952322">
      <w:pPr>
        <w:pStyle w:val="Paragraphe"/>
        <w:spacing w:before="180" w:after="180" w:line="240" w:lineRule="auto"/>
        <w:rPr>
          <w:lang w:val="en-CA"/>
        </w:rPr>
      </w:pPr>
      <w:r w:rsidRPr="00193E0B">
        <w:rPr>
          <w:lang w:val="en-CA"/>
        </w:rPr>
        <w:t>Although the trial judge addressed only the appellant’s conduct i</w:t>
      </w:r>
      <w:r>
        <w:rPr>
          <w:lang w:val="en-CA"/>
        </w:rPr>
        <w:t xml:space="preserve">n the section </w:t>
      </w:r>
      <w:r w:rsidR="00C76ED8">
        <w:rPr>
          <w:lang w:val="en-CA"/>
        </w:rPr>
        <w:t xml:space="preserve">on the application for provision </w:t>
      </w:r>
      <w:r w:rsidR="00E30E3C">
        <w:rPr>
          <w:lang w:val="en-CA"/>
        </w:rPr>
        <w:t>for</w:t>
      </w:r>
      <w:r w:rsidR="00C76ED8">
        <w:rPr>
          <w:lang w:val="en-CA"/>
        </w:rPr>
        <w:t xml:space="preserve"> costs, it is clear from the judgment under appeal that she considered all of the factors listed above and that she properly exercised her discretion.</w:t>
      </w:r>
    </w:p>
    <w:p w14:paraId="373C140B" w14:textId="06D13D50" w:rsidR="0045069B" w:rsidRPr="00C76ED8" w:rsidRDefault="00C76ED8" w:rsidP="00952322">
      <w:pPr>
        <w:pStyle w:val="Paragraphe"/>
        <w:spacing w:before="180" w:after="180" w:line="240" w:lineRule="auto"/>
        <w:rPr>
          <w:lang w:val="en-CA"/>
        </w:rPr>
      </w:pPr>
      <w:r w:rsidRPr="00C76ED8">
        <w:rPr>
          <w:lang w:val="en-CA"/>
        </w:rPr>
        <w:t>Here, the income disparity between the parties ― $33</w:t>
      </w:r>
      <w:r w:rsidR="00F93382">
        <w:rPr>
          <w:lang w:val="en-CA"/>
        </w:rPr>
        <w:t>,</w:t>
      </w:r>
      <w:r w:rsidRPr="00C76ED8">
        <w:rPr>
          <w:lang w:val="en-CA"/>
        </w:rPr>
        <w:t xml:space="preserve">783.78 for the appellant and </w:t>
      </w:r>
      <w:r>
        <w:rPr>
          <w:lang w:val="en-CA"/>
        </w:rPr>
        <w:t>$</w:t>
      </w:r>
      <w:r w:rsidRPr="00C76ED8">
        <w:rPr>
          <w:lang w:val="en-CA"/>
        </w:rPr>
        <w:t>234</w:t>
      </w:r>
      <w:r>
        <w:rPr>
          <w:lang w:val="en-CA"/>
        </w:rPr>
        <w:t>,</w:t>
      </w:r>
      <w:r w:rsidRPr="00C76ED8">
        <w:rPr>
          <w:lang w:val="en-CA"/>
        </w:rPr>
        <w:t>777</w:t>
      </w:r>
      <w:r>
        <w:rPr>
          <w:lang w:val="en-CA"/>
        </w:rPr>
        <w:t xml:space="preserve"> for the respondent</w:t>
      </w:r>
      <w:r w:rsidR="00755291">
        <w:rPr>
          <w:rStyle w:val="Appelnotedebasdep"/>
        </w:rPr>
        <w:footnoteReference w:id="21"/>
      </w:r>
      <w:r>
        <w:rPr>
          <w:lang w:val="en-CA"/>
        </w:rPr>
        <w:t xml:space="preserve"> ― </w:t>
      </w:r>
      <w:r w:rsidR="004A5E9F">
        <w:rPr>
          <w:lang w:val="en-CA"/>
        </w:rPr>
        <w:t>does indeed</w:t>
      </w:r>
      <w:r w:rsidR="008E17D9">
        <w:rPr>
          <w:lang w:val="en-CA"/>
        </w:rPr>
        <w:t xml:space="preserve"> weigh in favour of </w:t>
      </w:r>
      <w:r w:rsidR="003A4B6B">
        <w:rPr>
          <w:lang w:val="en-CA"/>
        </w:rPr>
        <w:t>awarding</w:t>
      </w:r>
      <w:r w:rsidR="008E17D9">
        <w:rPr>
          <w:lang w:val="en-CA"/>
        </w:rPr>
        <w:t xml:space="preserve"> the provision.</w:t>
      </w:r>
      <w:r w:rsidR="00755291">
        <w:rPr>
          <w:rStyle w:val="Appelnotedebasdep"/>
        </w:rPr>
        <w:footnoteReference w:id="22"/>
      </w:r>
      <w:r w:rsidR="004A5E9F">
        <w:rPr>
          <w:lang w:val="en-CA"/>
        </w:rPr>
        <w:t xml:space="preserve"> The appellant insists on this criterion</w:t>
      </w:r>
      <w:r w:rsidR="00F6029C">
        <w:rPr>
          <w:lang w:val="en-CA"/>
        </w:rPr>
        <w:t>,</w:t>
      </w:r>
      <w:r w:rsidR="004A5E9F">
        <w:rPr>
          <w:lang w:val="en-CA"/>
        </w:rPr>
        <w:t xml:space="preserve"> </w:t>
      </w:r>
      <w:r w:rsidR="009353E9">
        <w:rPr>
          <w:lang w:val="en-CA"/>
        </w:rPr>
        <w:t xml:space="preserve">while </w:t>
      </w:r>
      <w:r w:rsidR="00F6029C">
        <w:rPr>
          <w:lang w:val="en-CA"/>
        </w:rPr>
        <w:t xml:space="preserve">also emphasizing </w:t>
      </w:r>
      <w:r w:rsidR="009353E9">
        <w:rPr>
          <w:lang w:val="en-CA"/>
        </w:rPr>
        <w:t xml:space="preserve">that she does not have the </w:t>
      </w:r>
      <w:r w:rsidR="009353E9">
        <w:rPr>
          <w:lang w:val="en-CA"/>
        </w:rPr>
        <w:lastRenderedPageBreak/>
        <w:t xml:space="preserve">means to assert her </w:t>
      </w:r>
      <w:r w:rsidR="000E4174">
        <w:rPr>
          <w:lang w:val="en-CA"/>
        </w:rPr>
        <w:t xml:space="preserve">right to spousal support and that she has had to </w:t>
      </w:r>
      <w:r w:rsidR="00F6029C">
        <w:rPr>
          <w:lang w:val="en-CA"/>
        </w:rPr>
        <w:t>cash in some</w:t>
      </w:r>
      <w:r w:rsidR="00755291">
        <w:rPr>
          <w:lang w:val="en-CA"/>
        </w:rPr>
        <w:t xml:space="preserve"> RRSPs.</w:t>
      </w:r>
    </w:p>
    <w:p w14:paraId="16D9B59A" w14:textId="7F092065" w:rsidR="0045069B" w:rsidRPr="00755291" w:rsidRDefault="00755291" w:rsidP="005D05E9">
      <w:pPr>
        <w:pStyle w:val="Paragraphe"/>
        <w:keepLines/>
        <w:spacing w:before="180" w:after="180" w:line="240" w:lineRule="auto"/>
        <w:rPr>
          <w:lang w:val="en-CA"/>
        </w:rPr>
      </w:pPr>
      <w:r w:rsidRPr="00755291">
        <w:rPr>
          <w:lang w:val="en-CA"/>
        </w:rPr>
        <w:t>However, the evidence accepted by the judge show</w:t>
      </w:r>
      <w:r>
        <w:rPr>
          <w:lang w:val="en-CA"/>
        </w:rPr>
        <w:t>ed</w:t>
      </w:r>
      <w:r w:rsidRPr="00755291">
        <w:rPr>
          <w:lang w:val="en-CA"/>
        </w:rPr>
        <w:t xml:space="preserve"> that t</w:t>
      </w:r>
      <w:r>
        <w:rPr>
          <w:lang w:val="en-CA"/>
        </w:rPr>
        <w:t>he respondent has little liquidity despite his high income</w:t>
      </w:r>
      <w:r w:rsidR="00AD78C4">
        <w:rPr>
          <w:lang w:val="en-CA"/>
        </w:rPr>
        <w:t xml:space="preserve"> and that the parties’ net assets after </w:t>
      </w:r>
      <w:r w:rsidR="000F267E">
        <w:rPr>
          <w:lang w:val="en-CA"/>
        </w:rPr>
        <w:t xml:space="preserve">the partition of the family patrimony and the </w:t>
      </w:r>
      <w:r w:rsidR="001C4926">
        <w:rPr>
          <w:lang w:val="en-CA"/>
        </w:rPr>
        <w:t>partnership of acquests</w:t>
      </w:r>
      <w:r w:rsidR="00F34D5A">
        <w:rPr>
          <w:lang w:val="en-CA"/>
        </w:rPr>
        <w:t xml:space="preserve"> were similar.</w:t>
      </w:r>
      <w:r w:rsidR="00F34D5A">
        <w:rPr>
          <w:rStyle w:val="Appelnotedebasdep"/>
        </w:rPr>
        <w:footnoteReference w:id="23"/>
      </w:r>
      <w:r w:rsidR="00F34D5A">
        <w:rPr>
          <w:lang w:val="en-CA"/>
        </w:rPr>
        <w:t xml:space="preserve"> Turning to the appellant’s needs and means, the trial judge noted that, despite significant withdrawals from her RRSPs, </w:t>
      </w:r>
      <w:r w:rsidR="007640D9">
        <w:rPr>
          <w:lang w:val="en-CA"/>
        </w:rPr>
        <w:t xml:space="preserve">the appellant was unable to explain them and provided very little evidence to support her financial needs, which she </w:t>
      </w:r>
      <w:r w:rsidR="0016197C">
        <w:rPr>
          <w:lang w:val="en-CA"/>
        </w:rPr>
        <w:t>evaluated at</w:t>
      </w:r>
      <w:r w:rsidR="007640D9">
        <w:rPr>
          <w:lang w:val="en-CA"/>
        </w:rPr>
        <w:t xml:space="preserve"> a net amount of $</w:t>
      </w:r>
      <w:r w:rsidR="007640D9" w:rsidRPr="007640D9">
        <w:rPr>
          <w:lang w:val="en-CA"/>
        </w:rPr>
        <w:t>80</w:t>
      </w:r>
      <w:r w:rsidR="007640D9">
        <w:rPr>
          <w:lang w:val="en-CA"/>
        </w:rPr>
        <w:t>,</w:t>
      </w:r>
      <w:r w:rsidR="007640D9" w:rsidRPr="007640D9">
        <w:rPr>
          <w:lang w:val="en-CA"/>
        </w:rPr>
        <w:t>499</w:t>
      </w:r>
      <w:r w:rsidR="007640D9">
        <w:rPr>
          <w:lang w:val="en-CA"/>
        </w:rPr>
        <w:t>.</w:t>
      </w:r>
      <w:r w:rsidR="007640D9" w:rsidRPr="007640D9">
        <w:rPr>
          <w:lang w:val="en-CA"/>
        </w:rPr>
        <w:t>48</w:t>
      </w:r>
      <w:r w:rsidR="007640D9">
        <w:rPr>
          <w:lang w:val="en-CA"/>
        </w:rPr>
        <w:t>, even though she has been living alone since 2017 and does not pay any expenses for her children.</w:t>
      </w:r>
      <w:r w:rsidR="007640D9">
        <w:rPr>
          <w:rStyle w:val="Appelnotedebasdep"/>
        </w:rPr>
        <w:footnoteReference w:id="24"/>
      </w:r>
    </w:p>
    <w:p w14:paraId="391892FD" w14:textId="388B5B4A" w:rsidR="0045069B" w:rsidRPr="00746EDB" w:rsidRDefault="007640D9" w:rsidP="00952322">
      <w:pPr>
        <w:pStyle w:val="Paragraphe"/>
        <w:spacing w:before="180" w:after="180" w:line="240" w:lineRule="auto"/>
        <w:rPr>
          <w:lang w:val="en-CA"/>
        </w:rPr>
      </w:pPr>
      <w:r w:rsidRPr="00746EDB">
        <w:rPr>
          <w:lang w:val="en-CA"/>
        </w:rPr>
        <w:t xml:space="preserve">After </w:t>
      </w:r>
      <w:r w:rsidR="00746EDB" w:rsidRPr="00746EDB">
        <w:rPr>
          <w:lang w:val="en-CA"/>
        </w:rPr>
        <w:t>assessing</w:t>
      </w:r>
      <w:r w:rsidRPr="00746EDB">
        <w:rPr>
          <w:lang w:val="en-CA"/>
        </w:rPr>
        <w:t xml:space="preserve"> the actual cost of</w:t>
      </w:r>
      <w:r w:rsidR="00746EDB" w:rsidRPr="00746EDB">
        <w:rPr>
          <w:lang w:val="en-CA"/>
        </w:rPr>
        <w:t xml:space="preserve"> many of</w:t>
      </w:r>
      <w:r w:rsidRPr="00746EDB">
        <w:rPr>
          <w:lang w:val="en-CA"/>
        </w:rPr>
        <w:t xml:space="preserve"> </w:t>
      </w:r>
      <w:r w:rsidR="00746EDB" w:rsidRPr="00746EDB">
        <w:rPr>
          <w:lang w:val="en-CA"/>
        </w:rPr>
        <w:t>the e</w:t>
      </w:r>
      <w:r w:rsidR="00746EDB">
        <w:rPr>
          <w:lang w:val="en-CA"/>
        </w:rPr>
        <w:t xml:space="preserve">xpenses claimed by the appellant, the judge found that the appellant’s financial </w:t>
      </w:r>
      <w:r w:rsidR="005F677E">
        <w:rPr>
          <w:lang w:val="en-CA"/>
        </w:rPr>
        <w:t>needs were</w:t>
      </w:r>
      <w:r w:rsidR="00F926B5">
        <w:rPr>
          <w:lang w:val="en-CA"/>
        </w:rPr>
        <w:t xml:space="preserve"> less tha</w:t>
      </w:r>
      <w:r w:rsidR="002677AF">
        <w:rPr>
          <w:lang w:val="en-CA"/>
        </w:rPr>
        <w:t>n</w:t>
      </w:r>
      <w:r w:rsidR="00F926B5">
        <w:rPr>
          <w:lang w:val="en-CA"/>
        </w:rPr>
        <w:t xml:space="preserve"> what she had alleged and reduced the amount to $</w:t>
      </w:r>
      <w:r w:rsidR="00F926B5" w:rsidRPr="00F926B5">
        <w:rPr>
          <w:lang w:val="en-CA"/>
        </w:rPr>
        <w:t>52</w:t>
      </w:r>
      <w:r w:rsidR="00F926B5">
        <w:rPr>
          <w:lang w:val="en-CA"/>
        </w:rPr>
        <w:t>,</w:t>
      </w:r>
      <w:r w:rsidR="00F926B5" w:rsidRPr="00F926B5">
        <w:rPr>
          <w:lang w:val="en-CA"/>
        </w:rPr>
        <w:t>116</w:t>
      </w:r>
      <w:r w:rsidR="00F926B5">
        <w:rPr>
          <w:lang w:val="en-CA"/>
        </w:rPr>
        <w:t>.</w:t>
      </w:r>
      <w:r w:rsidR="00F926B5">
        <w:rPr>
          <w:rStyle w:val="Appelnotedebasdep"/>
        </w:rPr>
        <w:footnoteReference w:id="25"/>
      </w:r>
      <w:r w:rsidR="00F926B5">
        <w:rPr>
          <w:lang w:val="en-CA"/>
        </w:rPr>
        <w:t xml:space="preserve"> The appellant </w:t>
      </w:r>
      <w:r w:rsidR="00716007">
        <w:rPr>
          <w:lang w:val="en-CA"/>
        </w:rPr>
        <w:t xml:space="preserve">has </w:t>
      </w:r>
      <w:r w:rsidR="00F926B5">
        <w:rPr>
          <w:lang w:val="en-CA"/>
        </w:rPr>
        <w:t xml:space="preserve">not </w:t>
      </w:r>
      <w:r w:rsidR="00272987">
        <w:rPr>
          <w:lang w:val="en-CA"/>
        </w:rPr>
        <w:t>show</w:t>
      </w:r>
      <w:r w:rsidR="00716007">
        <w:rPr>
          <w:lang w:val="en-CA"/>
        </w:rPr>
        <w:t>n</w:t>
      </w:r>
      <w:r w:rsidR="00272987">
        <w:rPr>
          <w:lang w:val="en-CA"/>
        </w:rPr>
        <w:t xml:space="preserve"> any error in the judge’s assessment. While </w:t>
      </w:r>
      <w:r w:rsidR="00F87042">
        <w:rPr>
          <w:lang w:val="en-CA"/>
        </w:rPr>
        <w:t>she</w:t>
      </w:r>
      <w:r w:rsidR="00272987">
        <w:rPr>
          <w:lang w:val="en-CA"/>
        </w:rPr>
        <w:t xml:space="preserve"> </w:t>
      </w:r>
      <w:r w:rsidR="00B93D52">
        <w:rPr>
          <w:lang w:val="en-CA"/>
        </w:rPr>
        <w:t xml:space="preserve">should not have to </w:t>
      </w:r>
      <w:r w:rsidR="00272987">
        <w:rPr>
          <w:lang w:val="en-CA"/>
        </w:rPr>
        <w:t xml:space="preserve">liquidate her assets or go into debt to assert her rights, </w:t>
      </w:r>
      <w:r w:rsidR="00F87042">
        <w:rPr>
          <w:lang w:val="en-CA"/>
        </w:rPr>
        <w:t>the appellant</w:t>
      </w:r>
      <w:r w:rsidR="00272987">
        <w:rPr>
          <w:lang w:val="en-CA"/>
        </w:rPr>
        <w:t xml:space="preserve"> </w:t>
      </w:r>
      <w:r w:rsidR="00AD1545">
        <w:rPr>
          <w:lang w:val="en-CA"/>
        </w:rPr>
        <w:t>must</w:t>
      </w:r>
      <w:r w:rsidR="00272987">
        <w:rPr>
          <w:lang w:val="en-CA"/>
        </w:rPr>
        <w:t xml:space="preserve"> </w:t>
      </w:r>
      <w:r w:rsidR="002677AF">
        <w:rPr>
          <w:lang w:val="en-CA"/>
        </w:rPr>
        <w:t xml:space="preserve">also </w:t>
      </w:r>
      <w:r w:rsidR="00272987">
        <w:rPr>
          <w:lang w:val="en-CA"/>
        </w:rPr>
        <w:t>manage her income adequately to ensure her fair share of costs. It appears from the parties’ testimonies that this is not the case.</w:t>
      </w:r>
    </w:p>
    <w:p w14:paraId="7ECBB6AB" w14:textId="0F706C49" w:rsidR="0045069B" w:rsidRPr="00272987" w:rsidRDefault="00272987" w:rsidP="00952322">
      <w:pPr>
        <w:pStyle w:val="Paragraphe"/>
        <w:spacing w:before="180" w:after="180" w:line="240" w:lineRule="auto"/>
        <w:rPr>
          <w:lang w:val="en-CA"/>
        </w:rPr>
      </w:pPr>
      <w:r w:rsidRPr="00272987">
        <w:rPr>
          <w:lang w:val="en-CA"/>
        </w:rPr>
        <w:t xml:space="preserve">Moreover, the judge found that the appellant engaged in </w:t>
      </w:r>
      <w:r>
        <w:rPr>
          <w:lang w:val="en-CA"/>
        </w:rPr>
        <w:t>conduct resulting in unnecessary costs,</w:t>
      </w:r>
      <w:r>
        <w:rPr>
          <w:rStyle w:val="Appelnotedebasdep"/>
        </w:rPr>
        <w:footnoteReference w:id="26"/>
      </w:r>
      <w:r>
        <w:rPr>
          <w:lang w:val="en-CA"/>
        </w:rPr>
        <w:t xml:space="preserve"> for example by unjustifiably insisting throughout the proceedings that all communications </w:t>
      </w:r>
      <w:r w:rsidR="00B248D8">
        <w:rPr>
          <w:lang w:val="en-CA"/>
        </w:rPr>
        <w:t>take place</w:t>
      </w:r>
      <w:r>
        <w:rPr>
          <w:lang w:val="en-CA"/>
        </w:rPr>
        <w:t xml:space="preserve"> through the parties’ lawyers, including the simple forwarding of medical receipts, despite the </w:t>
      </w:r>
      <w:r w:rsidR="00A45A2A">
        <w:rPr>
          <w:lang w:val="en-CA"/>
        </w:rPr>
        <w:t xml:space="preserve">attempts </w:t>
      </w:r>
      <w:r w:rsidR="0089620A">
        <w:rPr>
          <w:lang w:val="en-CA"/>
        </w:rPr>
        <w:t>by</w:t>
      </w:r>
      <w:r w:rsidR="00A45A2A">
        <w:rPr>
          <w:lang w:val="en-CA"/>
        </w:rPr>
        <w:t xml:space="preserve"> the respondent and his lawyer to dissuade her. </w:t>
      </w:r>
    </w:p>
    <w:p w14:paraId="682BB841" w14:textId="51C066D0" w:rsidR="00B02DA6" w:rsidRPr="00AF268A" w:rsidRDefault="00A45A2A" w:rsidP="00952322">
      <w:pPr>
        <w:pStyle w:val="Paragraphe"/>
        <w:spacing w:before="180" w:after="180" w:line="240" w:lineRule="auto"/>
        <w:rPr>
          <w:lang w:val="en-CA"/>
        </w:rPr>
      </w:pPr>
      <w:r w:rsidRPr="00AF268A">
        <w:rPr>
          <w:lang w:val="en-CA"/>
        </w:rPr>
        <w:t>Such conduct</w:t>
      </w:r>
      <w:r w:rsidR="00E947D0" w:rsidRPr="00AF268A">
        <w:rPr>
          <w:lang w:val="en-CA"/>
        </w:rPr>
        <w:t xml:space="preserve">, which </w:t>
      </w:r>
      <w:r w:rsidRPr="00AF268A">
        <w:rPr>
          <w:lang w:val="en-CA"/>
        </w:rPr>
        <w:t>multiplies costs</w:t>
      </w:r>
      <w:r w:rsidR="00E947D0" w:rsidRPr="00AF268A">
        <w:rPr>
          <w:lang w:val="en-CA"/>
        </w:rPr>
        <w:t xml:space="preserve"> unnecessarily, has been </w:t>
      </w:r>
      <w:r w:rsidR="00AF268A" w:rsidRPr="00AF268A">
        <w:rPr>
          <w:lang w:val="en-CA"/>
        </w:rPr>
        <w:t xml:space="preserve">recognized </w:t>
      </w:r>
      <w:r w:rsidR="003A4B6B">
        <w:rPr>
          <w:lang w:val="en-CA"/>
        </w:rPr>
        <w:t>in the</w:t>
      </w:r>
      <w:r w:rsidR="00AF268A">
        <w:rPr>
          <w:lang w:val="en-CA"/>
        </w:rPr>
        <w:t xml:space="preserve"> case law as a reason to refuse </w:t>
      </w:r>
      <w:r w:rsidR="00871ABB">
        <w:rPr>
          <w:lang w:val="en-CA"/>
        </w:rPr>
        <w:t xml:space="preserve">to </w:t>
      </w:r>
      <w:r w:rsidR="003A4B6B">
        <w:rPr>
          <w:lang w:val="en-CA"/>
        </w:rPr>
        <w:t>award</w:t>
      </w:r>
      <w:r w:rsidR="00871ABB">
        <w:rPr>
          <w:lang w:val="en-CA"/>
        </w:rPr>
        <w:t xml:space="preserve"> a </w:t>
      </w:r>
      <w:r w:rsidR="00AF268A">
        <w:rPr>
          <w:lang w:val="en-CA"/>
        </w:rPr>
        <w:t xml:space="preserve">provision </w:t>
      </w:r>
      <w:r w:rsidR="00E532A9">
        <w:rPr>
          <w:lang w:val="en-CA"/>
        </w:rPr>
        <w:t>for</w:t>
      </w:r>
      <w:r w:rsidR="00AF268A">
        <w:rPr>
          <w:lang w:val="en-CA"/>
        </w:rPr>
        <w:t xml:space="preserve"> costs.</w:t>
      </w:r>
      <w:r w:rsidR="00AF268A">
        <w:rPr>
          <w:rStyle w:val="Appelnotedebasdep"/>
        </w:rPr>
        <w:footnoteReference w:id="27"/>
      </w:r>
    </w:p>
    <w:p w14:paraId="70487272" w14:textId="77777777" w:rsidR="00B02DA6" w:rsidRPr="00952322" w:rsidRDefault="009E7D68" w:rsidP="00952322">
      <w:pPr>
        <w:pStyle w:val="Paragraphe"/>
        <w:numPr>
          <w:ilvl w:val="0"/>
          <w:numId w:val="0"/>
        </w:numPr>
        <w:tabs>
          <w:tab w:val="left" w:pos="708"/>
        </w:tabs>
        <w:spacing w:before="180" w:after="180" w:line="240" w:lineRule="auto"/>
        <w:jc w:val="center"/>
      </w:pPr>
      <w:r w:rsidRPr="00952322">
        <w:rPr>
          <w:lang w:val="fr-FR"/>
        </w:rPr>
        <w:t>* * *</w:t>
      </w:r>
    </w:p>
    <w:p w14:paraId="265B81A4" w14:textId="3A279738" w:rsidR="006D2BFB" w:rsidRPr="00D72280" w:rsidRDefault="00A71C27" w:rsidP="00952322">
      <w:pPr>
        <w:pStyle w:val="Paragraphe"/>
        <w:spacing w:before="180" w:after="180" w:line="240" w:lineRule="auto"/>
        <w:rPr>
          <w:lang w:val="en-CA"/>
        </w:rPr>
      </w:pPr>
      <w:r w:rsidRPr="00D72280">
        <w:rPr>
          <w:b/>
          <w:lang w:val="en-CA"/>
        </w:rPr>
        <w:lastRenderedPageBreak/>
        <w:t>FOR THESE REASONS, THE COU</w:t>
      </w:r>
      <w:r w:rsidR="00D72280" w:rsidRPr="00D72280">
        <w:rPr>
          <w:b/>
          <w:lang w:val="en-CA"/>
        </w:rPr>
        <w:t>RT</w:t>
      </w:r>
      <w:r w:rsidR="009E7D68" w:rsidRPr="00D72280">
        <w:rPr>
          <w:b/>
          <w:lang w:val="en-CA"/>
        </w:rPr>
        <w:t>:</w:t>
      </w:r>
      <w:r w:rsidR="009E7D68" w:rsidRPr="00D72280">
        <w:rPr>
          <w:lang w:val="en-CA"/>
        </w:rPr>
        <w:t xml:space="preserve"> </w:t>
      </w:r>
    </w:p>
    <w:p w14:paraId="1F893EBB" w14:textId="5FE137AE" w:rsidR="0039754A" w:rsidRPr="00D72280" w:rsidRDefault="00D72280" w:rsidP="00952322">
      <w:pPr>
        <w:pStyle w:val="Paragraphe"/>
        <w:spacing w:before="180" w:after="180" w:line="240" w:lineRule="auto"/>
        <w:rPr>
          <w:lang w:val="en-CA"/>
        </w:rPr>
      </w:pPr>
      <w:r w:rsidRPr="00D72280">
        <w:rPr>
          <w:b/>
          <w:bCs/>
          <w:lang w:val="en-CA"/>
        </w:rPr>
        <w:t>DISMISSES</w:t>
      </w:r>
      <w:r w:rsidRPr="00D72280">
        <w:rPr>
          <w:lang w:val="en-CA"/>
        </w:rPr>
        <w:t xml:space="preserve"> the appeal</w:t>
      </w:r>
      <w:r w:rsidR="003A4B6B">
        <w:rPr>
          <w:lang w:val="en-CA"/>
        </w:rPr>
        <w:t>,</w:t>
      </w:r>
      <w:r w:rsidRPr="00D72280">
        <w:rPr>
          <w:lang w:val="en-CA"/>
        </w:rPr>
        <w:t xml:space="preserve"> without c</w:t>
      </w:r>
      <w:r>
        <w:rPr>
          <w:lang w:val="en-CA"/>
        </w:rPr>
        <w:t>osts given the nature of the dispute.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685"/>
        <w:gridCol w:w="4680"/>
      </w:tblGrid>
      <w:tr w:rsidR="00233D4B" w:rsidRPr="005076A6" w14:paraId="5E7D72F1" w14:textId="77777777" w:rsidTr="003E3239">
        <w:trPr>
          <w:trHeight w:val="576"/>
        </w:trPr>
        <w:tc>
          <w:tcPr>
            <w:tcW w:w="9362" w:type="dxa"/>
            <w:gridSpan w:val="3"/>
            <w:tcBorders>
              <w:top w:val="nil"/>
              <w:bottom w:val="nil"/>
            </w:tcBorders>
          </w:tcPr>
          <w:p w14:paraId="6F3850B7" w14:textId="77777777" w:rsidR="008F364A" w:rsidRPr="00D72280" w:rsidRDefault="008F364A">
            <w:pPr>
              <w:keepNext/>
              <w:rPr>
                <w:lang w:val="en-CA"/>
              </w:rPr>
            </w:pPr>
          </w:p>
        </w:tc>
      </w:tr>
      <w:tr w:rsidR="00233D4B" w:rsidRPr="005076A6" w14:paraId="71CC128C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  <w:bottom w:val="nil"/>
            </w:tcBorders>
          </w:tcPr>
          <w:p w14:paraId="0DAF6823" w14:textId="77777777" w:rsidR="008F364A" w:rsidRPr="00D72280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auto"/>
            </w:tcBorders>
          </w:tcPr>
          <w:p w14:paraId="1D3ABF5D" w14:textId="77777777" w:rsidR="008F364A" w:rsidRPr="00D72280" w:rsidRDefault="008F364A">
            <w:pPr>
              <w:keepNext/>
              <w:rPr>
                <w:lang w:val="en-CA"/>
              </w:rPr>
            </w:pPr>
          </w:p>
        </w:tc>
      </w:tr>
      <w:tr w:rsidR="00233D4B" w:rsidRPr="005076A6" w14:paraId="5E2FD3E7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</w:tcBorders>
          </w:tcPr>
          <w:p w14:paraId="3CF074CE" w14:textId="77777777" w:rsidR="008F364A" w:rsidRPr="00D72280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auto"/>
            </w:tcBorders>
          </w:tcPr>
          <w:p w14:paraId="6FBDC4B2" w14:textId="5F9600AE" w:rsidR="008F364A" w:rsidRPr="007C7728" w:rsidRDefault="00896162">
            <w:pPr>
              <w:rPr>
                <w:lang w:val="en-CA"/>
              </w:rPr>
            </w:pPr>
            <w:r w:rsidRPr="007C7728">
              <w:rPr>
                <w:lang w:val="en-CA"/>
              </w:rPr>
              <w:t>ALLAN R. HILTON, J.A.</w:t>
            </w:r>
          </w:p>
        </w:tc>
      </w:tr>
      <w:tr w:rsidR="00233D4B" w:rsidRPr="005076A6" w14:paraId="75BEB0C9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</w:tcBorders>
          </w:tcPr>
          <w:p w14:paraId="6BE12CD7" w14:textId="77777777" w:rsidR="008F364A" w:rsidRPr="007C7728" w:rsidRDefault="008F364A">
            <w:pPr>
              <w:keepNext/>
              <w:rPr>
                <w:lang w:val="en-CA"/>
              </w:rPr>
            </w:pPr>
            <w:bookmarkStart w:id="9" w:name="Signature2"/>
          </w:p>
        </w:tc>
        <w:tc>
          <w:tcPr>
            <w:tcW w:w="4680" w:type="dxa"/>
            <w:tcBorders>
              <w:top w:val="nil"/>
            </w:tcBorders>
          </w:tcPr>
          <w:p w14:paraId="388231D6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</w:tr>
      <w:tr w:rsidR="00233D4B" w:rsidRPr="005076A6" w14:paraId="6AEF6929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  <w:bottom w:val="nil"/>
            </w:tcBorders>
          </w:tcPr>
          <w:p w14:paraId="2F910B41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auto"/>
            </w:tcBorders>
          </w:tcPr>
          <w:p w14:paraId="6A697661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</w:tr>
      <w:tr w:rsidR="00233D4B" w:rsidRPr="00AA6CA3" w14:paraId="4FAB9D6A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</w:tcBorders>
          </w:tcPr>
          <w:p w14:paraId="7DA248BF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auto"/>
            </w:tcBorders>
          </w:tcPr>
          <w:p w14:paraId="55CDB528" w14:textId="0F374312" w:rsidR="008F364A" w:rsidRPr="007C7728" w:rsidRDefault="00896162">
            <w:pPr>
              <w:keepNext/>
              <w:rPr>
                <w:lang w:val="en-CA"/>
              </w:rPr>
            </w:pPr>
            <w:r w:rsidRPr="007C7728">
              <w:rPr>
                <w:lang w:val="en-CA"/>
              </w:rPr>
              <w:t>MARK SCHRAGER, J.A.</w:t>
            </w:r>
          </w:p>
        </w:tc>
      </w:tr>
      <w:tr w:rsidR="00233D4B" w:rsidRPr="00AA6CA3" w14:paraId="03BF5D69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</w:tcBorders>
          </w:tcPr>
          <w:p w14:paraId="05C2DC34" w14:textId="77777777" w:rsidR="008F364A" w:rsidRPr="007C7728" w:rsidRDefault="008F364A">
            <w:pPr>
              <w:keepNext/>
              <w:rPr>
                <w:lang w:val="en-CA"/>
              </w:rPr>
            </w:pPr>
            <w:bookmarkStart w:id="10" w:name="Signature3"/>
            <w:bookmarkEnd w:id="9"/>
          </w:p>
        </w:tc>
        <w:tc>
          <w:tcPr>
            <w:tcW w:w="4680" w:type="dxa"/>
            <w:tcBorders>
              <w:top w:val="nil"/>
            </w:tcBorders>
          </w:tcPr>
          <w:p w14:paraId="1F867190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</w:tr>
      <w:tr w:rsidR="00233D4B" w:rsidRPr="00AA6CA3" w14:paraId="38EDBADD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  <w:bottom w:val="nil"/>
            </w:tcBorders>
          </w:tcPr>
          <w:p w14:paraId="5F6F2C2E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auto"/>
            </w:tcBorders>
          </w:tcPr>
          <w:p w14:paraId="46FED2E7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</w:tr>
      <w:tr w:rsidR="00233D4B" w:rsidRPr="00AA6CA3" w14:paraId="4DAAC1BC" w14:textId="77777777" w:rsidTr="00117914">
        <w:trPr>
          <w:trHeight w:val="283"/>
        </w:trPr>
        <w:tc>
          <w:tcPr>
            <w:tcW w:w="4682" w:type="dxa"/>
            <w:gridSpan w:val="2"/>
            <w:tcBorders>
              <w:top w:val="nil"/>
            </w:tcBorders>
          </w:tcPr>
          <w:p w14:paraId="13268D0D" w14:textId="77777777" w:rsidR="008F364A" w:rsidRPr="007C7728" w:rsidRDefault="008F364A">
            <w:pPr>
              <w:keepNext/>
              <w:rPr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auto"/>
            </w:tcBorders>
          </w:tcPr>
          <w:p w14:paraId="48FDDA41" w14:textId="77C0504C" w:rsidR="008F364A" w:rsidRPr="007C7728" w:rsidRDefault="00896162">
            <w:pPr>
              <w:keepNext/>
              <w:rPr>
                <w:lang w:val="en-CA"/>
              </w:rPr>
            </w:pPr>
            <w:r w:rsidRPr="007C7728">
              <w:rPr>
                <w:lang w:val="en-CA"/>
              </w:rPr>
              <w:t>PATRICK HEALY, J.A.</w:t>
            </w:r>
          </w:p>
        </w:tc>
      </w:tr>
      <w:bookmarkEnd w:id="10"/>
      <w:tr w:rsidR="00233D4B" w:rsidRPr="00AA6CA3" w14:paraId="1ADEC237" w14:textId="77777777" w:rsidTr="00155239">
        <w:tc>
          <w:tcPr>
            <w:tcW w:w="9362" w:type="dxa"/>
            <w:gridSpan w:val="3"/>
            <w:tcBorders>
              <w:bottom w:val="nil"/>
            </w:tcBorders>
          </w:tcPr>
          <w:p w14:paraId="2AD72622" w14:textId="77777777" w:rsidR="005A78BF" w:rsidRPr="007C7728" w:rsidRDefault="005A78BF" w:rsidP="005A78BF">
            <w:pPr>
              <w:rPr>
                <w:lang w:val="en-CA"/>
              </w:rPr>
            </w:pPr>
          </w:p>
        </w:tc>
      </w:tr>
      <w:tr w:rsidR="00233D4B" w:rsidRPr="00F87042" w14:paraId="5D99CB65" w14:textId="77777777" w:rsidTr="00155239">
        <w:tc>
          <w:tcPr>
            <w:tcW w:w="9362" w:type="dxa"/>
            <w:gridSpan w:val="3"/>
            <w:tcBorders>
              <w:top w:val="nil"/>
            </w:tcBorders>
          </w:tcPr>
          <w:p w14:paraId="6ECD85FA" w14:textId="0D44C2BF" w:rsidR="005A78BF" w:rsidRPr="00F87042" w:rsidRDefault="009E7D68" w:rsidP="006D2BFB">
            <w:pPr>
              <w:pStyle w:val="zSoquijdatNomProcureurDem"/>
              <w:rPr>
                <w:lang w:val="en-CA"/>
              </w:rPr>
            </w:pPr>
            <w:r w:rsidRPr="00F87042">
              <w:rPr>
                <w:lang w:val="en-CA"/>
              </w:rPr>
              <w:t>M</w:t>
            </w:r>
            <w:r w:rsidR="0009203D" w:rsidRPr="00F87042">
              <w:rPr>
                <w:lang w:val="en-CA"/>
              </w:rPr>
              <w:t>tr</w:t>
            </w:r>
            <w:r w:rsidRPr="00F87042">
              <w:rPr>
                <w:lang w:val="en-CA"/>
              </w:rPr>
              <w:t xml:space="preserve">e </w:t>
            </w:r>
            <w:r w:rsidR="006D2BFB" w:rsidRPr="00F87042">
              <w:rPr>
                <w:lang w:val="en-CA"/>
              </w:rPr>
              <w:t>Josée Dionne</w:t>
            </w:r>
          </w:p>
        </w:tc>
      </w:tr>
      <w:tr w:rsidR="00233D4B" w:rsidRPr="00F87042" w14:paraId="1919A4AB" w14:textId="77777777" w:rsidTr="00155239">
        <w:tc>
          <w:tcPr>
            <w:tcW w:w="9362" w:type="dxa"/>
            <w:gridSpan w:val="3"/>
            <w:tcBorders>
              <w:top w:val="nil"/>
            </w:tcBorders>
          </w:tcPr>
          <w:p w14:paraId="701CBA07" w14:textId="77777777" w:rsidR="005A78BF" w:rsidRPr="00F87042" w:rsidRDefault="009E7D68" w:rsidP="005A78BF">
            <w:pPr>
              <w:pStyle w:val="zSoquijdatCabinetProcureurDem"/>
              <w:rPr>
                <w:lang w:val="en-CA"/>
              </w:rPr>
            </w:pPr>
            <w:r w:rsidRPr="00F87042">
              <w:rPr>
                <w:lang w:val="en-CA"/>
              </w:rPr>
              <w:t>DUNTON RAINVILLE</w:t>
            </w:r>
          </w:p>
        </w:tc>
      </w:tr>
      <w:tr w:rsidR="00233D4B" w:rsidRPr="00F87042" w14:paraId="2866A0F2" w14:textId="77777777" w:rsidTr="00423DF1">
        <w:tc>
          <w:tcPr>
            <w:tcW w:w="9362" w:type="dxa"/>
            <w:gridSpan w:val="3"/>
          </w:tcPr>
          <w:p w14:paraId="07CEECFF" w14:textId="32B48F26" w:rsidR="005A78BF" w:rsidRPr="00F87042" w:rsidRDefault="000E14B5" w:rsidP="005A78BF">
            <w:pPr>
              <w:pStyle w:val="zSoquijlblProcureurDem"/>
              <w:rPr>
                <w:lang w:val="en-CA"/>
              </w:rPr>
            </w:pPr>
            <w:r w:rsidRPr="00F87042">
              <w:rPr>
                <w:lang w:val="en-CA"/>
              </w:rPr>
              <w:t>For the appellant</w:t>
            </w:r>
          </w:p>
        </w:tc>
      </w:tr>
      <w:tr w:rsidR="00233D4B" w:rsidRPr="00F87042" w14:paraId="1EB8D831" w14:textId="77777777" w:rsidTr="00423DF1">
        <w:tc>
          <w:tcPr>
            <w:tcW w:w="9362" w:type="dxa"/>
            <w:gridSpan w:val="3"/>
          </w:tcPr>
          <w:p w14:paraId="04392122" w14:textId="77777777" w:rsidR="005A78BF" w:rsidRPr="00F87042" w:rsidRDefault="005A78BF" w:rsidP="005A78BF">
            <w:pPr>
              <w:rPr>
                <w:lang w:val="en-CA"/>
              </w:rPr>
            </w:pPr>
          </w:p>
        </w:tc>
      </w:tr>
      <w:tr w:rsidR="00233D4B" w:rsidRPr="00F87042" w14:paraId="29BD8AEA" w14:textId="77777777" w:rsidTr="00423DF1">
        <w:tc>
          <w:tcPr>
            <w:tcW w:w="9362" w:type="dxa"/>
            <w:gridSpan w:val="3"/>
          </w:tcPr>
          <w:p w14:paraId="344A842D" w14:textId="09115AC3" w:rsidR="005A78BF" w:rsidRPr="00F87042" w:rsidRDefault="009E7D68" w:rsidP="005A78BF">
            <w:pPr>
              <w:pStyle w:val="zSoquijdatNomProcureurDef"/>
              <w:rPr>
                <w:lang w:val="en-CA"/>
              </w:rPr>
            </w:pPr>
            <w:r w:rsidRPr="00F87042">
              <w:rPr>
                <w:lang w:val="en-CA"/>
              </w:rPr>
              <w:t>M</w:t>
            </w:r>
            <w:r w:rsidR="0009203D" w:rsidRPr="00F87042">
              <w:rPr>
                <w:lang w:val="en-CA"/>
              </w:rPr>
              <w:t>tr</w:t>
            </w:r>
            <w:r w:rsidRPr="00F87042">
              <w:rPr>
                <w:lang w:val="en-CA"/>
              </w:rPr>
              <w:t xml:space="preserve">e </w:t>
            </w:r>
            <w:proofErr w:type="spellStart"/>
            <w:r w:rsidRPr="00F87042">
              <w:rPr>
                <w:lang w:val="en-CA"/>
              </w:rPr>
              <w:t>Mireille</w:t>
            </w:r>
            <w:proofErr w:type="spellEnd"/>
            <w:r w:rsidRPr="00F87042">
              <w:rPr>
                <w:lang w:val="en-CA"/>
              </w:rPr>
              <w:t xml:space="preserve"> </w:t>
            </w:r>
            <w:proofErr w:type="spellStart"/>
            <w:r w:rsidRPr="00F87042">
              <w:rPr>
                <w:lang w:val="en-CA"/>
              </w:rPr>
              <w:t>Vanasse</w:t>
            </w:r>
            <w:proofErr w:type="spellEnd"/>
          </w:p>
        </w:tc>
      </w:tr>
      <w:tr w:rsidR="00233D4B" w:rsidRPr="00F87042" w14:paraId="414A066C" w14:textId="77777777" w:rsidTr="00423DF1">
        <w:tc>
          <w:tcPr>
            <w:tcW w:w="9362" w:type="dxa"/>
            <w:gridSpan w:val="3"/>
          </w:tcPr>
          <w:p w14:paraId="6787014E" w14:textId="77777777" w:rsidR="005A78BF" w:rsidRPr="00F87042" w:rsidRDefault="009E7D68" w:rsidP="005A78BF">
            <w:pPr>
              <w:pStyle w:val="zSoquijdatCabinetProcureurDef"/>
              <w:rPr>
                <w:lang w:val="en-CA"/>
              </w:rPr>
            </w:pPr>
            <w:r w:rsidRPr="00F87042">
              <w:rPr>
                <w:lang w:val="en-CA"/>
              </w:rPr>
              <w:t>BRUNET &amp; ASSOCIÉS, AVOCATS INC.</w:t>
            </w:r>
          </w:p>
        </w:tc>
      </w:tr>
      <w:tr w:rsidR="00233D4B" w:rsidRPr="00F87042" w14:paraId="24CCC49D" w14:textId="77777777" w:rsidTr="00423DF1">
        <w:tc>
          <w:tcPr>
            <w:tcW w:w="9362" w:type="dxa"/>
            <w:gridSpan w:val="3"/>
          </w:tcPr>
          <w:p w14:paraId="4FE52517" w14:textId="551A83C8" w:rsidR="005A78BF" w:rsidRPr="00F87042" w:rsidRDefault="000E14B5" w:rsidP="005A78BF">
            <w:pPr>
              <w:pStyle w:val="zSoquijlblProcureurDef"/>
              <w:rPr>
                <w:lang w:val="en-CA"/>
              </w:rPr>
            </w:pPr>
            <w:r w:rsidRPr="00F87042">
              <w:rPr>
                <w:lang w:val="en-CA"/>
              </w:rPr>
              <w:t>For the respondent</w:t>
            </w:r>
          </w:p>
        </w:tc>
      </w:tr>
      <w:tr w:rsidR="00233D4B" w:rsidRPr="00F87042" w14:paraId="29CBF64F" w14:textId="77777777" w:rsidTr="00423DF1">
        <w:tc>
          <w:tcPr>
            <w:tcW w:w="9362" w:type="dxa"/>
            <w:gridSpan w:val="3"/>
          </w:tcPr>
          <w:p w14:paraId="5E9F8C08" w14:textId="77777777" w:rsidR="005A78BF" w:rsidRPr="00F87042" w:rsidRDefault="005A78BF" w:rsidP="005A78BF">
            <w:pPr>
              <w:rPr>
                <w:lang w:val="en-CA"/>
              </w:rPr>
            </w:pPr>
          </w:p>
        </w:tc>
      </w:tr>
      <w:tr w:rsidR="00233D4B" w:rsidRPr="00F87042" w14:paraId="135FB409" w14:textId="77777777" w:rsidTr="00423DF1">
        <w:tc>
          <w:tcPr>
            <w:tcW w:w="1997" w:type="dxa"/>
          </w:tcPr>
          <w:p w14:paraId="10B501A7" w14:textId="06AE76F4" w:rsidR="005A78BF" w:rsidRPr="00F87042" w:rsidRDefault="000E14B5" w:rsidP="005A78BF">
            <w:pPr>
              <w:pStyle w:val="zSoquijlblDateAudience"/>
              <w:rPr>
                <w:lang w:val="en-CA"/>
              </w:rPr>
            </w:pPr>
            <w:r w:rsidRPr="00F87042">
              <w:rPr>
                <w:lang w:val="en-CA"/>
              </w:rPr>
              <w:t>Date of hearing</w:t>
            </w:r>
            <w:r w:rsidR="009E7D68" w:rsidRPr="00F87042">
              <w:rPr>
                <w:lang w:val="en-CA"/>
              </w:rPr>
              <w:t>:</w:t>
            </w:r>
          </w:p>
        </w:tc>
        <w:tc>
          <w:tcPr>
            <w:tcW w:w="7365" w:type="dxa"/>
            <w:gridSpan w:val="2"/>
          </w:tcPr>
          <w:p w14:paraId="0B0D2C0D" w14:textId="44DFB3E3" w:rsidR="005A78BF" w:rsidRPr="00F87042" w:rsidRDefault="000E14B5" w:rsidP="005A78BF">
            <w:pPr>
              <w:pStyle w:val="zSoquijdatDateAudience"/>
              <w:rPr>
                <w:lang w:val="en-CA"/>
              </w:rPr>
            </w:pPr>
            <w:r w:rsidRPr="00F87042">
              <w:rPr>
                <w:lang w:val="en-CA"/>
              </w:rPr>
              <w:t xml:space="preserve">April 16, </w:t>
            </w:r>
            <w:r w:rsidR="009E7D68" w:rsidRPr="00F87042">
              <w:rPr>
                <w:lang w:val="en-CA"/>
              </w:rPr>
              <w:t>2021</w:t>
            </w:r>
          </w:p>
        </w:tc>
      </w:tr>
      <w:bookmarkEnd w:id="7"/>
    </w:tbl>
    <w:p w14:paraId="598A716B" w14:textId="77777777" w:rsidR="00740A17" w:rsidRPr="00F87042" w:rsidRDefault="00740A17" w:rsidP="00155239">
      <w:pPr>
        <w:rPr>
          <w:lang w:val="en-CA"/>
        </w:rPr>
      </w:pPr>
    </w:p>
    <w:p w14:paraId="3814326F" w14:textId="77777777" w:rsidR="00E947D0" w:rsidRPr="00F87042" w:rsidRDefault="00E947D0">
      <w:pPr>
        <w:rPr>
          <w:lang w:val="en-CA"/>
        </w:rPr>
      </w:pPr>
    </w:p>
    <w:sectPr w:rsidR="00E947D0" w:rsidRPr="00F87042" w:rsidSect="001552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40" w:right="1008" w:bottom="1440" w:left="1872" w:header="1440" w:footer="7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1B036" w14:textId="77777777" w:rsidR="009A242C" w:rsidRDefault="009A242C">
      <w:pPr>
        <w:spacing w:line="240" w:lineRule="auto"/>
      </w:pPr>
      <w:r>
        <w:separator/>
      </w:r>
    </w:p>
  </w:endnote>
  <w:endnote w:type="continuationSeparator" w:id="0">
    <w:p w14:paraId="386146C5" w14:textId="77777777" w:rsidR="009A242C" w:rsidRDefault="009A2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FC00" w14:textId="77777777" w:rsidR="00F87042" w:rsidRDefault="00F87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C520" w14:textId="77777777" w:rsidR="00F87042" w:rsidRDefault="00F870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D903" w14:textId="77777777" w:rsidR="00F87042" w:rsidRDefault="00F87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6A3C" w14:textId="77777777" w:rsidR="009A242C" w:rsidRDefault="009A242C">
      <w:r>
        <w:separator/>
      </w:r>
    </w:p>
  </w:footnote>
  <w:footnote w:type="continuationSeparator" w:id="0">
    <w:p w14:paraId="23C92D5A" w14:textId="77777777" w:rsidR="009A242C" w:rsidRDefault="009A242C">
      <w:r>
        <w:continuationSeparator/>
      </w:r>
    </w:p>
  </w:footnote>
  <w:footnote w:id="1">
    <w:p w14:paraId="48DE2698" w14:textId="3CD8F88A" w:rsidR="00A300E8" w:rsidRPr="00376552" w:rsidRDefault="00A300E8" w:rsidP="00A300E8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</w:rPr>
        <w:tab/>
      </w:r>
      <w:r w:rsidRPr="00376552">
        <w:rPr>
          <w:i/>
          <w:color w:val="000000" w:themeColor="text1"/>
        </w:rPr>
        <w:t>Droit de la famille — 20642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 xml:space="preserve">2020 QCCS </w:t>
      </w:r>
      <w:r w:rsidRPr="0048446A">
        <w:rPr>
          <w:rStyle w:val="Lienhypertexte"/>
          <w:color w:val="000000" w:themeColor="text1"/>
          <w:u w:val="none"/>
        </w:rPr>
        <w:t>1463</w:t>
      </w:r>
      <w:r w:rsidRPr="0048446A">
        <w:rPr>
          <w:color w:val="000000" w:themeColor="text1"/>
        </w:rPr>
        <w:t xml:space="preserve"> [</w:t>
      </w:r>
      <w:proofErr w:type="spellStart"/>
      <w:r w:rsidR="0011583D" w:rsidRPr="0048446A">
        <w:rPr>
          <w:color w:val="000000" w:themeColor="text1"/>
        </w:rPr>
        <w:t>Judgment</w:t>
      </w:r>
      <w:proofErr w:type="spellEnd"/>
      <w:r w:rsidR="0011583D" w:rsidRPr="0048446A">
        <w:rPr>
          <w:color w:val="000000" w:themeColor="text1"/>
        </w:rPr>
        <w:t xml:space="preserve"> </w:t>
      </w:r>
      <w:proofErr w:type="spellStart"/>
      <w:r w:rsidR="0011583D" w:rsidRPr="0048446A">
        <w:rPr>
          <w:color w:val="000000" w:themeColor="text1"/>
        </w:rPr>
        <w:t>under</w:t>
      </w:r>
      <w:proofErr w:type="spellEnd"/>
      <w:r w:rsidR="0011583D" w:rsidRPr="0048446A">
        <w:rPr>
          <w:color w:val="000000" w:themeColor="text1"/>
        </w:rPr>
        <w:t xml:space="preserve"> </w:t>
      </w:r>
      <w:proofErr w:type="spellStart"/>
      <w:r w:rsidR="0011583D" w:rsidRPr="0048446A">
        <w:rPr>
          <w:color w:val="000000" w:themeColor="text1"/>
        </w:rPr>
        <w:t>appeal</w:t>
      </w:r>
      <w:proofErr w:type="spellEnd"/>
      <w:r w:rsidRPr="0048446A">
        <w:rPr>
          <w:color w:val="000000" w:themeColor="text1"/>
        </w:rPr>
        <w:t>].</w:t>
      </w:r>
    </w:p>
  </w:footnote>
  <w:footnote w:id="2">
    <w:p w14:paraId="1981D7ED" w14:textId="77777777" w:rsidR="005E4449" w:rsidRPr="00715653" w:rsidRDefault="005E4449" w:rsidP="005E4449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715653">
        <w:rPr>
          <w:color w:val="000000" w:themeColor="text1"/>
          <w:lang w:val="en-CA"/>
        </w:rPr>
        <w:t xml:space="preserve"> </w:t>
      </w:r>
      <w:r w:rsidRPr="00715653">
        <w:rPr>
          <w:color w:val="000000" w:themeColor="text1"/>
          <w:lang w:val="en-CA"/>
        </w:rPr>
        <w:tab/>
      </w:r>
      <w:r w:rsidRPr="00715653">
        <w:rPr>
          <w:i/>
          <w:iCs/>
          <w:color w:val="000000" w:themeColor="text1"/>
          <w:lang w:val="en-CA"/>
        </w:rPr>
        <w:t>Divorce Act</w:t>
      </w:r>
      <w:r w:rsidRPr="00715653">
        <w:rPr>
          <w:color w:val="000000" w:themeColor="text1"/>
          <w:lang w:val="en-CA"/>
        </w:rPr>
        <w:t>, RSC 1985, c 3</w:t>
      </w:r>
      <w:r>
        <w:rPr>
          <w:color w:val="000000" w:themeColor="text1"/>
          <w:lang w:val="en-CA"/>
        </w:rPr>
        <w:t xml:space="preserve"> </w:t>
      </w:r>
      <w:r w:rsidRPr="00715653">
        <w:rPr>
          <w:color w:val="000000" w:themeColor="text1"/>
          <w:lang w:val="en-CA"/>
        </w:rPr>
        <w:t>(2n</w:t>
      </w:r>
      <w:r>
        <w:rPr>
          <w:color w:val="000000" w:themeColor="text1"/>
          <w:lang w:val="en-CA"/>
        </w:rPr>
        <w:t>d Supp).</w:t>
      </w:r>
    </w:p>
  </w:footnote>
  <w:footnote w:id="3">
    <w:p w14:paraId="67140657" w14:textId="6265E7B3" w:rsidR="001620D0" w:rsidRPr="00376552" w:rsidRDefault="001620D0" w:rsidP="001620D0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</w:rPr>
        <w:tab/>
      </w:r>
      <w:r w:rsidRPr="00376552">
        <w:rPr>
          <w:i/>
          <w:color w:val="000000" w:themeColor="text1"/>
        </w:rPr>
        <w:t>Droit de la famille — 19201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2019 QCCA 272</w:t>
      </w:r>
      <w:r w:rsidR="0068531C">
        <w:rPr>
          <w:color w:val="000000" w:themeColor="text1"/>
        </w:rPr>
        <w:t xml:space="preserve"> at</w:t>
      </w:r>
      <w:r w:rsidRPr="00376552">
        <w:rPr>
          <w:color w:val="000000" w:themeColor="text1"/>
        </w:rPr>
        <w:t xml:space="preserve"> para 14; </w:t>
      </w:r>
      <w:r w:rsidRPr="00376552">
        <w:rPr>
          <w:i/>
          <w:color w:val="000000" w:themeColor="text1"/>
        </w:rPr>
        <w:t xml:space="preserve">Droit de la famille </w:t>
      </w:r>
      <w:r w:rsidRPr="00376552">
        <w:rPr>
          <w:color w:val="000000" w:themeColor="text1"/>
        </w:rPr>
        <w:t>—</w:t>
      </w:r>
      <w:r w:rsidRPr="00376552">
        <w:rPr>
          <w:i/>
          <w:color w:val="000000" w:themeColor="text1"/>
        </w:rPr>
        <w:t xml:space="preserve"> 17336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2017 QCCA 281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3; </w:t>
      </w:r>
      <w:r w:rsidRPr="00376552">
        <w:rPr>
          <w:i/>
          <w:color w:val="000000" w:themeColor="text1"/>
        </w:rPr>
        <w:t xml:space="preserve">Droit de la famille — 172645, </w:t>
      </w:r>
      <w:r w:rsidRPr="00376552">
        <w:rPr>
          <w:rStyle w:val="Lienhypertexte"/>
          <w:color w:val="000000" w:themeColor="text1"/>
          <w:u w:val="none"/>
        </w:rPr>
        <w:t>2017 QCCA 1775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24; </w:t>
      </w:r>
      <w:r w:rsidRPr="00376552">
        <w:rPr>
          <w:rFonts w:cs="Arial"/>
          <w:i/>
          <w:iCs/>
          <w:color w:val="000000" w:themeColor="text1"/>
          <w:shd w:val="clear" w:color="auto" w:fill="FFFFFF"/>
        </w:rPr>
        <w:t>Droit de la famille — 142647</w:t>
      </w:r>
      <w:r w:rsidRPr="00376552">
        <w:rPr>
          <w:rFonts w:cs="Arial"/>
          <w:color w:val="000000" w:themeColor="text1"/>
          <w:shd w:val="clear" w:color="auto" w:fill="FFFFFF"/>
        </w:rPr>
        <w:t>, </w:t>
      </w:r>
      <w:r w:rsidRPr="00376552">
        <w:rPr>
          <w:rStyle w:val="Lienhypertexte"/>
          <w:rFonts w:cs="Arial"/>
          <w:color w:val="000000" w:themeColor="text1"/>
          <w:u w:val="none"/>
          <w:shd w:val="clear" w:color="auto" w:fill="FFFFFF"/>
        </w:rPr>
        <w:t>2014 QCCA 1961</w:t>
      </w:r>
      <w:r w:rsidR="0068531C">
        <w:rPr>
          <w:rFonts w:cs="Arial"/>
          <w:color w:val="000000" w:themeColor="text1"/>
          <w:shd w:val="clear" w:color="auto" w:fill="FFFFFF"/>
        </w:rPr>
        <w:t xml:space="preserve"> at para</w:t>
      </w:r>
      <w:r w:rsidRPr="00376552">
        <w:rPr>
          <w:rFonts w:cs="Arial"/>
          <w:color w:val="000000" w:themeColor="text1"/>
          <w:shd w:val="clear" w:color="auto" w:fill="FFFFFF"/>
        </w:rPr>
        <w:t xml:space="preserve"> 39; </w:t>
      </w:r>
      <w:r w:rsidRPr="00376552">
        <w:rPr>
          <w:i/>
          <w:color w:val="000000" w:themeColor="text1"/>
        </w:rPr>
        <w:t xml:space="preserve">Droit de la famille </w:t>
      </w:r>
      <w:r w:rsidRPr="00376552">
        <w:rPr>
          <w:color w:val="000000" w:themeColor="text1"/>
        </w:rPr>
        <w:t>—</w:t>
      </w:r>
      <w:r w:rsidRPr="00376552">
        <w:rPr>
          <w:i/>
          <w:color w:val="000000" w:themeColor="text1"/>
        </w:rPr>
        <w:t xml:space="preserve"> 142449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2014 QCCA 1791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26, </w:t>
      </w:r>
      <w:proofErr w:type="spellStart"/>
      <w:r w:rsidR="008D09DE">
        <w:rPr>
          <w:rFonts w:cs="Arial"/>
          <w:color w:val="000000" w:themeColor="text1"/>
          <w:shd w:val="clear" w:color="auto" w:fill="FFFFFF"/>
        </w:rPr>
        <w:t>leave</w:t>
      </w:r>
      <w:proofErr w:type="spellEnd"/>
      <w:r w:rsidR="008D09DE">
        <w:rPr>
          <w:rFonts w:cs="Arial"/>
          <w:color w:val="000000" w:themeColor="text1"/>
          <w:shd w:val="clear" w:color="auto" w:fill="FFFFFF"/>
        </w:rPr>
        <w:t xml:space="preserve"> to </w:t>
      </w:r>
      <w:proofErr w:type="spellStart"/>
      <w:r w:rsidR="008D09DE">
        <w:rPr>
          <w:rFonts w:cs="Arial"/>
          <w:color w:val="000000" w:themeColor="text1"/>
          <w:shd w:val="clear" w:color="auto" w:fill="FFFFFF"/>
        </w:rPr>
        <w:t>appeal</w:t>
      </w:r>
      <w:proofErr w:type="spellEnd"/>
      <w:r w:rsidR="008D09DE">
        <w:rPr>
          <w:rFonts w:cs="Arial"/>
          <w:color w:val="000000" w:themeColor="text1"/>
          <w:shd w:val="clear" w:color="auto" w:fill="FFFFFF"/>
        </w:rPr>
        <w:t xml:space="preserve"> to </w:t>
      </w:r>
      <w:r w:rsidR="0051045A">
        <w:rPr>
          <w:rFonts w:cs="Arial"/>
          <w:color w:val="000000" w:themeColor="text1"/>
          <w:shd w:val="clear" w:color="auto" w:fill="FFFFFF"/>
        </w:rPr>
        <w:t xml:space="preserve">SCC </w:t>
      </w:r>
      <w:proofErr w:type="spellStart"/>
      <w:r w:rsidR="0051045A">
        <w:rPr>
          <w:rFonts w:cs="Arial"/>
          <w:color w:val="000000" w:themeColor="text1"/>
          <w:shd w:val="clear" w:color="auto" w:fill="FFFFFF"/>
        </w:rPr>
        <w:t>refused</w:t>
      </w:r>
      <w:proofErr w:type="spellEnd"/>
      <w:r w:rsidRPr="00376552">
        <w:rPr>
          <w:rFonts w:cs="Arial"/>
          <w:color w:val="000000" w:themeColor="text1"/>
          <w:shd w:val="clear" w:color="auto" w:fill="FFFFFF"/>
        </w:rPr>
        <w:t xml:space="preserve">, </w:t>
      </w:r>
      <w:r w:rsidR="0051045A">
        <w:rPr>
          <w:rFonts w:cs="Arial"/>
          <w:color w:val="000000" w:themeColor="text1"/>
          <w:shd w:val="clear" w:color="auto" w:fill="FFFFFF"/>
        </w:rPr>
        <w:t xml:space="preserve">36191 (16 </w:t>
      </w:r>
      <w:r w:rsidR="00867316">
        <w:rPr>
          <w:rFonts w:cs="Arial"/>
          <w:color w:val="000000" w:themeColor="text1"/>
          <w:shd w:val="clear" w:color="auto" w:fill="FFFFFF"/>
        </w:rPr>
        <w:t>April</w:t>
      </w:r>
      <w:r w:rsidRPr="00376552">
        <w:rPr>
          <w:rFonts w:cs="Arial"/>
          <w:color w:val="000000" w:themeColor="text1"/>
          <w:shd w:val="clear" w:color="auto" w:fill="FFFFFF"/>
        </w:rPr>
        <w:t xml:space="preserve"> 2015</w:t>
      </w:r>
      <w:r w:rsidR="0051045A">
        <w:rPr>
          <w:rFonts w:cs="Arial"/>
          <w:color w:val="000000" w:themeColor="text1"/>
          <w:shd w:val="clear" w:color="auto" w:fill="FFFFFF"/>
        </w:rPr>
        <w:t>)</w:t>
      </w:r>
      <w:r w:rsidRPr="00376552">
        <w:rPr>
          <w:color w:val="000000" w:themeColor="text1"/>
        </w:rPr>
        <w:t xml:space="preserve">; </w:t>
      </w:r>
      <w:r w:rsidRPr="00376552">
        <w:rPr>
          <w:i/>
          <w:color w:val="000000" w:themeColor="text1"/>
        </w:rPr>
        <w:t>Droit de la famille — 141110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2014 QCCA 996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6; </w:t>
      </w:r>
      <w:r w:rsidRPr="00376552">
        <w:rPr>
          <w:i/>
          <w:color w:val="000000" w:themeColor="text1"/>
        </w:rPr>
        <w:t xml:space="preserve">Droit de la famille </w:t>
      </w:r>
      <w:r w:rsidRPr="00376552">
        <w:rPr>
          <w:color w:val="000000" w:themeColor="text1"/>
        </w:rPr>
        <w:t>—</w:t>
      </w:r>
      <w:r w:rsidRPr="00376552">
        <w:rPr>
          <w:i/>
          <w:color w:val="000000" w:themeColor="text1"/>
        </w:rPr>
        <w:t xml:space="preserve"> 132381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2013 QCCA 1505</w:t>
      </w:r>
      <w:r w:rsidR="0068531C">
        <w:rPr>
          <w:color w:val="000000" w:themeColor="text1"/>
        </w:rPr>
        <w:t xml:space="preserve"> at para</w:t>
      </w:r>
      <w:r w:rsidR="00DA1EF3">
        <w:rPr>
          <w:color w:val="000000" w:themeColor="text1"/>
        </w:rPr>
        <w:t>s</w:t>
      </w:r>
      <w:r w:rsidRPr="00376552">
        <w:rPr>
          <w:color w:val="000000" w:themeColor="text1"/>
        </w:rPr>
        <w:t xml:space="preserve"> 163-164; </w:t>
      </w:r>
      <w:r w:rsidRPr="00376552">
        <w:rPr>
          <w:i/>
          <w:color w:val="000000" w:themeColor="text1"/>
        </w:rPr>
        <w:t>Droit de la famille — 102718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2010 QCCA 1889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85; </w:t>
      </w:r>
      <w:r w:rsidRPr="00376552">
        <w:rPr>
          <w:i/>
          <w:color w:val="000000" w:themeColor="text1"/>
        </w:rPr>
        <w:t>Droit de la</w:t>
      </w:r>
      <w:r>
        <w:rPr>
          <w:i/>
          <w:color w:val="000000" w:themeColor="text1"/>
        </w:rPr>
        <w:t xml:space="preserve"> famille</w:t>
      </w:r>
      <w:r w:rsidRPr="00376552">
        <w:rPr>
          <w:i/>
          <w:color w:val="000000" w:themeColor="text1"/>
        </w:rPr>
        <w:t> — 082701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2008 QCCA 2040</w:t>
      </w:r>
      <w:r w:rsidR="0068531C"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3. </w:t>
      </w:r>
      <w:r>
        <w:rPr>
          <w:color w:val="000000" w:themeColor="text1"/>
        </w:rPr>
        <w:t xml:space="preserve">See </w:t>
      </w:r>
      <w:proofErr w:type="spellStart"/>
      <w:r>
        <w:rPr>
          <w:color w:val="000000" w:themeColor="text1"/>
        </w:rPr>
        <w:t>also</w:t>
      </w:r>
      <w:proofErr w:type="spellEnd"/>
      <w:r w:rsidRPr="00376552">
        <w:rPr>
          <w:color w:val="000000" w:themeColor="text1"/>
        </w:rPr>
        <w:t xml:space="preserve"> </w:t>
      </w:r>
      <w:r w:rsidRPr="00376552">
        <w:rPr>
          <w:i/>
          <w:color w:val="000000" w:themeColor="text1"/>
        </w:rPr>
        <w:t>Droit de la famille — 2190</w:t>
      </w:r>
      <w:r w:rsidRPr="00376552">
        <w:rPr>
          <w:color w:val="000000" w:themeColor="text1"/>
        </w:rPr>
        <w:t>, J.E. 95-1037</w:t>
      </w:r>
      <w:r w:rsidR="00E06935">
        <w:rPr>
          <w:color w:val="000000" w:themeColor="text1"/>
        </w:rPr>
        <w:t xml:space="preserve"> at</w:t>
      </w:r>
      <w:r w:rsidRPr="00376552">
        <w:rPr>
          <w:color w:val="000000" w:themeColor="text1"/>
        </w:rPr>
        <w:t xml:space="preserve"> 3, </w:t>
      </w:r>
      <w:r w:rsidRPr="00376552">
        <w:rPr>
          <w:rStyle w:val="Lienhypertexte"/>
          <w:color w:val="000000" w:themeColor="text1"/>
          <w:u w:val="none"/>
        </w:rPr>
        <w:t xml:space="preserve">1995 </w:t>
      </w:r>
      <w:proofErr w:type="spellStart"/>
      <w:r w:rsidRPr="00376552">
        <w:rPr>
          <w:rStyle w:val="Lienhypertexte"/>
          <w:color w:val="000000" w:themeColor="text1"/>
          <w:u w:val="none"/>
        </w:rPr>
        <w:t>CanLII</w:t>
      </w:r>
      <w:proofErr w:type="spellEnd"/>
      <w:r w:rsidRPr="00376552">
        <w:rPr>
          <w:rStyle w:val="Lienhypertexte"/>
          <w:color w:val="000000" w:themeColor="text1"/>
          <w:u w:val="none"/>
        </w:rPr>
        <w:t xml:space="preserve"> 5475</w:t>
      </w:r>
      <w:r w:rsidRPr="00376552">
        <w:rPr>
          <w:color w:val="000000" w:themeColor="text1"/>
        </w:rPr>
        <w:t xml:space="preserve"> (C.A.).</w:t>
      </w:r>
    </w:p>
  </w:footnote>
  <w:footnote w:id="4">
    <w:p w14:paraId="5D3E819F" w14:textId="534E4D2F" w:rsidR="00F92333" w:rsidRPr="00603BA6" w:rsidRDefault="00F92333" w:rsidP="00F92333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Droit de la famille — 17336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2017 QCCA 281</w:t>
      </w:r>
      <w:r w:rsidR="0068531C">
        <w:rPr>
          <w:color w:val="000000" w:themeColor="text1"/>
        </w:rPr>
        <w:t xml:space="preserve"> at para</w:t>
      </w:r>
      <w:r w:rsidR="00DA1EF3">
        <w:rPr>
          <w:color w:val="000000" w:themeColor="text1"/>
        </w:rPr>
        <w:t>s</w:t>
      </w:r>
      <w:r w:rsidRPr="00376552">
        <w:rPr>
          <w:color w:val="000000" w:themeColor="text1"/>
        </w:rPr>
        <w:t xml:space="preserve"> 3-5</w:t>
      </w:r>
      <w:r w:rsidRPr="00376552">
        <w:rPr>
          <w:rFonts w:cs="Arial"/>
          <w:color w:val="000000" w:themeColor="text1"/>
          <w:shd w:val="clear" w:color="auto" w:fill="FFFFFF"/>
        </w:rPr>
        <w:t xml:space="preserve">; </w:t>
      </w:r>
      <w:r w:rsidRPr="00376552">
        <w:rPr>
          <w:rFonts w:cs="Arial"/>
          <w:i/>
          <w:color w:val="000000" w:themeColor="text1"/>
          <w:shd w:val="clear" w:color="auto" w:fill="FFFFFF"/>
        </w:rPr>
        <w:t>Droit de la famille — 19651</w:t>
      </w:r>
      <w:r w:rsidRPr="00376552">
        <w:rPr>
          <w:rFonts w:cs="Arial"/>
          <w:color w:val="000000" w:themeColor="text1"/>
          <w:shd w:val="clear" w:color="auto" w:fill="FFFFFF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  <w:shd w:val="clear" w:color="auto" w:fill="FFFFFF"/>
        </w:rPr>
        <w:t>2019 QCCA 699</w:t>
      </w:r>
      <w:r w:rsidR="0068531C">
        <w:rPr>
          <w:rFonts w:cs="Arial"/>
          <w:color w:val="000000" w:themeColor="text1"/>
          <w:shd w:val="clear" w:color="auto" w:fill="FFFFFF"/>
        </w:rPr>
        <w:t xml:space="preserve"> </w:t>
      </w:r>
      <w:r w:rsidR="0068531C" w:rsidRPr="00603BA6">
        <w:rPr>
          <w:rFonts w:cs="Arial"/>
          <w:color w:val="000000" w:themeColor="text1"/>
          <w:shd w:val="clear" w:color="auto" w:fill="FFFFFF"/>
        </w:rPr>
        <w:t>at para</w:t>
      </w:r>
      <w:r w:rsidRPr="00603BA6">
        <w:rPr>
          <w:rFonts w:cs="Arial"/>
          <w:color w:val="000000" w:themeColor="text1"/>
          <w:shd w:val="clear" w:color="auto" w:fill="FFFFFF"/>
        </w:rPr>
        <w:t xml:space="preserve"> 15.</w:t>
      </w:r>
    </w:p>
  </w:footnote>
  <w:footnote w:id="5">
    <w:p w14:paraId="72079EE0" w14:textId="77777777" w:rsidR="00603BA6" w:rsidRPr="00376552" w:rsidRDefault="00603BA6" w:rsidP="00603BA6">
      <w:pPr>
        <w:pStyle w:val="Notedebasdepage"/>
        <w:rPr>
          <w:rFonts w:cs="Arial"/>
          <w:color w:val="000000" w:themeColor="text1"/>
        </w:rPr>
      </w:pPr>
      <w:r w:rsidRPr="00603BA6">
        <w:rPr>
          <w:rStyle w:val="Appelnotedebasdep"/>
          <w:color w:val="000000" w:themeColor="text1"/>
        </w:rPr>
        <w:footnoteRef/>
      </w:r>
      <w:r w:rsidRPr="00603BA6">
        <w:rPr>
          <w:color w:val="000000" w:themeColor="text1"/>
        </w:rPr>
        <w:t xml:space="preserve"> </w:t>
      </w:r>
      <w:r w:rsidRPr="00603BA6">
        <w:rPr>
          <w:color w:val="000000" w:themeColor="text1"/>
        </w:rPr>
        <w:tab/>
      </w:r>
      <w:r w:rsidRPr="00603BA6">
        <w:rPr>
          <w:i/>
          <w:color w:val="000000" w:themeColor="text1"/>
        </w:rPr>
        <w:t xml:space="preserve">Droit de la famille </w:t>
      </w:r>
      <w:r w:rsidRPr="00603BA6">
        <w:rPr>
          <w:color w:val="000000" w:themeColor="text1"/>
        </w:rPr>
        <w:t xml:space="preserve">— </w:t>
      </w:r>
      <w:r w:rsidRPr="00603BA6">
        <w:rPr>
          <w:i/>
          <w:color w:val="000000" w:themeColor="text1"/>
        </w:rPr>
        <w:t>103038</w:t>
      </w:r>
      <w:r w:rsidRPr="00603BA6">
        <w:rPr>
          <w:color w:val="000000" w:themeColor="text1"/>
        </w:rPr>
        <w:t xml:space="preserve">, </w:t>
      </w:r>
      <w:r w:rsidRPr="00603BA6">
        <w:rPr>
          <w:rStyle w:val="Lienhypertexte"/>
          <w:color w:val="000000" w:themeColor="text1"/>
          <w:u w:val="none"/>
        </w:rPr>
        <w:t>2010 QCCA 2074</w:t>
      </w:r>
      <w:r w:rsidRPr="00603BA6">
        <w:rPr>
          <w:color w:val="000000" w:themeColor="text1"/>
        </w:rPr>
        <w:t xml:space="preserve"> at paras 72-79; </w:t>
      </w:r>
      <w:r w:rsidRPr="00603BA6">
        <w:rPr>
          <w:rFonts w:cs="Arial"/>
          <w:i/>
          <w:color w:val="000000" w:themeColor="text1"/>
        </w:rPr>
        <w:t>Droit de la famille — 162823</w:t>
      </w:r>
      <w:r w:rsidRPr="00603BA6">
        <w:rPr>
          <w:rFonts w:cs="Arial"/>
          <w:color w:val="000000" w:themeColor="text1"/>
        </w:rPr>
        <w:t xml:space="preserve">, </w:t>
      </w:r>
      <w:r w:rsidRPr="00603BA6">
        <w:rPr>
          <w:rStyle w:val="Lienhypertexte"/>
          <w:rFonts w:cs="Arial"/>
          <w:color w:val="000000" w:themeColor="text1"/>
          <w:u w:val="none"/>
        </w:rPr>
        <w:t>2016 QCCA 1874</w:t>
      </w:r>
      <w:r w:rsidRPr="00603BA6">
        <w:rPr>
          <w:rFonts w:cs="Arial"/>
          <w:color w:val="000000" w:themeColor="text1"/>
        </w:rPr>
        <w:t xml:space="preserve"> at paras 28-30;</w:t>
      </w:r>
      <w:r w:rsidRPr="00603BA6">
        <w:rPr>
          <w:rFonts w:cs="Arial"/>
          <w:i/>
          <w:color w:val="000000" w:themeColor="text1"/>
          <w:sz w:val="24"/>
          <w:shd w:val="clear" w:color="auto" w:fill="FFFFFF"/>
        </w:rPr>
        <w:t xml:space="preserve"> </w:t>
      </w:r>
      <w:r w:rsidRPr="00603BA6">
        <w:rPr>
          <w:rFonts w:cs="Arial"/>
          <w:i/>
          <w:color w:val="000000" w:themeColor="text1"/>
        </w:rPr>
        <w:t>Droit de la famille — 161273</w:t>
      </w:r>
      <w:r w:rsidRPr="00603BA6">
        <w:rPr>
          <w:rFonts w:cs="Arial"/>
          <w:color w:val="000000" w:themeColor="text1"/>
        </w:rPr>
        <w:t xml:space="preserve">, </w:t>
      </w:r>
      <w:r w:rsidRPr="00603BA6">
        <w:rPr>
          <w:rStyle w:val="Lienhypertexte"/>
          <w:rFonts w:cs="Arial"/>
          <w:color w:val="000000" w:themeColor="text1"/>
          <w:u w:val="none"/>
        </w:rPr>
        <w:t>2016 QCCA 915</w:t>
      </w:r>
      <w:r w:rsidRPr="00603BA6">
        <w:rPr>
          <w:rFonts w:cs="Arial"/>
          <w:color w:val="000000" w:themeColor="text1"/>
        </w:rPr>
        <w:t xml:space="preserve"> at paras 27-28;</w:t>
      </w:r>
      <w:r w:rsidRPr="00603BA6">
        <w:rPr>
          <w:rFonts w:cs="Arial"/>
          <w:i/>
          <w:color w:val="000000" w:themeColor="text1"/>
          <w:sz w:val="24"/>
          <w:shd w:val="clear" w:color="auto" w:fill="FFFFFF"/>
        </w:rPr>
        <w:t xml:space="preserve"> </w:t>
      </w:r>
      <w:r w:rsidRPr="00603BA6">
        <w:rPr>
          <w:rFonts w:cs="Arial"/>
          <w:i/>
          <w:color w:val="000000" w:themeColor="text1"/>
        </w:rPr>
        <w:t>Droit de la famille — 142449</w:t>
      </w:r>
      <w:r w:rsidRPr="00603BA6">
        <w:rPr>
          <w:rFonts w:cs="Arial"/>
          <w:color w:val="000000" w:themeColor="text1"/>
        </w:rPr>
        <w:t xml:space="preserve">, </w:t>
      </w:r>
      <w:r w:rsidRPr="00603BA6">
        <w:rPr>
          <w:rStyle w:val="Lienhypertexte"/>
          <w:rFonts w:cs="Arial"/>
          <w:color w:val="000000" w:themeColor="text1"/>
          <w:u w:val="none"/>
        </w:rPr>
        <w:t>2014 QCCA 1791</w:t>
      </w:r>
      <w:r w:rsidRPr="00603BA6">
        <w:rPr>
          <w:rFonts w:cs="Arial"/>
          <w:color w:val="000000" w:themeColor="text1"/>
        </w:rPr>
        <w:t xml:space="preserve"> at para 28; </w:t>
      </w:r>
      <w:r w:rsidRPr="00603BA6">
        <w:rPr>
          <w:rFonts w:cs="Arial"/>
          <w:i/>
          <w:color w:val="000000" w:themeColor="text1"/>
        </w:rPr>
        <w:t>Droit de la famille — 121521</w:t>
      </w:r>
      <w:r w:rsidRPr="00603BA6">
        <w:rPr>
          <w:rFonts w:cs="Arial"/>
          <w:color w:val="000000" w:themeColor="text1"/>
        </w:rPr>
        <w:t xml:space="preserve">, </w:t>
      </w:r>
      <w:r w:rsidRPr="00603BA6">
        <w:rPr>
          <w:rStyle w:val="Lienhypertexte"/>
          <w:rFonts w:cs="Arial"/>
          <w:color w:val="000000" w:themeColor="text1"/>
          <w:u w:val="none"/>
        </w:rPr>
        <w:t>2012 QCCA 1144 at para 49;</w:t>
      </w:r>
      <w:r w:rsidRPr="00603BA6">
        <w:rPr>
          <w:rFonts w:cs="Arial"/>
          <w:i/>
          <w:color w:val="000000" w:themeColor="text1"/>
        </w:rPr>
        <w:t xml:space="preserve"> Droit de la famille — 09859</w:t>
      </w:r>
      <w:r w:rsidRPr="00603BA6">
        <w:rPr>
          <w:rFonts w:cs="Arial"/>
          <w:color w:val="000000" w:themeColor="text1"/>
        </w:rPr>
        <w:t xml:space="preserve">, </w:t>
      </w:r>
      <w:r w:rsidRPr="00603BA6">
        <w:rPr>
          <w:rStyle w:val="Lienhypertexte"/>
          <w:rFonts w:cs="Arial"/>
          <w:color w:val="000000" w:themeColor="text1"/>
          <w:u w:val="none"/>
        </w:rPr>
        <w:t>2009 QCCA</w:t>
      </w:r>
      <w:r w:rsidRPr="00376552">
        <w:rPr>
          <w:rStyle w:val="Lienhypertexte"/>
          <w:rFonts w:cs="Arial"/>
          <w:color w:val="000000" w:themeColor="text1"/>
          <w:u w:val="none"/>
        </w:rPr>
        <w:t xml:space="preserve"> 747;</w:t>
      </w:r>
      <w:r w:rsidRPr="00376552">
        <w:rPr>
          <w:i/>
          <w:color w:val="000000" w:themeColor="text1"/>
        </w:rPr>
        <w:t xml:space="preserve"> Droit de la famille — 09408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2009 QCCA 397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45-53;</w:t>
      </w:r>
      <w:r w:rsidRPr="00376552">
        <w:rPr>
          <w:rFonts w:cs="Arial"/>
          <w:i/>
          <w:color w:val="000000" w:themeColor="text1"/>
          <w:sz w:val="22"/>
          <w:szCs w:val="24"/>
          <w:lang w:eastAsia="fr-CA"/>
        </w:rPr>
        <w:t xml:space="preserve"> </w:t>
      </w:r>
      <w:r w:rsidRPr="00376552">
        <w:rPr>
          <w:rFonts w:cs="Arial"/>
          <w:i/>
          <w:color w:val="000000" w:themeColor="text1"/>
        </w:rPr>
        <w:t>L.(R.) c. F.(J.)</w:t>
      </w:r>
      <w:r w:rsidRPr="00376552">
        <w:rPr>
          <w:rFonts w:cs="Arial"/>
          <w:color w:val="000000" w:themeColor="text1"/>
        </w:rPr>
        <w:t xml:space="preserve">, J.E. 2003-1648, </w:t>
      </w:r>
      <w:r w:rsidRPr="00376552">
        <w:rPr>
          <w:rStyle w:val="Lienhypertexte"/>
          <w:rFonts w:cs="Arial"/>
          <w:color w:val="000000" w:themeColor="text1"/>
          <w:u w:val="none"/>
        </w:rPr>
        <w:t>2003 CanLII 47985</w:t>
      </w:r>
      <w:r>
        <w:rPr>
          <w:rFonts w:cs="Arial"/>
          <w:color w:val="000000" w:themeColor="text1"/>
        </w:rPr>
        <w:t xml:space="preserve"> at paras</w:t>
      </w:r>
      <w:r w:rsidRPr="00376552">
        <w:rPr>
          <w:rFonts w:cs="Arial"/>
          <w:color w:val="000000" w:themeColor="text1"/>
        </w:rPr>
        <w:t xml:space="preserve"> 25-26 (C.A.);</w:t>
      </w:r>
      <w:r w:rsidRPr="00376552">
        <w:rPr>
          <w:rFonts w:cs="Arial"/>
          <w:i/>
          <w:color w:val="000000" w:themeColor="text1"/>
        </w:rPr>
        <w:t xml:space="preserve"> Droit de la famille — 18734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2018 QCCS 1448</w:t>
      </w:r>
      <w:r>
        <w:rPr>
          <w:rStyle w:val="Lienhypertexte"/>
          <w:rFonts w:cs="Arial"/>
          <w:color w:val="000000" w:themeColor="text1"/>
          <w:u w:val="none"/>
        </w:rPr>
        <w:t xml:space="preserve"> at para</w:t>
      </w:r>
      <w:r w:rsidRPr="00376552">
        <w:rPr>
          <w:rStyle w:val="Lienhypertexte"/>
          <w:rFonts w:cs="Arial"/>
          <w:color w:val="000000" w:themeColor="text1"/>
          <w:u w:val="none"/>
        </w:rPr>
        <w:t xml:space="preserve"> 80;</w:t>
      </w:r>
      <w:r w:rsidRPr="00376552">
        <w:rPr>
          <w:rFonts w:cs="Arial"/>
          <w:i/>
          <w:color w:val="000000" w:themeColor="text1"/>
        </w:rPr>
        <w:t xml:space="preserve"> Droit de la famille — 143159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2014 QCCS 6068</w:t>
      </w:r>
      <w:r>
        <w:rPr>
          <w:rFonts w:cs="Arial"/>
          <w:color w:val="000000" w:themeColor="text1"/>
        </w:rPr>
        <w:t xml:space="preserve"> at para</w:t>
      </w:r>
      <w:r w:rsidRPr="00376552">
        <w:rPr>
          <w:rFonts w:cs="Arial"/>
          <w:color w:val="000000" w:themeColor="text1"/>
        </w:rPr>
        <w:t xml:space="preserve"> 26</w:t>
      </w:r>
      <w:r w:rsidRPr="00376552">
        <w:rPr>
          <w:color w:val="000000" w:themeColor="text1"/>
        </w:rPr>
        <w:t xml:space="preserve">. </w:t>
      </w:r>
    </w:p>
  </w:footnote>
  <w:footnote w:id="6">
    <w:p w14:paraId="33EDC778" w14:textId="084352D0" w:rsidR="002A4A93" w:rsidRPr="00376552" w:rsidRDefault="002A4A93" w:rsidP="002A4A93">
      <w:pPr>
        <w:pStyle w:val="Notedebasdepage"/>
        <w:tabs>
          <w:tab w:val="left" w:pos="4962"/>
        </w:tabs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</w:rPr>
        <w:tab/>
      </w:r>
      <w:r w:rsidRPr="00376552">
        <w:rPr>
          <w:i/>
          <w:color w:val="000000" w:themeColor="text1"/>
        </w:rPr>
        <w:t>Droit de la famille — 191160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2019 QCCA 1098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26; </w:t>
      </w:r>
      <w:r w:rsidRPr="00376552">
        <w:rPr>
          <w:i/>
          <w:color w:val="000000" w:themeColor="text1"/>
        </w:rPr>
        <w:t>Droit de la famille — 151555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2015 QCCA 1112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45; </w:t>
      </w:r>
      <w:r w:rsidRPr="00376552">
        <w:rPr>
          <w:i/>
          <w:color w:val="000000" w:themeColor="text1"/>
        </w:rPr>
        <w:t>Droit de la famille — 14146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2014 QCCA 193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57-59; </w:t>
      </w:r>
      <w:r w:rsidRPr="00376552">
        <w:rPr>
          <w:i/>
          <w:color w:val="000000" w:themeColor="text1"/>
        </w:rPr>
        <w:t>Droit de la famille — 12103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2012 QCCA 146</w:t>
      </w:r>
      <w:r>
        <w:rPr>
          <w:color w:val="000000" w:themeColor="text1"/>
        </w:rPr>
        <w:t xml:space="preserve"> at para</w:t>
      </w:r>
      <w:r w:rsidR="00994558">
        <w:rPr>
          <w:color w:val="000000" w:themeColor="text1"/>
        </w:rPr>
        <w:t>s</w:t>
      </w:r>
      <w:r w:rsidRPr="00376552">
        <w:rPr>
          <w:color w:val="000000" w:themeColor="text1"/>
        </w:rPr>
        <w:t xml:space="preserve"> 8-10.</w:t>
      </w:r>
    </w:p>
  </w:footnote>
  <w:footnote w:id="7">
    <w:p w14:paraId="03B19FAC" w14:textId="77777777" w:rsidR="00BE7490" w:rsidRPr="00376552" w:rsidRDefault="00BE7490" w:rsidP="00BE7490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Droit de la famille — 17739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2017 QCCA 629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50; </w:t>
      </w:r>
      <w:r w:rsidRPr="00376552">
        <w:rPr>
          <w:i/>
          <w:color w:val="000000" w:themeColor="text1"/>
        </w:rPr>
        <w:t>Droit de la famille - 08192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2008 QCCA 232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40-42; </w:t>
      </w:r>
      <w:r w:rsidRPr="00376552">
        <w:rPr>
          <w:i/>
          <w:color w:val="000000" w:themeColor="text1"/>
        </w:rPr>
        <w:t>M.S. c. F.D</w:t>
      </w:r>
      <w:r w:rsidRPr="00376552">
        <w:rPr>
          <w:color w:val="000000" w:themeColor="text1"/>
        </w:rPr>
        <w:t xml:space="preserve">., </w:t>
      </w:r>
      <w:r w:rsidRPr="00376552">
        <w:rPr>
          <w:rStyle w:val="Lienhypertexte"/>
          <w:color w:val="000000" w:themeColor="text1"/>
          <w:u w:val="none"/>
        </w:rPr>
        <w:t>2001 CanLII 27961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54-55 (C.A.); </w:t>
      </w:r>
      <w:r w:rsidRPr="00376552">
        <w:rPr>
          <w:i/>
          <w:color w:val="000000" w:themeColor="text1"/>
        </w:rPr>
        <w:t>R.B. c C.B</w:t>
      </w:r>
      <w:r w:rsidRPr="00376552">
        <w:rPr>
          <w:color w:val="000000" w:themeColor="text1"/>
        </w:rPr>
        <w:t xml:space="preserve">., </w:t>
      </w:r>
      <w:r w:rsidRPr="00376552">
        <w:rPr>
          <w:rStyle w:val="Lienhypertexte"/>
          <w:color w:val="000000" w:themeColor="text1"/>
          <w:u w:val="none"/>
        </w:rPr>
        <w:t>1986 CanLII 3907</w:t>
      </w:r>
      <w:r w:rsidRPr="00376552">
        <w:rPr>
          <w:color w:val="000000" w:themeColor="text1"/>
        </w:rPr>
        <w:t xml:space="preserve"> (C.A.).</w:t>
      </w:r>
    </w:p>
  </w:footnote>
  <w:footnote w:id="8">
    <w:p w14:paraId="0B1EFB6B" w14:textId="22D0FEE8" w:rsidR="005B1845" w:rsidRPr="007169D7" w:rsidRDefault="005B1845" w:rsidP="005B1845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7169D7">
        <w:rPr>
          <w:color w:val="000000" w:themeColor="text1"/>
          <w:lang w:val="en-CA"/>
        </w:rPr>
        <w:t xml:space="preserve">  </w:t>
      </w:r>
      <w:r w:rsidRPr="007169D7">
        <w:rPr>
          <w:color w:val="000000" w:themeColor="text1"/>
          <w:lang w:val="en-CA"/>
        </w:rPr>
        <w:tab/>
        <w:t xml:space="preserve">Judgment under appeal, </w:t>
      </w:r>
      <w:r w:rsidRPr="007169D7">
        <w:rPr>
          <w:i/>
          <w:iCs/>
          <w:color w:val="000000" w:themeColor="text1"/>
          <w:lang w:val="en-CA"/>
        </w:rPr>
        <w:t>supra</w:t>
      </w:r>
      <w:r w:rsidRPr="007169D7">
        <w:rPr>
          <w:color w:val="000000" w:themeColor="text1"/>
          <w:lang w:val="en-CA"/>
        </w:rPr>
        <w:t xml:space="preserve"> note 1 at para 118.</w:t>
      </w:r>
    </w:p>
  </w:footnote>
  <w:footnote w:id="9">
    <w:p w14:paraId="3ED6D185" w14:textId="4ACD491B" w:rsidR="005B1845" w:rsidRPr="005B1845" w:rsidRDefault="005B1845" w:rsidP="005B1845">
      <w:pPr>
        <w:pStyle w:val="Notedebasdepage"/>
        <w:rPr>
          <w:i/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5B1845">
        <w:rPr>
          <w:color w:val="000000" w:themeColor="text1"/>
          <w:lang w:val="en-CA"/>
        </w:rPr>
        <w:t xml:space="preserve">  </w:t>
      </w:r>
      <w:r w:rsidRPr="005B1845">
        <w:rPr>
          <w:color w:val="000000" w:themeColor="text1"/>
          <w:lang w:val="en-CA"/>
        </w:rPr>
        <w:tab/>
      </w:r>
      <w:r w:rsidRPr="005B1845">
        <w:rPr>
          <w:i/>
          <w:color w:val="000000" w:themeColor="text1"/>
          <w:lang w:val="en-CA"/>
        </w:rPr>
        <w:t>I</w:t>
      </w:r>
      <w:r w:rsidR="00D4734D">
        <w:rPr>
          <w:i/>
          <w:color w:val="000000" w:themeColor="text1"/>
          <w:lang w:val="en-CA"/>
        </w:rPr>
        <w:t>bi</w:t>
      </w:r>
      <w:r w:rsidRPr="005B1845">
        <w:rPr>
          <w:i/>
          <w:color w:val="000000" w:themeColor="text1"/>
          <w:lang w:val="en-CA"/>
        </w:rPr>
        <w:t>d.</w:t>
      </w:r>
      <w:r w:rsidRPr="005B1845">
        <w:rPr>
          <w:color w:val="000000" w:themeColor="text1"/>
          <w:lang w:val="en-CA"/>
        </w:rPr>
        <w:t xml:space="preserve"> at para 22.</w:t>
      </w:r>
    </w:p>
  </w:footnote>
  <w:footnote w:id="10">
    <w:p w14:paraId="6C9AB99E" w14:textId="09EF7FCE" w:rsidR="005B1845" w:rsidRPr="00A85543" w:rsidRDefault="005B1845" w:rsidP="005B1845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A85543">
        <w:rPr>
          <w:color w:val="000000" w:themeColor="text1"/>
          <w:lang w:val="en-CA"/>
        </w:rPr>
        <w:t xml:space="preserve">  </w:t>
      </w:r>
      <w:r w:rsidRPr="00A85543">
        <w:rPr>
          <w:color w:val="000000" w:themeColor="text1"/>
          <w:lang w:val="en-CA"/>
        </w:rPr>
        <w:tab/>
      </w:r>
      <w:r w:rsidRPr="007169D7">
        <w:rPr>
          <w:color w:val="000000" w:themeColor="text1"/>
          <w:lang w:val="en-CA"/>
        </w:rPr>
        <w:t>Judgment under appeal</w:t>
      </w:r>
      <w:r w:rsidRPr="00A85543">
        <w:rPr>
          <w:color w:val="000000" w:themeColor="text1"/>
          <w:lang w:val="en-CA"/>
        </w:rPr>
        <w:t xml:space="preserve">, </w:t>
      </w:r>
      <w:r w:rsidRPr="00A85543">
        <w:rPr>
          <w:i/>
          <w:iCs/>
          <w:color w:val="000000" w:themeColor="text1"/>
          <w:lang w:val="en-CA"/>
        </w:rPr>
        <w:t>supra</w:t>
      </w:r>
      <w:r w:rsidRPr="00A85543">
        <w:rPr>
          <w:color w:val="000000" w:themeColor="text1"/>
          <w:lang w:val="en-CA"/>
        </w:rPr>
        <w:t xml:space="preserve"> note 1 at para 121.</w:t>
      </w:r>
    </w:p>
  </w:footnote>
  <w:footnote w:id="11">
    <w:p w14:paraId="12F320A0" w14:textId="1763A16A" w:rsidR="005B1845" w:rsidRPr="00801E56" w:rsidRDefault="005B1845" w:rsidP="005B1845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801E56">
        <w:rPr>
          <w:color w:val="000000" w:themeColor="text1"/>
        </w:rPr>
        <w:t xml:space="preserve">  </w:t>
      </w:r>
      <w:r w:rsidRPr="00801E56">
        <w:rPr>
          <w:color w:val="000000" w:themeColor="text1"/>
        </w:rPr>
        <w:tab/>
      </w:r>
      <w:r w:rsidRPr="00801E56">
        <w:rPr>
          <w:i/>
          <w:color w:val="000000" w:themeColor="text1"/>
        </w:rPr>
        <w:t>I</w:t>
      </w:r>
      <w:r w:rsidR="00D4734D">
        <w:rPr>
          <w:i/>
          <w:color w:val="000000" w:themeColor="text1"/>
        </w:rPr>
        <w:t>bi</w:t>
      </w:r>
      <w:r w:rsidRPr="00801E56">
        <w:rPr>
          <w:i/>
          <w:color w:val="000000" w:themeColor="text1"/>
        </w:rPr>
        <w:t>d.</w:t>
      </w:r>
      <w:r w:rsidRPr="00801E56">
        <w:rPr>
          <w:color w:val="000000" w:themeColor="text1"/>
        </w:rPr>
        <w:t xml:space="preserve"> at paras 53-62, 123-124.</w:t>
      </w:r>
    </w:p>
  </w:footnote>
  <w:footnote w:id="12">
    <w:p w14:paraId="399D48E2" w14:textId="77777777" w:rsidR="005B1845" w:rsidRPr="00376552" w:rsidRDefault="005B1845" w:rsidP="005B1845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 xml:space="preserve">Droit de la famille </w:t>
      </w:r>
      <w:r w:rsidRPr="00376552">
        <w:rPr>
          <w:color w:val="000000" w:themeColor="text1"/>
        </w:rPr>
        <w:t xml:space="preserve">— </w:t>
      </w:r>
      <w:r w:rsidRPr="00376552">
        <w:rPr>
          <w:i/>
          <w:color w:val="000000" w:themeColor="text1"/>
        </w:rPr>
        <w:t>103038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2010 QCCA 2074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72; </w:t>
      </w:r>
      <w:r w:rsidRPr="00376552">
        <w:rPr>
          <w:rFonts w:cs="Arial"/>
          <w:i/>
          <w:color w:val="000000" w:themeColor="text1"/>
        </w:rPr>
        <w:t>Droit de la famille — 162823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2016 QCCA 1874</w:t>
      </w:r>
      <w:r>
        <w:rPr>
          <w:rFonts w:cs="Arial"/>
          <w:color w:val="000000" w:themeColor="text1"/>
        </w:rPr>
        <w:t xml:space="preserve"> at paras</w:t>
      </w:r>
      <w:r w:rsidRPr="00376552">
        <w:rPr>
          <w:rFonts w:cs="Arial"/>
          <w:color w:val="000000" w:themeColor="text1"/>
        </w:rPr>
        <w:t xml:space="preserve"> 28-30; </w:t>
      </w:r>
      <w:r w:rsidRPr="00376552">
        <w:rPr>
          <w:rFonts w:cs="Arial"/>
          <w:i/>
          <w:color w:val="000000" w:themeColor="text1"/>
        </w:rPr>
        <w:t>Droit de la famille — 121521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2012 QCCA 1144</w:t>
      </w:r>
      <w:r>
        <w:rPr>
          <w:rStyle w:val="Lienhypertexte"/>
          <w:rFonts w:cs="Arial"/>
          <w:color w:val="000000" w:themeColor="text1"/>
          <w:u w:val="none"/>
        </w:rPr>
        <w:t xml:space="preserve"> at para</w:t>
      </w:r>
      <w:r w:rsidRPr="00376552">
        <w:rPr>
          <w:rStyle w:val="Lienhypertexte"/>
          <w:rFonts w:cs="Arial"/>
          <w:color w:val="000000" w:themeColor="text1"/>
          <w:u w:val="none"/>
        </w:rPr>
        <w:t xml:space="preserve"> 49;</w:t>
      </w:r>
      <w:r w:rsidRPr="00376552">
        <w:rPr>
          <w:rFonts w:cs="Arial"/>
          <w:i/>
          <w:color w:val="000000" w:themeColor="text1"/>
        </w:rPr>
        <w:t xml:space="preserve"> Droit de la famille — 09859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2009 QCCA 747</w:t>
      </w:r>
      <w:r>
        <w:rPr>
          <w:rStyle w:val="Lienhypertexte"/>
          <w:rFonts w:cs="Arial"/>
          <w:color w:val="000000" w:themeColor="text1"/>
          <w:u w:val="none"/>
        </w:rPr>
        <w:t xml:space="preserve"> at para</w:t>
      </w:r>
      <w:r w:rsidRPr="00376552">
        <w:rPr>
          <w:rStyle w:val="Lienhypertexte"/>
          <w:rFonts w:cs="Arial"/>
          <w:color w:val="000000" w:themeColor="text1"/>
          <w:u w:val="none"/>
        </w:rPr>
        <w:t xml:space="preserve"> 13</w:t>
      </w:r>
      <w:r w:rsidRPr="00376552">
        <w:rPr>
          <w:color w:val="000000" w:themeColor="text1"/>
        </w:rPr>
        <w:t>.</w:t>
      </w:r>
    </w:p>
  </w:footnote>
  <w:footnote w:id="13">
    <w:p w14:paraId="69FBD33E" w14:textId="77777777" w:rsidR="00D96163" w:rsidRPr="0068531C" w:rsidRDefault="00D96163" w:rsidP="00D96163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68531C">
        <w:rPr>
          <w:color w:val="000000" w:themeColor="text1"/>
          <w:lang w:val="en-CA"/>
        </w:rPr>
        <w:t xml:space="preserve"> </w:t>
      </w:r>
      <w:r w:rsidRPr="0068531C">
        <w:rPr>
          <w:color w:val="000000" w:themeColor="text1"/>
          <w:lang w:val="en-CA"/>
        </w:rPr>
        <w:tab/>
      </w:r>
      <w:r w:rsidRPr="0068531C">
        <w:rPr>
          <w:i/>
          <w:color w:val="000000" w:themeColor="text1"/>
          <w:lang w:val="en-CA"/>
        </w:rPr>
        <w:t>G.V. c. C.G.</w:t>
      </w:r>
      <w:r w:rsidRPr="0068531C">
        <w:rPr>
          <w:color w:val="000000" w:themeColor="text1"/>
          <w:lang w:val="en-CA"/>
        </w:rPr>
        <w:t xml:space="preserve">, </w:t>
      </w:r>
      <w:r w:rsidRPr="0068531C">
        <w:rPr>
          <w:rStyle w:val="Lienhypertexte"/>
          <w:color w:val="000000" w:themeColor="text1"/>
          <w:u w:val="none"/>
          <w:lang w:val="en-CA"/>
        </w:rPr>
        <w:t>2006 QCCA 763</w:t>
      </w:r>
      <w:r w:rsidRPr="0068531C">
        <w:rPr>
          <w:color w:val="000000" w:themeColor="text1"/>
          <w:lang w:val="en-CA"/>
        </w:rPr>
        <w:t xml:space="preserve"> at para 103;</w:t>
      </w:r>
      <w:r w:rsidRPr="0068531C">
        <w:rPr>
          <w:i/>
          <w:color w:val="000000" w:themeColor="text1"/>
          <w:lang w:val="en-CA"/>
        </w:rPr>
        <w:t xml:space="preserve"> L.S. c. A.C.</w:t>
      </w:r>
      <w:r w:rsidRPr="0068531C">
        <w:rPr>
          <w:color w:val="000000" w:themeColor="text1"/>
          <w:lang w:val="en-CA"/>
        </w:rPr>
        <w:t xml:space="preserve">, </w:t>
      </w:r>
      <w:r w:rsidRPr="0068531C">
        <w:rPr>
          <w:rStyle w:val="Lienhypertexte"/>
          <w:color w:val="000000" w:themeColor="text1"/>
          <w:u w:val="none"/>
          <w:lang w:val="en-CA"/>
        </w:rPr>
        <w:t>2006 QCCA 888</w:t>
      </w:r>
      <w:r w:rsidRPr="0068531C">
        <w:rPr>
          <w:color w:val="000000" w:themeColor="text1"/>
          <w:lang w:val="en-CA"/>
        </w:rPr>
        <w:t xml:space="preserve"> at para 37.</w:t>
      </w:r>
    </w:p>
  </w:footnote>
  <w:footnote w:id="14">
    <w:p w14:paraId="5BA20DCD" w14:textId="77777777" w:rsidR="003B5CEE" w:rsidRPr="00376552" w:rsidRDefault="003B5CEE" w:rsidP="003B5CEE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Droit de la famille — 09196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2009 QCCA 194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2.</w:t>
      </w:r>
    </w:p>
  </w:footnote>
  <w:footnote w:id="15">
    <w:p w14:paraId="5BBF3DC6" w14:textId="7B7E8A41" w:rsidR="005B6359" w:rsidRPr="00801E56" w:rsidRDefault="005B6359" w:rsidP="005B6359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801E56">
        <w:rPr>
          <w:color w:val="000000" w:themeColor="text1"/>
          <w:lang w:val="en-CA"/>
        </w:rPr>
        <w:t xml:space="preserve"> </w:t>
      </w:r>
      <w:r w:rsidRPr="00801E56">
        <w:rPr>
          <w:color w:val="000000" w:themeColor="text1"/>
          <w:lang w:val="en-CA"/>
        </w:rPr>
        <w:tab/>
      </w:r>
      <w:r w:rsidR="005F21F2" w:rsidRPr="00801E56">
        <w:rPr>
          <w:color w:val="000000" w:themeColor="text1"/>
          <w:lang w:val="en-CA"/>
        </w:rPr>
        <w:t>Judgment under appeal</w:t>
      </w:r>
      <w:r w:rsidRPr="00801E56">
        <w:rPr>
          <w:color w:val="000000" w:themeColor="text1"/>
          <w:lang w:val="en-CA"/>
        </w:rPr>
        <w:t xml:space="preserve">, </w:t>
      </w:r>
      <w:r w:rsidRPr="00801E56">
        <w:rPr>
          <w:i/>
          <w:iCs/>
          <w:color w:val="000000" w:themeColor="text1"/>
          <w:lang w:val="en-CA"/>
        </w:rPr>
        <w:t>supra</w:t>
      </w:r>
      <w:r w:rsidRPr="00801E56">
        <w:rPr>
          <w:color w:val="000000" w:themeColor="text1"/>
          <w:lang w:val="en-CA"/>
        </w:rPr>
        <w:t xml:space="preserve"> note 1 at para</w:t>
      </w:r>
      <w:r w:rsidR="005F21F2" w:rsidRPr="00801E56">
        <w:rPr>
          <w:color w:val="000000" w:themeColor="text1"/>
          <w:lang w:val="en-CA"/>
        </w:rPr>
        <w:t>s</w:t>
      </w:r>
      <w:r w:rsidRPr="00801E56">
        <w:rPr>
          <w:color w:val="000000" w:themeColor="text1"/>
          <w:lang w:val="en-CA"/>
        </w:rPr>
        <w:t xml:space="preserve"> 23, 24 </w:t>
      </w:r>
      <w:r w:rsidR="00950063">
        <w:rPr>
          <w:color w:val="000000" w:themeColor="text1"/>
          <w:lang w:val="en-CA"/>
        </w:rPr>
        <w:t>and</w:t>
      </w:r>
      <w:r w:rsidR="00950063" w:rsidRPr="00801E56">
        <w:rPr>
          <w:color w:val="000000" w:themeColor="text1"/>
          <w:lang w:val="en-CA"/>
        </w:rPr>
        <w:t xml:space="preserve"> </w:t>
      </w:r>
      <w:r w:rsidRPr="00801E56">
        <w:rPr>
          <w:color w:val="000000" w:themeColor="text1"/>
          <w:lang w:val="en-CA"/>
        </w:rPr>
        <w:t>26.</w:t>
      </w:r>
    </w:p>
  </w:footnote>
  <w:footnote w:id="16">
    <w:p w14:paraId="4046B385" w14:textId="13750762" w:rsidR="00406F53" w:rsidRPr="00376552" w:rsidRDefault="00406F53" w:rsidP="00406F53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282134">
        <w:rPr>
          <w:color w:val="000000" w:themeColor="text1"/>
          <w:lang w:val="en-CA"/>
        </w:rPr>
        <w:t xml:space="preserve"> </w:t>
      </w:r>
      <w:r w:rsidRPr="00282134">
        <w:rPr>
          <w:color w:val="000000" w:themeColor="text1"/>
          <w:lang w:val="en-CA"/>
        </w:rPr>
        <w:tab/>
        <w:t>What matters is [</w:t>
      </w:r>
      <w:r w:rsidRPr="00282134">
        <w:rPr>
          <w:smallCaps/>
          <w:color w:val="000000" w:themeColor="text1"/>
          <w:lang w:val="en-CA"/>
        </w:rPr>
        <w:t>translation</w:t>
      </w:r>
      <w:r w:rsidRPr="00282134">
        <w:rPr>
          <w:color w:val="000000" w:themeColor="text1"/>
          <w:lang w:val="en-CA"/>
        </w:rPr>
        <w:t xml:space="preserve">] </w:t>
      </w:r>
      <w:r w:rsidR="00950063">
        <w:rPr>
          <w:lang w:val="en-CA"/>
        </w:rPr>
        <w:t>“</w:t>
      </w:r>
      <w:r w:rsidRPr="00282134">
        <w:rPr>
          <w:lang w:val="en-CA"/>
        </w:rPr>
        <w:t>the actual ability to find and hold a job</w:t>
      </w:r>
      <w:r w:rsidR="009F5900">
        <w:rPr>
          <w:lang w:val="en-CA"/>
        </w:rPr>
        <w:t>”</w:t>
      </w:r>
      <w:r w:rsidRPr="00282134">
        <w:rPr>
          <w:lang w:val="en-CA"/>
        </w:rPr>
        <w:t xml:space="preserve"> </w:t>
      </w:r>
      <w:r w:rsidRPr="00282134">
        <w:rPr>
          <w:color w:val="000000" w:themeColor="text1"/>
          <w:lang w:val="en-CA"/>
        </w:rPr>
        <w:t xml:space="preserve">(Michel </w:t>
      </w:r>
      <w:proofErr w:type="spellStart"/>
      <w:r w:rsidRPr="00282134">
        <w:rPr>
          <w:color w:val="000000" w:themeColor="text1"/>
          <w:lang w:val="en-CA"/>
        </w:rPr>
        <w:t>Tétrault</w:t>
      </w:r>
      <w:proofErr w:type="spellEnd"/>
      <w:r w:rsidRPr="00282134">
        <w:rPr>
          <w:color w:val="000000" w:themeColor="text1"/>
          <w:lang w:val="en-CA"/>
        </w:rPr>
        <w:t xml:space="preserve">, </w:t>
      </w:r>
      <w:r w:rsidRPr="00282134">
        <w:rPr>
          <w:i/>
          <w:color w:val="000000" w:themeColor="text1"/>
          <w:lang w:val="en-CA"/>
        </w:rPr>
        <w:t xml:space="preserve">Droit de la </w:t>
      </w:r>
      <w:proofErr w:type="spellStart"/>
      <w:r w:rsidRPr="00282134">
        <w:rPr>
          <w:i/>
          <w:color w:val="000000" w:themeColor="text1"/>
          <w:lang w:val="en-CA"/>
        </w:rPr>
        <w:t>famille</w:t>
      </w:r>
      <w:proofErr w:type="spellEnd"/>
      <w:r w:rsidRPr="00282134">
        <w:rPr>
          <w:i/>
          <w:color w:val="000000" w:themeColor="text1"/>
          <w:lang w:val="en-CA"/>
        </w:rPr>
        <w:t> : </w:t>
      </w:r>
      <w:proofErr w:type="spellStart"/>
      <w:r w:rsidRPr="00282134">
        <w:rPr>
          <w:i/>
          <w:color w:val="000000" w:themeColor="text1"/>
          <w:lang w:val="en-CA"/>
        </w:rPr>
        <w:t>L’obligation</w:t>
      </w:r>
      <w:proofErr w:type="spellEnd"/>
      <w:r w:rsidRPr="00282134">
        <w:rPr>
          <w:i/>
          <w:color w:val="000000" w:themeColor="text1"/>
          <w:lang w:val="en-CA"/>
        </w:rPr>
        <w:t xml:space="preserve"> </w:t>
      </w:r>
      <w:proofErr w:type="spellStart"/>
      <w:r w:rsidRPr="00282134">
        <w:rPr>
          <w:i/>
          <w:color w:val="000000" w:themeColor="text1"/>
          <w:lang w:val="en-CA"/>
        </w:rPr>
        <w:t>alimentaire</w:t>
      </w:r>
      <w:proofErr w:type="spellEnd"/>
      <w:r w:rsidRPr="00282134">
        <w:rPr>
          <w:color w:val="000000" w:themeColor="text1"/>
          <w:lang w:val="en-CA"/>
        </w:rPr>
        <w:t xml:space="preserve">, </w:t>
      </w:r>
      <w:r w:rsidR="00950063">
        <w:rPr>
          <w:color w:val="000000" w:themeColor="text1"/>
          <w:lang w:val="en-CA"/>
        </w:rPr>
        <w:t xml:space="preserve">4th </w:t>
      </w:r>
      <w:proofErr w:type="spellStart"/>
      <w:r w:rsidR="00950063">
        <w:rPr>
          <w:color w:val="000000" w:themeColor="text1"/>
          <w:lang w:val="en-CA"/>
        </w:rPr>
        <w:t>ed</w:t>
      </w:r>
      <w:proofErr w:type="spellEnd"/>
      <w:r w:rsidRPr="00282134">
        <w:rPr>
          <w:color w:val="000000" w:themeColor="text1"/>
          <w:lang w:val="en-CA"/>
        </w:rPr>
        <w:t xml:space="preserve">, </w:t>
      </w:r>
      <w:proofErr w:type="spellStart"/>
      <w:r w:rsidRPr="00282134">
        <w:rPr>
          <w:color w:val="000000" w:themeColor="text1"/>
          <w:lang w:val="en-CA"/>
        </w:rPr>
        <w:t>vol</w:t>
      </w:r>
      <w:proofErr w:type="spellEnd"/>
      <w:r w:rsidRPr="00282134">
        <w:rPr>
          <w:color w:val="000000" w:themeColor="text1"/>
          <w:lang w:val="en-CA"/>
        </w:rPr>
        <w:t xml:space="preserve"> 2 </w:t>
      </w:r>
      <w:r w:rsidR="00950063">
        <w:rPr>
          <w:color w:val="000000" w:themeColor="text1"/>
          <w:lang w:val="en-CA"/>
        </w:rPr>
        <w:t>(</w:t>
      </w:r>
      <w:r w:rsidRPr="00282134">
        <w:rPr>
          <w:color w:val="000000" w:themeColor="text1"/>
          <w:lang w:val="en-CA"/>
        </w:rPr>
        <w:t xml:space="preserve">Cowansville, </w:t>
      </w:r>
      <w:r w:rsidR="00950063">
        <w:rPr>
          <w:color w:val="000000" w:themeColor="text1"/>
          <w:lang w:val="en-CA"/>
        </w:rPr>
        <w:t xml:space="preserve">Que.: </w:t>
      </w:r>
      <w:r w:rsidRPr="00282134">
        <w:rPr>
          <w:color w:val="000000" w:themeColor="text1"/>
          <w:lang w:val="en-CA"/>
        </w:rPr>
        <w:t>Yvon Blais, 2011</w:t>
      </w:r>
      <w:r w:rsidR="00950063">
        <w:rPr>
          <w:color w:val="000000" w:themeColor="text1"/>
          <w:lang w:val="en-CA"/>
        </w:rPr>
        <w:t>) at</w:t>
      </w:r>
      <w:r w:rsidRPr="00282134">
        <w:rPr>
          <w:color w:val="000000" w:themeColor="text1"/>
          <w:lang w:val="en-CA"/>
        </w:rPr>
        <w:t xml:space="preserve"> 565). </w:t>
      </w:r>
      <w:r>
        <w:rPr>
          <w:color w:val="000000" w:themeColor="text1"/>
        </w:rPr>
        <w:t>See</w:t>
      </w:r>
      <w:r w:rsidRPr="00376552"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also</w:t>
      </w:r>
      <w:proofErr w:type="spellEnd"/>
      <w:r w:rsidRPr="00376552">
        <w:rPr>
          <w:color w:val="000000" w:themeColor="text1"/>
        </w:rPr>
        <w:t>:</w:t>
      </w:r>
      <w:r w:rsidRPr="00376552">
        <w:rPr>
          <w:i/>
          <w:color w:val="000000" w:themeColor="text1"/>
        </w:rPr>
        <w:t xml:space="preserve"> Droit de la famille — 132381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2013 QCCA 1505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170; </w:t>
      </w:r>
      <w:r w:rsidRPr="00376552">
        <w:rPr>
          <w:rFonts w:cs="Arial"/>
          <w:i/>
          <w:color w:val="000000" w:themeColor="text1"/>
        </w:rPr>
        <w:t>Droit de la famille — 162823</w:t>
      </w:r>
      <w:r w:rsidRPr="00376552">
        <w:rPr>
          <w:rFonts w:cs="Arial"/>
          <w:color w:val="000000" w:themeColor="text1"/>
        </w:rPr>
        <w:t xml:space="preserve">, </w:t>
      </w:r>
      <w:r w:rsidRPr="00376552">
        <w:rPr>
          <w:rStyle w:val="Lienhypertexte"/>
          <w:rFonts w:cs="Arial"/>
          <w:color w:val="000000" w:themeColor="text1"/>
          <w:u w:val="none"/>
        </w:rPr>
        <w:t>2016 QCCA 1874</w:t>
      </w:r>
      <w:r>
        <w:rPr>
          <w:rFonts w:cs="Arial"/>
          <w:color w:val="000000" w:themeColor="text1"/>
        </w:rPr>
        <w:t xml:space="preserve"> at paras</w:t>
      </w:r>
      <w:r w:rsidRPr="00376552">
        <w:rPr>
          <w:rFonts w:cs="Arial"/>
          <w:color w:val="000000" w:themeColor="text1"/>
        </w:rPr>
        <w:t xml:space="preserve"> 28-30</w:t>
      </w:r>
      <w:r w:rsidRPr="00376552">
        <w:rPr>
          <w:color w:val="000000" w:themeColor="text1"/>
        </w:rPr>
        <w:t>.</w:t>
      </w:r>
    </w:p>
  </w:footnote>
  <w:footnote w:id="17">
    <w:p w14:paraId="513FEFE6" w14:textId="4C2154AB" w:rsidR="00BA11E4" w:rsidRPr="00406F53" w:rsidRDefault="00BA11E4" w:rsidP="00BA11E4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406F53">
        <w:rPr>
          <w:color w:val="000000" w:themeColor="text1"/>
          <w:lang w:val="en-CA"/>
        </w:rPr>
        <w:t xml:space="preserve"> </w:t>
      </w:r>
      <w:r w:rsidRPr="00406F53">
        <w:rPr>
          <w:color w:val="000000" w:themeColor="text1"/>
          <w:lang w:val="en-CA"/>
        </w:rPr>
        <w:tab/>
      </w:r>
      <w:r w:rsidRPr="007169D7">
        <w:rPr>
          <w:color w:val="000000" w:themeColor="text1"/>
          <w:lang w:val="en-CA"/>
        </w:rPr>
        <w:t>Judgment under appeal</w:t>
      </w:r>
      <w:r w:rsidRPr="00406F53">
        <w:rPr>
          <w:color w:val="000000" w:themeColor="text1"/>
          <w:lang w:val="en-CA"/>
        </w:rPr>
        <w:t xml:space="preserve">, </w:t>
      </w:r>
      <w:r w:rsidRPr="00406F53">
        <w:rPr>
          <w:i/>
          <w:iCs/>
          <w:color w:val="000000" w:themeColor="text1"/>
          <w:lang w:val="en-CA"/>
        </w:rPr>
        <w:t>supra</w:t>
      </w:r>
      <w:r w:rsidRPr="00406F53">
        <w:rPr>
          <w:color w:val="000000" w:themeColor="text1"/>
          <w:lang w:val="en-CA"/>
        </w:rPr>
        <w:t xml:space="preserve"> note 1 at para 108.</w:t>
      </w:r>
    </w:p>
  </w:footnote>
  <w:footnote w:id="18">
    <w:p w14:paraId="6C9BBE05" w14:textId="77777777" w:rsidR="00BB02A3" w:rsidRPr="00376552" w:rsidRDefault="00BB02A3" w:rsidP="00BB02A3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Droit de la famille — 112800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2011 QCCA 1624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8. </w:t>
      </w:r>
    </w:p>
  </w:footnote>
  <w:footnote w:id="19">
    <w:p w14:paraId="5888A0AD" w14:textId="7BB73245" w:rsidR="00CF07F1" w:rsidRPr="00376552" w:rsidRDefault="00CF07F1" w:rsidP="00CF07F1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261AFA">
        <w:rPr>
          <w:color w:val="000000" w:themeColor="text1"/>
          <w:lang w:val="en-CA"/>
        </w:rPr>
        <w:t xml:space="preserve"> </w:t>
      </w:r>
      <w:r w:rsidRPr="00261AFA">
        <w:rPr>
          <w:color w:val="000000" w:themeColor="text1"/>
          <w:lang w:val="en-CA"/>
        </w:rPr>
        <w:tab/>
      </w:r>
      <w:r w:rsidRPr="00261AFA">
        <w:rPr>
          <w:i/>
          <w:color w:val="000000" w:themeColor="text1"/>
          <w:lang w:val="en-CA"/>
        </w:rPr>
        <w:t>L. D. c. M. J.</w:t>
      </w:r>
      <w:r w:rsidRPr="00261AFA">
        <w:rPr>
          <w:color w:val="000000" w:themeColor="text1"/>
          <w:lang w:val="en-CA"/>
        </w:rPr>
        <w:t xml:space="preserve">, </w:t>
      </w:r>
      <w:r w:rsidRPr="00261AFA">
        <w:rPr>
          <w:rStyle w:val="Lienhypertexte"/>
          <w:color w:val="000000" w:themeColor="text1"/>
          <w:u w:val="none"/>
          <w:lang w:val="en-CA"/>
        </w:rPr>
        <w:t>2005 CanLII 11160</w:t>
      </w:r>
      <w:r w:rsidRPr="00261AFA">
        <w:rPr>
          <w:color w:val="000000" w:themeColor="text1"/>
          <w:lang w:val="en-CA"/>
        </w:rPr>
        <w:t xml:space="preserve"> at para 141 (</w:t>
      </w:r>
      <w:r>
        <w:rPr>
          <w:color w:val="000000" w:themeColor="text1"/>
          <w:lang w:val="en-CA"/>
        </w:rPr>
        <w:t>QC CS</w:t>
      </w:r>
      <w:r w:rsidRPr="00261AFA">
        <w:rPr>
          <w:color w:val="000000" w:themeColor="text1"/>
          <w:lang w:val="en-CA"/>
        </w:rPr>
        <w:t xml:space="preserve">), </w:t>
      </w:r>
      <w:r w:rsidR="00F6029C">
        <w:rPr>
          <w:color w:val="000000" w:themeColor="text1"/>
          <w:lang w:val="en-CA"/>
        </w:rPr>
        <w:t>aff’d</w:t>
      </w:r>
      <w:r w:rsidRPr="00261AFA">
        <w:rPr>
          <w:color w:val="000000" w:themeColor="text1"/>
          <w:lang w:val="en-CA"/>
        </w:rPr>
        <w:t xml:space="preserve">: </w:t>
      </w:r>
      <w:r w:rsidRPr="00261AFA">
        <w:rPr>
          <w:i/>
          <w:color w:val="000000" w:themeColor="text1"/>
          <w:lang w:val="en-CA"/>
        </w:rPr>
        <w:t>M.J. c. L.D.</w:t>
      </w:r>
      <w:r w:rsidRPr="00261AFA">
        <w:rPr>
          <w:color w:val="000000" w:themeColor="text1"/>
          <w:lang w:val="en-CA"/>
        </w:rPr>
        <w:t xml:space="preserve">, </w:t>
      </w:r>
      <w:r w:rsidRPr="00261AFA">
        <w:rPr>
          <w:rStyle w:val="Lienhypertexte"/>
          <w:color w:val="000000" w:themeColor="text1"/>
          <w:u w:val="none"/>
          <w:lang w:val="en-CA"/>
        </w:rPr>
        <w:t>2006 QCCA 1374</w:t>
      </w:r>
      <w:r w:rsidRPr="00261AFA">
        <w:rPr>
          <w:color w:val="000000" w:themeColor="text1"/>
          <w:lang w:val="en-CA"/>
        </w:rPr>
        <w:t xml:space="preserve"> at para 54. </w:t>
      </w:r>
      <w:r>
        <w:rPr>
          <w:color w:val="000000" w:themeColor="text1"/>
        </w:rPr>
        <w:t xml:space="preserve">See </w:t>
      </w:r>
      <w:proofErr w:type="spellStart"/>
      <w:r>
        <w:rPr>
          <w:color w:val="000000" w:themeColor="text1"/>
        </w:rPr>
        <w:t>also</w:t>
      </w:r>
      <w:proofErr w:type="spellEnd"/>
      <w:r w:rsidRPr="00376552">
        <w:rPr>
          <w:color w:val="000000" w:themeColor="text1"/>
        </w:rPr>
        <w:t xml:space="preserve"> </w:t>
      </w:r>
      <w:r w:rsidRPr="00376552">
        <w:rPr>
          <w:i/>
          <w:color w:val="000000" w:themeColor="text1"/>
        </w:rPr>
        <w:t>Droit de la famille — 172961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2017 QCCA 1994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32; </w:t>
      </w:r>
      <w:r w:rsidRPr="00376552">
        <w:rPr>
          <w:i/>
          <w:iCs/>
          <w:color w:val="000000" w:themeColor="text1"/>
        </w:rPr>
        <w:t>Droit de la famille – 2244</w:t>
      </w:r>
      <w:r w:rsidRPr="00376552">
        <w:rPr>
          <w:color w:val="000000" w:themeColor="text1"/>
        </w:rPr>
        <w:t>, [1995] R.D.F. 401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23-29, </w:t>
      </w:r>
      <w:r w:rsidRPr="00376552">
        <w:rPr>
          <w:rStyle w:val="Lienhypertexte"/>
          <w:color w:val="000000" w:themeColor="text1"/>
          <w:u w:val="none"/>
          <w:lang w:val="fr-FR"/>
        </w:rPr>
        <w:t>1995 CanLII 4672</w:t>
      </w:r>
      <w:r w:rsidRPr="00376552">
        <w:rPr>
          <w:color w:val="000000" w:themeColor="text1"/>
        </w:rPr>
        <w:t xml:space="preserve"> (</w:t>
      </w:r>
      <w:r>
        <w:rPr>
          <w:color w:val="000000" w:themeColor="text1"/>
        </w:rPr>
        <w:t>QC CA</w:t>
      </w:r>
      <w:r w:rsidRPr="00376552">
        <w:rPr>
          <w:color w:val="000000" w:themeColor="text1"/>
        </w:rPr>
        <w:t>).</w:t>
      </w:r>
    </w:p>
  </w:footnote>
  <w:footnote w:id="20">
    <w:p w14:paraId="68AE410E" w14:textId="0105F51D" w:rsidR="005E402D" w:rsidRPr="00376552" w:rsidRDefault="005E402D" w:rsidP="005E402D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L. D. c. M. J.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2005 CanLII 11160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141-143 (</w:t>
      </w:r>
      <w:r>
        <w:rPr>
          <w:color w:val="000000" w:themeColor="text1"/>
        </w:rPr>
        <w:t>QC CS</w:t>
      </w:r>
      <w:r w:rsidRPr="00376552">
        <w:rPr>
          <w:color w:val="000000" w:themeColor="text1"/>
        </w:rPr>
        <w:t xml:space="preserve">), </w:t>
      </w:r>
      <w:proofErr w:type="spellStart"/>
      <w:r w:rsidR="00F6029C">
        <w:rPr>
          <w:color w:val="000000" w:themeColor="text1"/>
        </w:rPr>
        <w:t>aff’d</w:t>
      </w:r>
      <w:proofErr w:type="spellEnd"/>
      <w:r>
        <w:rPr>
          <w:color w:val="000000" w:themeColor="text1"/>
        </w:rPr>
        <w:t xml:space="preserve">: </w:t>
      </w:r>
      <w:r w:rsidRPr="00376552">
        <w:rPr>
          <w:i/>
          <w:color w:val="000000" w:themeColor="text1"/>
        </w:rPr>
        <w:t>M.J. c. L.D.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2006 QCCA 1374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54; </w:t>
      </w:r>
      <w:r w:rsidRPr="00376552">
        <w:rPr>
          <w:i/>
          <w:color w:val="000000" w:themeColor="text1"/>
        </w:rPr>
        <w:t>Droit de la famille — 18230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2018 QCCS 421</w:t>
      </w:r>
      <w:r>
        <w:rPr>
          <w:rStyle w:val="Lienhypertexte"/>
          <w:color w:val="000000" w:themeColor="text1"/>
          <w:u w:val="none"/>
        </w:rPr>
        <w:t xml:space="preserve"> at para</w:t>
      </w:r>
      <w:r w:rsidRPr="00376552">
        <w:rPr>
          <w:rStyle w:val="Lienhypertexte"/>
          <w:color w:val="000000" w:themeColor="text1"/>
          <w:u w:val="none"/>
        </w:rPr>
        <w:t xml:space="preserve"> 33.</w:t>
      </w:r>
    </w:p>
  </w:footnote>
  <w:footnote w:id="21">
    <w:p w14:paraId="6097574D" w14:textId="2D4C6C93" w:rsidR="00755291" w:rsidRPr="00EF20D4" w:rsidRDefault="00755291" w:rsidP="00755291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EF20D4">
        <w:rPr>
          <w:color w:val="000000" w:themeColor="text1"/>
          <w:lang w:val="en-CA"/>
        </w:rPr>
        <w:t xml:space="preserve"> </w:t>
      </w:r>
      <w:r w:rsidRPr="00EF20D4">
        <w:rPr>
          <w:color w:val="000000" w:themeColor="text1"/>
          <w:lang w:val="en-CA"/>
        </w:rPr>
        <w:tab/>
        <w:t xml:space="preserve">Judgment under appeal, </w:t>
      </w:r>
      <w:r w:rsidRPr="00EF20D4">
        <w:rPr>
          <w:i/>
          <w:iCs/>
          <w:color w:val="000000" w:themeColor="text1"/>
          <w:lang w:val="en-CA"/>
        </w:rPr>
        <w:t>supra</w:t>
      </w:r>
      <w:r w:rsidRPr="00EF20D4">
        <w:rPr>
          <w:color w:val="000000" w:themeColor="text1"/>
          <w:lang w:val="en-CA"/>
        </w:rPr>
        <w:t xml:space="preserve"> note 1 at paras 78, 83 </w:t>
      </w:r>
      <w:r w:rsidR="008921E2" w:rsidRPr="00EF20D4">
        <w:rPr>
          <w:color w:val="000000" w:themeColor="text1"/>
          <w:lang w:val="en-CA"/>
        </w:rPr>
        <w:t>a</w:t>
      </w:r>
      <w:r w:rsidRPr="00EF20D4">
        <w:rPr>
          <w:color w:val="000000" w:themeColor="text1"/>
          <w:lang w:val="en-CA"/>
        </w:rPr>
        <w:t>t 113.</w:t>
      </w:r>
    </w:p>
  </w:footnote>
  <w:footnote w:id="22">
    <w:p w14:paraId="2ABCC59F" w14:textId="77777777" w:rsidR="00755291" w:rsidRPr="00376552" w:rsidRDefault="00755291" w:rsidP="00755291">
      <w:pPr>
        <w:pStyle w:val="Notedebasdepage"/>
        <w:rPr>
          <w:color w:val="000000" w:themeColor="text1"/>
          <w:lang w:val="fr-FR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</w:t>
      </w:r>
      <w:r w:rsidRPr="00376552">
        <w:rPr>
          <w:color w:val="000000" w:themeColor="text1"/>
          <w:lang w:val="fr-FR"/>
        </w:rPr>
        <w:tab/>
      </w:r>
      <w:r w:rsidRPr="00376552">
        <w:rPr>
          <w:i/>
          <w:color w:val="000000" w:themeColor="text1"/>
        </w:rPr>
        <w:t>Droit de la famille — 19201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2019 QCCA 272</w:t>
      </w:r>
      <w:r>
        <w:rPr>
          <w:color w:val="000000" w:themeColor="text1"/>
        </w:rPr>
        <w:t xml:space="preserve"> at para</w:t>
      </w:r>
      <w:r w:rsidRPr="00376552">
        <w:rPr>
          <w:color w:val="000000" w:themeColor="text1"/>
        </w:rPr>
        <w:t xml:space="preserve"> 31.</w:t>
      </w:r>
    </w:p>
  </w:footnote>
  <w:footnote w:id="23">
    <w:p w14:paraId="1DE9EAA4" w14:textId="2CDE9706" w:rsidR="00F34D5A" w:rsidRPr="00D1338B" w:rsidRDefault="00F34D5A" w:rsidP="00F34D5A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EC0ABC">
        <w:rPr>
          <w:color w:val="000000" w:themeColor="text1"/>
          <w:lang w:val="en-CA"/>
        </w:rPr>
        <w:t xml:space="preserve"> </w:t>
      </w:r>
      <w:r w:rsidRPr="00EC0ABC">
        <w:rPr>
          <w:color w:val="000000" w:themeColor="text1"/>
          <w:lang w:val="en-CA"/>
        </w:rPr>
        <w:tab/>
      </w:r>
      <w:r w:rsidRPr="00783497">
        <w:rPr>
          <w:color w:val="000000" w:themeColor="text1"/>
          <w:lang w:val="en-CA"/>
        </w:rPr>
        <w:t>Th</w:t>
      </w:r>
      <w:r>
        <w:rPr>
          <w:color w:val="000000" w:themeColor="text1"/>
          <w:lang w:val="en-CA"/>
        </w:rPr>
        <w:t>e respondent estimates this amount to be $</w:t>
      </w:r>
      <w:r w:rsidRPr="00783497">
        <w:rPr>
          <w:color w:val="000000" w:themeColor="text1"/>
          <w:lang w:val="en-CA"/>
        </w:rPr>
        <w:t>453</w:t>
      </w:r>
      <w:r>
        <w:rPr>
          <w:color w:val="000000" w:themeColor="text1"/>
          <w:lang w:val="en-CA"/>
        </w:rPr>
        <w:t>,</w:t>
      </w:r>
      <w:r w:rsidRPr="00783497">
        <w:rPr>
          <w:color w:val="000000" w:themeColor="text1"/>
          <w:lang w:val="en-CA"/>
        </w:rPr>
        <w:t>842</w:t>
      </w:r>
      <w:r>
        <w:rPr>
          <w:color w:val="000000" w:themeColor="text1"/>
          <w:lang w:val="en-CA"/>
        </w:rPr>
        <w:t>.</w:t>
      </w:r>
      <w:r w:rsidRPr="00783497">
        <w:rPr>
          <w:color w:val="000000" w:themeColor="text1"/>
          <w:lang w:val="en-CA"/>
        </w:rPr>
        <w:t>12:</w:t>
      </w:r>
      <w:r>
        <w:rPr>
          <w:color w:val="000000" w:themeColor="text1"/>
          <w:lang w:val="en-CA"/>
        </w:rPr>
        <w:t xml:space="preserve"> Defendant’s Statement of Income and Expenditures and Balance Sheet, September 24, 2019. The actual amount is $</w:t>
      </w:r>
      <w:r w:rsidRPr="000A2EC1">
        <w:rPr>
          <w:color w:val="000000" w:themeColor="text1"/>
          <w:lang w:val="en-CA"/>
        </w:rPr>
        <w:t>453</w:t>
      </w:r>
      <w:r>
        <w:rPr>
          <w:color w:val="000000" w:themeColor="text1"/>
          <w:lang w:val="en-CA"/>
        </w:rPr>
        <w:t>,</w:t>
      </w:r>
      <w:r w:rsidRPr="000A2EC1">
        <w:rPr>
          <w:color w:val="000000" w:themeColor="text1"/>
          <w:lang w:val="en-CA"/>
        </w:rPr>
        <w:t xml:space="preserve">534.12: </w:t>
      </w:r>
      <w:r>
        <w:rPr>
          <w:color w:val="000000" w:themeColor="text1"/>
          <w:lang w:val="en-CA"/>
        </w:rPr>
        <w:t>C</w:t>
      </w:r>
      <w:r w:rsidRPr="000A2EC1">
        <w:rPr>
          <w:color w:val="000000" w:themeColor="text1"/>
          <w:lang w:val="en-CA"/>
        </w:rPr>
        <w:t>onsen</w:t>
      </w:r>
      <w:r>
        <w:rPr>
          <w:color w:val="000000" w:themeColor="text1"/>
          <w:lang w:val="en-CA"/>
        </w:rPr>
        <w:t>t to Partial Judgment on Corollary Relief signed by the parties on August 30, 2019, and September 6, 2019. The judge determined that it would be $</w:t>
      </w:r>
      <w:r w:rsidRPr="00D1338B">
        <w:rPr>
          <w:color w:val="000000" w:themeColor="text1"/>
          <w:lang w:val="en-CA"/>
        </w:rPr>
        <w:t>387</w:t>
      </w:r>
      <w:r>
        <w:rPr>
          <w:color w:val="000000" w:themeColor="text1"/>
          <w:lang w:val="en-CA"/>
        </w:rPr>
        <w:t>,</w:t>
      </w:r>
      <w:r w:rsidRPr="00D1338B">
        <w:rPr>
          <w:color w:val="000000" w:themeColor="text1"/>
          <w:lang w:val="en-CA"/>
        </w:rPr>
        <w:t>247.22 for the a</w:t>
      </w:r>
      <w:r>
        <w:rPr>
          <w:color w:val="000000" w:themeColor="text1"/>
          <w:lang w:val="en-CA"/>
        </w:rPr>
        <w:t>ppellant, [</w:t>
      </w:r>
      <w:r w:rsidRPr="00F16DA5">
        <w:rPr>
          <w:smallCaps/>
          <w:color w:val="000000" w:themeColor="text1"/>
          <w:lang w:val="en-CA"/>
        </w:rPr>
        <w:t>translation</w:t>
      </w:r>
      <w:r>
        <w:rPr>
          <w:color w:val="000000" w:themeColor="text1"/>
          <w:lang w:val="en-CA"/>
        </w:rPr>
        <w:t>] “excluding the $39,000 held in trust with her attorney”:</w:t>
      </w:r>
      <w:r w:rsidRPr="00F16DA5">
        <w:rPr>
          <w:color w:val="000000" w:themeColor="text1"/>
          <w:lang w:val="en-CA"/>
        </w:rPr>
        <w:t xml:space="preserve"> Judgment under appeal, </w:t>
      </w:r>
      <w:r w:rsidRPr="00F16DA5">
        <w:rPr>
          <w:i/>
          <w:iCs/>
          <w:color w:val="000000" w:themeColor="text1"/>
          <w:lang w:val="en-CA"/>
        </w:rPr>
        <w:t>supra</w:t>
      </w:r>
      <w:r w:rsidRPr="00F16DA5">
        <w:rPr>
          <w:iCs/>
          <w:color w:val="000000" w:themeColor="text1"/>
          <w:lang w:val="en-CA"/>
        </w:rPr>
        <w:t>,</w:t>
      </w:r>
      <w:r w:rsidRPr="00F16DA5">
        <w:rPr>
          <w:color w:val="000000" w:themeColor="text1"/>
          <w:lang w:val="en-CA"/>
        </w:rPr>
        <w:t xml:space="preserve"> note 1 at para 105.</w:t>
      </w:r>
      <w:r>
        <w:rPr>
          <w:color w:val="000000" w:themeColor="text1"/>
          <w:lang w:val="en-CA"/>
        </w:rPr>
        <w:t xml:space="preserve"> There is thus less than $30,000 difference between the parties’ assets in this case.</w:t>
      </w:r>
    </w:p>
  </w:footnote>
  <w:footnote w:id="24">
    <w:p w14:paraId="187F1B43" w14:textId="189AA072" w:rsidR="007640D9" w:rsidRPr="00783497" w:rsidRDefault="007640D9" w:rsidP="007640D9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783497">
        <w:rPr>
          <w:color w:val="000000" w:themeColor="text1"/>
          <w:lang w:val="en-CA"/>
        </w:rPr>
        <w:t xml:space="preserve"> </w:t>
      </w:r>
      <w:r w:rsidRPr="00783497">
        <w:rPr>
          <w:color w:val="000000" w:themeColor="text1"/>
          <w:lang w:val="en-CA"/>
        </w:rPr>
        <w:tab/>
      </w:r>
      <w:r w:rsidRPr="007169D7">
        <w:rPr>
          <w:color w:val="000000" w:themeColor="text1"/>
          <w:lang w:val="en-CA"/>
        </w:rPr>
        <w:t>Judgment under appeal</w:t>
      </w:r>
      <w:r w:rsidRPr="00783497">
        <w:rPr>
          <w:color w:val="000000" w:themeColor="text1"/>
          <w:lang w:val="en-CA"/>
        </w:rPr>
        <w:t xml:space="preserve">, </w:t>
      </w:r>
      <w:r w:rsidRPr="00783497">
        <w:rPr>
          <w:i/>
          <w:iCs/>
          <w:color w:val="000000" w:themeColor="text1"/>
          <w:lang w:val="en-CA"/>
        </w:rPr>
        <w:t>supra</w:t>
      </w:r>
      <w:r w:rsidRPr="00783497">
        <w:rPr>
          <w:color w:val="000000" w:themeColor="text1"/>
          <w:lang w:val="en-CA"/>
        </w:rPr>
        <w:t xml:space="preserve"> note 1 at para</w:t>
      </w:r>
      <w:r>
        <w:rPr>
          <w:color w:val="000000" w:themeColor="text1"/>
          <w:lang w:val="en-CA"/>
        </w:rPr>
        <w:t>s</w:t>
      </w:r>
      <w:r w:rsidRPr="00783497">
        <w:rPr>
          <w:color w:val="000000" w:themeColor="text1"/>
          <w:lang w:val="en-CA"/>
        </w:rPr>
        <w:t xml:space="preserve"> 100-106 </w:t>
      </w:r>
      <w:r w:rsidR="00EF20D4">
        <w:rPr>
          <w:color w:val="000000" w:themeColor="text1"/>
          <w:lang w:val="en-CA"/>
        </w:rPr>
        <w:t>and</w:t>
      </w:r>
      <w:r w:rsidRPr="00783497">
        <w:rPr>
          <w:color w:val="000000" w:themeColor="text1"/>
          <w:lang w:val="en-CA"/>
        </w:rPr>
        <w:t xml:space="preserve"> 108.</w:t>
      </w:r>
    </w:p>
  </w:footnote>
  <w:footnote w:id="25">
    <w:p w14:paraId="42B1A091" w14:textId="4E0AC4D6" w:rsidR="00F926B5" w:rsidRPr="0068531C" w:rsidRDefault="00F926B5" w:rsidP="00F926B5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68531C">
        <w:rPr>
          <w:color w:val="000000" w:themeColor="text1"/>
          <w:lang w:val="en-CA"/>
        </w:rPr>
        <w:t xml:space="preserve"> </w:t>
      </w:r>
      <w:r w:rsidRPr="0068531C">
        <w:rPr>
          <w:color w:val="000000" w:themeColor="text1"/>
          <w:lang w:val="en-CA"/>
        </w:rPr>
        <w:tab/>
      </w:r>
      <w:r w:rsidRPr="0068531C">
        <w:rPr>
          <w:i/>
          <w:color w:val="000000" w:themeColor="text1"/>
          <w:lang w:val="en-CA"/>
        </w:rPr>
        <w:t>I</w:t>
      </w:r>
      <w:r w:rsidR="00C60256">
        <w:rPr>
          <w:i/>
          <w:color w:val="000000" w:themeColor="text1"/>
          <w:lang w:val="en-CA"/>
        </w:rPr>
        <w:t>bi</w:t>
      </w:r>
      <w:r w:rsidRPr="0068531C">
        <w:rPr>
          <w:i/>
          <w:color w:val="000000" w:themeColor="text1"/>
          <w:lang w:val="en-CA"/>
        </w:rPr>
        <w:t>d.</w:t>
      </w:r>
      <w:r w:rsidRPr="0068531C">
        <w:rPr>
          <w:color w:val="000000" w:themeColor="text1"/>
          <w:lang w:val="en-CA"/>
        </w:rPr>
        <w:t xml:space="preserve"> at para</w:t>
      </w:r>
      <w:r>
        <w:rPr>
          <w:color w:val="000000" w:themeColor="text1"/>
          <w:lang w:val="en-CA"/>
        </w:rPr>
        <w:t>s</w:t>
      </w:r>
      <w:r w:rsidRPr="0068531C">
        <w:rPr>
          <w:color w:val="000000" w:themeColor="text1"/>
          <w:lang w:val="en-CA"/>
        </w:rPr>
        <w:t xml:space="preserve"> 107-109.</w:t>
      </w:r>
    </w:p>
  </w:footnote>
  <w:footnote w:id="26">
    <w:p w14:paraId="5DC35AA7" w14:textId="2EC8B38C" w:rsidR="00272987" w:rsidRPr="00801E56" w:rsidRDefault="00272987" w:rsidP="00272987">
      <w:pPr>
        <w:pStyle w:val="Notedebasdepage"/>
        <w:rPr>
          <w:color w:val="000000" w:themeColor="text1"/>
          <w:lang w:val="en-CA"/>
        </w:rPr>
      </w:pPr>
      <w:r w:rsidRPr="00376552">
        <w:rPr>
          <w:rStyle w:val="Appelnotedebasdep"/>
          <w:color w:val="000000" w:themeColor="text1"/>
        </w:rPr>
        <w:footnoteRef/>
      </w:r>
      <w:r w:rsidRPr="00801E56">
        <w:rPr>
          <w:color w:val="000000" w:themeColor="text1"/>
          <w:lang w:val="en-CA"/>
        </w:rPr>
        <w:t xml:space="preserve"> </w:t>
      </w:r>
      <w:r w:rsidRPr="00801E56">
        <w:rPr>
          <w:color w:val="000000" w:themeColor="text1"/>
          <w:lang w:val="en-CA"/>
        </w:rPr>
        <w:tab/>
      </w:r>
      <w:r w:rsidRPr="00801E56">
        <w:rPr>
          <w:i/>
          <w:color w:val="000000" w:themeColor="text1"/>
          <w:lang w:val="en-CA"/>
        </w:rPr>
        <w:t>I</w:t>
      </w:r>
      <w:r w:rsidR="00C60256">
        <w:rPr>
          <w:i/>
          <w:color w:val="000000" w:themeColor="text1"/>
          <w:lang w:val="en-CA"/>
        </w:rPr>
        <w:t>bi</w:t>
      </w:r>
      <w:r w:rsidRPr="00801E56">
        <w:rPr>
          <w:i/>
          <w:color w:val="000000" w:themeColor="text1"/>
          <w:lang w:val="en-CA"/>
        </w:rPr>
        <w:t>d.</w:t>
      </w:r>
      <w:r w:rsidRPr="00801E56">
        <w:rPr>
          <w:color w:val="000000" w:themeColor="text1"/>
          <w:lang w:val="en-CA"/>
        </w:rPr>
        <w:t xml:space="preserve"> at para 153.</w:t>
      </w:r>
    </w:p>
  </w:footnote>
  <w:footnote w:id="27">
    <w:p w14:paraId="79E1130B" w14:textId="77777777" w:rsidR="00AF268A" w:rsidRPr="00FC0446" w:rsidRDefault="00AF268A" w:rsidP="00AF268A">
      <w:pPr>
        <w:pStyle w:val="Notedebasdepage"/>
        <w:rPr>
          <w:color w:val="000000" w:themeColor="text1"/>
        </w:rPr>
      </w:pPr>
      <w:r w:rsidRPr="00376552">
        <w:rPr>
          <w:rStyle w:val="Appelnotedebasdep"/>
          <w:color w:val="000000" w:themeColor="text1"/>
        </w:rPr>
        <w:footnoteRef/>
      </w:r>
      <w:r w:rsidRPr="00376552">
        <w:rPr>
          <w:color w:val="000000" w:themeColor="text1"/>
        </w:rPr>
        <w:t xml:space="preserve">  </w:t>
      </w:r>
      <w:r w:rsidRPr="00376552">
        <w:rPr>
          <w:color w:val="000000" w:themeColor="text1"/>
        </w:rPr>
        <w:tab/>
      </w:r>
      <w:r w:rsidRPr="00376552">
        <w:rPr>
          <w:i/>
          <w:color w:val="000000" w:themeColor="text1"/>
          <w:lang w:val="fr-FR"/>
        </w:rPr>
        <w:t>Droit de la famille — 2013</w:t>
      </w:r>
      <w:r w:rsidRPr="00376552">
        <w:rPr>
          <w:color w:val="000000" w:themeColor="text1"/>
          <w:lang w:val="fr-FR"/>
        </w:rPr>
        <w:t xml:space="preserve">, </w:t>
      </w:r>
      <w:r w:rsidRPr="00376552">
        <w:rPr>
          <w:rStyle w:val="Lienhypertexte"/>
          <w:color w:val="000000" w:themeColor="text1"/>
          <w:u w:val="none"/>
          <w:lang w:val="fr-FR"/>
        </w:rPr>
        <w:t>2020 QCCA 19</w:t>
      </w:r>
      <w:r>
        <w:rPr>
          <w:color w:val="000000" w:themeColor="text1"/>
          <w:lang w:val="fr-FR"/>
        </w:rPr>
        <w:t xml:space="preserve"> at para</w:t>
      </w:r>
      <w:r w:rsidRPr="00376552">
        <w:rPr>
          <w:color w:val="000000" w:themeColor="text1"/>
          <w:lang w:val="fr-FR"/>
        </w:rPr>
        <w:t xml:space="preserve"> 19; </w:t>
      </w:r>
      <w:r w:rsidRPr="00376552">
        <w:rPr>
          <w:i/>
          <w:color w:val="000000" w:themeColor="text1"/>
          <w:lang w:val="fr-FR"/>
        </w:rPr>
        <w:t>Droit de la famille — 19582</w:t>
      </w:r>
      <w:r w:rsidRPr="00376552">
        <w:rPr>
          <w:color w:val="000000" w:themeColor="text1"/>
          <w:lang w:val="fr-FR"/>
        </w:rPr>
        <w:t xml:space="preserve">, </w:t>
      </w:r>
      <w:r w:rsidRPr="00376552">
        <w:rPr>
          <w:rStyle w:val="Lienhypertexte"/>
          <w:color w:val="000000" w:themeColor="text1"/>
          <w:u w:val="none"/>
          <w:lang w:val="fr-FR"/>
        </w:rPr>
        <w:t>2019 QCCA 647</w:t>
      </w:r>
      <w:r>
        <w:rPr>
          <w:color w:val="000000" w:themeColor="text1"/>
          <w:lang w:val="fr-FR"/>
        </w:rPr>
        <w:t xml:space="preserve"> at paras</w:t>
      </w:r>
      <w:r w:rsidRPr="00376552">
        <w:rPr>
          <w:color w:val="000000" w:themeColor="text1"/>
          <w:lang w:val="fr-FR"/>
        </w:rPr>
        <w:t xml:space="preserve"> 43-44;</w:t>
      </w:r>
      <w:r w:rsidRPr="00376552">
        <w:rPr>
          <w:i/>
          <w:color w:val="000000" w:themeColor="text1"/>
        </w:rPr>
        <w:t xml:space="preserve"> Droit de la famille — 172961</w:t>
      </w:r>
      <w:r w:rsidRPr="00376552">
        <w:rPr>
          <w:color w:val="000000" w:themeColor="text1"/>
        </w:rPr>
        <w:t xml:space="preserve">, </w:t>
      </w:r>
      <w:r w:rsidRPr="00376552">
        <w:rPr>
          <w:rStyle w:val="Lienhypertexte"/>
          <w:color w:val="000000" w:themeColor="text1"/>
          <w:u w:val="none"/>
        </w:rPr>
        <w:t>2017 QCCA 1994</w:t>
      </w:r>
      <w:r>
        <w:rPr>
          <w:color w:val="000000" w:themeColor="text1"/>
        </w:rPr>
        <w:t xml:space="preserve"> at paras</w:t>
      </w:r>
      <w:r w:rsidRPr="00376552">
        <w:rPr>
          <w:color w:val="000000" w:themeColor="text1"/>
        </w:rPr>
        <w:t xml:space="preserve"> 32-33;</w:t>
      </w:r>
      <w:r w:rsidRPr="00376552">
        <w:rPr>
          <w:color w:val="000000" w:themeColor="text1"/>
          <w:lang w:val="fr-FR"/>
        </w:rPr>
        <w:t xml:space="preserve"> </w:t>
      </w:r>
      <w:r w:rsidRPr="00376552">
        <w:rPr>
          <w:i/>
          <w:color w:val="000000" w:themeColor="text1"/>
          <w:lang w:val="fr-FR"/>
        </w:rPr>
        <w:t>Droit de la famille — 142142</w:t>
      </w:r>
      <w:r w:rsidRPr="00376552">
        <w:rPr>
          <w:color w:val="000000" w:themeColor="text1"/>
          <w:lang w:val="fr-FR"/>
        </w:rPr>
        <w:t xml:space="preserve">, </w:t>
      </w:r>
      <w:r w:rsidRPr="00376552">
        <w:rPr>
          <w:rStyle w:val="Lienhypertexte"/>
          <w:color w:val="000000" w:themeColor="text1"/>
          <w:u w:val="none"/>
          <w:lang w:val="fr-FR"/>
        </w:rPr>
        <w:t>2014 QCCA 1562</w:t>
      </w:r>
      <w:r>
        <w:rPr>
          <w:color w:val="000000" w:themeColor="text1"/>
          <w:lang w:val="fr-FR"/>
        </w:rPr>
        <w:t xml:space="preserve"> at paras</w:t>
      </w:r>
      <w:r w:rsidRPr="00376552">
        <w:rPr>
          <w:color w:val="000000" w:themeColor="text1"/>
          <w:lang w:val="fr-FR"/>
        </w:rPr>
        <w:t xml:space="preserve"> 134, 135;</w:t>
      </w:r>
      <w:r w:rsidRPr="00376552">
        <w:rPr>
          <w:i/>
          <w:color w:val="000000" w:themeColor="text1"/>
          <w:lang w:val="fr-FR"/>
        </w:rPr>
        <w:t xml:space="preserve"> L.S. c. A.C.</w:t>
      </w:r>
      <w:r w:rsidRPr="00376552">
        <w:rPr>
          <w:color w:val="000000" w:themeColor="text1"/>
          <w:lang w:val="fr-FR"/>
        </w:rPr>
        <w:t xml:space="preserve">, </w:t>
      </w:r>
      <w:r w:rsidRPr="00376552">
        <w:rPr>
          <w:rStyle w:val="Lienhypertexte"/>
          <w:color w:val="000000" w:themeColor="text1"/>
          <w:u w:val="none"/>
          <w:lang w:val="fr-FR"/>
        </w:rPr>
        <w:t>2006 QCCA 888</w:t>
      </w:r>
      <w:r>
        <w:rPr>
          <w:color w:val="000000" w:themeColor="text1"/>
          <w:lang w:val="fr-FR"/>
        </w:rPr>
        <w:t xml:space="preserve"> at para</w:t>
      </w:r>
      <w:r w:rsidRPr="00376552">
        <w:rPr>
          <w:color w:val="000000" w:themeColor="text1"/>
          <w:lang w:val="fr-FR"/>
        </w:rPr>
        <w:t xml:space="preserve"> 78.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77C4" w14:textId="77777777" w:rsidR="00F87042" w:rsidRDefault="00F87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05B6" w14:textId="682ABD2F" w:rsidR="007E33E4" w:rsidRDefault="009E7D68" w:rsidP="00DB2119">
    <w:pPr>
      <w:tabs>
        <w:tab w:val="center" w:pos="4709"/>
        <w:tab w:val="right" w:pos="9360"/>
      </w:tabs>
      <w:spacing w:line="360" w:lineRule="auto"/>
      <w:ind w:right="524"/>
    </w:pPr>
    <w:bookmarkStart w:id="11" w:name="EntDossier"/>
    <w:r>
      <w:t>500-09-028934-206</w:t>
    </w:r>
    <w:bookmarkEnd w:id="11"/>
    <w:r w:rsidRPr="007462D6">
      <w:t xml:space="preserve"> </w:t>
    </w:r>
    <w:r>
      <w:tab/>
    </w:r>
    <w:r>
      <w:tab/>
      <w:t xml:space="preserve">PAGE : </w:t>
    </w:r>
    <w:r>
      <w:fldChar w:fldCharType="begin"/>
    </w:r>
    <w:r>
      <w:instrText xml:space="preserve"> PAGE </w:instrText>
    </w:r>
    <w:r>
      <w:fldChar w:fldCharType="separate"/>
    </w:r>
    <w:r w:rsidR="000C2DA0">
      <w:rPr>
        <w:noProof/>
      </w:rPr>
      <w:t>7</w:t>
    </w:r>
    <w:r>
      <w:fldChar w:fldCharType="end"/>
    </w:r>
  </w:p>
  <w:p w14:paraId="5C600569" w14:textId="77777777" w:rsidR="007E33E4" w:rsidRDefault="007E33E4" w:rsidP="00DB2119">
    <w:pPr>
      <w:tabs>
        <w:tab w:val="center" w:pos="4709"/>
        <w:tab w:val="right" w:pos="9360"/>
      </w:tabs>
      <w:spacing w:line="360" w:lineRule="auto"/>
      <w:ind w:right="5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E051" w14:textId="77777777" w:rsidR="00F87042" w:rsidRDefault="00F870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1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12E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264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C3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EAB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121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07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43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E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34A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B52DE"/>
    <w:multiLevelType w:val="multilevel"/>
    <w:tmpl w:val="C1E87ADC"/>
    <w:lvl w:ilvl="0">
      <w:start w:val="1"/>
      <w:numFmt w:val="decimal"/>
      <w:pStyle w:val="Paragraphe"/>
      <w:lvlText w:val="[%1]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  <w:lang w:val="en-CA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A9D1B84"/>
    <w:multiLevelType w:val="multilevel"/>
    <w:tmpl w:val="2766DEE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BA393B"/>
    <w:multiLevelType w:val="hybridMultilevel"/>
    <w:tmpl w:val="5D10C9D4"/>
    <w:lvl w:ilvl="0" w:tplc="DC62438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1021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6D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8F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07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7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8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A9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DCC"/>
    <w:multiLevelType w:val="multilevel"/>
    <w:tmpl w:val="F11C8164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1"/>
  </w:num>
  <w:num w:numId="18">
    <w:abstractNumId w:val="10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39"/>
    <w:rsid w:val="000022D3"/>
    <w:rsid w:val="0000369D"/>
    <w:rsid w:val="00007F82"/>
    <w:rsid w:val="000131E1"/>
    <w:rsid w:val="0003123B"/>
    <w:rsid w:val="00035F2E"/>
    <w:rsid w:val="00037654"/>
    <w:rsid w:val="0004394C"/>
    <w:rsid w:val="00043F5A"/>
    <w:rsid w:val="00046CE8"/>
    <w:rsid w:val="00046E72"/>
    <w:rsid w:val="00053691"/>
    <w:rsid w:val="00063E71"/>
    <w:rsid w:val="000829B6"/>
    <w:rsid w:val="00083CC6"/>
    <w:rsid w:val="0008656E"/>
    <w:rsid w:val="000876B4"/>
    <w:rsid w:val="0009203D"/>
    <w:rsid w:val="00092E54"/>
    <w:rsid w:val="00095371"/>
    <w:rsid w:val="000A2EC1"/>
    <w:rsid w:val="000A6511"/>
    <w:rsid w:val="000A7516"/>
    <w:rsid w:val="000B1399"/>
    <w:rsid w:val="000B42AF"/>
    <w:rsid w:val="000C2DA0"/>
    <w:rsid w:val="000D4354"/>
    <w:rsid w:val="000D61C0"/>
    <w:rsid w:val="000E0B67"/>
    <w:rsid w:val="000E14B5"/>
    <w:rsid w:val="000E4174"/>
    <w:rsid w:val="000F267E"/>
    <w:rsid w:val="000F6E73"/>
    <w:rsid w:val="00110B53"/>
    <w:rsid w:val="00112321"/>
    <w:rsid w:val="00113C22"/>
    <w:rsid w:val="0011583D"/>
    <w:rsid w:val="00117914"/>
    <w:rsid w:val="00120579"/>
    <w:rsid w:val="001233FD"/>
    <w:rsid w:val="0013028C"/>
    <w:rsid w:val="0013153C"/>
    <w:rsid w:val="00131E7C"/>
    <w:rsid w:val="00137761"/>
    <w:rsid w:val="00145582"/>
    <w:rsid w:val="001523F4"/>
    <w:rsid w:val="00154A5B"/>
    <w:rsid w:val="00155239"/>
    <w:rsid w:val="0015610F"/>
    <w:rsid w:val="00160B31"/>
    <w:rsid w:val="0016197C"/>
    <w:rsid w:val="001620D0"/>
    <w:rsid w:val="00166F69"/>
    <w:rsid w:val="001718EE"/>
    <w:rsid w:val="00171ADD"/>
    <w:rsid w:val="00173159"/>
    <w:rsid w:val="00176E07"/>
    <w:rsid w:val="001811EF"/>
    <w:rsid w:val="00181F56"/>
    <w:rsid w:val="00182D25"/>
    <w:rsid w:val="0018426D"/>
    <w:rsid w:val="001844C7"/>
    <w:rsid w:val="00184850"/>
    <w:rsid w:val="00190FA7"/>
    <w:rsid w:val="00193E0B"/>
    <w:rsid w:val="001972F2"/>
    <w:rsid w:val="001A1042"/>
    <w:rsid w:val="001B1E3B"/>
    <w:rsid w:val="001B7477"/>
    <w:rsid w:val="001C11AC"/>
    <w:rsid w:val="001C4417"/>
    <w:rsid w:val="001C4926"/>
    <w:rsid w:val="001C5D32"/>
    <w:rsid w:val="001C68F6"/>
    <w:rsid w:val="001D716D"/>
    <w:rsid w:val="001E286D"/>
    <w:rsid w:val="001E3CA2"/>
    <w:rsid w:val="001E49A1"/>
    <w:rsid w:val="001F0A9F"/>
    <w:rsid w:val="001F6D74"/>
    <w:rsid w:val="001F7163"/>
    <w:rsid w:val="00205DC4"/>
    <w:rsid w:val="00205F77"/>
    <w:rsid w:val="0021548E"/>
    <w:rsid w:val="00224EC8"/>
    <w:rsid w:val="002273F5"/>
    <w:rsid w:val="00233D4B"/>
    <w:rsid w:val="00234BAB"/>
    <w:rsid w:val="002437BB"/>
    <w:rsid w:val="00247517"/>
    <w:rsid w:val="00250F7A"/>
    <w:rsid w:val="00252624"/>
    <w:rsid w:val="002556C7"/>
    <w:rsid w:val="00257891"/>
    <w:rsid w:val="00261AFA"/>
    <w:rsid w:val="00262E69"/>
    <w:rsid w:val="002677AF"/>
    <w:rsid w:val="00267D40"/>
    <w:rsid w:val="00271FCE"/>
    <w:rsid w:val="00272987"/>
    <w:rsid w:val="00274925"/>
    <w:rsid w:val="00274F46"/>
    <w:rsid w:val="00281D95"/>
    <w:rsid w:val="00282134"/>
    <w:rsid w:val="002A24ED"/>
    <w:rsid w:val="002A39E1"/>
    <w:rsid w:val="002A46CA"/>
    <w:rsid w:val="002A4A93"/>
    <w:rsid w:val="002B4A07"/>
    <w:rsid w:val="002C2260"/>
    <w:rsid w:val="002C4107"/>
    <w:rsid w:val="002E229C"/>
    <w:rsid w:val="002E51F1"/>
    <w:rsid w:val="002F1350"/>
    <w:rsid w:val="002F3EA6"/>
    <w:rsid w:val="002F601F"/>
    <w:rsid w:val="002F6136"/>
    <w:rsid w:val="002F72F9"/>
    <w:rsid w:val="00313EC8"/>
    <w:rsid w:val="00315051"/>
    <w:rsid w:val="00322DE0"/>
    <w:rsid w:val="0032363D"/>
    <w:rsid w:val="003252A2"/>
    <w:rsid w:val="0033190E"/>
    <w:rsid w:val="00332CE6"/>
    <w:rsid w:val="0033422C"/>
    <w:rsid w:val="0034186C"/>
    <w:rsid w:val="003464BE"/>
    <w:rsid w:val="003532C9"/>
    <w:rsid w:val="00353C4C"/>
    <w:rsid w:val="00361325"/>
    <w:rsid w:val="00374888"/>
    <w:rsid w:val="00374E40"/>
    <w:rsid w:val="00376552"/>
    <w:rsid w:val="0039275E"/>
    <w:rsid w:val="003930B9"/>
    <w:rsid w:val="0039754A"/>
    <w:rsid w:val="003976F4"/>
    <w:rsid w:val="003A1415"/>
    <w:rsid w:val="003A1F23"/>
    <w:rsid w:val="003A4B6B"/>
    <w:rsid w:val="003A4C13"/>
    <w:rsid w:val="003A6DB4"/>
    <w:rsid w:val="003B0EC4"/>
    <w:rsid w:val="003B301E"/>
    <w:rsid w:val="003B37AF"/>
    <w:rsid w:val="003B5CEE"/>
    <w:rsid w:val="003B7D6F"/>
    <w:rsid w:val="003C5C1A"/>
    <w:rsid w:val="003D16D1"/>
    <w:rsid w:val="003D487D"/>
    <w:rsid w:val="003E201C"/>
    <w:rsid w:val="003E2B86"/>
    <w:rsid w:val="003E2CAF"/>
    <w:rsid w:val="003E3239"/>
    <w:rsid w:val="003E3E3C"/>
    <w:rsid w:val="003F319F"/>
    <w:rsid w:val="003F38D7"/>
    <w:rsid w:val="003F5580"/>
    <w:rsid w:val="003F65B6"/>
    <w:rsid w:val="00400B12"/>
    <w:rsid w:val="00406F53"/>
    <w:rsid w:val="00417654"/>
    <w:rsid w:val="00423DF1"/>
    <w:rsid w:val="00430C58"/>
    <w:rsid w:val="004331C4"/>
    <w:rsid w:val="0043564D"/>
    <w:rsid w:val="00441C25"/>
    <w:rsid w:val="00446452"/>
    <w:rsid w:val="0045069B"/>
    <w:rsid w:val="004522AE"/>
    <w:rsid w:val="00462DB6"/>
    <w:rsid w:val="00465A42"/>
    <w:rsid w:val="00471042"/>
    <w:rsid w:val="00472DC8"/>
    <w:rsid w:val="0047602C"/>
    <w:rsid w:val="004802EC"/>
    <w:rsid w:val="0048446A"/>
    <w:rsid w:val="00494CD4"/>
    <w:rsid w:val="00497D63"/>
    <w:rsid w:val="004A29F1"/>
    <w:rsid w:val="004A5E9F"/>
    <w:rsid w:val="004A6641"/>
    <w:rsid w:val="004B1CF9"/>
    <w:rsid w:val="004B1E94"/>
    <w:rsid w:val="004B33FF"/>
    <w:rsid w:val="004B39D1"/>
    <w:rsid w:val="004B48DF"/>
    <w:rsid w:val="004B4D09"/>
    <w:rsid w:val="004B5040"/>
    <w:rsid w:val="004D2F69"/>
    <w:rsid w:val="004D397F"/>
    <w:rsid w:val="004D56DA"/>
    <w:rsid w:val="004E001C"/>
    <w:rsid w:val="004E2448"/>
    <w:rsid w:val="004E4FBA"/>
    <w:rsid w:val="004F6B1B"/>
    <w:rsid w:val="005023E6"/>
    <w:rsid w:val="005076A6"/>
    <w:rsid w:val="0051045A"/>
    <w:rsid w:val="005123DB"/>
    <w:rsid w:val="005131F1"/>
    <w:rsid w:val="0051484F"/>
    <w:rsid w:val="00516AB1"/>
    <w:rsid w:val="00516B3E"/>
    <w:rsid w:val="00520663"/>
    <w:rsid w:val="00520D7B"/>
    <w:rsid w:val="005262C9"/>
    <w:rsid w:val="00531D70"/>
    <w:rsid w:val="005362C2"/>
    <w:rsid w:val="00543608"/>
    <w:rsid w:val="005441D6"/>
    <w:rsid w:val="00562E2D"/>
    <w:rsid w:val="0056413E"/>
    <w:rsid w:val="005656B0"/>
    <w:rsid w:val="00566BF6"/>
    <w:rsid w:val="00583434"/>
    <w:rsid w:val="0058349F"/>
    <w:rsid w:val="005904A0"/>
    <w:rsid w:val="00592C33"/>
    <w:rsid w:val="00596728"/>
    <w:rsid w:val="005A5854"/>
    <w:rsid w:val="005A7659"/>
    <w:rsid w:val="005A78BF"/>
    <w:rsid w:val="005A7A7B"/>
    <w:rsid w:val="005B1845"/>
    <w:rsid w:val="005B49B6"/>
    <w:rsid w:val="005B6359"/>
    <w:rsid w:val="005B6B4C"/>
    <w:rsid w:val="005C286E"/>
    <w:rsid w:val="005C3E3E"/>
    <w:rsid w:val="005C7516"/>
    <w:rsid w:val="005D05E9"/>
    <w:rsid w:val="005D143A"/>
    <w:rsid w:val="005D1522"/>
    <w:rsid w:val="005D553C"/>
    <w:rsid w:val="005D55DA"/>
    <w:rsid w:val="005E402D"/>
    <w:rsid w:val="005E407C"/>
    <w:rsid w:val="005E4449"/>
    <w:rsid w:val="005F21F2"/>
    <w:rsid w:val="005F265F"/>
    <w:rsid w:val="005F5F5F"/>
    <w:rsid w:val="005F677E"/>
    <w:rsid w:val="005F77AB"/>
    <w:rsid w:val="00602D0D"/>
    <w:rsid w:val="00603BA6"/>
    <w:rsid w:val="006137F0"/>
    <w:rsid w:val="00620518"/>
    <w:rsid w:val="00622840"/>
    <w:rsid w:val="00624770"/>
    <w:rsid w:val="0064250B"/>
    <w:rsid w:val="00643B69"/>
    <w:rsid w:val="00643D62"/>
    <w:rsid w:val="00645B8B"/>
    <w:rsid w:val="00650018"/>
    <w:rsid w:val="0066155A"/>
    <w:rsid w:val="00664A00"/>
    <w:rsid w:val="00666582"/>
    <w:rsid w:val="00670FF7"/>
    <w:rsid w:val="00674223"/>
    <w:rsid w:val="006826AA"/>
    <w:rsid w:val="0068356A"/>
    <w:rsid w:val="0068531C"/>
    <w:rsid w:val="00691230"/>
    <w:rsid w:val="0069274E"/>
    <w:rsid w:val="00692BD3"/>
    <w:rsid w:val="006A0DB0"/>
    <w:rsid w:val="006A6629"/>
    <w:rsid w:val="006A6A8D"/>
    <w:rsid w:val="006B6582"/>
    <w:rsid w:val="006C5EDC"/>
    <w:rsid w:val="006D2BFB"/>
    <w:rsid w:val="006D3D90"/>
    <w:rsid w:val="006D4944"/>
    <w:rsid w:val="006F140B"/>
    <w:rsid w:val="00702C73"/>
    <w:rsid w:val="00704B33"/>
    <w:rsid w:val="00714745"/>
    <w:rsid w:val="00715653"/>
    <w:rsid w:val="00716007"/>
    <w:rsid w:val="007169D7"/>
    <w:rsid w:val="00722C23"/>
    <w:rsid w:val="00724461"/>
    <w:rsid w:val="00726EF3"/>
    <w:rsid w:val="00740A17"/>
    <w:rsid w:val="007462D6"/>
    <w:rsid w:val="00746EDB"/>
    <w:rsid w:val="00747362"/>
    <w:rsid w:val="0074738B"/>
    <w:rsid w:val="00755291"/>
    <w:rsid w:val="00756FE2"/>
    <w:rsid w:val="0076062E"/>
    <w:rsid w:val="007640D9"/>
    <w:rsid w:val="0077278B"/>
    <w:rsid w:val="00783497"/>
    <w:rsid w:val="007838B5"/>
    <w:rsid w:val="007953F3"/>
    <w:rsid w:val="007A66C0"/>
    <w:rsid w:val="007A7651"/>
    <w:rsid w:val="007A7803"/>
    <w:rsid w:val="007B3387"/>
    <w:rsid w:val="007B48D5"/>
    <w:rsid w:val="007C7728"/>
    <w:rsid w:val="007D087C"/>
    <w:rsid w:val="007E33E4"/>
    <w:rsid w:val="007E4CC9"/>
    <w:rsid w:val="007F6045"/>
    <w:rsid w:val="007F6136"/>
    <w:rsid w:val="00800D23"/>
    <w:rsid w:val="00801E56"/>
    <w:rsid w:val="00811BC4"/>
    <w:rsid w:val="0081368B"/>
    <w:rsid w:val="0081387E"/>
    <w:rsid w:val="00815B27"/>
    <w:rsid w:val="00816273"/>
    <w:rsid w:val="00823881"/>
    <w:rsid w:val="0082717B"/>
    <w:rsid w:val="00827B04"/>
    <w:rsid w:val="0083032E"/>
    <w:rsid w:val="00841907"/>
    <w:rsid w:val="008472F8"/>
    <w:rsid w:val="00850C50"/>
    <w:rsid w:val="0086036A"/>
    <w:rsid w:val="00860755"/>
    <w:rsid w:val="0086108F"/>
    <w:rsid w:val="00861A4C"/>
    <w:rsid w:val="00862295"/>
    <w:rsid w:val="008653A3"/>
    <w:rsid w:val="008657A2"/>
    <w:rsid w:val="00866645"/>
    <w:rsid w:val="00867316"/>
    <w:rsid w:val="00871ABB"/>
    <w:rsid w:val="0087514D"/>
    <w:rsid w:val="00877F63"/>
    <w:rsid w:val="00882210"/>
    <w:rsid w:val="0088450D"/>
    <w:rsid w:val="0088614B"/>
    <w:rsid w:val="008921E2"/>
    <w:rsid w:val="008927AE"/>
    <w:rsid w:val="00896162"/>
    <w:rsid w:val="0089620A"/>
    <w:rsid w:val="008A6185"/>
    <w:rsid w:val="008B650F"/>
    <w:rsid w:val="008C1FE9"/>
    <w:rsid w:val="008C2A10"/>
    <w:rsid w:val="008C448A"/>
    <w:rsid w:val="008C7DCE"/>
    <w:rsid w:val="008D09DE"/>
    <w:rsid w:val="008D1549"/>
    <w:rsid w:val="008D18FC"/>
    <w:rsid w:val="008D2C63"/>
    <w:rsid w:val="008D398B"/>
    <w:rsid w:val="008D7E49"/>
    <w:rsid w:val="008E17D9"/>
    <w:rsid w:val="008E5FA7"/>
    <w:rsid w:val="008E6F7A"/>
    <w:rsid w:val="008F2D5D"/>
    <w:rsid w:val="008F364A"/>
    <w:rsid w:val="008F3F53"/>
    <w:rsid w:val="008F62DA"/>
    <w:rsid w:val="008F7543"/>
    <w:rsid w:val="009000DF"/>
    <w:rsid w:val="00900E08"/>
    <w:rsid w:val="00901870"/>
    <w:rsid w:val="009061A3"/>
    <w:rsid w:val="00907F2F"/>
    <w:rsid w:val="00913E03"/>
    <w:rsid w:val="0092276E"/>
    <w:rsid w:val="009229E9"/>
    <w:rsid w:val="00926953"/>
    <w:rsid w:val="00927EE1"/>
    <w:rsid w:val="00932A98"/>
    <w:rsid w:val="009353E9"/>
    <w:rsid w:val="00936469"/>
    <w:rsid w:val="0093725F"/>
    <w:rsid w:val="009400B7"/>
    <w:rsid w:val="0094248C"/>
    <w:rsid w:val="00950063"/>
    <w:rsid w:val="00952322"/>
    <w:rsid w:val="009547AC"/>
    <w:rsid w:val="00954D4A"/>
    <w:rsid w:val="00954DC2"/>
    <w:rsid w:val="00957B92"/>
    <w:rsid w:val="00960396"/>
    <w:rsid w:val="009622A9"/>
    <w:rsid w:val="009631EF"/>
    <w:rsid w:val="00964419"/>
    <w:rsid w:val="009670CC"/>
    <w:rsid w:val="00970966"/>
    <w:rsid w:val="00974442"/>
    <w:rsid w:val="00975DF9"/>
    <w:rsid w:val="009818F7"/>
    <w:rsid w:val="00983020"/>
    <w:rsid w:val="00986607"/>
    <w:rsid w:val="00994558"/>
    <w:rsid w:val="009A242C"/>
    <w:rsid w:val="009B0DBB"/>
    <w:rsid w:val="009C7BB9"/>
    <w:rsid w:val="009D30D8"/>
    <w:rsid w:val="009E0DA3"/>
    <w:rsid w:val="009E623E"/>
    <w:rsid w:val="009E6641"/>
    <w:rsid w:val="009E7D68"/>
    <w:rsid w:val="009F1F69"/>
    <w:rsid w:val="009F5900"/>
    <w:rsid w:val="00A050C7"/>
    <w:rsid w:val="00A23BF4"/>
    <w:rsid w:val="00A23EF1"/>
    <w:rsid w:val="00A2593B"/>
    <w:rsid w:val="00A300E8"/>
    <w:rsid w:val="00A32801"/>
    <w:rsid w:val="00A34E05"/>
    <w:rsid w:val="00A43D8B"/>
    <w:rsid w:val="00A454F1"/>
    <w:rsid w:val="00A45A2A"/>
    <w:rsid w:val="00A506E4"/>
    <w:rsid w:val="00A5220E"/>
    <w:rsid w:val="00A543CC"/>
    <w:rsid w:val="00A63741"/>
    <w:rsid w:val="00A70F81"/>
    <w:rsid w:val="00A71C27"/>
    <w:rsid w:val="00A72958"/>
    <w:rsid w:val="00A818E8"/>
    <w:rsid w:val="00A84B83"/>
    <w:rsid w:val="00A85543"/>
    <w:rsid w:val="00A93CFF"/>
    <w:rsid w:val="00A978F2"/>
    <w:rsid w:val="00AA3600"/>
    <w:rsid w:val="00AA6CA3"/>
    <w:rsid w:val="00AB05A6"/>
    <w:rsid w:val="00AB3A50"/>
    <w:rsid w:val="00AB6584"/>
    <w:rsid w:val="00AB6EC7"/>
    <w:rsid w:val="00AB7DD2"/>
    <w:rsid w:val="00AC3DC2"/>
    <w:rsid w:val="00AC3EF9"/>
    <w:rsid w:val="00AC5426"/>
    <w:rsid w:val="00AD1545"/>
    <w:rsid w:val="00AD78C4"/>
    <w:rsid w:val="00AE14B3"/>
    <w:rsid w:val="00AE1B4F"/>
    <w:rsid w:val="00AE289D"/>
    <w:rsid w:val="00AE3413"/>
    <w:rsid w:val="00AF0C7C"/>
    <w:rsid w:val="00AF268A"/>
    <w:rsid w:val="00AF770F"/>
    <w:rsid w:val="00B00956"/>
    <w:rsid w:val="00B01D86"/>
    <w:rsid w:val="00B02DA6"/>
    <w:rsid w:val="00B0388E"/>
    <w:rsid w:val="00B04C76"/>
    <w:rsid w:val="00B07E4E"/>
    <w:rsid w:val="00B11FD1"/>
    <w:rsid w:val="00B137E9"/>
    <w:rsid w:val="00B20721"/>
    <w:rsid w:val="00B248D8"/>
    <w:rsid w:val="00B2740E"/>
    <w:rsid w:val="00B30EA2"/>
    <w:rsid w:val="00B312E4"/>
    <w:rsid w:val="00B36ED3"/>
    <w:rsid w:val="00B44BBF"/>
    <w:rsid w:val="00B50B9C"/>
    <w:rsid w:val="00B513C9"/>
    <w:rsid w:val="00B56EF4"/>
    <w:rsid w:val="00B64FCD"/>
    <w:rsid w:val="00B67C74"/>
    <w:rsid w:val="00B70485"/>
    <w:rsid w:val="00B704FD"/>
    <w:rsid w:val="00B727CF"/>
    <w:rsid w:val="00B75E8B"/>
    <w:rsid w:val="00B82A13"/>
    <w:rsid w:val="00B83EFC"/>
    <w:rsid w:val="00B93D52"/>
    <w:rsid w:val="00B9560D"/>
    <w:rsid w:val="00BA11E4"/>
    <w:rsid w:val="00BA32E7"/>
    <w:rsid w:val="00BB02A3"/>
    <w:rsid w:val="00BD58A2"/>
    <w:rsid w:val="00BE1374"/>
    <w:rsid w:val="00BE7490"/>
    <w:rsid w:val="00BE7AE0"/>
    <w:rsid w:val="00BF30B1"/>
    <w:rsid w:val="00C02AF8"/>
    <w:rsid w:val="00C05950"/>
    <w:rsid w:val="00C06685"/>
    <w:rsid w:val="00C073FE"/>
    <w:rsid w:val="00C17E01"/>
    <w:rsid w:val="00C212BB"/>
    <w:rsid w:val="00C2248B"/>
    <w:rsid w:val="00C31AC4"/>
    <w:rsid w:val="00C3292B"/>
    <w:rsid w:val="00C35342"/>
    <w:rsid w:val="00C3687A"/>
    <w:rsid w:val="00C409BE"/>
    <w:rsid w:val="00C423CA"/>
    <w:rsid w:val="00C551CB"/>
    <w:rsid w:val="00C60256"/>
    <w:rsid w:val="00C62EC7"/>
    <w:rsid w:val="00C64868"/>
    <w:rsid w:val="00C64EAF"/>
    <w:rsid w:val="00C652ED"/>
    <w:rsid w:val="00C70064"/>
    <w:rsid w:val="00C75FC9"/>
    <w:rsid w:val="00C76ED8"/>
    <w:rsid w:val="00C7793C"/>
    <w:rsid w:val="00C80296"/>
    <w:rsid w:val="00C87029"/>
    <w:rsid w:val="00C939A8"/>
    <w:rsid w:val="00C97145"/>
    <w:rsid w:val="00CA0D75"/>
    <w:rsid w:val="00CB683E"/>
    <w:rsid w:val="00CD0B4C"/>
    <w:rsid w:val="00CD19E3"/>
    <w:rsid w:val="00CD5174"/>
    <w:rsid w:val="00CD68E2"/>
    <w:rsid w:val="00CE199C"/>
    <w:rsid w:val="00CF07F1"/>
    <w:rsid w:val="00CF74BA"/>
    <w:rsid w:val="00D010FD"/>
    <w:rsid w:val="00D02812"/>
    <w:rsid w:val="00D03C8E"/>
    <w:rsid w:val="00D0777C"/>
    <w:rsid w:val="00D1338B"/>
    <w:rsid w:val="00D20056"/>
    <w:rsid w:val="00D35764"/>
    <w:rsid w:val="00D4734D"/>
    <w:rsid w:val="00D53E39"/>
    <w:rsid w:val="00D5412D"/>
    <w:rsid w:val="00D54DE6"/>
    <w:rsid w:val="00D551B9"/>
    <w:rsid w:val="00D71707"/>
    <w:rsid w:val="00D7218A"/>
    <w:rsid w:val="00D72280"/>
    <w:rsid w:val="00D839B8"/>
    <w:rsid w:val="00D91FB7"/>
    <w:rsid w:val="00D94373"/>
    <w:rsid w:val="00D96163"/>
    <w:rsid w:val="00DA1EF3"/>
    <w:rsid w:val="00DA6FD0"/>
    <w:rsid w:val="00DA76CA"/>
    <w:rsid w:val="00DB197C"/>
    <w:rsid w:val="00DB2119"/>
    <w:rsid w:val="00DB27DA"/>
    <w:rsid w:val="00DB3EB1"/>
    <w:rsid w:val="00DC05BC"/>
    <w:rsid w:val="00DC14D1"/>
    <w:rsid w:val="00DD007A"/>
    <w:rsid w:val="00DD01E6"/>
    <w:rsid w:val="00DD3A24"/>
    <w:rsid w:val="00DD4C64"/>
    <w:rsid w:val="00DD727F"/>
    <w:rsid w:val="00DE0502"/>
    <w:rsid w:val="00DF1786"/>
    <w:rsid w:val="00DF3516"/>
    <w:rsid w:val="00DF741A"/>
    <w:rsid w:val="00E02EDA"/>
    <w:rsid w:val="00E03C07"/>
    <w:rsid w:val="00E05446"/>
    <w:rsid w:val="00E0554C"/>
    <w:rsid w:val="00E06935"/>
    <w:rsid w:val="00E111D3"/>
    <w:rsid w:val="00E16C59"/>
    <w:rsid w:val="00E20577"/>
    <w:rsid w:val="00E20E3C"/>
    <w:rsid w:val="00E21001"/>
    <w:rsid w:val="00E30E3C"/>
    <w:rsid w:val="00E36290"/>
    <w:rsid w:val="00E479AD"/>
    <w:rsid w:val="00E532A9"/>
    <w:rsid w:val="00E6013B"/>
    <w:rsid w:val="00E73F7C"/>
    <w:rsid w:val="00E81E61"/>
    <w:rsid w:val="00E82091"/>
    <w:rsid w:val="00E848B4"/>
    <w:rsid w:val="00E91417"/>
    <w:rsid w:val="00E94329"/>
    <w:rsid w:val="00E947D0"/>
    <w:rsid w:val="00E94AC5"/>
    <w:rsid w:val="00EA1801"/>
    <w:rsid w:val="00EB1377"/>
    <w:rsid w:val="00EC0309"/>
    <w:rsid w:val="00EC0ABC"/>
    <w:rsid w:val="00EC1E33"/>
    <w:rsid w:val="00EC591A"/>
    <w:rsid w:val="00EC7256"/>
    <w:rsid w:val="00ED1ACF"/>
    <w:rsid w:val="00ED3694"/>
    <w:rsid w:val="00ED57A1"/>
    <w:rsid w:val="00EE2886"/>
    <w:rsid w:val="00EE79C8"/>
    <w:rsid w:val="00EF20D4"/>
    <w:rsid w:val="00F05BF8"/>
    <w:rsid w:val="00F07022"/>
    <w:rsid w:val="00F1119E"/>
    <w:rsid w:val="00F11200"/>
    <w:rsid w:val="00F16DA5"/>
    <w:rsid w:val="00F206FF"/>
    <w:rsid w:val="00F23371"/>
    <w:rsid w:val="00F265CE"/>
    <w:rsid w:val="00F303AC"/>
    <w:rsid w:val="00F33E30"/>
    <w:rsid w:val="00F34D5A"/>
    <w:rsid w:val="00F35A34"/>
    <w:rsid w:val="00F40882"/>
    <w:rsid w:val="00F43559"/>
    <w:rsid w:val="00F43CE3"/>
    <w:rsid w:val="00F53202"/>
    <w:rsid w:val="00F55CC2"/>
    <w:rsid w:val="00F5789B"/>
    <w:rsid w:val="00F6029C"/>
    <w:rsid w:val="00F60EB3"/>
    <w:rsid w:val="00F72C09"/>
    <w:rsid w:val="00F757BA"/>
    <w:rsid w:val="00F75AAB"/>
    <w:rsid w:val="00F75C76"/>
    <w:rsid w:val="00F8305B"/>
    <w:rsid w:val="00F83F03"/>
    <w:rsid w:val="00F87042"/>
    <w:rsid w:val="00F92333"/>
    <w:rsid w:val="00F926B5"/>
    <w:rsid w:val="00F93382"/>
    <w:rsid w:val="00F95063"/>
    <w:rsid w:val="00FA0FD6"/>
    <w:rsid w:val="00FB2E01"/>
    <w:rsid w:val="00FB341E"/>
    <w:rsid w:val="00FC0446"/>
    <w:rsid w:val="00FC4707"/>
    <w:rsid w:val="00FC612F"/>
    <w:rsid w:val="00FC720B"/>
    <w:rsid w:val="00FD516B"/>
    <w:rsid w:val="00FE3FE9"/>
    <w:rsid w:val="00FE6A1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6418"/>
  <w15:chartTrackingRefBased/>
  <w15:docId w15:val="{BA03E87C-708E-4CFF-B5DB-518505D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 w:line="500" w:lineRule="exac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qFormat/>
    <w:pPr>
      <w:numPr>
        <w:numId w:val="18"/>
      </w:numPr>
      <w:spacing w:before="120" w:after="120" w:line="500" w:lineRule="exact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Notedebasdepage">
    <w:name w:val="footnote text"/>
    <w:basedOn w:val="Normal"/>
    <w:link w:val="NotedebasdepageCar"/>
    <w:qFormat/>
    <w:pPr>
      <w:spacing w:line="240" w:lineRule="auto"/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pPr>
      <w:spacing w:line="500" w:lineRule="exact"/>
      <w:jc w:val="center"/>
    </w:pPr>
    <w:rPr>
      <w:b/>
      <w:sz w:val="36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</w:style>
  <w:style w:type="paragraph" w:customStyle="1" w:styleId="zSoquijdatGreffe">
    <w:name w:val="zSoquij_datGreffe"/>
    <w:basedOn w:val="Normal"/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  <w:pPr>
      <w:ind w:left="950"/>
    </w:pPr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rPr>
      <w:b/>
    </w:rPr>
  </w:style>
  <w:style w:type="paragraph" w:customStyle="1" w:styleId="zSoquijdatQteJuge">
    <w:name w:val="zSoquij_datQteJuge"/>
    <w:basedOn w:val="Normal"/>
    <w:rPr>
      <w:b/>
    </w:rPr>
  </w:style>
  <w:style w:type="paragraph" w:customStyle="1" w:styleId="zSoquijdatJuge">
    <w:name w:val="zSoquij_datJuge"/>
    <w:basedOn w:val="Normal"/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pPr>
      <w:jc w:val="center"/>
    </w:p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jc w:val="center"/>
    </w:pPr>
  </w:style>
  <w:style w:type="character" w:customStyle="1" w:styleId="zSoquijlblEntNoDossier">
    <w:name w:val="zSoquij_lblEntNoDossier"/>
    <w:basedOn w:val="Policepardfaut"/>
    <w:rPr>
      <w:noProof w:val="0"/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IdJuge">
    <w:name w:val="zSoquij_datIdJuge"/>
    <w:basedOn w:val="Normal"/>
    <w:pPr>
      <w:jc w:val="right"/>
    </w:pPr>
  </w:style>
  <w:style w:type="paragraph" w:customStyle="1" w:styleId="Sous-paragraphe">
    <w:name w:val="Sous-paragraphe"/>
    <w:basedOn w:val="Normal"/>
    <w:qFormat/>
    <w:pPr>
      <w:widowControl w:val="0"/>
      <w:numPr>
        <w:ilvl w:val="1"/>
        <w:numId w:val="18"/>
      </w:numPr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  <w:pPr>
      <w:keepNext/>
    </w:pPr>
  </w:style>
  <w:style w:type="paragraph" w:customStyle="1" w:styleId="zSoquijdatNomProcureurDef">
    <w:name w:val="zSoquij_datNomProcureurDef"/>
    <w:basedOn w:val="zSoquijlblProcureurDef"/>
    <w:pPr>
      <w:keepNext/>
    </w:pPr>
  </w:style>
  <w:style w:type="paragraph" w:customStyle="1" w:styleId="zSoquijdatCabinetProcureurDem">
    <w:name w:val="zSoquij_datCabinetProcureurDem"/>
    <w:basedOn w:val="Normal"/>
    <w:pPr>
      <w:keepNext/>
    </w:pPr>
  </w:style>
  <w:style w:type="paragraph" w:customStyle="1" w:styleId="zSoquijdatCabinetProcureurDef">
    <w:name w:val="zSoquij_datCabinetProcureurDef"/>
    <w:basedOn w:val="zSoquijlblProcureurDef"/>
    <w:pPr>
      <w:keepNext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audroiteanglais">
    <w:name w:val="Tableau droite anglais"/>
    <w:basedOn w:val="Tableaugauchefranais"/>
    <w:pPr>
      <w:ind w:left="144" w:right="720"/>
      <w:jc w:val="both"/>
    </w:pPr>
    <w:rPr>
      <w:lang w:val="en-CA"/>
    </w:rPr>
  </w:style>
  <w:style w:type="paragraph" w:customStyle="1" w:styleId="Tableaugauchefranais">
    <w:name w:val="Tableau gauche français"/>
    <w:basedOn w:val="Normal"/>
    <w:pPr>
      <w:ind w:left="720" w:right="144"/>
    </w:pPr>
    <w:rPr>
      <w:sz w:val="22"/>
    </w:rPr>
  </w:style>
  <w:style w:type="character" w:styleId="Appelnotedebasdep">
    <w:name w:val="footnote reference"/>
    <w:uiPriority w:val="99"/>
    <w:qFormat/>
    <w:rPr>
      <w:noProof w:val="0"/>
      <w:vertAlign w:val="superscript"/>
      <w:lang w:val="fr-CA"/>
    </w:rPr>
  </w:style>
  <w:style w:type="paragraph" w:styleId="Corpsdetexte3">
    <w:name w:val="Body Text 3"/>
    <w:basedOn w:val="Normal"/>
    <w:semiHidden/>
    <w:pPr>
      <w:spacing w:after="120"/>
    </w:pPr>
    <w:rPr>
      <w:sz w:val="16"/>
    </w:rPr>
  </w:style>
  <w:style w:type="paragraph" w:customStyle="1" w:styleId="zSoquijdatRepertorie">
    <w:name w:val="zSoquij_datRepertorie"/>
    <w:basedOn w:val="zSoquijlblCour"/>
    <w:pPr>
      <w:spacing w:line="240" w:lineRule="auto"/>
      <w:jc w:val="left"/>
    </w:pPr>
    <w:rPr>
      <w:sz w:val="22"/>
    </w:rPr>
  </w:style>
  <w:style w:type="paragraph" w:customStyle="1" w:styleId="zSoquijdatRefNeutre">
    <w:name w:val="zSoquij_datRefNeutre"/>
    <w:basedOn w:val="zSoquijlblCour"/>
    <w:pPr>
      <w:spacing w:line="240" w:lineRule="auto"/>
      <w:jc w:val="left"/>
    </w:pPr>
    <w:rPr>
      <w:sz w:val="22"/>
    </w:rPr>
  </w:style>
  <w:style w:type="table" w:styleId="Grilledutableau">
    <w:name w:val="Table Grid"/>
    <w:basedOn w:val="TableauNormal"/>
    <w:uiPriority w:val="39"/>
    <w:rsid w:val="00E2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239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uiPriority w:val="99"/>
    <w:rsid w:val="009E623E"/>
    <w:rPr>
      <w:noProof w:val="0"/>
      <w:color w:val="0000FF"/>
      <w:u w:val="single"/>
      <w:lang w:val="fr-CA"/>
    </w:rPr>
  </w:style>
  <w:style w:type="character" w:customStyle="1" w:styleId="ParagrapheCar">
    <w:name w:val="Paragraphe Car"/>
    <w:link w:val="Paragraphe"/>
    <w:qFormat/>
    <w:rsid w:val="009E623E"/>
    <w:rPr>
      <w:rFonts w:ascii="Arial" w:hAnsi="Arial"/>
      <w:kern w:val="28"/>
      <w:sz w:val="24"/>
      <w:lang w:eastAsia="fr-FR"/>
    </w:rPr>
  </w:style>
  <w:style w:type="character" w:customStyle="1" w:styleId="NotedebasdepageCar">
    <w:name w:val="Note de bas de page Car"/>
    <w:link w:val="Notedebasdepage"/>
    <w:rsid w:val="009E623E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46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46CA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46CA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6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6CA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41FC7DEAB6B4EA5735AA46274F5DE" ma:contentTypeVersion="14" ma:contentTypeDescription="Create a new document." ma:contentTypeScope="" ma:versionID="46dbd772e2d236cc9479a921a3897704">
  <xsd:schema xmlns:xsd="http://www.w3.org/2001/XMLSchema" xmlns:xs="http://www.w3.org/2001/XMLSchema" xmlns:p="http://schemas.microsoft.com/office/2006/metadata/properties" xmlns:ns3="63c19258-18fe-402c-b3a6-4bcaae9fc6b9" xmlns:ns4="64197816-759d-425b-8e77-e8bb388883d9" targetNamespace="http://schemas.microsoft.com/office/2006/metadata/properties" ma:root="true" ma:fieldsID="bc288d31e2fd40a8b43e0a52eefbd57d" ns3:_="" ns4:_="">
    <xsd:import namespace="63c19258-18fe-402c-b3a6-4bcaae9fc6b9"/>
    <xsd:import namespace="64197816-759d-425b-8e77-e8bb38888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9258-18fe-402c-b3a6-4bcaae9f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7816-759d-425b-8e77-e8bb38888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BF56-FC22-4A6D-BFAA-569F066E4A02}">
  <ds:schemaRefs>
    <ds:schemaRef ds:uri="64197816-759d-425b-8e77-e8bb388883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c19258-18fe-402c-b3a6-4bcaae9fc6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4E22A3-ABF9-405E-B0C0-B735DBC0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19258-18fe-402c-b3a6-4bcaae9fc6b9"/>
    <ds:schemaRef ds:uri="64197816-759d-425b-8e77-e8bb38888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85BEF-F6E2-4AB7-AD3A-828126D19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603C1-5558-44A8-9F7D-A1C87B8F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8815</Characters>
  <Application>Microsoft Office Word</Application>
  <DocSecurity>0</DocSecurity>
  <Lines>163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Tourangeau, Guylaine</dc:creator>
  <cp:lastModifiedBy>trad-rev</cp:lastModifiedBy>
  <cp:revision>2</cp:revision>
  <dcterms:created xsi:type="dcterms:W3CDTF">2022-08-03T16:28:00Z</dcterms:created>
  <dcterms:modified xsi:type="dcterms:W3CDTF">2022-08-03T16:28:00Z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0x010100DD141FC7DEAB6B4EA5735AA46274F5DE</vt:lpwstr>
  </property>
</Properties>
</file>