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92DD3D" w14:textId="77777777" w:rsidR="004B6822" w:rsidRPr="0076473C" w:rsidRDefault="004B6822" w:rsidP="004B6822">
      <w:pPr>
        <w:rPr>
          <w:lang w:val="en-CA"/>
        </w:rPr>
      </w:pPr>
      <w:r w:rsidRPr="0076473C">
        <w:rPr>
          <w:lang w:val="en-CA"/>
        </w:rPr>
        <w:t>Unofficial English Translation of the Judgment of the Court</w:t>
      </w:r>
    </w:p>
    <w:tbl>
      <w:tblPr>
        <w:tblW w:w="9360" w:type="dxa"/>
        <w:tblLayout w:type="fixed"/>
        <w:tblCellMar>
          <w:left w:w="0" w:type="dxa"/>
          <w:right w:w="0" w:type="dxa"/>
        </w:tblCellMar>
        <w:tblLook w:val="0000" w:firstRow="0" w:lastRow="0" w:firstColumn="0" w:lastColumn="0" w:noHBand="0" w:noVBand="0"/>
      </w:tblPr>
      <w:tblGrid>
        <w:gridCol w:w="1030"/>
        <w:gridCol w:w="104"/>
        <w:gridCol w:w="567"/>
        <w:gridCol w:w="1843"/>
        <w:gridCol w:w="3828"/>
        <w:gridCol w:w="1988"/>
      </w:tblGrid>
      <w:tr w:rsidR="00CC3BDA" w:rsidRPr="0076473C" w14:paraId="66A00EB0" w14:textId="77777777" w:rsidTr="00562F60">
        <w:trPr>
          <w:trHeight w:val="248"/>
        </w:trPr>
        <w:tc>
          <w:tcPr>
            <w:tcW w:w="7372" w:type="dxa"/>
            <w:gridSpan w:val="5"/>
          </w:tcPr>
          <w:p w14:paraId="0C9760C0" w14:textId="77777777" w:rsidR="00562F60" w:rsidRPr="0076473C" w:rsidRDefault="00562F60" w:rsidP="00562F60">
            <w:pPr>
              <w:pStyle w:val="zSoquijdatRepertorie"/>
              <w:rPr>
                <w:rFonts w:cs="Arial"/>
                <w:lang w:val="en-CA"/>
              </w:rPr>
            </w:pPr>
            <w:r w:rsidRPr="0076473C">
              <w:rPr>
                <w:rFonts w:cs="Arial"/>
                <w:lang w:val="en-CA"/>
              </w:rPr>
              <w:t xml:space="preserve">R. </w:t>
            </w:r>
            <w:r w:rsidRPr="006C0449">
              <w:rPr>
                <w:rFonts w:cs="Arial"/>
                <w:lang w:val="en-CA"/>
              </w:rPr>
              <w:t>c</w:t>
            </w:r>
            <w:r w:rsidRPr="0076473C">
              <w:rPr>
                <w:rFonts w:cs="Arial"/>
                <w:lang w:val="en-CA"/>
              </w:rPr>
              <w:t>. Bertrand Marchand</w:t>
            </w:r>
          </w:p>
        </w:tc>
        <w:tc>
          <w:tcPr>
            <w:tcW w:w="1988" w:type="dxa"/>
          </w:tcPr>
          <w:p w14:paraId="26675E79" w14:textId="77777777" w:rsidR="00562F60" w:rsidRPr="006C0449" w:rsidRDefault="00562F60" w:rsidP="00562F60">
            <w:pPr>
              <w:pStyle w:val="zSoquijdatRefNeutre"/>
              <w:jc w:val="right"/>
              <w:rPr>
                <w:rFonts w:cs="Arial"/>
                <w:lang w:val="en-CA"/>
              </w:rPr>
            </w:pPr>
            <w:r w:rsidRPr="006C0449">
              <w:rPr>
                <w:rFonts w:cs="Arial"/>
                <w:lang w:val="en-CA"/>
              </w:rPr>
              <w:t>2021 QCCA 1285</w:t>
            </w:r>
          </w:p>
        </w:tc>
      </w:tr>
      <w:tr w:rsidR="00CC3BDA" w:rsidRPr="0076473C" w14:paraId="7D9337EC" w14:textId="77777777" w:rsidTr="00562F60">
        <w:trPr>
          <w:trHeight w:val="247"/>
        </w:trPr>
        <w:tc>
          <w:tcPr>
            <w:tcW w:w="9360" w:type="dxa"/>
            <w:gridSpan w:val="6"/>
          </w:tcPr>
          <w:p w14:paraId="256061C3" w14:textId="77777777" w:rsidR="00562F60" w:rsidRPr="006C0449" w:rsidRDefault="009A475E">
            <w:pPr>
              <w:pStyle w:val="zSoquijlblCour"/>
              <w:rPr>
                <w:lang w:val="en-CA"/>
              </w:rPr>
            </w:pPr>
            <w:r w:rsidRPr="006C0449">
              <w:rPr>
                <w:lang w:val="en-CA"/>
              </w:rPr>
              <w:t>COURT OF APPEAL</w:t>
            </w:r>
          </w:p>
        </w:tc>
      </w:tr>
      <w:tr w:rsidR="00CC3BDA" w:rsidRPr="0076473C" w14:paraId="7BF27339" w14:textId="77777777" w:rsidTr="00562F60">
        <w:trPr>
          <w:trHeight w:val="540"/>
        </w:trPr>
        <w:tc>
          <w:tcPr>
            <w:tcW w:w="9360" w:type="dxa"/>
            <w:gridSpan w:val="6"/>
          </w:tcPr>
          <w:p w14:paraId="13D560E2" w14:textId="77777777" w:rsidR="00562F60" w:rsidRPr="0076473C" w:rsidRDefault="00562F60">
            <w:pPr>
              <w:pStyle w:val="zSoquijdatDivision"/>
              <w:rPr>
                <w:lang w:val="en-CA"/>
              </w:rPr>
            </w:pPr>
          </w:p>
        </w:tc>
      </w:tr>
      <w:tr w:rsidR="00CC3BDA" w:rsidRPr="0076473C" w14:paraId="408317AC" w14:textId="77777777" w:rsidTr="00562F60">
        <w:tc>
          <w:tcPr>
            <w:tcW w:w="9360" w:type="dxa"/>
            <w:gridSpan w:val="6"/>
          </w:tcPr>
          <w:p w14:paraId="1F3B4998" w14:textId="77777777" w:rsidR="00562F60" w:rsidRPr="006C0449" w:rsidRDefault="00562F60">
            <w:pPr>
              <w:pStyle w:val="zSoquijlblPays"/>
              <w:rPr>
                <w:lang w:val="en-CA"/>
              </w:rPr>
            </w:pPr>
            <w:r w:rsidRPr="006C0449">
              <w:rPr>
                <w:lang w:val="en-CA"/>
              </w:rPr>
              <w:t>CANADA</w:t>
            </w:r>
          </w:p>
        </w:tc>
      </w:tr>
      <w:tr w:rsidR="00CC3BDA" w:rsidRPr="0076473C" w14:paraId="4B4816A5" w14:textId="77777777" w:rsidTr="00562F60">
        <w:tc>
          <w:tcPr>
            <w:tcW w:w="9360" w:type="dxa"/>
            <w:gridSpan w:val="6"/>
          </w:tcPr>
          <w:p w14:paraId="002FF7F5" w14:textId="77777777" w:rsidR="00562F60" w:rsidRPr="006C0449" w:rsidRDefault="009A475E">
            <w:pPr>
              <w:pStyle w:val="zSoquijlblProvince"/>
              <w:rPr>
                <w:lang w:val="en-CA"/>
              </w:rPr>
            </w:pPr>
            <w:r w:rsidRPr="006C0449">
              <w:rPr>
                <w:lang w:val="en-CA"/>
              </w:rPr>
              <w:t>PROVINCE OF QUEBEC</w:t>
            </w:r>
          </w:p>
        </w:tc>
      </w:tr>
      <w:tr w:rsidR="00CC3BDA" w:rsidRPr="0076473C" w14:paraId="26983D10" w14:textId="77777777" w:rsidTr="009A475E">
        <w:tc>
          <w:tcPr>
            <w:tcW w:w="1701" w:type="dxa"/>
            <w:gridSpan w:val="3"/>
          </w:tcPr>
          <w:p w14:paraId="27998AF7" w14:textId="77777777" w:rsidR="00562F60" w:rsidRPr="006C0449" w:rsidRDefault="009A475E">
            <w:pPr>
              <w:pStyle w:val="zSoquijlblGreffe"/>
              <w:rPr>
                <w:lang w:val="en-CA"/>
              </w:rPr>
            </w:pPr>
            <w:r w:rsidRPr="006C0449">
              <w:rPr>
                <w:lang w:val="en-CA"/>
              </w:rPr>
              <w:t>REGISTRY OF</w:t>
            </w:r>
          </w:p>
          <w:p w14:paraId="4874F17C" w14:textId="77777777" w:rsidR="00562F60" w:rsidRPr="0076473C" w:rsidRDefault="00562F60">
            <w:pPr>
              <w:pStyle w:val="zSoquijlblGreffe"/>
              <w:rPr>
                <w:lang w:val="en-CA"/>
              </w:rPr>
            </w:pPr>
          </w:p>
        </w:tc>
        <w:tc>
          <w:tcPr>
            <w:tcW w:w="7659" w:type="dxa"/>
            <w:gridSpan w:val="3"/>
          </w:tcPr>
          <w:p w14:paraId="4960EE06" w14:textId="4E9E7758" w:rsidR="00562F60" w:rsidRPr="006C0449" w:rsidRDefault="009A475E" w:rsidP="002A1D40">
            <w:pPr>
              <w:pStyle w:val="zSoquijdatGreffe"/>
              <w:rPr>
                <w:lang w:val="en-CA"/>
              </w:rPr>
            </w:pPr>
            <w:r w:rsidRPr="006C0449">
              <w:rPr>
                <w:lang w:val="en-CA"/>
              </w:rPr>
              <w:t>QU</w:t>
            </w:r>
            <w:r w:rsidR="002A1D40">
              <w:rPr>
                <w:lang w:val="en-CA"/>
              </w:rPr>
              <w:t>É</w:t>
            </w:r>
            <w:r w:rsidRPr="006C0449">
              <w:rPr>
                <w:lang w:val="en-CA"/>
              </w:rPr>
              <w:t>BEC</w:t>
            </w:r>
          </w:p>
        </w:tc>
      </w:tr>
      <w:tr w:rsidR="00CC3BDA" w:rsidRPr="0076473C" w14:paraId="797EA4C1" w14:textId="77777777" w:rsidTr="00562F60">
        <w:tc>
          <w:tcPr>
            <w:tcW w:w="1030" w:type="dxa"/>
          </w:tcPr>
          <w:p w14:paraId="396B6355" w14:textId="77777777" w:rsidR="00562F60" w:rsidRPr="006C0449" w:rsidRDefault="009A475E">
            <w:pPr>
              <w:pStyle w:val="zSoquijlblNoDossier"/>
              <w:rPr>
                <w:lang w:val="en-CA"/>
              </w:rPr>
            </w:pPr>
            <w:r w:rsidRPr="006C0449">
              <w:rPr>
                <w:lang w:val="en-CA"/>
              </w:rPr>
              <w:t>No.:</w:t>
            </w:r>
          </w:p>
        </w:tc>
        <w:tc>
          <w:tcPr>
            <w:tcW w:w="8330" w:type="dxa"/>
            <w:gridSpan w:val="5"/>
          </w:tcPr>
          <w:p w14:paraId="67CE8985" w14:textId="77777777" w:rsidR="00562F60" w:rsidRPr="0076473C" w:rsidRDefault="00562F60">
            <w:pPr>
              <w:pStyle w:val="zSoquijdatNoDossier"/>
              <w:rPr>
                <w:lang w:val="en-CA"/>
              </w:rPr>
            </w:pPr>
            <w:bookmarkStart w:id="0" w:name="NoDossier"/>
            <w:r w:rsidRPr="0076473C">
              <w:rPr>
                <w:lang w:val="en-CA"/>
              </w:rPr>
              <w:t>200-10-003751-208</w:t>
            </w:r>
            <w:bookmarkEnd w:id="0"/>
          </w:p>
        </w:tc>
      </w:tr>
      <w:tr w:rsidR="00CC3BDA" w:rsidRPr="0076473C" w14:paraId="71E434E9" w14:textId="77777777" w:rsidTr="00562F60">
        <w:tc>
          <w:tcPr>
            <w:tcW w:w="9360" w:type="dxa"/>
            <w:gridSpan w:val="6"/>
          </w:tcPr>
          <w:p w14:paraId="0A838078" w14:textId="77777777" w:rsidR="00562F60" w:rsidRPr="0076473C" w:rsidRDefault="00562F60" w:rsidP="00562F60">
            <w:pPr>
              <w:pStyle w:val="zSoquijdatNoDossierAnt"/>
              <w:rPr>
                <w:lang w:val="en-CA"/>
              </w:rPr>
            </w:pPr>
            <w:r w:rsidRPr="0076473C">
              <w:rPr>
                <w:lang w:val="en-CA"/>
              </w:rPr>
              <w:t>(610-01-006950-160)</w:t>
            </w:r>
          </w:p>
        </w:tc>
      </w:tr>
      <w:tr w:rsidR="00CC3BDA" w:rsidRPr="0076473C" w14:paraId="4AA00F7A" w14:textId="77777777" w:rsidTr="00562F60">
        <w:tc>
          <w:tcPr>
            <w:tcW w:w="9360" w:type="dxa"/>
            <w:gridSpan w:val="6"/>
          </w:tcPr>
          <w:p w14:paraId="5ACECD1F" w14:textId="77777777" w:rsidR="00562F60" w:rsidRPr="0076473C" w:rsidRDefault="00562F60">
            <w:pPr>
              <w:rPr>
                <w:lang w:val="en-CA"/>
              </w:rPr>
            </w:pPr>
          </w:p>
        </w:tc>
      </w:tr>
      <w:tr w:rsidR="00CC3BDA" w:rsidRPr="0076473C" w14:paraId="7F912371" w14:textId="77777777" w:rsidTr="00562F60">
        <w:tc>
          <w:tcPr>
            <w:tcW w:w="1030" w:type="dxa"/>
          </w:tcPr>
          <w:p w14:paraId="797EA6C4" w14:textId="77777777" w:rsidR="00562F60" w:rsidRPr="006C0449" w:rsidRDefault="009A475E">
            <w:pPr>
              <w:pStyle w:val="zSoquijlblDateJugement"/>
              <w:rPr>
                <w:lang w:val="en-CA"/>
              </w:rPr>
            </w:pPr>
            <w:r w:rsidRPr="006C0449">
              <w:rPr>
                <w:lang w:val="en-CA"/>
              </w:rPr>
              <w:t>DATE:</w:t>
            </w:r>
          </w:p>
        </w:tc>
        <w:tc>
          <w:tcPr>
            <w:tcW w:w="8330" w:type="dxa"/>
            <w:gridSpan w:val="5"/>
          </w:tcPr>
          <w:p w14:paraId="0AD0992E" w14:textId="77777777" w:rsidR="00562F60" w:rsidRPr="006C0449" w:rsidRDefault="00562F60" w:rsidP="00562F60">
            <w:pPr>
              <w:pStyle w:val="zSoquijdatDateJugement"/>
              <w:rPr>
                <w:lang w:val="en-CA"/>
              </w:rPr>
            </w:pPr>
            <w:r w:rsidRPr="0076473C">
              <w:rPr>
                <w:lang w:val="en-CA"/>
              </w:rPr>
              <w:t xml:space="preserve"> </w:t>
            </w:r>
            <w:r w:rsidR="009A475E" w:rsidRPr="006C0449">
              <w:rPr>
                <w:lang w:val="en-CA"/>
              </w:rPr>
              <w:t>AUGUST 24, 2021</w:t>
            </w:r>
          </w:p>
        </w:tc>
      </w:tr>
      <w:tr w:rsidR="00CC3BDA" w:rsidRPr="0076473C" w14:paraId="543BB1C6" w14:textId="77777777" w:rsidTr="00562F60">
        <w:tc>
          <w:tcPr>
            <w:tcW w:w="9360" w:type="dxa"/>
            <w:gridSpan w:val="6"/>
            <w:tcBorders>
              <w:bottom w:val="single" w:sz="8" w:space="0" w:color="auto"/>
            </w:tcBorders>
          </w:tcPr>
          <w:p w14:paraId="7E09ACEB" w14:textId="77777777" w:rsidR="00562F60" w:rsidRPr="0076473C" w:rsidRDefault="00562F60">
            <w:pPr>
              <w:rPr>
                <w:lang w:val="en-CA"/>
              </w:rPr>
            </w:pPr>
          </w:p>
        </w:tc>
      </w:tr>
      <w:tr w:rsidR="00CC3BDA" w:rsidRPr="0076473C" w14:paraId="0F5E04CA" w14:textId="77777777" w:rsidTr="00562F60">
        <w:tc>
          <w:tcPr>
            <w:tcW w:w="9360" w:type="dxa"/>
            <w:gridSpan w:val="6"/>
            <w:tcBorders>
              <w:top w:val="single" w:sz="8" w:space="0" w:color="auto"/>
            </w:tcBorders>
          </w:tcPr>
          <w:p w14:paraId="111FE342" w14:textId="77777777" w:rsidR="00562F60" w:rsidRPr="0076473C" w:rsidRDefault="00562F60">
            <w:pPr>
              <w:rPr>
                <w:lang w:val="en-CA"/>
              </w:rPr>
            </w:pPr>
          </w:p>
        </w:tc>
      </w:tr>
      <w:tr w:rsidR="00CC3BDA" w:rsidRPr="0076473C" w14:paraId="048FDDA7" w14:textId="77777777" w:rsidTr="002A73C8">
        <w:tc>
          <w:tcPr>
            <w:tcW w:w="1134" w:type="dxa"/>
            <w:gridSpan w:val="2"/>
          </w:tcPr>
          <w:p w14:paraId="24EA7A7F" w14:textId="77777777" w:rsidR="00562F60" w:rsidRPr="006C0449" w:rsidRDefault="009A475E" w:rsidP="00562F60">
            <w:pPr>
              <w:pStyle w:val="zSoquijlblJuge"/>
              <w:ind w:right="-142"/>
              <w:rPr>
                <w:lang w:val="en-CA"/>
              </w:rPr>
            </w:pPr>
            <w:r w:rsidRPr="006C0449">
              <w:rPr>
                <w:lang w:val="en-CA"/>
              </w:rPr>
              <w:t>CORAM:</w:t>
            </w:r>
          </w:p>
        </w:tc>
        <w:tc>
          <w:tcPr>
            <w:tcW w:w="2410" w:type="dxa"/>
            <w:gridSpan w:val="2"/>
          </w:tcPr>
          <w:p w14:paraId="526A2E0E" w14:textId="77777777" w:rsidR="00562F60" w:rsidRPr="006C0449" w:rsidRDefault="009A475E">
            <w:pPr>
              <w:pStyle w:val="zSoquijdatQteJuge"/>
              <w:rPr>
                <w:lang w:val="en-CA"/>
              </w:rPr>
            </w:pPr>
            <w:r w:rsidRPr="006C0449">
              <w:rPr>
                <w:lang w:val="en-CA"/>
              </w:rPr>
              <w:t>THE HONOURABLE</w:t>
            </w:r>
          </w:p>
        </w:tc>
        <w:tc>
          <w:tcPr>
            <w:tcW w:w="5816" w:type="dxa"/>
            <w:gridSpan w:val="2"/>
          </w:tcPr>
          <w:p w14:paraId="4E75B9B5" w14:textId="77777777" w:rsidR="00562F60" w:rsidRPr="00BF5DBC" w:rsidRDefault="009A475E">
            <w:pPr>
              <w:pStyle w:val="zSoquijdatJuge"/>
            </w:pPr>
            <w:r w:rsidRPr="00BF5DBC">
              <w:t>JACQUES J. LEVESQUE, J.A.</w:t>
            </w:r>
          </w:p>
          <w:p w14:paraId="156240CE" w14:textId="77777777" w:rsidR="00562F60" w:rsidRPr="00BF5DBC" w:rsidRDefault="009A475E">
            <w:pPr>
              <w:pStyle w:val="zSoquijdatJuge"/>
            </w:pPr>
            <w:r w:rsidRPr="00BF5DBC">
              <w:t>GENEVIÈVE COTNAM, J.A.</w:t>
            </w:r>
          </w:p>
          <w:p w14:paraId="755CCF76" w14:textId="77777777" w:rsidR="00562F60" w:rsidRPr="00BF5DBC" w:rsidRDefault="009A475E" w:rsidP="00562F60">
            <w:pPr>
              <w:pStyle w:val="zSoquijdatJuge"/>
            </w:pPr>
            <w:bookmarkStart w:id="1" w:name="_Hlt520513784"/>
            <w:bookmarkEnd w:id="1"/>
            <w:r w:rsidRPr="00BF5DBC">
              <w:t>MICHEL BEAUPRÉ, J.A.</w:t>
            </w:r>
          </w:p>
        </w:tc>
      </w:tr>
      <w:tr w:rsidR="00CC3BDA" w:rsidRPr="0076473C" w14:paraId="3FE7EF75" w14:textId="77777777" w:rsidTr="00562F60">
        <w:tc>
          <w:tcPr>
            <w:tcW w:w="9360" w:type="dxa"/>
            <w:gridSpan w:val="6"/>
            <w:tcBorders>
              <w:bottom w:val="single" w:sz="8" w:space="0" w:color="auto"/>
            </w:tcBorders>
          </w:tcPr>
          <w:p w14:paraId="1E3705D8" w14:textId="77777777" w:rsidR="00562F60" w:rsidRPr="00BF5DBC" w:rsidRDefault="00562F60"/>
        </w:tc>
      </w:tr>
      <w:tr w:rsidR="00CC3BDA" w:rsidRPr="0076473C" w14:paraId="31EF7AA0" w14:textId="77777777" w:rsidTr="00562F60">
        <w:tc>
          <w:tcPr>
            <w:tcW w:w="9360" w:type="dxa"/>
            <w:gridSpan w:val="6"/>
          </w:tcPr>
          <w:p w14:paraId="3FDA39FD" w14:textId="77777777" w:rsidR="00562F60" w:rsidRPr="00BF5DBC" w:rsidRDefault="00562F60">
            <w:pPr>
              <w:pStyle w:val="zSoquijlblTitrePartie"/>
            </w:pPr>
          </w:p>
        </w:tc>
      </w:tr>
      <w:tr w:rsidR="00CC3BDA" w:rsidRPr="0076473C" w14:paraId="732072E3" w14:textId="77777777" w:rsidTr="00562F60">
        <w:tc>
          <w:tcPr>
            <w:tcW w:w="9360" w:type="dxa"/>
            <w:gridSpan w:val="6"/>
          </w:tcPr>
          <w:p w14:paraId="4B400C30" w14:textId="77777777" w:rsidR="00562F60" w:rsidRPr="006C0449" w:rsidRDefault="009A475E">
            <w:pPr>
              <w:pStyle w:val="zSoquijdatNomPartieDem"/>
              <w:rPr>
                <w:lang w:val="en-CA"/>
              </w:rPr>
            </w:pPr>
            <w:r w:rsidRPr="006C0449">
              <w:rPr>
                <w:lang w:val="en-CA"/>
              </w:rPr>
              <w:t>HER MAJESTY THE QUEEN</w:t>
            </w:r>
          </w:p>
        </w:tc>
      </w:tr>
      <w:tr w:rsidR="00CC3BDA" w:rsidRPr="0076473C" w14:paraId="5C202BBF" w14:textId="77777777" w:rsidTr="00562F60">
        <w:tc>
          <w:tcPr>
            <w:tcW w:w="9360" w:type="dxa"/>
            <w:gridSpan w:val="6"/>
          </w:tcPr>
          <w:p w14:paraId="3EE46C6B" w14:textId="77777777" w:rsidR="00562F60" w:rsidRPr="006C0449" w:rsidRDefault="009A475E">
            <w:pPr>
              <w:pStyle w:val="zSoquijdatQtePartieDem"/>
              <w:rPr>
                <w:lang w:val="en-CA"/>
              </w:rPr>
            </w:pPr>
            <w:r w:rsidRPr="006C0449">
              <w:rPr>
                <w:lang w:val="en-CA"/>
              </w:rPr>
              <w:t>APPLICANT – Prosecutrix</w:t>
            </w:r>
            <w:r w:rsidR="00562F60" w:rsidRPr="006C0449">
              <w:rPr>
                <w:lang w:val="en-CA"/>
              </w:rPr>
              <w:t xml:space="preserve"> </w:t>
            </w:r>
          </w:p>
        </w:tc>
      </w:tr>
      <w:tr w:rsidR="00CC3BDA" w:rsidRPr="0076473C" w14:paraId="4D5F00BF" w14:textId="77777777" w:rsidTr="00562F60">
        <w:tc>
          <w:tcPr>
            <w:tcW w:w="9360" w:type="dxa"/>
            <w:gridSpan w:val="6"/>
          </w:tcPr>
          <w:p w14:paraId="593B2749" w14:textId="77777777" w:rsidR="00562F60" w:rsidRPr="006C0449" w:rsidRDefault="009A475E" w:rsidP="00562F60">
            <w:pPr>
              <w:rPr>
                <w:lang w:val="en-CA"/>
              </w:rPr>
            </w:pPr>
            <w:r w:rsidRPr="006C0449">
              <w:rPr>
                <w:lang w:val="en-CA"/>
              </w:rPr>
              <w:t>and</w:t>
            </w:r>
          </w:p>
        </w:tc>
      </w:tr>
      <w:tr w:rsidR="00CC3BDA" w:rsidRPr="0076473C" w14:paraId="05FAFD7E" w14:textId="77777777" w:rsidTr="00562F60">
        <w:tc>
          <w:tcPr>
            <w:tcW w:w="9360" w:type="dxa"/>
            <w:gridSpan w:val="6"/>
          </w:tcPr>
          <w:p w14:paraId="50AC886F" w14:textId="77777777" w:rsidR="00562F60" w:rsidRPr="006C0449" w:rsidRDefault="009A475E" w:rsidP="00562F60">
            <w:pPr>
              <w:pStyle w:val="zSoquijdatNomPartieDem"/>
              <w:rPr>
                <w:lang w:val="en-CA"/>
              </w:rPr>
            </w:pPr>
            <w:r w:rsidRPr="006C0449">
              <w:rPr>
                <w:lang w:val="en-CA"/>
              </w:rPr>
              <w:t>ATTORNEY GENERAL OF QUEBEC</w:t>
            </w:r>
          </w:p>
        </w:tc>
      </w:tr>
      <w:tr w:rsidR="00CC3BDA" w:rsidRPr="0076473C" w14:paraId="689282E4" w14:textId="77777777" w:rsidTr="00562F60">
        <w:tc>
          <w:tcPr>
            <w:tcW w:w="9360" w:type="dxa"/>
            <w:gridSpan w:val="6"/>
          </w:tcPr>
          <w:p w14:paraId="08DB8539" w14:textId="2AAE50B8" w:rsidR="00562F60" w:rsidRPr="0076473C" w:rsidRDefault="009A475E" w:rsidP="004B6822">
            <w:pPr>
              <w:pStyle w:val="zSoquijdatQtePartieDem"/>
              <w:rPr>
                <w:lang w:val="en-CA"/>
              </w:rPr>
            </w:pPr>
            <w:r w:rsidRPr="006C0449">
              <w:rPr>
                <w:caps/>
                <w:lang w:val="en-CA"/>
              </w:rPr>
              <w:t>Applicant</w:t>
            </w:r>
            <w:r w:rsidRPr="006C0449">
              <w:rPr>
                <w:lang w:val="en-CA"/>
              </w:rPr>
              <w:t xml:space="preserve"> – </w:t>
            </w:r>
            <w:r w:rsidR="004B6822" w:rsidRPr="006C0449">
              <w:rPr>
                <w:lang w:val="en-CA"/>
              </w:rPr>
              <w:t>I</w:t>
            </w:r>
            <w:r w:rsidRPr="006C0449">
              <w:rPr>
                <w:lang w:val="en-CA"/>
              </w:rPr>
              <w:t>mpleaded party</w:t>
            </w:r>
            <w:r w:rsidR="00562F60" w:rsidRPr="0076473C">
              <w:rPr>
                <w:lang w:val="en-CA"/>
              </w:rPr>
              <w:t xml:space="preserve"> </w:t>
            </w:r>
          </w:p>
        </w:tc>
      </w:tr>
      <w:tr w:rsidR="00CC3BDA" w:rsidRPr="0076473C" w14:paraId="3E91D5B5" w14:textId="77777777" w:rsidTr="00562F60">
        <w:tc>
          <w:tcPr>
            <w:tcW w:w="9360" w:type="dxa"/>
            <w:gridSpan w:val="6"/>
          </w:tcPr>
          <w:p w14:paraId="57B464F4" w14:textId="77777777" w:rsidR="00562F60" w:rsidRPr="006C0449" w:rsidRDefault="009A475E">
            <w:pPr>
              <w:pStyle w:val="zSoquijlblLienParties"/>
              <w:rPr>
                <w:lang w:val="en-CA"/>
              </w:rPr>
            </w:pPr>
            <w:r w:rsidRPr="006C0449">
              <w:rPr>
                <w:lang w:val="en-CA"/>
              </w:rPr>
              <w:t>v.</w:t>
            </w:r>
          </w:p>
        </w:tc>
      </w:tr>
      <w:tr w:rsidR="00CC3BDA" w:rsidRPr="0076473C" w14:paraId="1DED248E" w14:textId="77777777" w:rsidTr="00562F60">
        <w:tc>
          <w:tcPr>
            <w:tcW w:w="9360" w:type="dxa"/>
            <w:gridSpan w:val="6"/>
          </w:tcPr>
          <w:p w14:paraId="7BC05E43" w14:textId="77777777" w:rsidR="00562F60" w:rsidRPr="0076473C" w:rsidRDefault="00562F60">
            <w:pPr>
              <w:rPr>
                <w:lang w:val="en-CA"/>
              </w:rPr>
            </w:pPr>
          </w:p>
        </w:tc>
      </w:tr>
      <w:tr w:rsidR="00CC3BDA" w:rsidRPr="0076473C" w14:paraId="749BFA5F" w14:textId="77777777" w:rsidTr="00562F60">
        <w:tc>
          <w:tcPr>
            <w:tcW w:w="9360" w:type="dxa"/>
            <w:gridSpan w:val="6"/>
          </w:tcPr>
          <w:p w14:paraId="2DA02AF0" w14:textId="77777777" w:rsidR="00562F60" w:rsidRPr="0076473C" w:rsidRDefault="00562F60">
            <w:pPr>
              <w:pStyle w:val="zSoquijdatNomPartieDef"/>
              <w:rPr>
                <w:lang w:val="en-CA"/>
              </w:rPr>
            </w:pPr>
            <w:r w:rsidRPr="0076473C">
              <w:rPr>
                <w:lang w:val="en-CA"/>
              </w:rPr>
              <w:t>MAXIME BERTRAND MARCHAND</w:t>
            </w:r>
          </w:p>
        </w:tc>
      </w:tr>
      <w:tr w:rsidR="00CC3BDA" w:rsidRPr="0076473C" w14:paraId="3B26926B" w14:textId="77777777" w:rsidTr="00562F60">
        <w:tc>
          <w:tcPr>
            <w:tcW w:w="9360" w:type="dxa"/>
            <w:gridSpan w:val="6"/>
          </w:tcPr>
          <w:p w14:paraId="1EE10FC4" w14:textId="1AAAA3D6" w:rsidR="00562F60" w:rsidRPr="0076473C" w:rsidRDefault="004B6822" w:rsidP="004B6822">
            <w:pPr>
              <w:pStyle w:val="zSoquijdatQtePartieDef"/>
              <w:rPr>
                <w:lang w:val="en-CA"/>
              </w:rPr>
            </w:pPr>
            <w:r w:rsidRPr="006C0449">
              <w:rPr>
                <w:lang w:val="en-CA"/>
              </w:rPr>
              <w:t>RESPONDENT</w:t>
            </w:r>
            <w:r w:rsidR="00562F60" w:rsidRPr="006C0449">
              <w:rPr>
                <w:lang w:val="en-CA"/>
              </w:rPr>
              <w:t xml:space="preserve"> – Accus</w:t>
            </w:r>
            <w:r w:rsidRPr="006C0449">
              <w:rPr>
                <w:lang w:val="en-CA"/>
              </w:rPr>
              <w:t>ed</w:t>
            </w:r>
            <w:r w:rsidR="00562F60" w:rsidRPr="0076473C">
              <w:rPr>
                <w:lang w:val="en-CA"/>
              </w:rPr>
              <w:t xml:space="preserve"> </w:t>
            </w:r>
          </w:p>
        </w:tc>
      </w:tr>
      <w:tr w:rsidR="00CC3BDA" w:rsidRPr="0076473C" w14:paraId="155949E8" w14:textId="77777777" w:rsidTr="00562F60">
        <w:tc>
          <w:tcPr>
            <w:tcW w:w="9360" w:type="dxa"/>
            <w:gridSpan w:val="6"/>
          </w:tcPr>
          <w:p w14:paraId="51CBDFE6" w14:textId="77777777" w:rsidR="00562F60" w:rsidRPr="0076473C" w:rsidRDefault="00562F60">
            <w:pPr>
              <w:rPr>
                <w:lang w:val="en-CA"/>
              </w:rPr>
            </w:pPr>
          </w:p>
        </w:tc>
      </w:tr>
      <w:tr w:rsidR="00CC3BDA" w:rsidRPr="0076473C" w14:paraId="2E1F787C" w14:textId="77777777" w:rsidTr="00562F60">
        <w:tc>
          <w:tcPr>
            <w:tcW w:w="9360" w:type="dxa"/>
            <w:gridSpan w:val="6"/>
            <w:tcBorders>
              <w:top w:val="single" w:sz="8" w:space="0" w:color="auto"/>
            </w:tcBorders>
          </w:tcPr>
          <w:p w14:paraId="1D750A79" w14:textId="77777777" w:rsidR="00562F60" w:rsidRPr="0076473C" w:rsidRDefault="00562F60">
            <w:pPr>
              <w:rPr>
                <w:lang w:val="en-CA"/>
              </w:rPr>
            </w:pPr>
            <w:bookmarkStart w:id="2" w:name="Arret"/>
          </w:p>
        </w:tc>
      </w:tr>
      <w:tr w:rsidR="00CC3BDA" w:rsidRPr="0076473C" w14:paraId="16611080" w14:textId="77777777" w:rsidTr="00562F60">
        <w:tc>
          <w:tcPr>
            <w:tcW w:w="9360" w:type="dxa"/>
            <w:gridSpan w:val="6"/>
          </w:tcPr>
          <w:p w14:paraId="085DED30" w14:textId="77777777" w:rsidR="00562F60" w:rsidRPr="006C0449" w:rsidRDefault="009A475E">
            <w:pPr>
              <w:pStyle w:val="zSoquijlblTypeDocument"/>
              <w:rPr>
                <w:lang w:val="en-CA"/>
              </w:rPr>
            </w:pPr>
            <w:r w:rsidRPr="006C0449">
              <w:rPr>
                <w:lang w:val="en-CA"/>
              </w:rPr>
              <w:t>JUDGMENT</w:t>
            </w:r>
          </w:p>
        </w:tc>
      </w:tr>
      <w:tr w:rsidR="00CC3BDA" w:rsidRPr="0076473C" w14:paraId="5B3E407C" w14:textId="77777777" w:rsidTr="00562F60">
        <w:tc>
          <w:tcPr>
            <w:tcW w:w="9360" w:type="dxa"/>
            <w:gridSpan w:val="6"/>
            <w:tcBorders>
              <w:bottom w:val="single" w:sz="8" w:space="0" w:color="auto"/>
            </w:tcBorders>
          </w:tcPr>
          <w:p w14:paraId="24C2AB9C" w14:textId="77777777" w:rsidR="00562F60" w:rsidRPr="0076473C" w:rsidRDefault="00562F60">
            <w:pPr>
              <w:rPr>
                <w:lang w:val="en-CA"/>
              </w:rPr>
            </w:pPr>
          </w:p>
        </w:tc>
      </w:tr>
      <w:tr w:rsidR="00CC3BDA" w:rsidRPr="0076473C" w14:paraId="79BD643F" w14:textId="77777777" w:rsidTr="00562F60">
        <w:tc>
          <w:tcPr>
            <w:tcW w:w="9360" w:type="dxa"/>
            <w:gridSpan w:val="6"/>
            <w:tcBorders>
              <w:top w:val="single" w:sz="8" w:space="0" w:color="auto"/>
            </w:tcBorders>
          </w:tcPr>
          <w:p w14:paraId="7E3CB374" w14:textId="77777777" w:rsidR="00562F60" w:rsidRPr="0076473C" w:rsidRDefault="00562F60">
            <w:pPr>
              <w:rPr>
                <w:lang w:val="en-CA"/>
              </w:rPr>
            </w:pPr>
          </w:p>
        </w:tc>
      </w:tr>
    </w:tbl>
    <w:p w14:paraId="71BBAF82" w14:textId="483897C8" w:rsidR="00562F60" w:rsidRPr="006C0449" w:rsidRDefault="009A475E" w:rsidP="00562F60">
      <w:pPr>
        <w:pStyle w:val="Paragraphe"/>
        <w:numPr>
          <w:ilvl w:val="0"/>
          <w:numId w:val="0"/>
        </w:numPr>
        <w:spacing w:before="240" w:line="240" w:lineRule="auto"/>
        <w:rPr>
          <w:rFonts w:cs="Arial"/>
          <w:sz w:val="23"/>
          <w:szCs w:val="23"/>
          <w:lang w:val="en-CA"/>
        </w:rPr>
      </w:pPr>
      <w:r w:rsidRPr="006C0449">
        <w:rPr>
          <w:rFonts w:cs="Arial"/>
          <w:b/>
          <w:bCs/>
          <w:caps/>
          <w:color w:val="000000"/>
          <w:sz w:val="23"/>
          <w:szCs w:val="23"/>
          <w:u w:val="single"/>
          <w:shd w:val="clear" w:color="auto" w:fill="FFFFFF"/>
          <w:lang w:val="en-CA"/>
        </w:rPr>
        <w:t>Warning</w:t>
      </w:r>
      <w:r w:rsidRPr="006C0449">
        <w:rPr>
          <w:rFonts w:cs="Arial"/>
          <w:b/>
          <w:bCs/>
          <w:color w:val="000000"/>
          <w:sz w:val="23"/>
          <w:szCs w:val="23"/>
          <w:shd w:val="clear" w:color="auto" w:fill="FFFFFF"/>
          <w:lang w:val="en-CA"/>
        </w:rPr>
        <w:t xml:space="preserve">: Order restricting publication – sexual </w:t>
      </w:r>
      <w:r w:rsidR="004B6822" w:rsidRPr="006C0449">
        <w:rPr>
          <w:rFonts w:cs="Arial"/>
          <w:b/>
          <w:bCs/>
          <w:color w:val="000000"/>
          <w:sz w:val="23"/>
          <w:szCs w:val="23"/>
          <w:shd w:val="clear" w:color="auto" w:fill="FFFFFF"/>
          <w:lang w:val="en-CA"/>
        </w:rPr>
        <w:t>offences</w:t>
      </w:r>
      <w:r w:rsidRPr="006C0449">
        <w:rPr>
          <w:rFonts w:cs="Arial"/>
          <w:b/>
          <w:bCs/>
          <w:color w:val="000000"/>
          <w:sz w:val="23"/>
          <w:szCs w:val="23"/>
          <w:shd w:val="clear" w:color="auto" w:fill="FFFFFF"/>
          <w:lang w:val="en-CA"/>
        </w:rPr>
        <w:t xml:space="preserve">: Any information that could identify the victim or a witness shall not be published in any document or broadcast or transmitted in any way (s. 486.4(1) </w:t>
      </w:r>
      <w:r w:rsidRPr="006C0449">
        <w:rPr>
          <w:rFonts w:cs="Arial"/>
          <w:b/>
          <w:bCs/>
          <w:i/>
          <w:color w:val="000000"/>
          <w:sz w:val="23"/>
          <w:szCs w:val="23"/>
          <w:shd w:val="clear" w:color="auto" w:fill="FFFFFF"/>
          <w:lang w:val="en-CA"/>
        </w:rPr>
        <w:t>Cr. C</w:t>
      </w:r>
      <w:r w:rsidRPr="006C0449">
        <w:rPr>
          <w:rFonts w:cs="Arial"/>
          <w:b/>
          <w:bCs/>
          <w:color w:val="000000"/>
          <w:sz w:val="23"/>
          <w:szCs w:val="23"/>
          <w:shd w:val="clear" w:color="auto" w:fill="FFFFFF"/>
          <w:lang w:val="en-CA"/>
        </w:rPr>
        <w:t>.).</w:t>
      </w:r>
    </w:p>
    <w:p w14:paraId="4848FA59" w14:textId="4D57732B" w:rsidR="00562F60" w:rsidRPr="0076473C" w:rsidRDefault="009A475E" w:rsidP="00562F60">
      <w:pPr>
        <w:pStyle w:val="Paragraphe"/>
        <w:spacing w:before="240" w:line="280" w:lineRule="exact"/>
        <w:rPr>
          <w:lang w:val="en-CA"/>
        </w:rPr>
      </w:pPr>
      <w:r w:rsidRPr="0076473C">
        <w:rPr>
          <w:lang w:val="en-CA"/>
        </w:rPr>
        <w:t xml:space="preserve">The applicants seek leave to appeal from the </w:t>
      </w:r>
      <w:r w:rsidR="002A73C8">
        <w:rPr>
          <w:lang w:val="en-CA"/>
        </w:rPr>
        <w:t>portion</w:t>
      </w:r>
      <w:r w:rsidRPr="0076473C">
        <w:rPr>
          <w:lang w:val="en-CA"/>
        </w:rPr>
        <w:t xml:space="preserve"> of the judgment rendered by the Court of Québec, Criminal and Penal Division</w:t>
      </w:r>
      <w:r w:rsidR="00DD1AE6" w:rsidRPr="0076473C">
        <w:rPr>
          <w:lang w:val="en-CA"/>
        </w:rPr>
        <w:t>,</w:t>
      </w:r>
      <w:r w:rsidRPr="0076473C">
        <w:rPr>
          <w:lang w:val="en-CA"/>
        </w:rPr>
        <w:t xml:space="preserve"> District of Témiscamingue, on March 11, 2020 (the Honourable Marie-Claude Bélanger)</w:t>
      </w:r>
      <w:r w:rsidR="002A73C8">
        <w:rPr>
          <w:lang w:val="en-CA"/>
        </w:rPr>
        <w:t>,</w:t>
      </w:r>
      <w:r w:rsidRPr="0076473C">
        <w:rPr>
          <w:lang w:val="en-CA"/>
        </w:rPr>
        <w:t xml:space="preserve"> sentencing </w:t>
      </w:r>
      <w:r w:rsidR="004B6822" w:rsidRPr="0076473C">
        <w:rPr>
          <w:lang w:val="en-CA"/>
        </w:rPr>
        <w:t xml:space="preserve">the </w:t>
      </w:r>
      <w:r w:rsidRPr="0076473C">
        <w:rPr>
          <w:lang w:val="en-CA"/>
        </w:rPr>
        <w:t>respondent to five months’ imprisonment for lurin</w:t>
      </w:r>
      <w:r w:rsidR="002A73C8">
        <w:rPr>
          <w:lang w:val="en-CA"/>
        </w:rPr>
        <w:t>g a person who is,</w:t>
      </w:r>
      <w:r w:rsidRPr="0076473C">
        <w:rPr>
          <w:lang w:val="en-CA"/>
        </w:rPr>
        <w:t xml:space="preserve"> or who the accused believe</w:t>
      </w:r>
      <w:r w:rsidR="00A067C0" w:rsidRPr="0076473C">
        <w:rPr>
          <w:lang w:val="en-CA"/>
        </w:rPr>
        <w:t>d</w:t>
      </w:r>
      <w:r w:rsidRPr="0076473C">
        <w:rPr>
          <w:lang w:val="en-CA"/>
        </w:rPr>
        <w:t xml:space="preserve"> </w:t>
      </w:r>
      <w:r w:rsidR="00A067C0" w:rsidRPr="0076473C">
        <w:rPr>
          <w:lang w:val="en-CA"/>
        </w:rPr>
        <w:t>to be</w:t>
      </w:r>
      <w:r w:rsidR="002A73C8">
        <w:rPr>
          <w:lang w:val="en-CA"/>
        </w:rPr>
        <w:t>,</w:t>
      </w:r>
      <w:r w:rsidRPr="0076473C">
        <w:rPr>
          <w:lang w:val="en-CA"/>
        </w:rPr>
        <w:t xml:space="preserve"> under the age of 16 years (s. 172.1(1)(</w:t>
      </w:r>
      <w:r w:rsidRPr="009B7B69">
        <w:rPr>
          <w:i/>
          <w:lang w:val="en-CA"/>
        </w:rPr>
        <w:t>b</w:t>
      </w:r>
      <w:r w:rsidRPr="0076473C">
        <w:rPr>
          <w:lang w:val="en-CA"/>
        </w:rPr>
        <w:t>)(2)(</w:t>
      </w:r>
      <w:r w:rsidRPr="009B7B69">
        <w:rPr>
          <w:i/>
          <w:lang w:val="en-CA"/>
        </w:rPr>
        <w:t>a</w:t>
      </w:r>
      <w:r w:rsidRPr="0076473C">
        <w:rPr>
          <w:lang w:val="en-CA"/>
        </w:rPr>
        <w:t>)</w:t>
      </w:r>
      <w:r w:rsidRPr="0076473C">
        <w:rPr>
          <w:i/>
          <w:lang w:val="en-CA"/>
        </w:rPr>
        <w:t xml:space="preserve"> Cr. C</w:t>
      </w:r>
      <w:r w:rsidRPr="0076473C">
        <w:rPr>
          <w:lang w:val="en-CA"/>
        </w:rPr>
        <w:t xml:space="preserve">.) (count 4), to be served concurrently </w:t>
      </w:r>
      <w:r w:rsidRPr="0076473C">
        <w:rPr>
          <w:lang w:val="en-CA"/>
        </w:rPr>
        <w:lastRenderedPageBreak/>
        <w:t>with cou</w:t>
      </w:r>
      <w:r w:rsidR="00DD1AE6" w:rsidRPr="0076473C">
        <w:rPr>
          <w:lang w:val="en-CA"/>
        </w:rPr>
        <w:t>n</w:t>
      </w:r>
      <w:r w:rsidRPr="0076473C">
        <w:rPr>
          <w:lang w:val="en-CA"/>
        </w:rPr>
        <w:t>t 1,</w:t>
      </w:r>
      <w:r w:rsidR="004B6822" w:rsidRPr="0076473C">
        <w:rPr>
          <w:rStyle w:val="Appelnotedebasdep"/>
          <w:spacing w:val="-2"/>
          <w:lang w:val="en-CA"/>
        </w:rPr>
        <w:footnoteReference w:id="1"/>
      </w:r>
      <w:r w:rsidR="004B6822" w:rsidRPr="0076473C">
        <w:rPr>
          <w:spacing w:val="-2"/>
          <w:lang w:val="en-CA"/>
        </w:rPr>
        <w:t xml:space="preserve"> </w:t>
      </w:r>
      <w:r w:rsidRPr="0076473C">
        <w:rPr>
          <w:lang w:val="en-CA"/>
        </w:rPr>
        <w:t>as well as the judge’s decision to declare inoperative the mandatory minimum sentence set out in s. 172(2)(</w:t>
      </w:r>
      <w:r w:rsidRPr="009B7B69">
        <w:rPr>
          <w:i/>
          <w:lang w:val="en-CA"/>
        </w:rPr>
        <w:t>a</w:t>
      </w:r>
      <w:r w:rsidRPr="0076473C">
        <w:rPr>
          <w:lang w:val="en-CA"/>
        </w:rPr>
        <w:t xml:space="preserve">) </w:t>
      </w:r>
      <w:r w:rsidRPr="0076473C">
        <w:rPr>
          <w:i/>
          <w:lang w:val="en-CA"/>
        </w:rPr>
        <w:t>Cr. C</w:t>
      </w:r>
      <w:r w:rsidRPr="0076473C">
        <w:rPr>
          <w:lang w:val="en-CA"/>
        </w:rPr>
        <w:t>. which, acco</w:t>
      </w:r>
      <w:r w:rsidR="004B6822" w:rsidRPr="0076473C">
        <w:rPr>
          <w:lang w:val="en-CA"/>
        </w:rPr>
        <w:t>rding to her, violates</w:t>
      </w:r>
      <w:r w:rsidRPr="0076473C">
        <w:rPr>
          <w:lang w:val="en-CA"/>
        </w:rPr>
        <w:t xml:space="preserve"> s. 12 of the </w:t>
      </w:r>
      <w:r w:rsidRPr="0076473C">
        <w:rPr>
          <w:i/>
          <w:lang w:val="en-CA"/>
        </w:rPr>
        <w:t>Canadian Charter of Rights and Freedoms</w:t>
      </w:r>
      <w:r w:rsidRPr="0076473C">
        <w:rPr>
          <w:lang w:val="en-CA"/>
        </w:rPr>
        <w:t>.</w:t>
      </w:r>
      <w:r w:rsidRPr="0076473C">
        <w:rPr>
          <w:spacing w:val="-2"/>
          <w:lang w:val="en-CA"/>
        </w:rPr>
        <w:t xml:space="preserve"> </w:t>
      </w:r>
    </w:p>
    <w:p w14:paraId="32B9065E" w14:textId="77777777" w:rsidR="00562F60" w:rsidRPr="006C0449" w:rsidRDefault="009A475E" w:rsidP="00562F60">
      <w:pPr>
        <w:pStyle w:val="Paragraphe"/>
        <w:spacing w:line="280" w:lineRule="exact"/>
        <w:rPr>
          <w:lang w:val="en-CA"/>
        </w:rPr>
      </w:pPr>
      <w:r w:rsidRPr="006C0449">
        <w:rPr>
          <w:lang w:val="en-CA"/>
        </w:rPr>
        <w:t xml:space="preserve">For the joint reasons of Cotnam and Beaupré, JJ.A., </w:t>
      </w:r>
      <w:r w:rsidRPr="006C0449">
        <w:rPr>
          <w:b/>
          <w:lang w:val="en-CA"/>
        </w:rPr>
        <w:t>THE COURT</w:t>
      </w:r>
      <w:r w:rsidRPr="006C0449">
        <w:rPr>
          <w:lang w:val="en-CA"/>
        </w:rPr>
        <w:t>:</w:t>
      </w:r>
    </w:p>
    <w:p w14:paraId="7F361C69" w14:textId="77777777" w:rsidR="00562F60" w:rsidRPr="006C0449" w:rsidRDefault="009A475E" w:rsidP="00562F60">
      <w:pPr>
        <w:pStyle w:val="Paragraphe"/>
        <w:spacing w:line="280" w:lineRule="exact"/>
        <w:rPr>
          <w:lang w:val="en-CA"/>
        </w:rPr>
      </w:pPr>
      <w:r w:rsidRPr="006C0449">
        <w:rPr>
          <w:b/>
          <w:lang w:val="en-CA"/>
        </w:rPr>
        <w:t xml:space="preserve">GRANTS </w:t>
      </w:r>
      <w:r w:rsidRPr="006C0449">
        <w:rPr>
          <w:lang w:val="en-CA"/>
        </w:rPr>
        <w:t>the application for leave to appeal;</w:t>
      </w:r>
    </w:p>
    <w:p w14:paraId="59ECE74C" w14:textId="77777777" w:rsidR="00562F60" w:rsidRPr="006C0449" w:rsidRDefault="009A475E" w:rsidP="00562F60">
      <w:pPr>
        <w:pStyle w:val="Paragraphe"/>
        <w:spacing w:line="280" w:lineRule="exact"/>
        <w:rPr>
          <w:lang w:val="en-CA"/>
        </w:rPr>
      </w:pPr>
      <w:r w:rsidRPr="006C0449">
        <w:rPr>
          <w:b/>
          <w:lang w:val="en-CA"/>
        </w:rPr>
        <w:t xml:space="preserve">DISMISSES </w:t>
      </w:r>
      <w:r w:rsidRPr="006C0449">
        <w:rPr>
          <w:lang w:val="en-CA"/>
        </w:rPr>
        <w:t>the appeal;</w:t>
      </w:r>
    </w:p>
    <w:p w14:paraId="707231E3" w14:textId="77777777" w:rsidR="00562F60" w:rsidRPr="006C0449" w:rsidRDefault="009A475E" w:rsidP="00562F60">
      <w:pPr>
        <w:pStyle w:val="Paragraphe"/>
        <w:spacing w:line="280" w:lineRule="exact"/>
        <w:rPr>
          <w:lang w:val="en-CA"/>
        </w:rPr>
      </w:pPr>
      <w:r w:rsidRPr="006C0449">
        <w:rPr>
          <w:b/>
          <w:lang w:val="en-CA"/>
        </w:rPr>
        <w:t>DECLARES</w:t>
      </w:r>
      <w:r w:rsidRPr="006C0449">
        <w:rPr>
          <w:lang w:val="en-CA"/>
        </w:rPr>
        <w:t xml:space="preserve"> that the minimum sentence set out at s. 172.1(2)(</w:t>
      </w:r>
      <w:r w:rsidRPr="009B7B69">
        <w:rPr>
          <w:i/>
          <w:lang w:val="en-CA"/>
        </w:rPr>
        <w:t>a</w:t>
      </w:r>
      <w:r w:rsidRPr="006C0449">
        <w:rPr>
          <w:lang w:val="en-CA"/>
        </w:rPr>
        <w:t xml:space="preserve">) violates the </w:t>
      </w:r>
      <w:r w:rsidRPr="006C0449">
        <w:rPr>
          <w:i/>
          <w:lang w:val="en-CA"/>
        </w:rPr>
        <w:t>Canadian Charter of Rights and Freedoms</w:t>
      </w:r>
      <w:r w:rsidRPr="006C0449">
        <w:rPr>
          <w:lang w:val="en-CA"/>
        </w:rPr>
        <w:t xml:space="preserve"> in the case of the respondent and that it is inoperative with respect to him.</w:t>
      </w:r>
    </w:p>
    <w:p w14:paraId="67F0C527" w14:textId="0511D386" w:rsidR="00562F60" w:rsidRPr="0076473C" w:rsidRDefault="009A475E" w:rsidP="00562F60">
      <w:pPr>
        <w:pStyle w:val="Paragraphe"/>
        <w:spacing w:line="280" w:lineRule="exact"/>
        <w:rPr>
          <w:lang w:val="en-CA"/>
        </w:rPr>
      </w:pPr>
      <w:r w:rsidRPr="0076473C">
        <w:rPr>
          <w:lang w:val="en-CA"/>
        </w:rPr>
        <w:t>Levesque</w:t>
      </w:r>
      <w:r w:rsidR="002A73C8">
        <w:rPr>
          <w:lang w:val="en-CA"/>
        </w:rPr>
        <w:t>,</w:t>
      </w:r>
      <w:r w:rsidRPr="0076473C">
        <w:rPr>
          <w:lang w:val="en-CA"/>
        </w:rPr>
        <w:t xml:space="preserve"> J.A., would have granted the application for leave to appeal, allowed the appeal, set aside the sentence of </w:t>
      </w:r>
      <w:r w:rsidR="002A73C8">
        <w:rPr>
          <w:lang w:val="en-CA"/>
        </w:rPr>
        <w:t>5</w:t>
      </w:r>
      <w:r w:rsidRPr="0076473C">
        <w:rPr>
          <w:lang w:val="en-CA"/>
        </w:rPr>
        <w:t xml:space="preserve"> months’ imprisonment ordered on March 11, 2020, with respect to count 4, </w:t>
      </w:r>
      <w:r w:rsidR="00E94E17" w:rsidRPr="0076473C">
        <w:rPr>
          <w:lang w:val="en-CA"/>
        </w:rPr>
        <w:t>set aside</w:t>
      </w:r>
      <w:r w:rsidRPr="0076473C">
        <w:rPr>
          <w:lang w:val="en-CA"/>
        </w:rPr>
        <w:t xml:space="preserve"> the declaration of inoperability </w:t>
      </w:r>
      <w:r w:rsidR="00475C63">
        <w:rPr>
          <w:lang w:val="en-CA"/>
        </w:rPr>
        <w:t>made</w:t>
      </w:r>
      <w:r w:rsidR="00475C63" w:rsidRPr="0076473C">
        <w:rPr>
          <w:lang w:val="en-CA"/>
        </w:rPr>
        <w:t xml:space="preserve"> </w:t>
      </w:r>
      <w:r w:rsidRPr="0076473C">
        <w:rPr>
          <w:lang w:val="en-CA"/>
        </w:rPr>
        <w:t xml:space="preserve">by the trial judge, sentenced Maxime Bertrand Marchand to 12 months’ imprisonment </w:t>
      </w:r>
      <w:r w:rsidR="00475C63">
        <w:rPr>
          <w:lang w:val="en-CA"/>
        </w:rPr>
        <w:t>on</w:t>
      </w:r>
      <w:r w:rsidRPr="0076473C">
        <w:rPr>
          <w:lang w:val="en-CA"/>
        </w:rPr>
        <w:t xml:space="preserve"> count 4 to be served concurrently with the </w:t>
      </w:r>
      <w:r w:rsidR="00DD1AE6" w:rsidRPr="0076473C">
        <w:rPr>
          <w:lang w:val="en-CA"/>
        </w:rPr>
        <w:t>sentence</w:t>
      </w:r>
      <w:r w:rsidRPr="0076473C">
        <w:rPr>
          <w:lang w:val="en-CA"/>
        </w:rPr>
        <w:t xml:space="preserve"> of </w:t>
      </w:r>
      <w:r w:rsidR="002A73C8">
        <w:rPr>
          <w:lang w:val="en-CA"/>
        </w:rPr>
        <w:t>10</w:t>
      </w:r>
      <w:r w:rsidRPr="0076473C">
        <w:rPr>
          <w:lang w:val="en-CA"/>
        </w:rPr>
        <w:t xml:space="preserve"> months’ </w:t>
      </w:r>
      <w:r w:rsidR="00DD1AE6" w:rsidRPr="0076473C">
        <w:rPr>
          <w:lang w:val="en-CA"/>
        </w:rPr>
        <w:t>imprisonment</w:t>
      </w:r>
      <w:r w:rsidRPr="0076473C">
        <w:rPr>
          <w:lang w:val="en-CA"/>
        </w:rPr>
        <w:t xml:space="preserve"> </w:t>
      </w:r>
      <w:r w:rsidR="00475C63">
        <w:rPr>
          <w:lang w:val="en-CA"/>
        </w:rPr>
        <w:t>ordered for</w:t>
      </w:r>
      <w:r w:rsidRPr="0076473C">
        <w:rPr>
          <w:lang w:val="en-CA"/>
        </w:rPr>
        <w:t xml:space="preserve"> count 1, </w:t>
      </w:r>
      <w:r w:rsidR="00DD1AE6" w:rsidRPr="0076473C">
        <w:rPr>
          <w:lang w:val="en-CA"/>
        </w:rPr>
        <w:t>permanently</w:t>
      </w:r>
      <w:r w:rsidRPr="0076473C">
        <w:rPr>
          <w:lang w:val="en-CA"/>
        </w:rPr>
        <w:t xml:space="preserve"> suspend the sentence thus imposed on the respondent</w:t>
      </w:r>
      <w:r w:rsidR="002A73C8">
        <w:rPr>
          <w:lang w:val="en-CA"/>
        </w:rPr>
        <w:t>,</w:t>
      </w:r>
      <w:r w:rsidRPr="0076473C">
        <w:rPr>
          <w:lang w:val="en-CA"/>
        </w:rPr>
        <w:t xml:space="preserve"> and </w:t>
      </w:r>
      <w:r w:rsidR="002A73C8">
        <w:rPr>
          <w:lang w:val="en-CA"/>
        </w:rPr>
        <w:t>modified</w:t>
      </w:r>
      <w:r w:rsidRPr="0076473C">
        <w:rPr>
          <w:lang w:val="en-CA"/>
        </w:rPr>
        <w:t xml:space="preserve"> </w:t>
      </w:r>
      <w:r w:rsidR="00DD1AE6" w:rsidRPr="0076473C">
        <w:rPr>
          <w:lang w:val="en-CA"/>
        </w:rPr>
        <w:t>paragraph</w:t>
      </w:r>
      <w:r w:rsidRPr="0076473C">
        <w:rPr>
          <w:lang w:val="en-CA"/>
        </w:rPr>
        <w:t xml:space="preserve"> 87 of the judgment under appeal so that the probation order described therein </w:t>
      </w:r>
      <w:r w:rsidR="00E94E17" w:rsidRPr="0076473C">
        <w:rPr>
          <w:lang w:val="en-CA"/>
        </w:rPr>
        <w:t>would</w:t>
      </w:r>
      <w:r w:rsidRPr="0076473C">
        <w:rPr>
          <w:lang w:val="en-CA"/>
        </w:rPr>
        <w:t xml:space="preserve"> be for a period of </w:t>
      </w:r>
      <w:r w:rsidR="002A73C8">
        <w:rPr>
          <w:lang w:val="en-CA"/>
        </w:rPr>
        <w:t>3</w:t>
      </w:r>
      <w:r w:rsidRPr="0076473C">
        <w:rPr>
          <w:lang w:val="en-CA"/>
        </w:rPr>
        <w:t xml:space="preserve"> years starting </w:t>
      </w:r>
      <w:r w:rsidR="00E94E17" w:rsidRPr="0076473C">
        <w:rPr>
          <w:lang w:val="en-CA"/>
        </w:rPr>
        <w:t>o</w:t>
      </w:r>
      <w:r w:rsidRPr="0076473C">
        <w:rPr>
          <w:lang w:val="en-CA"/>
        </w:rPr>
        <w:t>n March 11, 2020.</w:t>
      </w:r>
      <w:r w:rsidR="00562F60" w:rsidRPr="0076473C">
        <w:rPr>
          <w:lang w:val="en-CA"/>
        </w:rPr>
        <w:t xml:space="preserve"> </w:t>
      </w:r>
    </w:p>
    <w:p w14:paraId="1AC85465" w14:textId="77777777" w:rsidR="00562F60" w:rsidRPr="0076473C" w:rsidRDefault="00562F60" w:rsidP="00562F60">
      <w:pPr>
        <w:pStyle w:val="Paragraphe"/>
        <w:numPr>
          <w:ilvl w:val="0"/>
          <w:numId w:val="0"/>
        </w:numPr>
        <w:spacing w:line="280" w:lineRule="exact"/>
        <w:rPr>
          <w:lang w:val="en-CA"/>
        </w:rPr>
      </w:pPr>
    </w:p>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1997"/>
        <w:gridCol w:w="2685"/>
        <w:gridCol w:w="4680"/>
      </w:tblGrid>
      <w:tr w:rsidR="00CC3BDA" w:rsidRPr="002A73C8" w14:paraId="2ED79A14" w14:textId="77777777" w:rsidTr="00562F60">
        <w:trPr>
          <w:trHeight w:val="576"/>
        </w:trPr>
        <w:tc>
          <w:tcPr>
            <w:tcW w:w="9362" w:type="dxa"/>
            <w:gridSpan w:val="3"/>
            <w:tcBorders>
              <w:top w:val="nil"/>
              <w:bottom w:val="nil"/>
            </w:tcBorders>
          </w:tcPr>
          <w:p w14:paraId="125A5766" w14:textId="77777777" w:rsidR="00562F60" w:rsidRPr="0076473C" w:rsidRDefault="00562F60" w:rsidP="00562F60">
            <w:pPr>
              <w:keepNext/>
              <w:rPr>
                <w:lang w:val="en-CA"/>
              </w:rPr>
            </w:pPr>
          </w:p>
        </w:tc>
      </w:tr>
      <w:tr w:rsidR="00CC3BDA" w:rsidRPr="002A73C8" w14:paraId="64001826" w14:textId="77777777" w:rsidTr="00562F60">
        <w:trPr>
          <w:trHeight w:val="283"/>
        </w:trPr>
        <w:tc>
          <w:tcPr>
            <w:tcW w:w="4682" w:type="dxa"/>
            <w:gridSpan w:val="2"/>
            <w:tcBorders>
              <w:top w:val="nil"/>
              <w:bottom w:val="nil"/>
            </w:tcBorders>
          </w:tcPr>
          <w:p w14:paraId="203EC9AF" w14:textId="77777777" w:rsidR="00562F60" w:rsidRPr="0076473C" w:rsidRDefault="00562F60" w:rsidP="00562F60">
            <w:pPr>
              <w:keepNext/>
              <w:rPr>
                <w:lang w:val="en-CA"/>
              </w:rPr>
            </w:pPr>
          </w:p>
        </w:tc>
        <w:tc>
          <w:tcPr>
            <w:tcW w:w="4680" w:type="dxa"/>
            <w:tcBorders>
              <w:top w:val="nil"/>
              <w:bottom w:val="single" w:sz="8" w:space="0" w:color="auto"/>
            </w:tcBorders>
          </w:tcPr>
          <w:p w14:paraId="23CBFEF1" w14:textId="77777777" w:rsidR="00562F60" w:rsidRPr="0076473C" w:rsidRDefault="00562F60" w:rsidP="00562F60">
            <w:pPr>
              <w:keepNext/>
              <w:rPr>
                <w:lang w:val="en-CA"/>
              </w:rPr>
            </w:pPr>
          </w:p>
        </w:tc>
      </w:tr>
      <w:tr w:rsidR="00CC3BDA" w:rsidRPr="0076473C" w14:paraId="5C68D9C7" w14:textId="77777777" w:rsidTr="00562F60">
        <w:trPr>
          <w:trHeight w:val="283"/>
        </w:trPr>
        <w:tc>
          <w:tcPr>
            <w:tcW w:w="4682" w:type="dxa"/>
            <w:gridSpan w:val="2"/>
            <w:tcBorders>
              <w:top w:val="nil"/>
            </w:tcBorders>
          </w:tcPr>
          <w:p w14:paraId="72AB5746" w14:textId="77777777" w:rsidR="00562F60" w:rsidRPr="0076473C" w:rsidRDefault="00562F60" w:rsidP="00562F60">
            <w:pPr>
              <w:keepNext/>
              <w:rPr>
                <w:lang w:val="en-CA"/>
              </w:rPr>
            </w:pPr>
          </w:p>
        </w:tc>
        <w:tc>
          <w:tcPr>
            <w:tcW w:w="4680" w:type="dxa"/>
            <w:tcBorders>
              <w:top w:val="single" w:sz="8" w:space="0" w:color="auto"/>
            </w:tcBorders>
          </w:tcPr>
          <w:p w14:paraId="324000BB" w14:textId="77777777" w:rsidR="00562F60" w:rsidRPr="00BF5DBC" w:rsidRDefault="009A475E" w:rsidP="00562F60">
            <w:r w:rsidRPr="00BF5DBC">
              <w:t>JACQUES J. LEVESQUE, J.A.</w:t>
            </w:r>
          </w:p>
        </w:tc>
      </w:tr>
      <w:tr w:rsidR="00CC3BDA" w:rsidRPr="0076473C" w14:paraId="43653A3F" w14:textId="77777777" w:rsidTr="00562F60">
        <w:trPr>
          <w:trHeight w:val="283"/>
        </w:trPr>
        <w:tc>
          <w:tcPr>
            <w:tcW w:w="4682" w:type="dxa"/>
            <w:gridSpan w:val="2"/>
            <w:tcBorders>
              <w:top w:val="nil"/>
            </w:tcBorders>
          </w:tcPr>
          <w:p w14:paraId="3D778AF3" w14:textId="77777777" w:rsidR="00562F60" w:rsidRPr="00BF5DBC" w:rsidRDefault="00562F60" w:rsidP="00562F60">
            <w:pPr>
              <w:keepNext/>
            </w:pPr>
            <w:bookmarkStart w:id="3" w:name="Signature2"/>
          </w:p>
        </w:tc>
        <w:tc>
          <w:tcPr>
            <w:tcW w:w="4680" w:type="dxa"/>
            <w:tcBorders>
              <w:top w:val="nil"/>
            </w:tcBorders>
          </w:tcPr>
          <w:p w14:paraId="2E1A5615" w14:textId="77777777" w:rsidR="00562F60" w:rsidRPr="00BF5DBC" w:rsidRDefault="00562F60" w:rsidP="00562F60">
            <w:pPr>
              <w:keepNext/>
            </w:pPr>
          </w:p>
        </w:tc>
      </w:tr>
      <w:tr w:rsidR="00CC3BDA" w:rsidRPr="0076473C" w14:paraId="7B43B639" w14:textId="77777777" w:rsidTr="00562F60">
        <w:trPr>
          <w:trHeight w:val="283"/>
        </w:trPr>
        <w:tc>
          <w:tcPr>
            <w:tcW w:w="4682" w:type="dxa"/>
            <w:gridSpan w:val="2"/>
            <w:tcBorders>
              <w:top w:val="nil"/>
              <w:bottom w:val="nil"/>
            </w:tcBorders>
          </w:tcPr>
          <w:p w14:paraId="1D785BD4" w14:textId="77777777" w:rsidR="00562F60" w:rsidRPr="00BF5DBC" w:rsidRDefault="00562F60" w:rsidP="00562F60">
            <w:pPr>
              <w:keepNext/>
            </w:pPr>
          </w:p>
        </w:tc>
        <w:tc>
          <w:tcPr>
            <w:tcW w:w="4680" w:type="dxa"/>
            <w:tcBorders>
              <w:top w:val="nil"/>
              <w:bottom w:val="single" w:sz="8" w:space="0" w:color="auto"/>
            </w:tcBorders>
          </w:tcPr>
          <w:p w14:paraId="2D679ECC" w14:textId="77777777" w:rsidR="00562F60" w:rsidRPr="00BF5DBC" w:rsidRDefault="00562F60" w:rsidP="00562F60">
            <w:pPr>
              <w:keepNext/>
            </w:pPr>
          </w:p>
        </w:tc>
      </w:tr>
      <w:tr w:rsidR="00CC3BDA" w:rsidRPr="0076473C" w14:paraId="65834265" w14:textId="77777777" w:rsidTr="00562F60">
        <w:trPr>
          <w:trHeight w:val="283"/>
        </w:trPr>
        <w:tc>
          <w:tcPr>
            <w:tcW w:w="4682" w:type="dxa"/>
            <w:gridSpan w:val="2"/>
            <w:tcBorders>
              <w:top w:val="nil"/>
            </w:tcBorders>
          </w:tcPr>
          <w:p w14:paraId="6FB298CC" w14:textId="77777777" w:rsidR="00562F60" w:rsidRPr="00BF5DBC" w:rsidRDefault="00562F60" w:rsidP="00562F60">
            <w:pPr>
              <w:keepNext/>
            </w:pPr>
          </w:p>
        </w:tc>
        <w:tc>
          <w:tcPr>
            <w:tcW w:w="4680" w:type="dxa"/>
            <w:tcBorders>
              <w:top w:val="single" w:sz="8" w:space="0" w:color="auto"/>
            </w:tcBorders>
          </w:tcPr>
          <w:p w14:paraId="319CC01F" w14:textId="77777777" w:rsidR="00562F60" w:rsidRPr="006C0449" w:rsidRDefault="009A475E" w:rsidP="00562F60">
            <w:pPr>
              <w:keepNext/>
              <w:rPr>
                <w:lang w:val="en-CA"/>
              </w:rPr>
            </w:pPr>
            <w:r w:rsidRPr="006C0449">
              <w:rPr>
                <w:lang w:val="en-CA"/>
              </w:rPr>
              <w:t>GENEVIÈVE COTNAM, J.A.</w:t>
            </w:r>
          </w:p>
        </w:tc>
      </w:tr>
      <w:tr w:rsidR="00CC3BDA" w:rsidRPr="0076473C" w14:paraId="2695901B" w14:textId="77777777" w:rsidTr="00562F60">
        <w:trPr>
          <w:trHeight w:val="283"/>
        </w:trPr>
        <w:tc>
          <w:tcPr>
            <w:tcW w:w="4682" w:type="dxa"/>
            <w:gridSpan w:val="2"/>
            <w:tcBorders>
              <w:top w:val="nil"/>
            </w:tcBorders>
          </w:tcPr>
          <w:p w14:paraId="7797146C" w14:textId="77777777" w:rsidR="00562F60" w:rsidRPr="0076473C" w:rsidRDefault="00562F60" w:rsidP="00562F60">
            <w:pPr>
              <w:keepNext/>
              <w:rPr>
                <w:lang w:val="en-CA"/>
              </w:rPr>
            </w:pPr>
            <w:bookmarkStart w:id="4" w:name="Signature3"/>
            <w:bookmarkEnd w:id="3"/>
          </w:p>
        </w:tc>
        <w:tc>
          <w:tcPr>
            <w:tcW w:w="4680" w:type="dxa"/>
            <w:tcBorders>
              <w:top w:val="nil"/>
            </w:tcBorders>
          </w:tcPr>
          <w:p w14:paraId="79F77D79" w14:textId="77777777" w:rsidR="00562F60" w:rsidRPr="0076473C" w:rsidRDefault="00562F60" w:rsidP="00562F60">
            <w:pPr>
              <w:keepNext/>
              <w:rPr>
                <w:lang w:val="en-CA"/>
              </w:rPr>
            </w:pPr>
          </w:p>
        </w:tc>
      </w:tr>
      <w:tr w:rsidR="00CC3BDA" w:rsidRPr="0076473C" w14:paraId="528F12AC" w14:textId="77777777" w:rsidTr="00562F60">
        <w:trPr>
          <w:trHeight w:val="283"/>
        </w:trPr>
        <w:tc>
          <w:tcPr>
            <w:tcW w:w="4682" w:type="dxa"/>
            <w:gridSpan w:val="2"/>
            <w:tcBorders>
              <w:top w:val="nil"/>
              <w:bottom w:val="nil"/>
            </w:tcBorders>
          </w:tcPr>
          <w:p w14:paraId="52C62D1B" w14:textId="77777777" w:rsidR="00562F60" w:rsidRPr="0076473C" w:rsidRDefault="00562F60" w:rsidP="00562F60">
            <w:pPr>
              <w:keepNext/>
              <w:rPr>
                <w:lang w:val="en-CA"/>
              </w:rPr>
            </w:pPr>
          </w:p>
        </w:tc>
        <w:tc>
          <w:tcPr>
            <w:tcW w:w="4680" w:type="dxa"/>
            <w:tcBorders>
              <w:top w:val="nil"/>
              <w:bottom w:val="single" w:sz="8" w:space="0" w:color="auto"/>
            </w:tcBorders>
          </w:tcPr>
          <w:p w14:paraId="17BD41B9" w14:textId="77777777" w:rsidR="00562F60" w:rsidRPr="0076473C" w:rsidRDefault="00562F60" w:rsidP="00562F60">
            <w:pPr>
              <w:keepNext/>
              <w:rPr>
                <w:lang w:val="en-CA"/>
              </w:rPr>
            </w:pPr>
          </w:p>
        </w:tc>
      </w:tr>
      <w:tr w:rsidR="00CC3BDA" w:rsidRPr="0076473C" w14:paraId="6D8BBC59" w14:textId="77777777" w:rsidTr="00562F60">
        <w:trPr>
          <w:trHeight w:val="283"/>
        </w:trPr>
        <w:tc>
          <w:tcPr>
            <w:tcW w:w="4682" w:type="dxa"/>
            <w:gridSpan w:val="2"/>
            <w:tcBorders>
              <w:top w:val="nil"/>
            </w:tcBorders>
          </w:tcPr>
          <w:p w14:paraId="55CC40BA" w14:textId="77777777" w:rsidR="00562F60" w:rsidRPr="0076473C" w:rsidRDefault="00562F60" w:rsidP="00562F60">
            <w:pPr>
              <w:keepNext/>
              <w:rPr>
                <w:lang w:val="en-CA"/>
              </w:rPr>
            </w:pPr>
          </w:p>
        </w:tc>
        <w:tc>
          <w:tcPr>
            <w:tcW w:w="4680" w:type="dxa"/>
            <w:tcBorders>
              <w:top w:val="single" w:sz="8" w:space="0" w:color="auto"/>
            </w:tcBorders>
          </w:tcPr>
          <w:p w14:paraId="17DBFD29" w14:textId="77777777" w:rsidR="00562F60" w:rsidRPr="006C0449" w:rsidRDefault="009A475E" w:rsidP="00562F60">
            <w:pPr>
              <w:keepNext/>
              <w:rPr>
                <w:lang w:val="en-CA"/>
              </w:rPr>
            </w:pPr>
            <w:r w:rsidRPr="006C0449">
              <w:rPr>
                <w:lang w:val="en-CA"/>
              </w:rPr>
              <w:t>MICHEL BEAUPRÉ, J.A.</w:t>
            </w:r>
          </w:p>
        </w:tc>
      </w:tr>
      <w:bookmarkEnd w:id="4"/>
      <w:tr w:rsidR="00CC3BDA" w:rsidRPr="0076473C" w14:paraId="4AC5CCDD" w14:textId="77777777" w:rsidTr="00562F60">
        <w:tc>
          <w:tcPr>
            <w:tcW w:w="9362" w:type="dxa"/>
            <w:gridSpan w:val="3"/>
            <w:tcBorders>
              <w:bottom w:val="nil"/>
            </w:tcBorders>
          </w:tcPr>
          <w:p w14:paraId="24C593DA" w14:textId="77777777" w:rsidR="00562F60" w:rsidRPr="0076473C" w:rsidRDefault="00562F60" w:rsidP="00562F60">
            <w:pPr>
              <w:rPr>
                <w:lang w:val="en-CA"/>
              </w:rPr>
            </w:pPr>
          </w:p>
        </w:tc>
      </w:tr>
      <w:tr w:rsidR="00CC3BDA" w:rsidRPr="0076473C" w14:paraId="3FC8726D" w14:textId="77777777" w:rsidTr="00562F60">
        <w:tc>
          <w:tcPr>
            <w:tcW w:w="9362" w:type="dxa"/>
            <w:gridSpan w:val="3"/>
            <w:tcBorders>
              <w:top w:val="nil"/>
            </w:tcBorders>
          </w:tcPr>
          <w:p w14:paraId="21511CBE" w14:textId="77777777" w:rsidR="00562F60" w:rsidRPr="006C0449" w:rsidRDefault="009A475E" w:rsidP="00562F60">
            <w:pPr>
              <w:pStyle w:val="zSoquijdatNomProcureurDem"/>
              <w:rPr>
                <w:lang w:val="en-CA"/>
              </w:rPr>
            </w:pPr>
            <w:r w:rsidRPr="006C0449">
              <w:rPr>
                <w:lang w:val="en-CA"/>
              </w:rPr>
              <w:lastRenderedPageBreak/>
              <w:t>Mtre Mélissa Plante</w:t>
            </w:r>
          </w:p>
        </w:tc>
      </w:tr>
      <w:tr w:rsidR="00CC3BDA" w:rsidRPr="002A73C8" w14:paraId="6623A78B" w14:textId="77777777" w:rsidTr="00562F60">
        <w:tc>
          <w:tcPr>
            <w:tcW w:w="9362" w:type="dxa"/>
            <w:gridSpan w:val="3"/>
          </w:tcPr>
          <w:p w14:paraId="07DA8B6E" w14:textId="77777777" w:rsidR="00562F60" w:rsidRPr="006C0449" w:rsidRDefault="009A475E" w:rsidP="00562F60">
            <w:pPr>
              <w:pStyle w:val="zSoquijdatCabinetProcureurDem"/>
              <w:rPr>
                <w:lang w:val="en-CA"/>
              </w:rPr>
            </w:pPr>
            <w:r w:rsidRPr="006C0449">
              <w:rPr>
                <w:lang w:val="en-CA"/>
              </w:rPr>
              <w:t>Director of Criminal and Penal Prosecutions</w:t>
            </w:r>
          </w:p>
        </w:tc>
      </w:tr>
      <w:tr w:rsidR="00CC3BDA" w:rsidRPr="002A73C8" w14:paraId="13E324E0" w14:textId="77777777" w:rsidTr="00562F60">
        <w:tc>
          <w:tcPr>
            <w:tcW w:w="9362" w:type="dxa"/>
            <w:gridSpan w:val="3"/>
            <w:tcBorders>
              <w:bottom w:val="nil"/>
            </w:tcBorders>
          </w:tcPr>
          <w:p w14:paraId="00DF5C43" w14:textId="77777777" w:rsidR="00562F60" w:rsidRPr="006C0449" w:rsidRDefault="009A475E" w:rsidP="00562F60">
            <w:pPr>
              <w:pStyle w:val="zSoquijlblProcureurDem"/>
              <w:rPr>
                <w:lang w:val="en-CA"/>
              </w:rPr>
            </w:pPr>
            <w:r w:rsidRPr="006C0449">
              <w:rPr>
                <w:lang w:val="en-CA"/>
              </w:rPr>
              <w:t>For the applicant, Her Majesty The Queen</w:t>
            </w:r>
          </w:p>
        </w:tc>
      </w:tr>
      <w:tr w:rsidR="00CC3BDA" w:rsidRPr="002A73C8" w14:paraId="02D76DB1" w14:textId="77777777" w:rsidTr="00562F60">
        <w:tc>
          <w:tcPr>
            <w:tcW w:w="9362" w:type="dxa"/>
            <w:gridSpan w:val="3"/>
            <w:tcBorders>
              <w:top w:val="nil"/>
              <w:bottom w:val="nil"/>
            </w:tcBorders>
          </w:tcPr>
          <w:p w14:paraId="0C0A5123" w14:textId="77777777" w:rsidR="00562F60" w:rsidRPr="0076473C" w:rsidRDefault="00562F60" w:rsidP="00562F60">
            <w:pPr>
              <w:rPr>
                <w:lang w:val="en-CA"/>
              </w:rPr>
            </w:pPr>
          </w:p>
        </w:tc>
      </w:tr>
      <w:tr w:rsidR="00CC3BDA" w:rsidRPr="0076473C" w14:paraId="66FD8131" w14:textId="77777777" w:rsidTr="00562F60">
        <w:tc>
          <w:tcPr>
            <w:tcW w:w="9362" w:type="dxa"/>
            <w:gridSpan w:val="3"/>
          </w:tcPr>
          <w:p w14:paraId="1D97E373" w14:textId="77777777" w:rsidR="00562F60" w:rsidRPr="006C0449" w:rsidRDefault="009A475E" w:rsidP="00562F60">
            <w:pPr>
              <w:pStyle w:val="zSoquijdatNomProcureurDem"/>
              <w:rPr>
                <w:lang w:val="en-CA"/>
              </w:rPr>
            </w:pPr>
            <w:r w:rsidRPr="006C0449">
              <w:rPr>
                <w:lang w:val="en-CA"/>
              </w:rPr>
              <w:t>Mtre Pierre Rogué</w:t>
            </w:r>
          </w:p>
        </w:tc>
      </w:tr>
      <w:tr w:rsidR="00CC3BDA" w:rsidRPr="0076473C" w14:paraId="361AFEF0" w14:textId="77777777" w:rsidTr="00562F60">
        <w:tc>
          <w:tcPr>
            <w:tcW w:w="9362" w:type="dxa"/>
            <w:gridSpan w:val="3"/>
          </w:tcPr>
          <w:p w14:paraId="265215CC" w14:textId="77777777" w:rsidR="00562F60" w:rsidRPr="006C0449" w:rsidRDefault="00562F60" w:rsidP="00562F60">
            <w:pPr>
              <w:pStyle w:val="zSoquijdatCabinetProcureurDem"/>
              <w:rPr>
                <w:lang w:val="en-CA"/>
              </w:rPr>
            </w:pPr>
            <w:r w:rsidRPr="006C0449">
              <w:rPr>
                <w:lang w:val="en-CA"/>
              </w:rPr>
              <w:t>Bernard, Roy</w:t>
            </w:r>
          </w:p>
        </w:tc>
      </w:tr>
      <w:tr w:rsidR="00CC3BDA" w:rsidRPr="002A73C8" w14:paraId="247EC51D" w14:textId="77777777" w:rsidTr="00562F60">
        <w:tc>
          <w:tcPr>
            <w:tcW w:w="9362" w:type="dxa"/>
            <w:gridSpan w:val="3"/>
          </w:tcPr>
          <w:p w14:paraId="44B31022" w14:textId="6F641669" w:rsidR="00562F60" w:rsidRPr="006C0449" w:rsidRDefault="009A475E" w:rsidP="007C654A">
            <w:pPr>
              <w:pStyle w:val="zSoquijlblProcureurDem"/>
              <w:rPr>
                <w:lang w:val="en-CA"/>
              </w:rPr>
            </w:pPr>
            <w:r w:rsidRPr="006C0449">
              <w:rPr>
                <w:lang w:val="en-CA"/>
              </w:rPr>
              <w:t xml:space="preserve">For the </w:t>
            </w:r>
            <w:r w:rsidR="007C654A" w:rsidRPr="006C0449">
              <w:rPr>
                <w:lang w:val="en-CA"/>
              </w:rPr>
              <w:t>applicant</w:t>
            </w:r>
            <w:r w:rsidRPr="006C0449">
              <w:rPr>
                <w:lang w:val="en-CA"/>
              </w:rPr>
              <w:t>, the Attorney General of Québec</w:t>
            </w:r>
          </w:p>
        </w:tc>
      </w:tr>
      <w:tr w:rsidR="00CC3BDA" w:rsidRPr="002A73C8" w14:paraId="37025415" w14:textId="77777777" w:rsidTr="00562F60">
        <w:tc>
          <w:tcPr>
            <w:tcW w:w="9362" w:type="dxa"/>
            <w:gridSpan w:val="3"/>
          </w:tcPr>
          <w:p w14:paraId="2E5CBE6E" w14:textId="77777777" w:rsidR="00562F60" w:rsidRPr="0076473C" w:rsidRDefault="00562F60" w:rsidP="00562F60">
            <w:pPr>
              <w:rPr>
                <w:lang w:val="en-CA"/>
              </w:rPr>
            </w:pPr>
          </w:p>
        </w:tc>
      </w:tr>
      <w:tr w:rsidR="00CC3BDA" w:rsidRPr="0076473C" w14:paraId="65135F17" w14:textId="77777777" w:rsidTr="00562F60">
        <w:tc>
          <w:tcPr>
            <w:tcW w:w="9362" w:type="dxa"/>
            <w:gridSpan w:val="3"/>
          </w:tcPr>
          <w:p w14:paraId="6F608676" w14:textId="77777777" w:rsidR="00562F60" w:rsidRPr="00BF5DBC" w:rsidRDefault="00562F60" w:rsidP="00562F60">
            <w:pPr>
              <w:pStyle w:val="zSoquijdatNomProcureurDef"/>
            </w:pPr>
            <w:r w:rsidRPr="00BF5DBC">
              <w:t>M</w:t>
            </w:r>
            <w:r w:rsidR="009A475E" w:rsidRPr="00BF5DBC">
              <w:t>tr</w:t>
            </w:r>
            <w:r w:rsidRPr="00BF5DBC">
              <w:t>e Samuel Bérubé de Deus</w:t>
            </w:r>
          </w:p>
        </w:tc>
      </w:tr>
      <w:tr w:rsidR="00CC3BDA" w:rsidRPr="0076473C" w14:paraId="699FD4CB" w14:textId="77777777" w:rsidTr="00562F60">
        <w:tc>
          <w:tcPr>
            <w:tcW w:w="9362" w:type="dxa"/>
            <w:gridSpan w:val="3"/>
          </w:tcPr>
          <w:p w14:paraId="3333E9DF" w14:textId="77777777" w:rsidR="00562F60" w:rsidRPr="006C0449" w:rsidRDefault="00562F60" w:rsidP="00562F60">
            <w:pPr>
              <w:pStyle w:val="zSoquijdatCabinetProcureurDef"/>
              <w:rPr>
                <w:lang w:val="en-CA"/>
              </w:rPr>
            </w:pPr>
            <w:r w:rsidRPr="006C0449">
              <w:rPr>
                <w:lang w:val="en-CA"/>
              </w:rPr>
              <w:t>Cliche Matte</w:t>
            </w:r>
          </w:p>
        </w:tc>
      </w:tr>
      <w:tr w:rsidR="00CC3BDA" w:rsidRPr="0076473C" w14:paraId="0464DFC4" w14:textId="77777777" w:rsidTr="00562F60">
        <w:tc>
          <w:tcPr>
            <w:tcW w:w="9362" w:type="dxa"/>
            <w:gridSpan w:val="3"/>
          </w:tcPr>
          <w:p w14:paraId="33B36635" w14:textId="77777777" w:rsidR="00562F60" w:rsidRPr="006C0449" w:rsidRDefault="009A475E" w:rsidP="00562F60">
            <w:pPr>
              <w:pStyle w:val="zSoquijlblProcureurDef"/>
              <w:rPr>
                <w:lang w:val="en-CA"/>
              </w:rPr>
            </w:pPr>
            <w:r w:rsidRPr="006C0449">
              <w:rPr>
                <w:lang w:val="en-CA"/>
              </w:rPr>
              <w:t>Counsel for Respondent</w:t>
            </w:r>
          </w:p>
        </w:tc>
      </w:tr>
      <w:tr w:rsidR="00CC3BDA" w:rsidRPr="0076473C" w14:paraId="04AC88FE" w14:textId="77777777" w:rsidTr="00562F60">
        <w:tc>
          <w:tcPr>
            <w:tcW w:w="9362" w:type="dxa"/>
            <w:gridSpan w:val="3"/>
          </w:tcPr>
          <w:p w14:paraId="2CE913E2" w14:textId="77777777" w:rsidR="00562F60" w:rsidRPr="0076473C" w:rsidRDefault="00562F60" w:rsidP="00562F60">
            <w:pPr>
              <w:rPr>
                <w:lang w:val="en-CA"/>
              </w:rPr>
            </w:pPr>
          </w:p>
        </w:tc>
      </w:tr>
      <w:tr w:rsidR="00CC3BDA" w:rsidRPr="0076473C" w14:paraId="5003D2E5" w14:textId="77777777" w:rsidTr="00562F60">
        <w:tc>
          <w:tcPr>
            <w:tcW w:w="1997" w:type="dxa"/>
          </w:tcPr>
          <w:p w14:paraId="6A101B1D" w14:textId="77777777" w:rsidR="00562F60" w:rsidRPr="006C0449" w:rsidRDefault="009A475E" w:rsidP="00562F60">
            <w:pPr>
              <w:pStyle w:val="zSoquijlblDateAudience"/>
              <w:rPr>
                <w:lang w:val="en-CA"/>
              </w:rPr>
            </w:pPr>
            <w:r w:rsidRPr="006C0449">
              <w:rPr>
                <w:lang w:val="en-CA"/>
              </w:rPr>
              <w:t>Date of hearing:</w:t>
            </w:r>
          </w:p>
        </w:tc>
        <w:tc>
          <w:tcPr>
            <w:tcW w:w="7365" w:type="dxa"/>
            <w:gridSpan w:val="2"/>
          </w:tcPr>
          <w:p w14:paraId="06ED1323" w14:textId="77777777" w:rsidR="00562F60" w:rsidRPr="006C0449" w:rsidRDefault="009A475E" w:rsidP="00562F60">
            <w:pPr>
              <w:pStyle w:val="zSoquijdatDateAudience"/>
              <w:rPr>
                <w:lang w:val="en-CA"/>
              </w:rPr>
            </w:pPr>
            <w:r w:rsidRPr="006C0449">
              <w:rPr>
                <w:lang w:val="en-CA"/>
              </w:rPr>
              <w:t>November 18, 2020</w:t>
            </w:r>
          </w:p>
        </w:tc>
      </w:tr>
    </w:tbl>
    <w:p w14:paraId="3DBE8956" w14:textId="77777777" w:rsidR="00562F60" w:rsidRPr="0076473C" w:rsidRDefault="00562F60" w:rsidP="00562F60">
      <w:pPr>
        <w:rPr>
          <w:lang w:val="en-CA"/>
        </w:rPr>
        <w:sectPr w:rsidR="00562F60" w:rsidRPr="0076473C" w:rsidSect="00562F60">
          <w:headerReference w:type="even" r:id="rId8"/>
          <w:headerReference w:type="default" r:id="rId9"/>
          <w:footerReference w:type="even" r:id="rId10"/>
          <w:footerReference w:type="default" r:id="rId11"/>
          <w:headerReference w:type="first" r:id="rId12"/>
          <w:footerReference w:type="first" r:id="rId13"/>
          <w:pgSz w:w="12242" w:h="15842" w:code="1"/>
          <w:pgMar w:top="1440" w:right="1008" w:bottom="1440" w:left="1872" w:header="1440" w:footer="792" w:gutter="0"/>
          <w:cols w:space="720"/>
          <w:formProt w:val="0"/>
          <w:titlePg/>
        </w:sectPr>
      </w:pPr>
      <w:bookmarkStart w:id="5" w:name="Opinion"/>
      <w:bookmarkEnd w:id="2"/>
    </w:p>
    <w:tbl>
      <w:tblPr>
        <w:tblW w:w="0" w:type="auto"/>
        <w:tblLayout w:type="fixed"/>
        <w:tblCellMar>
          <w:left w:w="0" w:type="dxa"/>
          <w:right w:w="0" w:type="dxa"/>
        </w:tblCellMar>
        <w:tblLook w:val="0000" w:firstRow="0" w:lastRow="0" w:firstColumn="0" w:lastColumn="0" w:noHBand="0" w:noVBand="0"/>
      </w:tblPr>
      <w:tblGrid>
        <w:gridCol w:w="9360"/>
      </w:tblGrid>
      <w:tr w:rsidR="00CC3BDA" w:rsidRPr="0076473C" w14:paraId="29B4ABB5" w14:textId="77777777" w:rsidTr="00562F60">
        <w:tc>
          <w:tcPr>
            <w:tcW w:w="9360" w:type="dxa"/>
            <w:tcBorders>
              <w:bottom w:val="single" w:sz="8" w:space="0" w:color="auto"/>
            </w:tcBorders>
          </w:tcPr>
          <w:p w14:paraId="51A78288" w14:textId="77777777" w:rsidR="00562F60" w:rsidRPr="0076473C" w:rsidRDefault="00562F60" w:rsidP="00562F60">
            <w:pPr>
              <w:rPr>
                <w:lang w:val="en-CA"/>
              </w:rPr>
            </w:pPr>
            <w:r w:rsidRPr="0076473C">
              <w:rPr>
                <w:lang w:val="en-CA"/>
              </w:rPr>
              <w:lastRenderedPageBreak/>
              <w:br w:type="page"/>
            </w:r>
          </w:p>
          <w:p w14:paraId="22477087" w14:textId="77777777" w:rsidR="00562F60" w:rsidRPr="0076473C" w:rsidRDefault="00562F60" w:rsidP="00562F60">
            <w:pPr>
              <w:rPr>
                <w:lang w:val="en-CA"/>
              </w:rPr>
            </w:pPr>
          </w:p>
        </w:tc>
      </w:tr>
      <w:tr w:rsidR="00CC3BDA" w:rsidRPr="0076473C" w14:paraId="1C51010F" w14:textId="77777777" w:rsidTr="00562F60">
        <w:tc>
          <w:tcPr>
            <w:tcW w:w="9360" w:type="dxa"/>
            <w:tcBorders>
              <w:top w:val="single" w:sz="8" w:space="0" w:color="auto"/>
            </w:tcBorders>
          </w:tcPr>
          <w:p w14:paraId="132C0F3B" w14:textId="77777777" w:rsidR="00562F60" w:rsidRPr="0076473C" w:rsidRDefault="00562F60" w:rsidP="00562F60">
            <w:pPr>
              <w:rPr>
                <w:lang w:val="en-CA"/>
              </w:rPr>
            </w:pPr>
          </w:p>
        </w:tc>
      </w:tr>
      <w:tr w:rsidR="00CC3BDA" w:rsidRPr="002A73C8" w14:paraId="72454D38" w14:textId="77777777" w:rsidTr="00562F60">
        <w:tc>
          <w:tcPr>
            <w:tcW w:w="9360" w:type="dxa"/>
          </w:tcPr>
          <w:p w14:paraId="6AA25FE2" w14:textId="77777777" w:rsidR="00562F60" w:rsidRPr="006C0449" w:rsidRDefault="009A475E" w:rsidP="00562F60">
            <w:pPr>
              <w:pStyle w:val="zSoquijlblOpinionJuge"/>
              <w:rPr>
                <w:lang w:val="en-CA"/>
              </w:rPr>
            </w:pPr>
            <w:r w:rsidRPr="006C0449">
              <w:rPr>
                <w:lang w:val="en-CA"/>
              </w:rPr>
              <w:t>REASONS OF LÉVESQUE, J.A.</w:t>
            </w:r>
          </w:p>
        </w:tc>
      </w:tr>
      <w:tr w:rsidR="00CC3BDA" w:rsidRPr="002A73C8" w14:paraId="749FAE91" w14:textId="77777777" w:rsidTr="00562F60">
        <w:tc>
          <w:tcPr>
            <w:tcW w:w="9360" w:type="dxa"/>
            <w:tcBorders>
              <w:bottom w:val="single" w:sz="8" w:space="0" w:color="auto"/>
            </w:tcBorders>
          </w:tcPr>
          <w:p w14:paraId="67B061AA" w14:textId="77777777" w:rsidR="00562F60" w:rsidRPr="0076473C" w:rsidRDefault="00562F60" w:rsidP="00562F60">
            <w:pPr>
              <w:rPr>
                <w:lang w:val="en-CA"/>
              </w:rPr>
            </w:pPr>
          </w:p>
        </w:tc>
      </w:tr>
      <w:tr w:rsidR="00CC3BDA" w:rsidRPr="002A73C8" w14:paraId="620A7E6B" w14:textId="77777777" w:rsidTr="00562F60">
        <w:tc>
          <w:tcPr>
            <w:tcW w:w="9360" w:type="dxa"/>
            <w:tcBorders>
              <w:top w:val="single" w:sz="8" w:space="0" w:color="auto"/>
            </w:tcBorders>
          </w:tcPr>
          <w:p w14:paraId="2CF8DB86" w14:textId="77777777" w:rsidR="00562F60" w:rsidRPr="0076473C" w:rsidRDefault="00562F60" w:rsidP="00562F60">
            <w:pPr>
              <w:rPr>
                <w:lang w:val="en-CA"/>
              </w:rPr>
            </w:pPr>
          </w:p>
        </w:tc>
      </w:tr>
    </w:tbl>
    <w:p w14:paraId="47A0A770" w14:textId="1025AFD2" w:rsidR="00562F60" w:rsidRPr="0076473C" w:rsidRDefault="009A475E" w:rsidP="00562F60">
      <w:pPr>
        <w:pStyle w:val="Paragraphe"/>
        <w:numPr>
          <w:ilvl w:val="0"/>
          <w:numId w:val="0"/>
        </w:numPr>
        <w:spacing w:line="280" w:lineRule="exact"/>
        <w:rPr>
          <w:lang w:val="en-CA"/>
        </w:rPr>
      </w:pPr>
      <w:r w:rsidRPr="006C0449">
        <w:rPr>
          <w:lang w:val="en-CA"/>
        </w:rPr>
        <w:t xml:space="preserve">I have had the benefit of reading the joint reasons of my colleagues Cotnam and Beaupré, JJ.A. </w:t>
      </w:r>
      <w:r w:rsidR="004B36E7">
        <w:rPr>
          <w:lang w:val="en-CA"/>
        </w:rPr>
        <w:t>Respectfully</w:t>
      </w:r>
      <w:r w:rsidR="004B36E7" w:rsidRPr="0076473C">
        <w:rPr>
          <w:lang w:val="en-CA"/>
        </w:rPr>
        <w:t xml:space="preserve">, </w:t>
      </w:r>
      <w:r w:rsidRPr="0076473C">
        <w:rPr>
          <w:lang w:val="en-CA"/>
        </w:rPr>
        <w:t>I cannot share their point of view or agree with their proposed solution.</w:t>
      </w:r>
    </w:p>
    <w:p w14:paraId="794441FC" w14:textId="58A4D94E" w:rsidR="00562F60" w:rsidRPr="0076473C" w:rsidRDefault="009A475E" w:rsidP="00562F60">
      <w:pPr>
        <w:pStyle w:val="Paragraphe"/>
        <w:numPr>
          <w:ilvl w:val="0"/>
          <w:numId w:val="0"/>
        </w:numPr>
        <w:spacing w:line="280" w:lineRule="exact"/>
        <w:rPr>
          <w:lang w:val="en-CA"/>
        </w:rPr>
      </w:pPr>
      <w:r w:rsidRPr="0076473C">
        <w:rPr>
          <w:lang w:val="en-CA"/>
        </w:rPr>
        <w:t>Here are the reasons</w:t>
      </w:r>
      <w:r w:rsidR="004B36E7">
        <w:rPr>
          <w:lang w:val="en-CA"/>
        </w:rPr>
        <w:t>, therefore,</w:t>
      </w:r>
      <w:r w:rsidRPr="0076473C">
        <w:rPr>
          <w:lang w:val="en-CA"/>
        </w:rPr>
        <w:t xml:space="preserve"> justifying the conclusion I propose. </w:t>
      </w:r>
    </w:p>
    <w:p w14:paraId="4AA459A1" w14:textId="77777777" w:rsidR="00562F60" w:rsidRPr="0076473C" w:rsidRDefault="00562F60" w:rsidP="00562F60">
      <w:pPr>
        <w:pStyle w:val="Paragraphe"/>
        <w:numPr>
          <w:ilvl w:val="0"/>
          <w:numId w:val="0"/>
        </w:numPr>
        <w:spacing w:line="280" w:lineRule="exact"/>
        <w:jc w:val="center"/>
        <w:rPr>
          <w:b/>
          <w:sz w:val="40"/>
          <w:szCs w:val="40"/>
          <w:lang w:val="en-CA"/>
        </w:rPr>
      </w:pPr>
      <w:r w:rsidRPr="0076473C">
        <w:rPr>
          <w:b/>
          <w:sz w:val="40"/>
          <w:szCs w:val="40"/>
          <w:lang w:val="en-CA"/>
        </w:rPr>
        <w:t>. . .</w:t>
      </w:r>
    </w:p>
    <w:p w14:paraId="1E0F63B6" w14:textId="201D14CA" w:rsidR="00562F60" w:rsidRPr="0076473C" w:rsidRDefault="00DD1AE6" w:rsidP="00562F60">
      <w:pPr>
        <w:pStyle w:val="Paragraphe"/>
        <w:spacing w:line="280" w:lineRule="exact"/>
        <w:rPr>
          <w:lang w:val="en-CA"/>
        </w:rPr>
      </w:pPr>
      <w:r w:rsidRPr="0076473C">
        <w:rPr>
          <w:lang w:val="en-CA"/>
        </w:rPr>
        <w:t>The applicants seek leave to appeal from a judgment rendered by the Court of Québec, Criminal and Penal Division, District of Témiscamingue, on March 11, 2020 (the Honourable Marie-Claude Bélanger), sentencing</w:t>
      </w:r>
      <w:r w:rsidR="007000FF">
        <w:rPr>
          <w:lang w:val="en-CA"/>
        </w:rPr>
        <w:t xml:space="preserve"> the</w:t>
      </w:r>
      <w:r w:rsidRPr="0076473C">
        <w:rPr>
          <w:lang w:val="en-CA"/>
        </w:rPr>
        <w:t xml:space="preserve"> respondent to 10 months’ imprisonment for sexual interference (s.</w:t>
      </w:r>
      <w:r w:rsidR="00562F60" w:rsidRPr="0076473C">
        <w:rPr>
          <w:spacing w:val="-2"/>
          <w:lang w:val="en-CA"/>
        </w:rPr>
        <w:t xml:space="preserve"> </w:t>
      </w:r>
      <w:r w:rsidRPr="0076473C">
        <w:rPr>
          <w:spacing w:val="-2"/>
          <w:lang w:val="en-CA"/>
        </w:rPr>
        <w:t>151(</w:t>
      </w:r>
      <w:r w:rsidRPr="009B7B69">
        <w:rPr>
          <w:i/>
          <w:spacing w:val="-2"/>
          <w:lang w:val="en-CA"/>
        </w:rPr>
        <w:t>a</w:t>
      </w:r>
      <w:r w:rsidRPr="0076473C">
        <w:rPr>
          <w:spacing w:val="-2"/>
          <w:lang w:val="en-CA"/>
        </w:rPr>
        <w:t xml:space="preserve">) </w:t>
      </w:r>
      <w:r w:rsidRPr="0076473C">
        <w:rPr>
          <w:i/>
          <w:spacing w:val="-2"/>
          <w:lang w:val="en-CA"/>
        </w:rPr>
        <w:t>Cr. C.</w:t>
      </w:r>
      <w:r w:rsidR="00A067C0" w:rsidRPr="0076473C">
        <w:rPr>
          <w:spacing w:val="-2"/>
          <w:lang w:val="en-CA"/>
        </w:rPr>
        <w:t xml:space="preserve"> (count 1) </w:t>
      </w:r>
      <w:r w:rsidR="007000FF">
        <w:rPr>
          <w:spacing w:val="-2"/>
          <w:lang w:val="en-CA"/>
        </w:rPr>
        <w:t>and</w:t>
      </w:r>
      <w:r w:rsidRPr="0076473C">
        <w:rPr>
          <w:spacing w:val="-2"/>
          <w:lang w:val="en-CA"/>
        </w:rPr>
        <w:t xml:space="preserve"> </w:t>
      </w:r>
      <w:r w:rsidR="002A73C8">
        <w:rPr>
          <w:spacing w:val="-2"/>
          <w:lang w:val="en-CA"/>
        </w:rPr>
        <w:t>5</w:t>
      </w:r>
      <w:r w:rsidRPr="0076473C">
        <w:rPr>
          <w:spacing w:val="-2"/>
          <w:lang w:val="en-CA"/>
        </w:rPr>
        <w:t xml:space="preserve"> months’ imprisonment for luring a person who</w:t>
      </w:r>
      <w:r w:rsidR="00A067C0" w:rsidRPr="0076473C">
        <w:rPr>
          <w:spacing w:val="-2"/>
          <w:lang w:val="en-CA"/>
        </w:rPr>
        <w:t xml:space="preserve"> is, or who the accused believed</w:t>
      </w:r>
      <w:r w:rsidRPr="0076473C">
        <w:rPr>
          <w:spacing w:val="-2"/>
          <w:lang w:val="en-CA"/>
        </w:rPr>
        <w:t xml:space="preserve"> </w:t>
      </w:r>
      <w:r w:rsidR="00A067C0" w:rsidRPr="0076473C">
        <w:rPr>
          <w:spacing w:val="-2"/>
          <w:lang w:val="en-CA"/>
        </w:rPr>
        <w:t>to be</w:t>
      </w:r>
      <w:r w:rsidRPr="0076473C">
        <w:rPr>
          <w:spacing w:val="-2"/>
          <w:lang w:val="en-CA"/>
        </w:rPr>
        <w:t>, under the age of 16 years (s. 172.1(1)(</w:t>
      </w:r>
      <w:r w:rsidRPr="009B7B69">
        <w:rPr>
          <w:i/>
          <w:spacing w:val="-2"/>
          <w:lang w:val="en-CA"/>
        </w:rPr>
        <w:t>b</w:t>
      </w:r>
      <w:r w:rsidRPr="0076473C">
        <w:rPr>
          <w:spacing w:val="-2"/>
          <w:lang w:val="en-CA"/>
        </w:rPr>
        <w:t>)(2)(</w:t>
      </w:r>
      <w:r w:rsidRPr="009B7B69">
        <w:rPr>
          <w:i/>
          <w:spacing w:val="-2"/>
          <w:lang w:val="en-CA"/>
        </w:rPr>
        <w:t>a</w:t>
      </w:r>
      <w:r w:rsidRPr="0076473C">
        <w:rPr>
          <w:spacing w:val="-2"/>
          <w:lang w:val="en-CA"/>
        </w:rPr>
        <w:t xml:space="preserve">) </w:t>
      </w:r>
      <w:r w:rsidRPr="0076473C">
        <w:rPr>
          <w:i/>
          <w:spacing w:val="-2"/>
          <w:lang w:val="en-CA"/>
        </w:rPr>
        <w:t>Cr. C</w:t>
      </w:r>
      <w:r w:rsidR="00A067C0" w:rsidRPr="0076473C">
        <w:rPr>
          <w:spacing w:val="-2"/>
          <w:lang w:val="en-CA"/>
        </w:rPr>
        <w:t>.) (count 4)</w:t>
      </w:r>
      <w:r w:rsidRPr="0076473C">
        <w:rPr>
          <w:spacing w:val="-2"/>
          <w:lang w:val="en-CA"/>
        </w:rPr>
        <w:t xml:space="preserve"> to be served concurrently with count 1.</w:t>
      </w:r>
      <w:r w:rsidR="00562F60" w:rsidRPr="0076473C">
        <w:rPr>
          <w:rStyle w:val="Appelnotedebasdep"/>
          <w:spacing w:val="-2"/>
          <w:lang w:val="en-CA"/>
        </w:rPr>
        <w:footnoteReference w:id="2"/>
      </w:r>
      <w:r w:rsidRPr="0076473C">
        <w:rPr>
          <w:spacing w:val="-2"/>
          <w:lang w:val="en-CA"/>
        </w:rPr>
        <w:t xml:space="preserve"> </w:t>
      </w:r>
      <w:r w:rsidR="00562F60" w:rsidRPr="0076473C">
        <w:rPr>
          <w:spacing w:val="-2"/>
          <w:lang w:val="en-CA"/>
        </w:rPr>
        <w:t xml:space="preserve"> </w:t>
      </w:r>
    </w:p>
    <w:p w14:paraId="4F70F803" w14:textId="3230561D" w:rsidR="00562F60" w:rsidRPr="0076473C" w:rsidRDefault="00DD1AE6" w:rsidP="00562F60">
      <w:pPr>
        <w:pStyle w:val="Paragraphe"/>
        <w:spacing w:line="280" w:lineRule="exact"/>
        <w:rPr>
          <w:lang w:val="en-CA"/>
        </w:rPr>
      </w:pPr>
      <w:r w:rsidRPr="0076473C">
        <w:rPr>
          <w:lang w:val="en-CA"/>
        </w:rPr>
        <w:t>The trial judge also declared inoperative the mandatory minimum sentence set out in s. 172(2)(</w:t>
      </w:r>
      <w:r w:rsidRPr="009B7B69">
        <w:rPr>
          <w:i/>
          <w:lang w:val="en-CA"/>
        </w:rPr>
        <w:t>a</w:t>
      </w:r>
      <w:r w:rsidRPr="0076473C">
        <w:rPr>
          <w:lang w:val="en-CA"/>
        </w:rPr>
        <w:t xml:space="preserve">) </w:t>
      </w:r>
      <w:r w:rsidRPr="0076473C">
        <w:rPr>
          <w:i/>
          <w:lang w:val="en-CA"/>
        </w:rPr>
        <w:t>Cr. C</w:t>
      </w:r>
      <w:r w:rsidRPr="0076473C">
        <w:rPr>
          <w:lang w:val="en-CA"/>
        </w:rPr>
        <w:t>. which, according to her, violate</w:t>
      </w:r>
      <w:r w:rsidR="00A067C0" w:rsidRPr="0076473C">
        <w:rPr>
          <w:lang w:val="en-CA"/>
        </w:rPr>
        <w:t>s</w:t>
      </w:r>
      <w:r w:rsidRPr="0076473C">
        <w:rPr>
          <w:lang w:val="en-CA"/>
        </w:rPr>
        <w:t xml:space="preserve"> s. 12 of the </w:t>
      </w:r>
      <w:r w:rsidRPr="0076473C">
        <w:rPr>
          <w:i/>
          <w:lang w:val="en-CA"/>
        </w:rPr>
        <w:t>Canadian Charter of Rights and Freedoms</w:t>
      </w:r>
      <w:r w:rsidRPr="0076473C">
        <w:rPr>
          <w:lang w:val="en-CA"/>
        </w:rPr>
        <w:t>.</w:t>
      </w:r>
      <w:r w:rsidR="00562F60" w:rsidRPr="0076473C">
        <w:rPr>
          <w:rStyle w:val="Appelnotedebasdep"/>
          <w:spacing w:val="-2"/>
          <w:lang w:val="en-CA"/>
        </w:rPr>
        <w:footnoteReference w:id="3"/>
      </w:r>
      <w:r w:rsidRPr="0076473C">
        <w:rPr>
          <w:lang w:val="en-CA"/>
        </w:rPr>
        <w:t xml:space="preserve"> </w:t>
      </w:r>
    </w:p>
    <w:p w14:paraId="3BE75C17" w14:textId="051C9EC4" w:rsidR="00562F60" w:rsidRPr="0076473C" w:rsidRDefault="00DD1AE6" w:rsidP="00562F60">
      <w:pPr>
        <w:pStyle w:val="Paragraphe"/>
        <w:spacing w:line="280" w:lineRule="exact"/>
        <w:rPr>
          <w:lang w:val="en-CA" w:eastAsia="fr-CA"/>
        </w:rPr>
      </w:pPr>
      <w:r w:rsidRPr="0076473C">
        <w:rPr>
          <w:shd w:val="clear" w:color="auto" w:fill="FFFFFF"/>
          <w:lang w:val="en-CA"/>
        </w:rPr>
        <w:t>The information was sworn and signed</w:t>
      </w:r>
      <w:r w:rsidR="00562F60" w:rsidRPr="0076473C">
        <w:rPr>
          <w:shd w:val="clear" w:color="auto" w:fill="FFFFFF"/>
          <w:lang w:val="en-CA"/>
        </w:rPr>
        <w:t xml:space="preserve"> </w:t>
      </w:r>
      <w:r w:rsidRPr="0076473C">
        <w:rPr>
          <w:shd w:val="clear" w:color="auto" w:fill="FFFFFF"/>
          <w:lang w:val="en-CA"/>
        </w:rPr>
        <w:t>on January 22, 2016, and contains four counts:</w:t>
      </w:r>
    </w:p>
    <w:p w14:paraId="35C49F65" w14:textId="2A7EB0D1" w:rsidR="00562F60" w:rsidRPr="006C0449" w:rsidRDefault="00DD1AE6" w:rsidP="00562F60">
      <w:pPr>
        <w:pStyle w:val="Citationenretrait"/>
        <w:numPr>
          <w:ilvl w:val="0"/>
          <w:numId w:val="22"/>
        </w:numPr>
        <w:rPr>
          <w:lang w:val="en-CA" w:eastAsia="fr-CA"/>
        </w:rPr>
      </w:pPr>
      <w:r w:rsidRPr="006C0449">
        <w:rPr>
          <w:lang w:val="en-CA" w:eastAsia="fr-CA"/>
        </w:rPr>
        <w:t>Between August 1, 2013, and July 19, 2015, in Notre-Dame-du-Nord, District of Témiscamingue, did, for a sexual purpose, touch a part of the body of X (2000-</w:t>
      </w:r>
      <w:r w:rsidR="001E6E51">
        <w:rPr>
          <w:lang w:val="en-CA" w:eastAsia="fr-CA"/>
        </w:rPr>
        <w:t>[</w:t>
      </w:r>
      <w:r w:rsidRPr="006C0449">
        <w:rPr>
          <w:lang w:val="en-CA" w:eastAsia="fr-CA"/>
        </w:rPr>
        <w:t>…</w:t>
      </w:r>
      <w:r w:rsidR="001E6E51">
        <w:rPr>
          <w:lang w:val="en-CA" w:eastAsia="fr-CA"/>
        </w:rPr>
        <w:t>]</w:t>
      </w:r>
      <w:r w:rsidRPr="006C0449">
        <w:rPr>
          <w:lang w:val="en-CA" w:eastAsia="fr-CA"/>
        </w:rPr>
        <w:t>), a child under the age of sixteen (16) years, thereby committing the indictable offence set out in section 151(</w:t>
      </w:r>
      <w:r w:rsidRPr="006C0449">
        <w:rPr>
          <w:i/>
          <w:lang w:val="en-CA" w:eastAsia="fr-CA"/>
        </w:rPr>
        <w:t>a</w:t>
      </w:r>
      <w:r w:rsidRPr="006C0449">
        <w:rPr>
          <w:lang w:val="en-CA" w:eastAsia="fr-CA"/>
        </w:rPr>
        <w:t xml:space="preserve">) of the </w:t>
      </w:r>
      <w:r w:rsidRPr="006C0449">
        <w:rPr>
          <w:i/>
          <w:lang w:val="en-CA" w:eastAsia="fr-CA"/>
        </w:rPr>
        <w:t>Criminal Code.</w:t>
      </w:r>
    </w:p>
    <w:p w14:paraId="5323B2A4" w14:textId="19A683A8" w:rsidR="00562F60" w:rsidRPr="006C0449" w:rsidRDefault="00DD1AE6" w:rsidP="00562F60">
      <w:pPr>
        <w:pStyle w:val="Citationenretrait"/>
        <w:numPr>
          <w:ilvl w:val="0"/>
          <w:numId w:val="22"/>
        </w:numPr>
        <w:rPr>
          <w:lang w:val="en-CA" w:eastAsia="fr-CA"/>
        </w:rPr>
      </w:pPr>
      <w:r w:rsidRPr="006C0449">
        <w:rPr>
          <w:lang w:val="en-CA" w:eastAsia="fr-CA"/>
        </w:rPr>
        <w:t>Between August 1, 2013, and July 19, 201</w:t>
      </w:r>
      <w:r w:rsidR="001E6E51">
        <w:rPr>
          <w:lang w:val="en-CA" w:eastAsia="fr-CA"/>
        </w:rPr>
        <w:t>6</w:t>
      </w:r>
      <w:r w:rsidRPr="006C0449">
        <w:rPr>
          <w:lang w:val="en-CA" w:eastAsia="fr-CA"/>
        </w:rPr>
        <w:t>, in Notre-Dame-du-Nord, District of Témiscamingue, did, for a sexual purpose, invite, counsel or incite X (2000-</w:t>
      </w:r>
      <w:r w:rsidR="001E6E51">
        <w:rPr>
          <w:lang w:val="en-CA" w:eastAsia="fr-CA"/>
        </w:rPr>
        <w:t>[</w:t>
      </w:r>
      <w:r w:rsidRPr="006C0449">
        <w:rPr>
          <w:lang w:val="en-CA" w:eastAsia="fr-CA"/>
        </w:rPr>
        <w:t>…</w:t>
      </w:r>
      <w:r w:rsidR="001E6E51">
        <w:rPr>
          <w:lang w:val="en-CA" w:eastAsia="fr-CA"/>
        </w:rPr>
        <w:t>]</w:t>
      </w:r>
      <w:r w:rsidRPr="006C0449">
        <w:rPr>
          <w:lang w:val="en-CA" w:eastAsia="fr-CA"/>
        </w:rPr>
        <w:t>), a child under the age of sixteen (16) years, to touch him, thereby committing the indictable offence set out in section 152</w:t>
      </w:r>
      <w:r w:rsidR="001E6E51">
        <w:rPr>
          <w:lang w:val="en-CA" w:eastAsia="fr-CA"/>
        </w:rPr>
        <w:t>(</w:t>
      </w:r>
      <w:r w:rsidR="001E6E51" w:rsidRPr="009B7B69">
        <w:rPr>
          <w:i/>
          <w:lang w:val="en-CA" w:eastAsia="fr-CA"/>
        </w:rPr>
        <w:t>a</w:t>
      </w:r>
      <w:r w:rsidR="001E6E51">
        <w:rPr>
          <w:lang w:val="en-CA" w:eastAsia="fr-CA"/>
        </w:rPr>
        <w:t>)</w:t>
      </w:r>
      <w:r w:rsidRPr="006C0449">
        <w:rPr>
          <w:lang w:val="en-CA" w:eastAsia="fr-CA"/>
        </w:rPr>
        <w:t xml:space="preserve"> of the </w:t>
      </w:r>
      <w:r w:rsidRPr="006C0449">
        <w:rPr>
          <w:i/>
          <w:lang w:val="en-CA" w:eastAsia="fr-CA"/>
        </w:rPr>
        <w:t>Criminal Code</w:t>
      </w:r>
      <w:r w:rsidRPr="006C0449">
        <w:rPr>
          <w:lang w:val="en-CA" w:eastAsia="fr-CA"/>
        </w:rPr>
        <w:t>.</w:t>
      </w:r>
    </w:p>
    <w:p w14:paraId="1B892C53" w14:textId="241580A6" w:rsidR="00562F60" w:rsidRPr="006C0449" w:rsidRDefault="00DD1AE6" w:rsidP="00562F60">
      <w:pPr>
        <w:pStyle w:val="Citationenretrait"/>
        <w:numPr>
          <w:ilvl w:val="0"/>
          <w:numId w:val="22"/>
        </w:numPr>
        <w:rPr>
          <w:lang w:val="en-CA" w:eastAsia="fr-CA"/>
        </w:rPr>
      </w:pPr>
      <w:r w:rsidRPr="006C0449">
        <w:rPr>
          <w:lang w:val="en-CA" w:eastAsia="fr-CA"/>
        </w:rPr>
        <w:t>Between August 1, 2013, and July 19, 2015, in Notre-Dame-du-Nord, District of Témiscamingue, did sexually assault X (2000-</w:t>
      </w:r>
      <w:r w:rsidR="001E6E51">
        <w:rPr>
          <w:lang w:val="en-CA" w:eastAsia="fr-CA"/>
        </w:rPr>
        <w:t>[</w:t>
      </w:r>
      <w:r w:rsidRPr="006C0449">
        <w:rPr>
          <w:lang w:val="en-CA" w:eastAsia="fr-CA"/>
        </w:rPr>
        <w:t>…</w:t>
      </w:r>
      <w:r w:rsidR="001E6E51">
        <w:rPr>
          <w:lang w:val="en-CA" w:eastAsia="fr-CA"/>
        </w:rPr>
        <w:t>]</w:t>
      </w:r>
      <w:r w:rsidRPr="006C0449">
        <w:rPr>
          <w:lang w:val="en-CA" w:eastAsia="fr-CA"/>
        </w:rPr>
        <w:t>), thereby committing the indictable offence set out in section 271(</w:t>
      </w:r>
      <w:r w:rsidRPr="009B7B69">
        <w:rPr>
          <w:i/>
          <w:lang w:val="en-CA" w:eastAsia="fr-CA"/>
        </w:rPr>
        <w:t>a</w:t>
      </w:r>
      <w:r w:rsidRPr="006C0449">
        <w:rPr>
          <w:lang w:val="en-CA" w:eastAsia="fr-CA"/>
        </w:rPr>
        <w:t xml:space="preserve">) of the </w:t>
      </w:r>
      <w:r w:rsidRPr="006C0449">
        <w:rPr>
          <w:i/>
          <w:lang w:val="en-CA" w:eastAsia="fr-CA"/>
        </w:rPr>
        <w:t>Criminal Code</w:t>
      </w:r>
      <w:r w:rsidRPr="006C0449">
        <w:rPr>
          <w:lang w:val="en-CA" w:eastAsia="fr-CA"/>
        </w:rPr>
        <w:t>.</w:t>
      </w:r>
    </w:p>
    <w:p w14:paraId="78763175" w14:textId="77777777" w:rsidR="00562F60" w:rsidRPr="006C0449" w:rsidRDefault="00DD1AE6" w:rsidP="00562F60">
      <w:pPr>
        <w:pStyle w:val="Citationenretrait"/>
        <w:numPr>
          <w:ilvl w:val="0"/>
          <w:numId w:val="22"/>
        </w:numPr>
        <w:rPr>
          <w:lang w:val="en-CA" w:eastAsia="fr-CA"/>
        </w:rPr>
      </w:pPr>
      <w:r w:rsidRPr="006C0449">
        <w:rPr>
          <w:lang w:val="en-CA" w:eastAsia="fr-CA"/>
        </w:rPr>
        <w:lastRenderedPageBreak/>
        <w:t>Between February 25, 2015, and September 13, 2015, in Notre-Dame-du-Nord, District of Témiscamingue, by means of telecommunication, did communicate with X, a person who was, or who the accused believed was, under the age of 16 years, for the purpose of facilitating the commission of an offence against her under section 151 or 152, subsection 160(3) or 173(2) or section 271, 272, 273 or 280, thereby committing the indictable offence set out in ss. 172.1(1)(</w:t>
      </w:r>
      <w:r w:rsidRPr="009B7B69">
        <w:rPr>
          <w:i/>
          <w:lang w:val="en-CA" w:eastAsia="fr-CA"/>
        </w:rPr>
        <w:t>b</w:t>
      </w:r>
      <w:r w:rsidRPr="006C0449">
        <w:rPr>
          <w:lang w:val="en-CA" w:eastAsia="fr-CA"/>
        </w:rPr>
        <w:t>) and (2)(</w:t>
      </w:r>
      <w:r w:rsidRPr="009B7B69">
        <w:rPr>
          <w:i/>
          <w:lang w:val="en-CA" w:eastAsia="fr-CA"/>
        </w:rPr>
        <w:t>a</w:t>
      </w:r>
      <w:r w:rsidRPr="006C0449">
        <w:rPr>
          <w:lang w:val="en-CA" w:eastAsia="fr-CA"/>
        </w:rPr>
        <w:t xml:space="preserve">) of the </w:t>
      </w:r>
      <w:r w:rsidRPr="006C0449">
        <w:rPr>
          <w:i/>
          <w:lang w:val="en-CA" w:eastAsia="fr-CA"/>
        </w:rPr>
        <w:t>Criminal Code</w:t>
      </w:r>
      <w:r w:rsidRPr="006C0449">
        <w:rPr>
          <w:lang w:val="en-CA" w:eastAsia="fr-CA"/>
        </w:rPr>
        <w:t>.</w:t>
      </w:r>
    </w:p>
    <w:p w14:paraId="69545661" w14:textId="785CB149" w:rsidR="00562F60" w:rsidRPr="0076473C" w:rsidRDefault="00DD1AE6" w:rsidP="00562F60">
      <w:pPr>
        <w:pStyle w:val="Paragraphe"/>
        <w:spacing w:line="280" w:lineRule="exact"/>
        <w:rPr>
          <w:lang w:val="en-CA" w:eastAsia="fr-CA"/>
        </w:rPr>
      </w:pPr>
      <w:r w:rsidRPr="0076473C">
        <w:rPr>
          <w:shd w:val="clear" w:color="auto" w:fill="FFFFFF"/>
          <w:lang w:val="en-CA"/>
        </w:rPr>
        <w:t>On August 29, 2017, a few months af</w:t>
      </w:r>
      <w:r w:rsidR="002A73C8">
        <w:rPr>
          <w:shd w:val="clear" w:color="auto" w:fill="FFFFFF"/>
          <w:lang w:val="en-CA"/>
        </w:rPr>
        <w:t>ter the preliminary inquiry where</w:t>
      </w:r>
      <w:r w:rsidRPr="0076473C">
        <w:rPr>
          <w:shd w:val="clear" w:color="auto" w:fill="FFFFFF"/>
          <w:lang w:val="en-CA"/>
        </w:rPr>
        <w:t xml:space="preserve"> he was ordered to stand trial, the respondent pleaded guilty to counts 1 (sexual interference between August 1, 2013, and July 19, 2015) and 4 (luring a child between February 25, 2015 and September 13, 2015).</w:t>
      </w:r>
      <w:r w:rsidR="00562F60" w:rsidRPr="0076473C">
        <w:rPr>
          <w:shd w:val="clear" w:color="auto" w:fill="FFFFFF"/>
          <w:lang w:val="en-CA"/>
        </w:rPr>
        <w:t xml:space="preserve"> </w:t>
      </w:r>
      <w:r w:rsidR="00F052BB">
        <w:rPr>
          <w:shd w:val="clear" w:color="auto" w:fill="FFFFFF"/>
          <w:lang w:val="en-CA"/>
        </w:rPr>
        <w:t>The p</w:t>
      </w:r>
      <w:r w:rsidR="000370E8" w:rsidRPr="006C0449">
        <w:rPr>
          <w:shd w:val="clear" w:color="auto" w:fill="FFFFFF"/>
          <w:lang w:val="en-CA"/>
        </w:rPr>
        <w:t>reparation of a</w:t>
      </w:r>
      <w:r w:rsidRPr="006C0449">
        <w:rPr>
          <w:shd w:val="clear" w:color="auto" w:fill="FFFFFF"/>
          <w:lang w:val="en-CA"/>
        </w:rPr>
        <w:t xml:space="preserve"> pre-sentence report was </w:t>
      </w:r>
      <w:r w:rsidR="00F052BB">
        <w:rPr>
          <w:shd w:val="clear" w:color="auto" w:fill="FFFFFF"/>
          <w:lang w:val="en-CA"/>
        </w:rPr>
        <w:t xml:space="preserve">then </w:t>
      </w:r>
      <w:r w:rsidRPr="006C0449">
        <w:rPr>
          <w:shd w:val="clear" w:color="auto" w:fill="FFFFFF"/>
          <w:lang w:val="en-CA"/>
        </w:rPr>
        <w:t>ordered.</w:t>
      </w:r>
    </w:p>
    <w:p w14:paraId="6382B143" w14:textId="7A7A59E0" w:rsidR="00562F60" w:rsidRPr="0076473C" w:rsidRDefault="00DD1AE6" w:rsidP="00562F60">
      <w:pPr>
        <w:pStyle w:val="Paragraphe"/>
        <w:spacing w:line="280" w:lineRule="exact"/>
        <w:rPr>
          <w:lang w:val="en-CA"/>
        </w:rPr>
      </w:pPr>
      <w:r w:rsidRPr="0076473C">
        <w:rPr>
          <w:shd w:val="clear" w:color="auto" w:fill="FFFFFF"/>
          <w:lang w:val="en-CA"/>
        </w:rPr>
        <w:t xml:space="preserve">On November 27, 2017, when the report was submitted, the respondent stated that he intended to </w:t>
      </w:r>
      <w:r w:rsidR="00F052BB">
        <w:rPr>
          <w:shd w:val="clear" w:color="auto" w:fill="FFFFFF"/>
          <w:lang w:val="en-CA"/>
        </w:rPr>
        <w:t>argue</w:t>
      </w:r>
      <w:r w:rsidR="00F052BB" w:rsidRPr="0076473C">
        <w:rPr>
          <w:shd w:val="clear" w:color="auto" w:fill="FFFFFF"/>
          <w:lang w:val="en-CA"/>
        </w:rPr>
        <w:t xml:space="preserve"> </w:t>
      </w:r>
      <w:r w:rsidRPr="0076473C">
        <w:rPr>
          <w:shd w:val="clear" w:color="auto" w:fill="FFFFFF"/>
          <w:lang w:val="en-CA"/>
        </w:rPr>
        <w:t xml:space="preserve">the constitutional invalidity </w:t>
      </w:r>
      <w:r w:rsidR="00F052BB">
        <w:rPr>
          <w:shd w:val="clear" w:color="auto" w:fill="FFFFFF"/>
          <w:lang w:val="en-CA"/>
        </w:rPr>
        <w:t xml:space="preserve">of </w:t>
      </w:r>
      <w:r w:rsidRPr="0076473C">
        <w:rPr>
          <w:shd w:val="clear" w:color="auto" w:fill="FFFFFF"/>
          <w:lang w:val="en-CA"/>
        </w:rPr>
        <w:t>the mandatory minimum sentences set out in ss. 151(</w:t>
      </w:r>
      <w:r w:rsidRPr="009B7B69">
        <w:rPr>
          <w:i/>
          <w:shd w:val="clear" w:color="auto" w:fill="FFFFFF"/>
          <w:lang w:val="en-CA"/>
        </w:rPr>
        <w:t>a</w:t>
      </w:r>
      <w:r w:rsidRPr="0076473C">
        <w:rPr>
          <w:shd w:val="clear" w:color="auto" w:fill="FFFFFF"/>
          <w:lang w:val="en-CA"/>
        </w:rPr>
        <w:t>) and 172.1(2)(</w:t>
      </w:r>
      <w:r w:rsidRPr="009B7B69">
        <w:rPr>
          <w:i/>
          <w:shd w:val="clear" w:color="auto" w:fill="FFFFFF"/>
          <w:lang w:val="en-CA"/>
        </w:rPr>
        <w:t>a</w:t>
      </w:r>
      <w:r w:rsidRPr="0076473C">
        <w:rPr>
          <w:shd w:val="clear" w:color="auto" w:fill="FFFFFF"/>
          <w:lang w:val="en-CA"/>
        </w:rPr>
        <w:t xml:space="preserve">) </w:t>
      </w:r>
      <w:r w:rsidRPr="0076473C">
        <w:rPr>
          <w:i/>
          <w:shd w:val="clear" w:color="auto" w:fill="FFFFFF"/>
          <w:lang w:val="en-CA"/>
        </w:rPr>
        <w:t>Cr. C</w:t>
      </w:r>
      <w:r w:rsidRPr="0076473C">
        <w:rPr>
          <w:shd w:val="clear" w:color="auto" w:fill="FFFFFF"/>
          <w:lang w:val="en-CA"/>
        </w:rPr>
        <w:t>.</w:t>
      </w:r>
      <w:r w:rsidR="00562F60" w:rsidRPr="0076473C">
        <w:rPr>
          <w:rStyle w:val="Appelnotedebasdep"/>
          <w:rFonts w:cs="Arial"/>
          <w:color w:val="000000"/>
          <w:shd w:val="clear" w:color="auto" w:fill="FFFFFF"/>
          <w:lang w:val="en-CA"/>
        </w:rPr>
        <w:footnoteReference w:id="4"/>
      </w:r>
      <w:r w:rsidRPr="0076473C">
        <w:rPr>
          <w:shd w:val="clear" w:color="auto" w:fill="FFFFFF"/>
          <w:lang w:val="en-CA"/>
        </w:rPr>
        <w:t xml:space="preserve"> </w:t>
      </w:r>
      <w:r w:rsidR="00562F60" w:rsidRPr="0076473C">
        <w:rPr>
          <w:shd w:val="clear" w:color="auto" w:fill="FFFFFF"/>
          <w:lang w:val="en-CA"/>
        </w:rPr>
        <w:t xml:space="preserve"> </w:t>
      </w:r>
    </w:p>
    <w:p w14:paraId="27D73201" w14:textId="42D6D0D9" w:rsidR="00562F60" w:rsidRPr="0076473C" w:rsidRDefault="00562F60" w:rsidP="00562F60">
      <w:pPr>
        <w:pStyle w:val="Paragraphe"/>
        <w:spacing w:line="280" w:lineRule="exact"/>
        <w:rPr>
          <w:lang w:val="en-CA"/>
        </w:rPr>
      </w:pPr>
      <w:r w:rsidRPr="0076473C">
        <w:rPr>
          <w:shd w:val="clear" w:color="auto" w:fill="FFFFFF"/>
          <w:lang w:val="en-CA"/>
        </w:rPr>
        <w:t>Submissions</w:t>
      </w:r>
      <w:r w:rsidR="00DD1AE6" w:rsidRPr="0076473C">
        <w:rPr>
          <w:shd w:val="clear" w:color="auto" w:fill="FFFFFF"/>
          <w:lang w:val="en-CA"/>
        </w:rPr>
        <w:t xml:space="preserve"> on sentencing and the application on constitutional invalidity were postponed </w:t>
      </w:r>
      <w:r w:rsidR="00F052BB">
        <w:rPr>
          <w:shd w:val="clear" w:color="auto" w:fill="FFFFFF"/>
          <w:lang w:val="en-CA"/>
        </w:rPr>
        <w:t>a few</w:t>
      </w:r>
      <w:r w:rsidR="00F052BB" w:rsidRPr="0076473C">
        <w:rPr>
          <w:shd w:val="clear" w:color="auto" w:fill="FFFFFF"/>
          <w:lang w:val="en-CA"/>
        </w:rPr>
        <w:t xml:space="preserve"> </w:t>
      </w:r>
      <w:r w:rsidR="00DD1AE6" w:rsidRPr="0076473C">
        <w:rPr>
          <w:shd w:val="clear" w:color="auto" w:fill="FFFFFF"/>
          <w:lang w:val="en-CA"/>
        </w:rPr>
        <w:t>times and were finally heard on July 12, November 4, and December 17, 2019.</w:t>
      </w:r>
      <w:r w:rsidRPr="0076473C">
        <w:rPr>
          <w:shd w:val="clear" w:color="auto" w:fill="FFFFFF"/>
          <w:lang w:val="en-CA"/>
        </w:rPr>
        <w:t xml:space="preserve"> </w:t>
      </w:r>
      <w:r w:rsidR="00DD1AE6" w:rsidRPr="006C0449">
        <w:rPr>
          <w:shd w:val="clear" w:color="auto" w:fill="FFFFFF"/>
          <w:lang w:val="en-CA"/>
        </w:rPr>
        <w:t>The judge imposed the sentence on March 11, 2020.</w:t>
      </w:r>
    </w:p>
    <w:p w14:paraId="05A621F7" w14:textId="4616F304" w:rsidR="00562F60" w:rsidRPr="0076473C" w:rsidRDefault="00DD1AE6" w:rsidP="00562F60">
      <w:pPr>
        <w:pStyle w:val="Paragraphe"/>
        <w:spacing w:line="280" w:lineRule="exact"/>
        <w:rPr>
          <w:lang w:val="en-CA"/>
        </w:rPr>
      </w:pPr>
      <w:r w:rsidRPr="0076473C">
        <w:rPr>
          <w:lang w:val="en-CA"/>
        </w:rPr>
        <w:t>On April 14, 2020, the applicants sought leave to appeal from the sentence imposed on the respondent and the declaration of inoperability.</w:t>
      </w:r>
      <w:r w:rsidR="00562F60" w:rsidRPr="0076473C">
        <w:rPr>
          <w:rStyle w:val="Appelnotedebasdep"/>
          <w:lang w:val="en-CA"/>
        </w:rPr>
        <w:footnoteReference w:id="5"/>
      </w:r>
      <w:r w:rsidRPr="0076473C">
        <w:rPr>
          <w:lang w:val="en-CA"/>
        </w:rPr>
        <w:t xml:space="preserve"> </w:t>
      </w:r>
      <w:r w:rsidRPr="006C0449">
        <w:rPr>
          <w:lang w:val="en-CA"/>
        </w:rPr>
        <w:t>On May 8, 2020, a judge of this Court referred that application to the panel.</w:t>
      </w:r>
      <w:r w:rsidR="00562F60" w:rsidRPr="0076473C">
        <w:rPr>
          <w:rStyle w:val="Appelnotedebasdep"/>
          <w:lang w:val="en-CA"/>
        </w:rPr>
        <w:footnoteReference w:id="6"/>
      </w:r>
      <w:r w:rsidRPr="0076473C">
        <w:rPr>
          <w:lang w:val="en-CA"/>
        </w:rPr>
        <w:t xml:space="preserve"> </w:t>
      </w:r>
    </w:p>
    <w:p w14:paraId="5171ACCA" w14:textId="5939972C" w:rsidR="00562F60" w:rsidRPr="0076473C" w:rsidRDefault="006A6877" w:rsidP="00562F60">
      <w:pPr>
        <w:pStyle w:val="Titre1"/>
        <w:numPr>
          <w:ilvl w:val="0"/>
          <w:numId w:val="21"/>
        </w:numPr>
        <w:spacing w:after="120" w:line="280" w:lineRule="exact"/>
        <w:ind w:left="709" w:hanging="709"/>
        <w:rPr>
          <w:lang w:val="en-CA"/>
        </w:rPr>
      </w:pPr>
      <w:r w:rsidRPr="0076473C">
        <w:rPr>
          <w:lang w:val="en-CA"/>
        </w:rPr>
        <w:t>BACKGROUND</w:t>
      </w:r>
    </w:p>
    <w:p w14:paraId="10FE93BB" w14:textId="7608603B" w:rsidR="00FF1D93" w:rsidRDefault="00B643B0" w:rsidP="00562F60">
      <w:pPr>
        <w:pStyle w:val="Paragraphe"/>
        <w:spacing w:line="280" w:lineRule="exact"/>
        <w:rPr>
          <w:lang w:val="en-CA"/>
        </w:rPr>
      </w:pPr>
      <w:r w:rsidRPr="00FE2597">
        <w:rPr>
          <w:lang w:val="en-CA"/>
        </w:rPr>
        <w:t>There is little dispute about the relevant facts of this case.</w:t>
      </w:r>
      <w:r w:rsidR="00562F60" w:rsidRPr="00FE2597">
        <w:rPr>
          <w:lang w:val="en-CA"/>
        </w:rPr>
        <w:t xml:space="preserve"> </w:t>
      </w:r>
      <w:r w:rsidRPr="00FE2597">
        <w:rPr>
          <w:lang w:val="en-CA"/>
        </w:rPr>
        <w:t>The applicants refer the Court to paragraphs 15 to 28 and 68 of the judgment under appeal</w:t>
      </w:r>
      <w:r w:rsidRPr="0076473C">
        <w:rPr>
          <w:lang w:val="en-CA"/>
        </w:rPr>
        <w:t>, whereas the respondent invites us to consider paragraphs 1 to 28 and 38 to 72 of that judgment.</w:t>
      </w:r>
      <w:r w:rsidR="00562F60" w:rsidRPr="0076473C">
        <w:rPr>
          <w:lang w:val="en-CA"/>
        </w:rPr>
        <w:t xml:space="preserve"> </w:t>
      </w:r>
      <w:r w:rsidRPr="006C0449">
        <w:rPr>
          <w:lang w:val="en-CA"/>
        </w:rPr>
        <w:t>I believe it is advisable to cite the following paragraphs:</w:t>
      </w:r>
      <w:r w:rsidR="00562F60" w:rsidRPr="0076473C">
        <w:rPr>
          <w:rStyle w:val="Appelnotedebasdep"/>
          <w:lang w:val="en-CA"/>
        </w:rPr>
        <w:footnoteReference w:id="7"/>
      </w:r>
    </w:p>
    <w:p w14:paraId="3A60B4F0" w14:textId="77777777" w:rsidR="00FF1D93" w:rsidRDefault="00FF1D93">
      <w:pPr>
        <w:spacing w:line="240" w:lineRule="auto"/>
        <w:rPr>
          <w:kern w:val="28"/>
          <w:lang w:val="en-CA"/>
        </w:rPr>
      </w:pPr>
      <w:r>
        <w:rPr>
          <w:lang w:val="en-CA"/>
        </w:rPr>
        <w:br w:type="page"/>
      </w:r>
    </w:p>
    <w:p w14:paraId="1FFBD7D2" w14:textId="59F74EAB" w:rsidR="00B643B0" w:rsidRPr="0076473C" w:rsidRDefault="00B643B0" w:rsidP="00B643B0">
      <w:pPr>
        <w:pStyle w:val="Paragraphe"/>
        <w:numPr>
          <w:ilvl w:val="0"/>
          <w:numId w:val="0"/>
        </w:numPr>
        <w:spacing w:line="280" w:lineRule="exact"/>
        <w:rPr>
          <w:lang w:val="en-CA"/>
        </w:rPr>
      </w:pPr>
      <w:r w:rsidRPr="0076473C">
        <w:rPr>
          <w:lang w:val="en-CA"/>
        </w:rPr>
        <w:lastRenderedPageBreak/>
        <w:tab/>
        <w:t>[</w:t>
      </w:r>
      <w:r w:rsidRPr="0076473C">
        <w:rPr>
          <w:smallCaps/>
          <w:lang w:val="en-CA"/>
        </w:rPr>
        <w:t>translation</w:t>
      </w:r>
      <w:r w:rsidRPr="0076473C">
        <w:rPr>
          <w:lang w:val="en-CA"/>
        </w:rPr>
        <w:t xml:space="preserve">] </w:t>
      </w:r>
    </w:p>
    <w:p w14:paraId="11763851" w14:textId="589917FB" w:rsidR="00562F60" w:rsidRPr="0076473C" w:rsidRDefault="00562F60" w:rsidP="00562F60">
      <w:pPr>
        <w:pStyle w:val="Citationenretrait"/>
        <w:keepNext/>
        <w:keepLines/>
        <w:rPr>
          <w:lang w:val="en-CA"/>
        </w:rPr>
      </w:pPr>
      <w:r w:rsidRPr="0076473C">
        <w:rPr>
          <w:lang w:val="en-CA"/>
        </w:rPr>
        <w:t>[15]</w:t>
      </w:r>
      <w:r w:rsidRPr="0076473C">
        <w:rPr>
          <w:lang w:val="en-CA"/>
        </w:rPr>
        <w:tab/>
      </w:r>
      <w:r w:rsidR="00B643B0" w:rsidRPr="0076473C">
        <w:rPr>
          <w:lang w:val="en-CA"/>
        </w:rPr>
        <w:t xml:space="preserve">Bertrand Marchand and the </w:t>
      </w:r>
      <w:r w:rsidR="0086454E" w:rsidRPr="0076473C">
        <w:rPr>
          <w:lang w:val="en-CA"/>
        </w:rPr>
        <w:t>complainant</w:t>
      </w:r>
      <w:r w:rsidR="00B643B0" w:rsidRPr="0076473C">
        <w:rPr>
          <w:lang w:val="en-CA"/>
        </w:rPr>
        <w:t xml:space="preserve"> met at the Truck Rodeo in Notre-Dame-du-Nord in early August 2013, through </w:t>
      </w:r>
      <w:r w:rsidR="00446171">
        <w:rPr>
          <w:lang w:val="en-CA"/>
        </w:rPr>
        <w:t>mutual</w:t>
      </w:r>
      <w:r w:rsidR="00B643B0" w:rsidRPr="0076473C">
        <w:rPr>
          <w:lang w:val="en-CA"/>
        </w:rPr>
        <w:t xml:space="preserve"> friends.</w:t>
      </w:r>
      <w:r w:rsidRPr="0076473C">
        <w:rPr>
          <w:lang w:val="en-CA"/>
        </w:rPr>
        <w:t xml:space="preserve"> </w:t>
      </w:r>
      <w:r w:rsidR="00B643B0" w:rsidRPr="0076473C">
        <w:rPr>
          <w:lang w:val="en-CA"/>
        </w:rPr>
        <w:t xml:space="preserve">Over the course of </w:t>
      </w:r>
      <w:r w:rsidR="006A6877" w:rsidRPr="0076473C">
        <w:rPr>
          <w:lang w:val="en-CA"/>
        </w:rPr>
        <w:t>the</w:t>
      </w:r>
      <w:r w:rsidR="00B643B0" w:rsidRPr="0076473C">
        <w:rPr>
          <w:lang w:val="en-CA"/>
        </w:rPr>
        <w:t xml:space="preserve"> following weeks, the offender contacted her </w:t>
      </w:r>
      <w:r w:rsidR="00886A00">
        <w:rPr>
          <w:lang w:val="en-CA"/>
        </w:rPr>
        <w:t>through</w:t>
      </w:r>
      <w:r w:rsidR="00B643B0" w:rsidRPr="0076473C">
        <w:rPr>
          <w:lang w:val="en-CA"/>
        </w:rPr>
        <w:t xml:space="preserve"> Facebook and sent her a </w:t>
      </w:r>
      <w:r w:rsidR="006A6877" w:rsidRPr="0076473C">
        <w:rPr>
          <w:lang w:val="en-CA"/>
        </w:rPr>
        <w:t>friend</w:t>
      </w:r>
      <w:r w:rsidR="00B643B0" w:rsidRPr="0076473C">
        <w:rPr>
          <w:lang w:val="en-CA"/>
        </w:rPr>
        <w:t xml:space="preserve"> request, which she accepted.</w:t>
      </w:r>
      <w:r w:rsidRPr="0076473C">
        <w:rPr>
          <w:lang w:val="en-CA"/>
        </w:rPr>
        <w:t xml:space="preserve"> </w:t>
      </w:r>
      <w:r w:rsidR="00004B46" w:rsidRPr="0076473C">
        <w:rPr>
          <w:lang w:val="en-CA"/>
        </w:rPr>
        <w:t>At</w:t>
      </w:r>
      <w:r w:rsidR="00B643B0" w:rsidRPr="0076473C">
        <w:rPr>
          <w:lang w:val="en-CA"/>
        </w:rPr>
        <w:t xml:space="preserve"> the beginning of their </w:t>
      </w:r>
      <w:r w:rsidR="00004B46" w:rsidRPr="0076473C">
        <w:rPr>
          <w:lang w:val="en-CA"/>
        </w:rPr>
        <w:t>conversations</w:t>
      </w:r>
      <w:r w:rsidR="00B643B0" w:rsidRPr="0076473C">
        <w:rPr>
          <w:lang w:val="en-CA"/>
        </w:rPr>
        <w:t xml:space="preserve">, the complainant </w:t>
      </w:r>
      <w:r w:rsidR="00446171">
        <w:rPr>
          <w:lang w:val="en-CA"/>
        </w:rPr>
        <w:t>told</w:t>
      </w:r>
      <w:r w:rsidR="00B643B0" w:rsidRPr="0076473C">
        <w:rPr>
          <w:lang w:val="en-CA"/>
        </w:rPr>
        <w:t xml:space="preserve"> him that she was 13 years old.</w:t>
      </w:r>
    </w:p>
    <w:p w14:paraId="7F5B248F" w14:textId="21D0AF52" w:rsidR="00562F60" w:rsidRPr="0076473C" w:rsidRDefault="00562F60" w:rsidP="00562F60">
      <w:pPr>
        <w:pStyle w:val="Citationenretrait"/>
        <w:rPr>
          <w:lang w:val="en-CA"/>
        </w:rPr>
      </w:pPr>
      <w:r w:rsidRPr="0076473C">
        <w:rPr>
          <w:lang w:val="en-CA"/>
        </w:rPr>
        <w:t>[16]</w:t>
      </w:r>
      <w:r w:rsidRPr="0076473C">
        <w:rPr>
          <w:lang w:val="en-CA"/>
        </w:rPr>
        <w:tab/>
      </w:r>
      <w:r w:rsidR="00446171">
        <w:rPr>
          <w:lang w:val="en-CA"/>
        </w:rPr>
        <w:t>During</w:t>
      </w:r>
      <w:r w:rsidR="00B643B0" w:rsidRPr="0076473C">
        <w:rPr>
          <w:lang w:val="en-CA"/>
        </w:rPr>
        <w:t xml:space="preserve"> these exchanges</w:t>
      </w:r>
      <w:r w:rsidR="00446171">
        <w:rPr>
          <w:lang w:val="en-CA"/>
        </w:rPr>
        <w:t>,</w:t>
      </w:r>
      <w:r w:rsidR="00B643B0" w:rsidRPr="0076473C">
        <w:rPr>
          <w:lang w:val="en-CA"/>
        </w:rPr>
        <w:t xml:space="preserve"> the offender incited her to come visit him at his parent’s home in late August 2013.</w:t>
      </w:r>
      <w:r w:rsidRPr="0076473C">
        <w:rPr>
          <w:lang w:val="en-CA"/>
        </w:rPr>
        <w:t xml:space="preserve"> </w:t>
      </w:r>
      <w:r w:rsidR="00B643B0" w:rsidRPr="0076473C">
        <w:rPr>
          <w:lang w:val="en-CA"/>
        </w:rPr>
        <w:t xml:space="preserve">He went to pick her up while she was visiting her mother’s home in City A. They had consensual sexual </w:t>
      </w:r>
      <w:r w:rsidR="00004B46" w:rsidRPr="0076473C">
        <w:rPr>
          <w:lang w:val="en-CA"/>
        </w:rPr>
        <w:t>intercourse</w:t>
      </w:r>
      <w:r w:rsidR="00B643B0" w:rsidRPr="0076473C">
        <w:rPr>
          <w:lang w:val="en-CA"/>
        </w:rPr>
        <w:t xml:space="preserve"> for the first time during this encounter.</w:t>
      </w:r>
    </w:p>
    <w:p w14:paraId="6696776F" w14:textId="25A7E306" w:rsidR="00562F60" w:rsidRPr="0076473C" w:rsidRDefault="00562F60" w:rsidP="00562F60">
      <w:pPr>
        <w:pStyle w:val="Citationenretrait"/>
        <w:rPr>
          <w:lang w:val="en-CA"/>
        </w:rPr>
      </w:pPr>
      <w:r w:rsidRPr="0076473C">
        <w:rPr>
          <w:lang w:val="en-CA"/>
        </w:rPr>
        <w:t>[17]</w:t>
      </w:r>
      <w:r w:rsidRPr="0076473C">
        <w:rPr>
          <w:lang w:val="en-CA"/>
        </w:rPr>
        <w:tab/>
      </w:r>
      <w:r w:rsidR="0086454E" w:rsidRPr="0076473C">
        <w:rPr>
          <w:lang w:val="en-CA"/>
        </w:rPr>
        <w:t>Shortly</w:t>
      </w:r>
      <w:r w:rsidR="00B643B0" w:rsidRPr="0076473C">
        <w:rPr>
          <w:lang w:val="en-CA"/>
        </w:rPr>
        <w:t xml:space="preserve"> after this first visit, they met a </w:t>
      </w:r>
      <w:r w:rsidR="0086454E" w:rsidRPr="0076473C">
        <w:rPr>
          <w:lang w:val="en-CA"/>
        </w:rPr>
        <w:t>second</w:t>
      </w:r>
      <w:r w:rsidR="00B643B0" w:rsidRPr="0076473C">
        <w:rPr>
          <w:lang w:val="en-CA"/>
        </w:rPr>
        <w:t xml:space="preserve"> time at the</w:t>
      </w:r>
      <w:r w:rsidR="00332D84" w:rsidRPr="0076473C">
        <w:rPr>
          <w:lang w:val="en-CA"/>
        </w:rPr>
        <w:t xml:space="preserve"> home of</w:t>
      </w:r>
      <w:r w:rsidR="00B643B0" w:rsidRPr="0076473C">
        <w:rPr>
          <w:lang w:val="en-CA"/>
        </w:rPr>
        <w:t xml:space="preserve"> </w:t>
      </w:r>
      <w:r w:rsidR="00FF1D93">
        <w:rPr>
          <w:lang w:val="en-CA"/>
        </w:rPr>
        <w:t xml:space="preserve">the </w:t>
      </w:r>
      <w:r w:rsidR="00B643B0" w:rsidRPr="0076473C">
        <w:rPr>
          <w:lang w:val="en-CA"/>
        </w:rPr>
        <w:t>offender’s parent’s</w:t>
      </w:r>
      <w:r w:rsidR="00446171">
        <w:rPr>
          <w:lang w:val="en-CA"/>
        </w:rPr>
        <w:t>,</w:t>
      </w:r>
      <w:r w:rsidR="00B643B0" w:rsidRPr="0076473C">
        <w:rPr>
          <w:lang w:val="en-CA"/>
        </w:rPr>
        <w:t xml:space="preserve"> where</w:t>
      </w:r>
      <w:r w:rsidR="00332D84" w:rsidRPr="0076473C">
        <w:rPr>
          <w:lang w:val="en-CA"/>
        </w:rPr>
        <w:t xml:space="preserve"> they</w:t>
      </w:r>
      <w:r w:rsidR="00B643B0" w:rsidRPr="0076473C">
        <w:rPr>
          <w:lang w:val="en-CA"/>
        </w:rPr>
        <w:t xml:space="preserve"> again had consensual sexual </w:t>
      </w:r>
      <w:r w:rsidR="00332D84" w:rsidRPr="0076473C">
        <w:rPr>
          <w:lang w:val="en-CA"/>
        </w:rPr>
        <w:t>intercourse</w:t>
      </w:r>
      <w:r w:rsidR="00B643B0" w:rsidRPr="0076473C">
        <w:rPr>
          <w:lang w:val="en-CA"/>
        </w:rPr>
        <w:t>.</w:t>
      </w:r>
      <w:r w:rsidRPr="0076473C">
        <w:rPr>
          <w:lang w:val="en-CA"/>
        </w:rPr>
        <w:t xml:space="preserve"> </w:t>
      </w:r>
      <w:r w:rsidR="00B643B0" w:rsidRPr="006C0449">
        <w:rPr>
          <w:lang w:val="en-CA"/>
        </w:rPr>
        <w:t>The complainant also performed fellatio on him.</w:t>
      </w:r>
    </w:p>
    <w:p w14:paraId="3570D656" w14:textId="116B0639" w:rsidR="00562F60" w:rsidRPr="0076473C" w:rsidRDefault="00562F60" w:rsidP="00562F60">
      <w:pPr>
        <w:pStyle w:val="Citationenretrait"/>
        <w:rPr>
          <w:lang w:val="en-CA"/>
        </w:rPr>
      </w:pPr>
      <w:r w:rsidRPr="0076473C">
        <w:rPr>
          <w:lang w:val="en-CA"/>
        </w:rPr>
        <w:t>[18]</w:t>
      </w:r>
      <w:r w:rsidRPr="0076473C">
        <w:rPr>
          <w:lang w:val="en-CA"/>
        </w:rPr>
        <w:tab/>
      </w:r>
      <w:r w:rsidR="00B643B0" w:rsidRPr="0076473C">
        <w:rPr>
          <w:lang w:val="en-CA"/>
        </w:rPr>
        <w:t xml:space="preserve">In the fall of 2014, the complainant, who was 14 at the time, was placed in </w:t>
      </w:r>
      <w:r w:rsidR="00886A00">
        <w:rPr>
          <w:lang w:val="en-CA"/>
        </w:rPr>
        <w:t>R</w:t>
      </w:r>
      <w:r w:rsidR="00446171">
        <w:rPr>
          <w:lang w:val="en-CA"/>
        </w:rPr>
        <w:t>ehabilitation C</w:t>
      </w:r>
      <w:r w:rsidR="00B643B0" w:rsidRPr="0076473C">
        <w:rPr>
          <w:lang w:val="en-CA"/>
        </w:rPr>
        <w:t>entre</w:t>
      </w:r>
      <w:r w:rsidR="00332D84" w:rsidRPr="0076473C">
        <w:rPr>
          <w:lang w:val="en-CA"/>
        </w:rPr>
        <w:t xml:space="preserve"> A</w:t>
      </w:r>
      <w:r w:rsidR="00B643B0" w:rsidRPr="0076473C">
        <w:rPr>
          <w:lang w:val="en-CA"/>
        </w:rPr>
        <w:t xml:space="preserve">. In November, she was supposed to take the bus to return to the centre after a weekend visit </w:t>
      </w:r>
      <w:r w:rsidR="00332D84" w:rsidRPr="0076473C">
        <w:rPr>
          <w:lang w:val="en-CA"/>
        </w:rPr>
        <w:t>to</w:t>
      </w:r>
      <w:r w:rsidR="00B643B0" w:rsidRPr="0076473C">
        <w:rPr>
          <w:lang w:val="en-CA"/>
        </w:rPr>
        <w:t xml:space="preserve"> a foster family in City B</w:t>
      </w:r>
      <w:r w:rsidR="00446171">
        <w:rPr>
          <w:lang w:val="en-CA"/>
        </w:rPr>
        <w:t>. H</w:t>
      </w:r>
      <w:r w:rsidR="00332D84" w:rsidRPr="0076473C">
        <w:rPr>
          <w:lang w:val="en-CA"/>
        </w:rPr>
        <w:t xml:space="preserve">owever, </w:t>
      </w:r>
      <w:r w:rsidR="00B643B0" w:rsidRPr="0076473C">
        <w:rPr>
          <w:lang w:val="en-CA"/>
        </w:rPr>
        <w:t xml:space="preserve">she and the offender agreed that she would get off the bus in Notre-Dame-du-Nord so that they could spend time together. Mr. Bertrand Marchand </w:t>
      </w:r>
      <w:r w:rsidR="00886A00">
        <w:rPr>
          <w:lang w:val="en-CA"/>
        </w:rPr>
        <w:t>promised</w:t>
      </w:r>
      <w:r w:rsidR="00886A00" w:rsidRPr="0076473C">
        <w:rPr>
          <w:lang w:val="en-CA"/>
        </w:rPr>
        <w:t xml:space="preserve"> </w:t>
      </w:r>
      <w:r w:rsidR="00B643B0" w:rsidRPr="0076473C">
        <w:rPr>
          <w:lang w:val="en-CA"/>
        </w:rPr>
        <w:t xml:space="preserve">to </w:t>
      </w:r>
      <w:r w:rsidR="00FF1D93">
        <w:rPr>
          <w:lang w:val="en-CA"/>
        </w:rPr>
        <w:t>drive her</w:t>
      </w:r>
      <w:r w:rsidR="00B643B0" w:rsidRPr="0076473C">
        <w:rPr>
          <w:lang w:val="en-CA"/>
        </w:rPr>
        <w:t xml:space="preserve"> to the centre.</w:t>
      </w:r>
      <w:r w:rsidRPr="0076473C">
        <w:rPr>
          <w:lang w:val="en-CA"/>
        </w:rPr>
        <w:t xml:space="preserve"> </w:t>
      </w:r>
      <w:r w:rsidR="00B643B0" w:rsidRPr="0076473C">
        <w:rPr>
          <w:lang w:val="en-CA"/>
        </w:rPr>
        <w:t xml:space="preserve">On the way to City A, the offender stopped on a road and he and the complainant had consensual sexual </w:t>
      </w:r>
      <w:r w:rsidR="00332D84" w:rsidRPr="0076473C">
        <w:rPr>
          <w:lang w:val="en-CA"/>
        </w:rPr>
        <w:t>intercourse</w:t>
      </w:r>
      <w:r w:rsidR="00B643B0" w:rsidRPr="0076473C">
        <w:rPr>
          <w:lang w:val="en-CA"/>
        </w:rPr>
        <w:t xml:space="preserve"> in the backseat of the car.</w:t>
      </w:r>
      <w:r w:rsidRPr="0076473C">
        <w:rPr>
          <w:lang w:val="en-CA"/>
        </w:rPr>
        <w:t xml:space="preserve"> </w:t>
      </w:r>
      <w:r w:rsidR="00B643B0" w:rsidRPr="006C0449">
        <w:rPr>
          <w:lang w:val="en-CA"/>
        </w:rPr>
        <w:t xml:space="preserve">She arrived </w:t>
      </w:r>
      <w:r w:rsidR="00446171">
        <w:rPr>
          <w:lang w:val="en-CA"/>
        </w:rPr>
        <w:t xml:space="preserve">at </w:t>
      </w:r>
      <w:r w:rsidR="00B643B0" w:rsidRPr="006C0449">
        <w:rPr>
          <w:lang w:val="en-CA"/>
        </w:rPr>
        <w:t>the rehabilitation centre</w:t>
      </w:r>
      <w:r w:rsidR="00446171">
        <w:rPr>
          <w:lang w:val="en-CA"/>
        </w:rPr>
        <w:t xml:space="preserve"> late</w:t>
      </w:r>
      <w:r w:rsidR="00B643B0" w:rsidRPr="006C0449">
        <w:rPr>
          <w:lang w:val="en-CA"/>
        </w:rPr>
        <w:t>.</w:t>
      </w:r>
    </w:p>
    <w:p w14:paraId="44DB6221" w14:textId="1B57F035" w:rsidR="00562F60" w:rsidRPr="0076473C" w:rsidRDefault="00562F60" w:rsidP="00562F60">
      <w:pPr>
        <w:pStyle w:val="Citationenretrait"/>
        <w:rPr>
          <w:lang w:val="en-CA"/>
        </w:rPr>
      </w:pPr>
      <w:r w:rsidRPr="0076473C">
        <w:rPr>
          <w:lang w:val="en-CA"/>
        </w:rPr>
        <w:t>[19]</w:t>
      </w:r>
      <w:r w:rsidRPr="0076473C">
        <w:rPr>
          <w:lang w:val="en-CA"/>
        </w:rPr>
        <w:tab/>
      </w:r>
      <w:r w:rsidR="00B643B0" w:rsidRPr="0076473C">
        <w:rPr>
          <w:lang w:val="en-CA"/>
        </w:rPr>
        <w:t>In July 2015, the complainant was still living in the rehabilitation centre during the week.</w:t>
      </w:r>
      <w:r w:rsidRPr="0076473C">
        <w:rPr>
          <w:lang w:val="en-CA"/>
        </w:rPr>
        <w:t xml:space="preserve"> </w:t>
      </w:r>
      <w:r w:rsidR="00E945C0">
        <w:rPr>
          <w:lang w:val="en-CA"/>
        </w:rPr>
        <w:t>After</w:t>
      </w:r>
      <w:r w:rsidR="00B643B0" w:rsidRPr="0076473C">
        <w:rPr>
          <w:lang w:val="en-CA"/>
        </w:rPr>
        <w:t xml:space="preserve"> a weekend </w:t>
      </w:r>
      <w:r w:rsidR="00332D84" w:rsidRPr="0076473C">
        <w:rPr>
          <w:lang w:val="en-CA"/>
        </w:rPr>
        <w:t>with</w:t>
      </w:r>
      <w:r w:rsidR="00B643B0" w:rsidRPr="0076473C">
        <w:rPr>
          <w:lang w:val="en-CA"/>
        </w:rPr>
        <w:t xml:space="preserve"> her foster family, she again agreed to get off the bus on her way back to the centre and to accompany Bertrand Marchand to his home for one hour to have sexual </w:t>
      </w:r>
      <w:r w:rsidR="00332D84" w:rsidRPr="0076473C">
        <w:rPr>
          <w:lang w:val="en-CA"/>
        </w:rPr>
        <w:t>intercourse</w:t>
      </w:r>
      <w:r w:rsidR="00B643B0" w:rsidRPr="0076473C">
        <w:rPr>
          <w:lang w:val="en-CA"/>
        </w:rPr>
        <w:t>.</w:t>
      </w:r>
      <w:r w:rsidRPr="0076473C">
        <w:rPr>
          <w:lang w:val="en-CA"/>
        </w:rPr>
        <w:t xml:space="preserve"> </w:t>
      </w:r>
      <w:r w:rsidR="00B643B0" w:rsidRPr="0076473C">
        <w:rPr>
          <w:lang w:val="en-CA"/>
        </w:rPr>
        <w:t xml:space="preserve">The plan was set in motion and they had sexual </w:t>
      </w:r>
      <w:r w:rsidR="00332D84" w:rsidRPr="0076473C">
        <w:rPr>
          <w:lang w:val="en-CA"/>
        </w:rPr>
        <w:t xml:space="preserve">intercourse </w:t>
      </w:r>
      <w:r w:rsidR="00B643B0" w:rsidRPr="0076473C">
        <w:rPr>
          <w:lang w:val="en-CA"/>
        </w:rPr>
        <w:t>with penetration.</w:t>
      </w:r>
      <w:r w:rsidR="00332D84" w:rsidRPr="0076473C">
        <w:rPr>
          <w:lang w:val="en-CA"/>
        </w:rPr>
        <w:t xml:space="preserve"> </w:t>
      </w:r>
      <w:r w:rsidR="00B643B0" w:rsidRPr="0076473C">
        <w:rPr>
          <w:lang w:val="en-CA"/>
        </w:rPr>
        <w:t xml:space="preserve">The complainant </w:t>
      </w:r>
      <w:r w:rsidR="0086454E" w:rsidRPr="0076473C">
        <w:rPr>
          <w:lang w:val="en-CA"/>
        </w:rPr>
        <w:t>also</w:t>
      </w:r>
      <w:r w:rsidR="00B643B0" w:rsidRPr="0076473C">
        <w:rPr>
          <w:lang w:val="en-CA"/>
        </w:rPr>
        <w:t xml:space="preserve"> performed fellatio on him during which the offender </w:t>
      </w:r>
      <w:r w:rsidR="0086454E" w:rsidRPr="0076473C">
        <w:rPr>
          <w:lang w:val="en-CA"/>
        </w:rPr>
        <w:t>ejaculated</w:t>
      </w:r>
      <w:r w:rsidR="00B643B0" w:rsidRPr="0076473C">
        <w:rPr>
          <w:lang w:val="en-CA"/>
        </w:rPr>
        <w:t xml:space="preserve"> in her mouth.</w:t>
      </w:r>
      <w:r w:rsidRPr="0076473C">
        <w:rPr>
          <w:lang w:val="en-CA"/>
        </w:rPr>
        <w:t xml:space="preserve"> </w:t>
      </w:r>
      <w:r w:rsidR="00B643B0" w:rsidRPr="0076473C">
        <w:rPr>
          <w:lang w:val="en-CA"/>
        </w:rPr>
        <w:t>The offender again drove the complainant to the rehabilitation centre afterwards.</w:t>
      </w:r>
      <w:r w:rsidRPr="0076473C">
        <w:rPr>
          <w:lang w:val="en-CA"/>
        </w:rPr>
        <w:t xml:space="preserve"> </w:t>
      </w:r>
      <w:r w:rsidR="00B643B0" w:rsidRPr="006C0449">
        <w:rPr>
          <w:lang w:val="en-CA"/>
        </w:rPr>
        <w:t>S</w:t>
      </w:r>
      <w:r w:rsidR="00332D84" w:rsidRPr="006C0449">
        <w:rPr>
          <w:lang w:val="en-CA"/>
        </w:rPr>
        <w:t>he was 15 years old at the time;</w:t>
      </w:r>
      <w:r w:rsidR="00B643B0" w:rsidRPr="006C0449">
        <w:rPr>
          <w:lang w:val="en-CA"/>
        </w:rPr>
        <w:t xml:space="preserve"> he was 24. </w:t>
      </w:r>
    </w:p>
    <w:p w14:paraId="2F50715E" w14:textId="5C6948F2" w:rsidR="00562F60" w:rsidRPr="0076473C" w:rsidRDefault="00562F60" w:rsidP="00562F60">
      <w:pPr>
        <w:pStyle w:val="Citationenretrait"/>
        <w:rPr>
          <w:lang w:val="en-CA"/>
        </w:rPr>
      </w:pPr>
      <w:r w:rsidRPr="0076473C">
        <w:rPr>
          <w:lang w:val="en-CA"/>
        </w:rPr>
        <w:t>[20]</w:t>
      </w:r>
      <w:r w:rsidRPr="0076473C">
        <w:rPr>
          <w:lang w:val="en-CA"/>
        </w:rPr>
        <w:tab/>
      </w:r>
      <w:r w:rsidR="00B643B0" w:rsidRPr="0076473C">
        <w:rPr>
          <w:lang w:val="en-CA"/>
        </w:rPr>
        <w:t xml:space="preserve">Their exchanges on Facebook </w:t>
      </w:r>
      <w:r w:rsidR="00446171">
        <w:rPr>
          <w:lang w:val="en-CA"/>
        </w:rPr>
        <w:t>diminished</w:t>
      </w:r>
      <w:r w:rsidR="00332D84" w:rsidRPr="0076473C">
        <w:rPr>
          <w:lang w:val="en-CA"/>
        </w:rPr>
        <w:t xml:space="preserve"> </w:t>
      </w:r>
      <w:r w:rsidR="00B643B0" w:rsidRPr="0076473C">
        <w:rPr>
          <w:lang w:val="en-CA"/>
        </w:rPr>
        <w:t xml:space="preserve">in August 2015 and stopped </w:t>
      </w:r>
      <w:r w:rsidR="00E945C0">
        <w:rPr>
          <w:lang w:val="en-CA"/>
        </w:rPr>
        <w:t>entirely</w:t>
      </w:r>
      <w:r w:rsidR="00E945C0" w:rsidRPr="0076473C">
        <w:rPr>
          <w:lang w:val="en-CA"/>
        </w:rPr>
        <w:t xml:space="preserve"> </w:t>
      </w:r>
      <w:r w:rsidR="00B643B0" w:rsidRPr="0076473C">
        <w:rPr>
          <w:lang w:val="en-CA"/>
        </w:rPr>
        <w:t>on September 11, 2015.</w:t>
      </w:r>
      <w:r w:rsidRPr="0076473C">
        <w:rPr>
          <w:lang w:val="en-CA"/>
        </w:rPr>
        <w:t xml:space="preserve"> </w:t>
      </w:r>
      <w:r w:rsidR="00B643B0" w:rsidRPr="0076473C">
        <w:rPr>
          <w:lang w:val="en-CA"/>
        </w:rPr>
        <w:t>The complainant made her statement to the Sûreté du Québec investigator on September 10, 2015.</w:t>
      </w:r>
    </w:p>
    <w:p w14:paraId="3C19F3C6" w14:textId="03C20849" w:rsidR="00562F60" w:rsidRPr="0076473C" w:rsidRDefault="00562F60" w:rsidP="00562F60">
      <w:pPr>
        <w:pStyle w:val="Citationenretrait"/>
        <w:rPr>
          <w:lang w:val="en-CA"/>
        </w:rPr>
      </w:pPr>
      <w:r w:rsidRPr="0076473C">
        <w:rPr>
          <w:lang w:val="en-CA"/>
        </w:rPr>
        <w:t>…</w:t>
      </w:r>
    </w:p>
    <w:p w14:paraId="4AA9B77D" w14:textId="6B1E0F35" w:rsidR="00562F60" w:rsidRPr="0076473C" w:rsidRDefault="00562F60" w:rsidP="00562F60">
      <w:pPr>
        <w:pStyle w:val="Citationenretrait"/>
        <w:rPr>
          <w:lang w:val="en-CA"/>
        </w:rPr>
      </w:pPr>
      <w:r w:rsidRPr="0076473C">
        <w:rPr>
          <w:lang w:val="en-CA"/>
        </w:rPr>
        <w:t>[38]</w:t>
      </w:r>
      <w:r w:rsidRPr="0076473C">
        <w:rPr>
          <w:lang w:val="en-CA"/>
        </w:rPr>
        <w:tab/>
      </w:r>
      <w:r w:rsidR="00B643B0" w:rsidRPr="006C0449">
        <w:rPr>
          <w:lang w:val="en-CA"/>
        </w:rPr>
        <w:t xml:space="preserve">Bertrand Marchand, </w:t>
      </w:r>
      <w:r w:rsidR="00332D84" w:rsidRPr="006C0449">
        <w:rPr>
          <w:lang w:val="en-CA"/>
        </w:rPr>
        <w:t xml:space="preserve">who is </w:t>
      </w:r>
      <w:r w:rsidR="00B643B0" w:rsidRPr="006C0449">
        <w:rPr>
          <w:lang w:val="en-CA"/>
        </w:rPr>
        <w:t xml:space="preserve">nine years older than the complainant, had complete vaginal sexual </w:t>
      </w:r>
      <w:r w:rsidR="00332D84" w:rsidRPr="006C0449">
        <w:rPr>
          <w:lang w:val="en-CA"/>
        </w:rPr>
        <w:t>intercourse</w:t>
      </w:r>
      <w:r w:rsidR="00B643B0" w:rsidRPr="006C0449">
        <w:rPr>
          <w:lang w:val="en-CA"/>
        </w:rPr>
        <w:t xml:space="preserve"> with her </w:t>
      </w:r>
      <w:r w:rsidR="00332D84" w:rsidRPr="006C0449">
        <w:rPr>
          <w:lang w:val="en-CA"/>
        </w:rPr>
        <w:t xml:space="preserve">four times </w:t>
      </w:r>
      <w:r w:rsidR="00B643B0" w:rsidRPr="006C0449">
        <w:rPr>
          <w:lang w:val="en-CA"/>
        </w:rPr>
        <w:t>over a period of about two years.</w:t>
      </w:r>
      <w:r w:rsidRPr="0076473C">
        <w:rPr>
          <w:lang w:val="en-CA"/>
        </w:rPr>
        <w:t xml:space="preserve"> </w:t>
      </w:r>
      <w:r w:rsidR="00B643B0" w:rsidRPr="006C0449">
        <w:rPr>
          <w:lang w:val="en-CA"/>
        </w:rPr>
        <w:t xml:space="preserve">He maintained an online relationship with her </w:t>
      </w:r>
      <w:r w:rsidR="00E945C0">
        <w:rPr>
          <w:lang w:val="en-CA"/>
        </w:rPr>
        <w:t>through</w:t>
      </w:r>
      <w:r w:rsidR="00E945C0" w:rsidRPr="006C0449">
        <w:rPr>
          <w:lang w:val="en-CA"/>
        </w:rPr>
        <w:t xml:space="preserve"> </w:t>
      </w:r>
      <w:r w:rsidR="00B643B0" w:rsidRPr="006C0449">
        <w:rPr>
          <w:lang w:val="en-CA"/>
        </w:rPr>
        <w:t xml:space="preserve">social </w:t>
      </w:r>
      <w:r w:rsidR="00E7448B">
        <w:rPr>
          <w:lang w:val="en-CA"/>
        </w:rPr>
        <w:t>media</w:t>
      </w:r>
      <w:r w:rsidR="00B643B0" w:rsidRPr="006C0449">
        <w:rPr>
          <w:lang w:val="en-CA"/>
        </w:rPr>
        <w:t xml:space="preserve">, </w:t>
      </w:r>
      <w:r w:rsidR="00B643B0" w:rsidRPr="006C0449">
        <w:rPr>
          <w:lang w:val="en-CA"/>
        </w:rPr>
        <w:lastRenderedPageBreak/>
        <w:t xml:space="preserve">punctuated by sporadic physical encounters organized </w:t>
      </w:r>
      <w:r w:rsidR="00F51B72">
        <w:rPr>
          <w:lang w:val="en-CA"/>
        </w:rPr>
        <w:t>through</w:t>
      </w:r>
      <w:r w:rsidR="00B643B0" w:rsidRPr="006C0449">
        <w:rPr>
          <w:lang w:val="en-CA"/>
        </w:rPr>
        <w:t xml:space="preserve"> these electronic conversations</w:t>
      </w:r>
      <w:r w:rsidR="00332D84" w:rsidRPr="006C0449">
        <w:rPr>
          <w:lang w:val="en-CA"/>
        </w:rPr>
        <w:t>,</w:t>
      </w:r>
      <w:r w:rsidR="00B643B0" w:rsidRPr="006C0449">
        <w:rPr>
          <w:lang w:val="en-CA"/>
        </w:rPr>
        <w:t xml:space="preserve"> the purpose of which was essentially </w:t>
      </w:r>
      <w:r w:rsidR="00672815" w:rsidRPr="006C0449">
        <w:rPr>
          <w:lang w:val="en-CA"/>
        </w:rPr>
        <w:t>to have</w:t>
      </w:r>
      <w:r w:rsidR="00B643B0" w:rsidRPr="006C0449">
        <w:rPr>
          <w:lang w:val="en-CA"/>
        </w:rPr>
        <w:t xml:space="preserve"> sexual </w:t>
      </w:r>
      <w:r w:rsidR="00E7448B">
        <w:rPr>
          <w:lang w:val="en-CA"/>
        </w:rPr>
        <w:t>encounters</w:t>
      </w:r>
      <w:r w:rsidR="00B643B0" w:rsidRPr="006C0449">
        <w:rPr>
          <w:lang w:val="en-CA"/>
        </w:rPr>
        <w:t xml:space="preserve">. </w:t>
      </w:r>
    </w:p>
    <w:p w14:paraId="6BF117F7" w14:textId="706E1680" w:rsidR="00562F60" w:rsidRPr="0076473C" w:rsidRDefault="00562F60" w:rsidP="00562F60">
      <w:pPr>
        <w:pStyle w:val="Citationenretrait"/>
        <w:rPr>
          <w:lang w:val="en-CA"/>
        </w:rPr>
      </w:pPr>
      <w:r w:rsidRPr="0076473C">
        <w:rPr>
          <w:lang w:val="en-CA"/>
        </w:rPr>
        <w:t>…</w:t>
      </w:r>
    </w:p>
    <w:p w14:paraId="1B314B9B" w14:textId="0913F37A" w:rsidR="00562F60" w:rsidRPr="0076473C" w:rsidRDefault="00562F60" w:rsidP="00562F60">
      <w:pPr>
        <w:pStyle w:val="Citationenretrait"/>
        <w:rPr>
          <w:rStyle w:val="CitationenretraitCar"/>
          <w:rFonts w:eastAsia="Arial"/>
          <w:lang w:val="en-CA"/>
        </w:rPr>
      </w:pPr>
      <w:r w:rsidRPr="0076473C">
        <w:rPr>
          <w:lang w:val="en-CA"/>
        </w:rPr>
        <w:t>[</w:t>
      </w:r>
      <w:r w:rsidRPr="0076473C">
        <w:rPr>
          <w:rStyle w:val="CitationenretraitCar"/>
          <w:lang w:val="en-CA"/>
        </w:rPr>
        <w:t>43]</w:t>
      </w:r>
      <w:r w:rsidRPr="0076473C">
        <w:rPr>
          <w:rStyle w:val="CitationenretraitCar"/>
          <w:lang w:val="en-CA"/>
        </w:rPr>
        <w:tab/>
      </w:r>
      <w:r w:rsidR="00B643B0" w:rsidRPr="0076473C">
        <w:rPr>
          <w:rStyle w:val="CitationenretraitCar"/>
          <w:lang w:val="en-CA"/>
        </w:rPr>
        <w:t xml:space="preserve">... The offender took </w:t>
      </w:r>
      <w:r w:rsidR="0086454E" w:rsidRPr="0076473C">
        <w:rPr>
          <w:rStyle w:val="CitationenretraitCar"/>
          <w:lang w:val="en-CA"/>
        </w:rPr>
        <w:t>advantage</w:t>
      </w:r>
      <w:r w:rsidR="00B643B0" w:rsidRPr="0076473C">
        <w:rPr>
          <w:rStyle w:val="CitationenretraitCar"/>
          <w:lang w:val="en-CA"/>
        </w:rPr>
        <w:t xml:space="preserve"> of </w:t>
      </w:r>
      <w:r w:rsidR="00E7448B">
        <w:rPr>
          <w:rStyle w:val="CitationenretraitCar"/>
          <w:lang w:val="en-CA"/>
        </w:rPr>
        <w:t>the</w:t>
      </w:r>
      <w:r w:rsidR="00B643B0" w:rsidRPr="0076473C">
        <w:rPr>
          <w:rStyle w:val="CitationenretraitCar"/>
          <w:lang w:val="en-CA"/>
        </w:rPr>
        <w:t xml:space="preserve"> adolescent’s </w:t>
      </w:r>
      <w:r w:rsidR="0086454E" w:rsidRPr="0076473C">
        <w:rPr>
          <w:rStyle w:val="CitationenretraitCar"/>
          <w:lang w:val="en-CA"/>
        </w:rPr>
        <w:t>naivety</w:t>
      </w:r>
      <w:r w:rsidR="00B643B0" w:rsidRPr="0076473C">
        <w:rPr>
          <w:rStyle w:val="CitationenretraitCar"/>
          <w:lang w:val="en-CA"/>
        </w:rPr>
        <w:t xml:space="preserve"> and vulnerability to obtain occasional sexual favours when the situation allowed him to do so.  </w:t>
      </w:r>
    </w:p>
    <w:p w14:paraId="4D2E29F0" w14:textId="6ACE15C5" w:rsidR="00562F60" w:rsidRPr="0076473C" w:rsidRDefault="00562F60" w:rsidP="00562F60">
      <w:pPr>
        <w:pStyle w:val="Citationenretrait"/>
        <w:rPr>
          <w:rStyle w:val="Aucun"/>
          <w:rFonts w:eastAsia="Arial" w:cs="Arial"/>
          <w:szCs w:val="24"/>
          <w:shd w:val="clear" w:color="auto" w:fill="FEFFFE"/>
          <w:lang w:val="en-CA"/>
        </w:rPr>
      </w:pPr>
      <w:r w:rsidRPr="0076473C">
        <w:rPr>
          <w:rStyle w:val="Aucun"/>
          <w:rFonts w:cs="Arial"/>
          <w:szCs w:val="24"/>
          <w:shd w:val="clear" w:color="auto" w:fill="FEFFFE"/>
          <w:lang w:val="en-CA"/>
        </w:rPr>
        <w:t>[44]</w:t>
      </w:r>
      <w:r w:rsidRPr="0076473C">
        <w:rPr>
          <w:rStyle w:val="Aucun"/>
          <w:rFonts w:cs="Arial"/>
          <w:szCs w:val="24"/>
          <w:shd w:val="clear" w:color="auto" w:fill="FEFFFE"/>
          <w:lang w:val="en-CA"/>
        </w:rPr>
        <w:tab/>
      </w:r>
      <w:r w:rsidR="00C75C51">
        <w:rPr>
          <w:rStyle w:val="Aucun"/>
          <w:rFonts w:cs="Arial"/>
          <w:szCs w:val="24"/>
          <w:shd w:val="clear" w:color="auto" w:fill="FEFFFE"/>
          <w:lang w:val="en-CA"/>
        </w:rPr>
        <w:t xml:space="preserve">The </w:t>
      </w:r>
      <w:r w:rsidR="00B643B0" w:rsidRPr="0076473C">
        <w:rPr>
          <w:rStyle w:val="Aucun"/>
          <w:rFonts w:cs="Arial"/>
          <w:szCs w:val="24"/>
          <w:shd w:val="clear" w:color="auto" w:fill="FEFFFE"/>
          <w:lang w:val="en-CA"/>
        </w:rPr>
        <w:t xml:space="preserve">Sûreté du Québec’s </w:t>
      </w:r>
      <w:r w:rsidR="0086454E" w:rsidRPr="0076473C">
        <w:rPr>
          <w:rStyle w:val="Aucun"/>
          <w:rFonts w:cs="Arial"/>
          <w:szCs w:val="24"/>
          <w:shd w:val="clear" w:color="auto" w:fill="FEFFFE"/>
          <w:lang w:val="en-CA"/>
        </w:rPr>
        <w:t>cybersurveillance</w:t>
      </w:r>
      <w:r w:rsidR="00B643B0" w:rsidRPr="0076473C">
        <w:rPr>
          <w:rStyle w:val="Aucun"/>
          <w:rFonts w:cs="Arial"/>
          <w:szCs w:val="24"/>
          <w:shd w:val="clear" w:color="auto" w:fill="FEFFFE"/>
          <w:lang w:val="en-CA"/>
        </w:rPr>
        <w:t xml:space="preserve"> team recovered part of the conversations between Bertrand Marchand and the complainant </w:t>
      </w:r>
      <w:r w:rsidR="00C75C51">
        <w:rPr>
          <w:rStyle w:val="Aucun"/>
          <w:rFonts w:cs="Arial"/>
          <w:szCs w:val="24"/>
          <w:shd w:val="clear" w:color="auto" w:fill="FEFFFE"/>
          <w:lang w:val="en-CA"/>
        </w:rPr>
        <w:t>from</w:t>
      </w:r>
      <w:r w:rsidR="00C75C51" w:rsidRPr="0076473C">
        <w:rPr>
          <w:rStyle w:val="Aucun"/>
          <w:rFonts w:cs="Arial"/>
          <w:szCs w:val="24"/>
          <w:shd w:val="clear" w:color="auto" w:fill="FEFFFE"/>
          <w:lang w:val="en-CA"/>
        </w:rPr>
        <w:t xml:space="preserve"> </w:t>
      </w:r>
      <w:r w:rsidR="00B643B0" w:rsidRPr="0076473C">
        <w:rPr>
          <w:rStyle w:val="Aucun"/>
          <w:rFonts w:cs="Arial"/>
          <w:szCs w:val="24"/>
          <w:shd w:val="clear" w:color="auto" w:fill="FEFFFE"/>
          <w:lang w:val="en-CA"/>
        </w:rPr>
        <w:t>the Facebook</w:t>
      </w:r>
      <w:r w:rsidR="00C75C51">
        <w:rPr>
          <w:rStyle w:val="Aucun"/>
          <w:rFonts w:cs="Arial"/>
          <w:szCs w:val="24"/>
          <w:shd w:val="clear" w:color="auto" w:fill="FEFFFE"/>
          <w:lang w:val="en-CA"/>
        </w:rPr>
        <w:t xml:space="preserve"> site</w:t>
      </w:r>
      <w:r w:rsidR="00AE6962" w:rsidRPr="0076473C">
        <w:rPr>
          <w:rStyle w:val="Aucun"/>
          <w:rFonts w:cs="Arial"/>
          <w:szCs w:val="24"/>
          <w:shd w:val="clear" w:color="auto" w:fill="FEFFFE"/>
          <w:lang w:val="en-CA"/>
        </w:rPr>
        <w:t>,</w:t>
      </w:r>
      <w:r w:rsidR="00B643B0" w:rsidRPr="0076473C">
        <w:rPr>
          <w:rStyle w:val="Aucun"/>
          <w:rFonts w:cs="Arial"/>
          <w:szCs w:val="24"/>
          <w:shd w:val="clear" w:color="auto" w:fill="FEFFFE"/>
          <w:lang w:val="en-CA"/>
        </w:rPr>
        <w:t xml:space="preserve"> dat</w:t>
      </w:r>
      <w:r w:rsidR="00C75C51">
        <w:rPr>
          <w:rStyle w:val="Aucun"/>
          <w:rFonts w:cs="Arial"/>
          <w:szCs w:val="24"/>
          <w:shd w:val="clear" w:color="auto" w:fill="FEFFFE"/>
          <w:lang w:val="en-CA"/>
        </w:rPr>
        <w:t>ed between</w:t>
      </w:r>
      <w:r w:rsidR="00B643B0" w:rsidRPr="0076473C">
        <w:rPr>
          <w:rStyle w:val="Aucun"/>
          <w:rFonts w:cs="Arial"/>
          <w:szCs w:val="24"/>
          <w:shd w:val="clear" w:color="auto" w:fill="FEFFFE"/>
          <w:lang w:val="en-CA"/>
        </w:rPr>
        <w:t xml:space="preserve"> December 7, 2014, </w:t>
      </w:r>
      <w:r w:rsidR="00C75C51">
        <w:rPr>
          <w:rStyle w:val="Aucun"/>
          <w:rFonts w:cs="Arial"/>
          <w:szCs w:val="24"/>
          <w:shd w:val="clear" w:color="auto" w:fill="FEFFFE"/>
          <w:lang w:val="en-CA"/>
        </w:rPr>
        <w:t>and</w:t>
      </w:r>
      <w:r w:rsidR="00C75C51" w:rsidRPr="0076473C">
        <w:rPr>
          <w:rStyle w:val="Aucun"/>
          <w:rFonts w:cs="Arial"/>
          <w:szCs w:val="24"/>
          <w:shd w:val="clear" w:color="auto" w:fill="FEFFFE"/>
          <w:lang w:val="en-CA"/>
        </w:rPr>
        <w:t xml:space="preserve"> </w:t>
      </w:r>
      <w:r w:rsidR="00B643B0" w:rsidRPr="0076473C">
        <w:rPr>
          <w:rStyle w:val="Aucun"/>
          <w:rFonts w:cs="Arial"/>
          <w:szCs w:val="24"/>
          <w:shd w:val="clear" w:color="auto" w:fill="FEFFFE"/>
          <w:lang w:val="en-CA"/>
        </w:rPr>
        <w:t>September 23, 2015.</w:t>
      </w:r>
      <w:r w:rsidRPr="0076473C">
        <w:rPr>
          <w:rStyle w:val="Aucun"/>
          <w:rFonts w:cs="Arial"/>
          <w:szCs w:val="24"/>
          <w:shd w:val="clear" w:color="auto" w:fill="FEFFFE"/>
          <w:lang w:val="en-CA"/>
        </w:rPr>
        <w:t xml:space="preserve"> </w:t>
      </w:r>
      <w:r w:rsidR="00B643B0" w:rsidRPr="0076473C">
        <w:rPr>
          <w:rStyle w:val="Aucun"/>
          <w:rFonts w:cs="Arial"/>
          <w:szCs w:val="24"/>
          <w:shd w:val="clear" w:color="auto" w:fill="FEFFFE"/>
          <w:lang w:val="en-CA"/>
        </w:rPr>
        <w:t>The</w:t>
      </w:r>
      <w:r w:rsidR="00F92710">
        <w:rPr>
          <w:rStyle w:val="Aucun"/>
          <w:rFonts w:cs="Arial"/>
          <w:szCs w:val="24"/>
          <w:shd w:val="clear" w:color="auto" w:fill="FEFFFE"/>
          <w:lang w:val="en-CA"/>
        </w:rPr>
        <w:t>se are the</w:t>
      </w:r>
      <w:r w:rsidR="00B643B0" w:rsidRPr="0076473C">
        <w:rPr>
          <w:rStyle w:val="Aucun"/>
          <w:rFonts w:cs="Arial"/>
          <w:szCs w:val="24"/>
          <w:shd w:val="clear" w:color="auto" w:fill="FEFFFE"/>
          <w:lang w:val="en-CA"/>
        </w:rPr>
        <w:t xml:space="preserve"> </w:t>
      </w:r>
      <w:r w:rsidR="00AE6962" w:rsidRPr="0076473C">
        <w:rPr>
          <w:rStyle w:val="Aucun"/>
          <w:rFonts w:cs="Arial"/>
          <w:szCs w:val="24"/>
          <w:shd w:val="clear" w:color="auto" w:fill="FEFFFE"/>
          <w:lang w:val="en-CA"/>
        </w:rPr>
        <w:t>conversations</w:t>
      </w:r>
      <w:r w:rsidR="00B643B0" w:rsidRPr="0076473C">
        <w:rPr>
          <w:rStyle w:val="Aucun"/>
          <w:rFonts w:cs="Arial"/>
          <w:szCs w:val="24"/>
          <w:shd w:val="clear" w:color="auto" w:fill="FEFFFE"/>
          <w:lang w:val="en-CA"/>
        </w:rPr>
        <w:t xml:space="preserve"> from the last nine months of their relationship, which lasted about two years.</w:t>
      </w:r>
      <w:r w:rsidRPr="0076473C">
        <w:rPr>
          <w:rStyle w:val="Aucun"/>
          <w:rFonts w:cs="Arial"/>
          <w:szCs w:val="24"/>
          <w:shd w:val="clear" w:color="auto" w:fill="FEFFFE"/>
          <w:lang w:val="en-CA"/>
        </w:rPr>
        <w:t xml:space="preserve"> </w:t>
      </w:r>
      <w:r w:rsidR="00B643B0" w:rsidRPr="0076473C">
        <w:rPr>
          <w:rStyle w:val="Aucun"/>
          <w:rFonts w:cs="Arial"/>
          <w:szCs w:val="24"/>
          <w:shd w:val="clear" w:color="auto" w:fill="FEFFFE"/>
          <w:lang w:val="en-CA"/>
        </w:rPr>
        <w:t xml:space="preserve">According to the admissions of fact and the accepted evidence, three of the four sexual episodes had already taken place </w:t>
      </w:r>
      <w:r w:rsidR="00E7448B">
        <w:rPr>
          <w:rStyle w:val="Aucun"/>
          <w:rFonts w:cs="Arial"/>
          <w:szCs w:val="24"/>
          <w:shd w:val="clear" w:color="auto" w:fill="FEFFFE"/>
          <w:lang w:val="en-CA"/>
        </w:rPr>
        <w:t xml:space="preserve">at the point when </w:t>
      </w:r>
      <w:r w:rsidR="00F51B72">
        <w:rPr>
          <w:rStyle w:val="Aucun"/>
          <w:rFonts w:cs="Arial"/>
          <w:szCs w:val="24"/>
          <w:shd w:val="clear" w:color="auto" w:fill="FEFFFE"/>
          <w:lang w:val="en-CA"/>
        </w:rPr>
        <w:t>the copy of these</w:t>
      </w:r>
      <w:r w:rsidR="00B643B0" w:rsidRPr="0076473C">
        <w:rPr>
          <w:rStyle w:val="Aucun"/>
          <w:rFonts w:cs="Arial"/>
          <w:szCs w:val="24"/>
          <w:shd w:val="clear" w:color="auto" w:fill="FEFFFE"/>
          <w:lang w:val="en-CA"/>
        </w:rPr>
        <w:t xml:space="preserve"> conversation</w:t>
      </w:r>
      <w:r w:rsidR="00F51B72">
        <w:rPr>
          <w:rStyle w:val="Aucun"/>
          <w:rFonts w:cs="Arial"/>
          <w:szCs w:val="24"/>
          <w:shd w:val="clear" w:color="auto" w:fill="FEFFFE"/>
          <w:lang w:val="en-CA"/>
        </w:rPr>
        <w:t>s</w:t>
      </w:r>
      <w:r w:rsidR="00B643B0" w:rsidRPr="0076473C">
        <w:rPr>
          <w:rStyle w:val="Aucun"/>
          <w:rFonts w:cs="Arial"/>
          <w:szCs w:val="24"/>
          <w:shd w:val="clear" w:color="auto" w:fill="FEFFFE"/>
          <w:lang w:val="en-CA"/>
        </w:rPr>
        <w:t xml:space="preserve"> start</w:t>
      </w:r>
      <w:r w:rsidR="006716DB" w:rsidRPr="0076473C">
        <w:rPr>
          <w:rStyle w:val="Aucun"/>
          <w:rFonts w:cs="Arial"/>
          <w:szCs w:val="24"/>
          <w:shd w:val="clear" w:color="auto" w:fill="FEFFFE"/>
          <w:lang w:val="en-CA"/>
        </w:rPr>
        <w:t>s</w:t>
      </w:r>
      <w:r w:rsidR="00B643B0" w:rsidRPr="0076473C">
        <w:rPr>
          <w:rStyle w:val="Aucun"/>
          <w:rFonts w:cs="Arial"/>
          <w:szCs w:val="24"/>
          <w:shd w:val="clear" w:color="auto" w:fill="FEFFFE"/>
          <w:lang w:val="en-CA"/>
        </w:rPr>
        <w:t>.</w:t>
      </w:r>
      <w:r w:rsidRPr="0076473C">
        <w:rPr>
          <w:rStyle w:val="Aucun"/>
          <w:rFonts w:cs="Arial"/>
          <w:szCs w:val="24"/>
          <w:shd w:val="clear" w:color="auto" w:fill="FEFFFE"/>
          <w:lang w:val="en-CA"/>
        </w:rPr>
        <w:t xml:space="preserve"> </w:t>
      </w:r>
      <w:r w:rsidR="00F51B72">
        <w:rPr>
          <w:rStyle w:val="Aucun"/>
          <w:rFonts w:cs="Arial"/>
          <w:szCs w:val="24"/>
          <w:shd w:val="clear" w:color="auto" w:fill="FEFFFE"/>
          <w:lang w:val="en-CA"/>
        </w:rPr>
        <w:t>The</w:t>
      </w:r>
      <w:r w:rsidR="00B643B0" w:rsidRPr="0076473C">
        <w:rPr>
          <w:rStyle w:val="Aucun"/>
          <w:rFonts w:cs="Arial"/>
          <w:szCs w:val="24"/>
          <w:shd w:val="clear" w:color="auto" w:fill="FEFFFE"/>
          <w:lang w:val="en-CA"/>
        </w:rPr>
        <w:t xml:space="preserve"> </w:t>
      </w:r>
      <w:r w:rsidR="004018FE" w:rsidRPr="0076473C">
        <w:rPr>
          <w:rStyle w:val="Aucun"/>
          <w:rFonts w:cs="Arial"/>
          <w:szCs w:val="24"/>
          <w:shd w:val="clear" w:color="auto" w:fill="FEFFFE"/>
          <w:lang w:val="en-CA"/>
        </w:rPr>
        <w:t>conversations</w:t>
      </w:r>
      <w:r w:rsidR="00B643B0" w:rsidRPr="0076473C">
        <w:rPr>
          <w:rStyle w:val="Aucun"/>
          <w:rFonts w:cs="Arial"/>
          <w:szCs w:val="24"/>
          <w:shd w:val="clear" w:color="auto" w:fill="FEFFFE"/>
          <w:lang w:val="en-CA"/>
        </w:rPr>
        <w:t xml:space="preserve"> </w:t>
      </w:r>
      <w:r w:rsidR="004018FE" w:rsidRPr="0076473C">
        <w:rPr>
          <w:rStyle w:val="Aucun"/>
          <w:rFonts w:cs="Arial"/>
          <w:szCs w:val="24"/>
          <w:shd w:val="clear" w:color="auto" w:fill="FEFFFE"/>
          <w:lang w:val="en-CA"/>
        </w:rPr>
        <w:t>are</w:t>
      </w:r>
      <w:r w:rsidR="00B643B0" w:rsidRPr="0076473C">
        <w:rPr>
          <w:rStyle w:val="Aucun"/>
          <w:rFonts w:cs="Arial"/>
          <w:szCs w:val="24"/>
          <w:shd w:val="clear" w:color="auto" w:fill="FEFFFE"/>
          <w:lang w:val="en-CA"/>
        </w:rPr>
        <w:t xml:space="preserve"> relevant </w:t>
      </w:r>
      <w:r w:rsidR="00F51B72">
        <w:rPr>
          <w:rStyle w:val="Aucun"/>
          <w:rFonts w:cs="Arial"/>
          <w:szCs w:val="24"/>
          <w:shd w:val="clear" w:color="auto" w:fill="FEFFFE"/>
          <w:lang w:val="en-CA"/>
        </w:rPr>
        <w:t>to</w:t>
      </w:r>
      <w:r w:rsidR="00B643B0" w:rsidRPr="0076473C">
        <w:rPr>
          <w:rStyle w:val="Aucun"/>
          <w:rFonts w:cs="Arial"/>
          <w:szCs w:val="24"/>
          <w:shd w:val="clear" w:color="auto" w:fill="FEFFFE"/>
          <w:lang w:val="en-CA"/>
        </w:rPr>
        <w:t xml:space="preserve"> analyz</w:t>
      </w:r>
      <w:r w:rsidR="00E7448B">
        <w:rPr>
          <w:rStyle w:val="Aucun"/>
          <w:rFonts w:cs="Arial"/>
          <w:szCs w:val="24"/>
          <w:shd w:val="clear" w:color="auto" w:fill="FEFFFE"/>
          <w:lang w:val="en-CA"/>
        </w:rPr>
        <w:t>ing</w:t>
      </w:r>
      <w:r w:rsidR="00B643B0" w:rsidRPr="0076473C">
        <w:rPr>
          <w:rStyle w:val="Aucun"/>
          <w:rFonts w:cs="Arial"/>
          <w:szCs w:val="24"/>
          <w:shd w:val="clear" w:color="auto" w:fill="FEFFFE"/>
          <w:lang w:val="en-CA"/>
        </w:rPr>
        <w:t xml:space="preserve"> the nature of their </w:t>
      </w:r>
      <w:r w:rsidR="0086454E" w:rsidRPr="0076473C">
        <w:rPr>
          <w:rStyle w:val="Aucun"/>
          <w:rFonts w:cs="Arial"/>
          <w:szCs w:val="24"/>
          <w:shd w:val="clear" w:color="auto" w:fill="FEFFFE"/>
          <w:lang w:val="en-CA"/>
        </w:rPr>
        <w:t>relationship</w:t>
      </w:r>
      <w:r w:rsidR="00B643B0" w:rsidRPr="0076473C">
        <w:rPr>
          <w:rStyle w:val="Aucun"/>
          <w:rFonts w:cs="Arial"/>
          <w:szCs w:val="24"/>
          <w:shd w:val="clear" w:color="auto" w:fill="FEFFFE"/>
          <w:lang w:val="en-CA"/>
        </w:rPr>
        <w:t xml:space="preserve"> and the types of conversations that led to the last sexual episode in July 2015.</w:t>
      </w:r>
    </w:p>
    <w:p w14:paraId="7F0BB19A" w14:textId="7FE030F4" w:rsidR="00562F60" w:rsidRPr="0076473C" w:rsidRDefault="004018FE" w:rsidP="00562F60">
      <w:pPr>
        <w:pStyle w:val="Citationenretrait"/>
        <w:rPr>
          <w:lang w:val="en-CA"/>
        </w:rPr>
      </w:pPr>
      <w:r w:rsidRPr="0076473C">
        <w:rPr>
          <w:lang w:val="en-CA"/>
        </w:rPr>
        <w:t>…</w:t>
      </w:r>
    </w:p>
    <w:p w14:paraId="7EA963D7" w14:textId="78D16BC9" w:rsidR="00562F60" w:rsidRPr="0076473C" w:rsidRDefault="00562F60" w:rsidP="00562F60">
      <w:pPr>
        <w:pStyle w:val="Citationenretrait"/>
        <w:rPr>
          <w:lang w:val="en-CA"/>
        </w:rPr>
      </w:pPr>
      <w:r w:rsidRPr="0076473C">
        <w:rPr>
          <w:lang w:val="en-CA"/>
        </w:rPr>
        <w:t>[49]</w:t>
      </w:r>
      <w:r w:rsidRPr="0076473C">
        <w:rPr>
          <w:lang w:val="en-CA"/>
        </w:rPr>
        <w:tab/>
      </w:r>
      <w:r w:rsidR="00F92710">
        <w:rPr>
          <w:lang w:val="en-CA"/>
        </w:rPr>
        <w:t>A</w:t>
      </w:r>
      <w:r w:rsidR="00F92710" w:rsidRPr="006C0449">
        <w:rPr>
          <w:lang w:val="en-CA"/>
        </w:rPr>
        <w:t xml:space="preserve"> </w:t>
      </w:r>
      <w:r w:rsidR="00B643B0" w:rsidRPr="006C0449">
        <w:rPr>
          <w:lang w:val="en-CA"/>
        </w:rPr>
        <w:t xml:space="preserve">reading of these conversations also </w:t>
      </w:r>
      <w:r w:rsidR="00F92710">
        <w:rPr>
          <w:lang w:val="en-CA"/>
        </w:rPr>
        <w:t>reveals</w:t>
      </w:r>
      <w:r w:rsidR="00F92710" w:rsidRPr="006C0449">
        <w:rPr>
          <w:lang w:val="en-CA"/>
        </w:rPr>
        <w:t xml:space="preserve"> </w:t>
      </w:r>
      <w:r w:rsidR="00B643B0" w:rsidRPr="006C0449">
        <w:rPr>
          <w:lang w:val="en-CA"/>
        </w:rPr>
        <w:t xml:space="preserve">that Bertrand Marchand was aware of the illegality of </w:t>
      </w:r>
      <w:r w:rsidR="00F51B72">
        <w:rPr>
          <w:lang w:val="en-CA"/>
        </w:rPr>
        <w:t>his</w:t>
      </w:r>
      <w:r w:rsidR="00B643B0" w:rsidRPr="006C0449">
        <w:rPr>
          <w:lang w:val="en-CA"/>
        </w:rPr>
        <w:t xml:space="preserve"> relationship </w:t>
      </w:r>
      <w:r w:rsidR="00F51B72">
        <w:rPr>
          <w:lang w:val="en-CA"/>
        </w:rPr>
        <w:t>wi</w:t>
      </w:r>
      <w:r w:rsidR="00B643B0" w:rsidRPr="006C0449">
        <w:rPr>
          <w:lang w:val="en-CA"/>
        </w:rPr>
        <w:t xml:space="preserve">th the adolescent and the risk he was running of facing charges </w:t>
      </w:r>
      <w:r w:rsidR="004018FE" w:rsidRPr="006C0449">
        <w:rPr>
          <w:lang w:val="en-CA"/>
        </w:rPr>
        <w:t>for commi</w:t>
      </w:r>
      <w:r w:rsidR="00F51B72">
        <w:rPr>
          <w:lang w:val="en-CA"/>
        </w:rPr>
        <w:t>tting</w:t>
      </w:r>
      <w:r w:rsidR="004018FE" w:rsidRPr="006C0449">
        <w:rPr>
          <w:lang w:val="en-CA"/>
        </w:rPr>
        <w:t xml:space="preserve"> the acts.</w:t>
      </w:r>
      <w:r w:rsidRPr="0076473C">
        <w:rPr>
          <w:lang w:val="en-CA"/>
        </w:rPr>
        <w:t xml:space="preserve"> </w:t>
      </w:r>
      <w:r w:rsidR="00873772">
        <w:rPr>
          <w:lang w:val="en-CA"/>
        </w:rPr>
        <w:t>He nevertheless</w:t>
      </w:r>
      <w:r w:rsidR="00B643B0" w:rsidRPr="0076473C">
        <w:rPr>
          <w:lang w:val="en-CA"/>
        </w:rPr>
        <w:t xml:space="preserve"> continued having conversations </w:t>
      </w:r>
      <w:r w:rsidR="00C84391">
        <w:rPr>
          <w:lang w:val="en-CA"/>
        </w:rPr>
        <w:t>that had</w:t>
      </w:r>
      <w:r w:rsidR="00F92710" w:rsidRPr="0076473C">
        <w:rPr>
          <w:lang w:val="en-CA"/>
        </w:rPr>
        <w:t xml:space="preserve"> </w:t>
      </w:r>
      <w:r w:rsidR="00B643B0" w:rsidRPr="0076473C">
        <w:rPr>
          <w:lang w:val="en-CA"/>
        </w:rPr>
        <w:t>sexual overtones with her</w:t>
      </w:r>
      <w:r w:rsidR="00E7448B">
        <w:rPr>
          <w:lang w:val="en-CA"/>
        </w:rPr>
        <w:t xml:space="preserve">. He also asked </w:t>
      </w:r>
      <w:r w:rsidR="00B643B0" w:rsidRPr="0076473C">
        <w:rPr>
          <w:lang w:val="en-CA"/>
        </w:rPr>
        <w:t>her for compromising photos on Snapchat</w:t>
      </w:r>
      <w:r w:rsidR="00E7448B">
        <w:rPr>
          <w:lang w:val="en-CA"/>
        </w:rPr>
        <w:t xml:space="preserve"> </w:t>
      </w:r>
      <w:r w:rsidR="00B643B0" w:rsidRPr="0076473C">
        <w:rPr>
          <w:lang w:val="en-CA"/>
        </w:rPr>
        <w:t xml:space="preserve">and </w:t>
      </w:r>
      <w:r w:rsidR="00E7448B">
        <w:rPr>
          <w:lang w:val="en-CA"/>
        </w:rPr>
        <w:t xml:space="preserve">organized </w:t>
      </w:r>
      <w:r w:rsidR="0086454E" w:rsidRPr="0076473C">
        <w:rPr>
          <w:lang w:val="en-CA"/>
        </w:rPr>
        <w:t>encounters</w:t>
      </w:r>
      <w:r w:rsidR="00B643B0" w:rsidRPr="0076473C">
        <w:rPr>
          <w:lang w:val="en-CA"/>
        </w:rPr>
        <w:t xml:space="preserve"> with her.</w:t>
      </w:r>
      <w:r w:rsidRPr="0076473C">
        <w:rPr>
          <w:lang w:val="en-CA"/>
        </w:rPr>
        <w:t xml:space="preserve"> </w:t>
      </w:r>
      <w:r w:rsidR="00B643B0" w:rsidRPr="006C0449">
        <w:rPr>
          <w:lang w:val="en-CA"/>
        </w:rPr>
        <w:t xml:space="preserve">He was often the </w:t>
      </w:r>
      <w:r w:rsidR="00F92710">
        <w:rPr>
          <w:lang w:val="en-CA"/>
        </w:rPr>
        <w:t>one to</w:t>
      </w:r>
      <w:r w:rsidR="00B643B0" w:rsidRPr="006C0449">
        <w:rPr>
          <w:lang w:val="en-CA"/>
        </w:rPr>
        <w:t xml:space="preserve"> request</w:t>
      </w:r>
      <w:r w:rsidR="00F92710">
        <w:rPr>
          <w:lang w:val="en-CA"/>
        </w:rPr>
        <w:t xml:space="preserve"> that they</w:t>
      </w:r>
      <w:r w:rsidR="00B643B0" w:rsidRPr="006C0449">
        <w:rPr>
          <w:lang w:val="en-CA"/>
        </w:rPr>
        <w:t xml:space="preserve"> meet up.</w:t>
      </w:r>
      <w:r w:rsidRPr="0076473C">
        <w:rPr>
          <w:lang w:val="en-CA"/>
        </w:rPr>
        <w:t xml:space="preserve"> </w:t>
      </w:r>
      <w:r w:rsidR="00B643B0" w:rsidRPr="006C0449">
        <w:rPr>
          <w:lang w:val="en-CA"/>
        </w:rPr>
        <w:t xml:space="preserve">The Court has identified about 18 conversations </w:t>
      </w:r>
      <w:r w:rsidR="00F51B72">
        <w:rPr>
          <w:lang w:val="en-CA"/>
        </w:rPr>
        <w:t>where</w:t>
      </w:r>
      <w:r w:rsidR="00B643B0" w:rsidRPr="006C0449">
        <w:rPr>
          <w:lang w:val="en-CA"/>
        </w:rPr>
        <w:t xml:space="preserve"> he asked her to come see him, sugges</w:t>
      </w:r>
      <w:r w:rsidR="00E7448B">
        <w:rPr>
          <w:lang w:val="en-CA"/>
        </w:rPr>
        <w:t>ting that</w:t>
      </w:r>
      <w:r w:rsidR="00B643B0" w:rsidRPr="006C0449">
        <w:rPr>
          <w:lang w:val="en-CA"/>
        </w:rPr>
        <w:t xml:space="preserve"> he go meet her or </w:t>
      </w:r>
      <w:r w:rsidR="00F92710">
        <w:rPr>
          <w:lang w:val="en-CA"/>
        </w:rPr>
        <w:t xml:space="preserve">that </w:t>
      </w:r>
      <w:r w:rsidR="00B643B0" w:rsidRPr="006C0449">
        <w:rPr>
          <w:lang w:val="en-CA"/>
        </w:rPr>
        <w:t xml:space="preserve">they meet </w:t>
      </w:r>
      <w:r w:rsidR="0086454E" w:rsidRPr="006C0449">
        <w:rPr>
          <w:lang w:val="en-CA"/>
        </w:rPr>
        <w:t>somewhere</w:t>
      </w:r>
      <w:r w:rsidR="00B643B0" w:rsidRPr="006C0449">
        <w:rPr>
          <w:lang w:val="en-CA"/>
        </w:rPr>
        <w:t xml:space="preserve"> so he </w:t>
      </w:r>
      <w:r w:rsidR="00F92710">
        <w:rPr>
          <w:lang w:val="en-CA"/>
        </w:rPr>
        <w:t>could</w:t>
      </w:r>
      <w:r w:rsidR="00F92710" w:rsidRPr="006C0449">
        <w:rPr>
          <w:lang w:val="en-CA"/>
        </w:rPr>
        <w:t xml:space="preserve"> </w:t>
      </w:r>
      <w:r w:rsidR="00B643B0" w:rsidRPr="006C0449">
        <w:rPr>
          <w:lang w:val="en-CA"/>
        </w:rPr>
        <w:t xml:space="preserve">see her and bring her back to the centre </w:t>
      </w:r>
      <w:r w:rsidR="00E7448B">
        <w:rPr>
          <w:lang w:val="en-CA"/>
        </w:rPr>
        <w:t xml:space="preserve">himself </w:t>
      </w:r>
      <w:r w:rsidR="00F92710">
        <w:rPr>
          <w:lang w:val="en-CA"/>
        </w:rPr>
        <w:t>after</w:t>
      </w:r>
      <w:r w:rsidR="00B643B0" w:rsidRPr="006C0449">
        <w:rPr>
          <w:lang w:val="en-CA"/>
        </w:rPr>
        <w:t xml:space="preserve"> a visit </w:t>
      </w:r>
      <w:r w:rsidR="00E7448B">
        <w:rPr>
          <w:lang w:val="en-CA"/>
        </w:rPr>
        <w:t xml:space="preserve">to </w:t>
      </w:r>
      <w:r w:rsidR="00B643B0" w:rsidRPr="006C0449">
        <w:rPr>
          <w:lang w:val="en-CA"/>
        </w:rPr>
        <w:t xml:space="preserve">her mother’s home or </w:t>
      </w:r>
      <w:r w:rsidR="00F92710">
        <w:rPr>
          <w:lang w:val="en-CA"/>
        </w:rPr>
        <w:t xml:space="preserve">with </w:t>
      </w:r>
      <w:r w:rsidR="00B643B0" w:rsidRPr="006C0449">
        <w:rPr>
          <w:lang w:val="en-CA"/>
        </w:rPr>
        <w:t xml:space="preserve">the foster family in City B. </w:t>
      </w:r>
    </w:p>
    <w:p w14:paraId="43683BE5" w14:textId="7BFEA368" w:rsidR="00562F60" w:rsidRPr="0076473C" w:rsidRDefault="004018FE" w:rsidP="00562F60">
      <w:pPr>
        <w:pStyle w:val="Citationenretrait"/>
        <w:rPr>
          <w:lang w:val="en-CA"/>
        </w:rPr>
      </w:pPr>
      <w:r w:rsidRPr="0076473C">
        <w:rPr>
          <w:lang w:val="en-CA"/>
        </w:rPr>
        <w:t>…</w:t>
      </w:r>
    </w:p>
    <w:p w14:paraId="10CEA5B9" w14:textId="1A834371" w:rsidR="00562F60" w:rsidRPr="0076473C" w:rsidRDefault="00562F60" w:rsidP="00562F60">
      <w:pPr>
        <w:pStyle w:val="Citationenretrait"/>
        <w:rPr>
          <w:lang w:val="en-CA"/>
        </w:rPr>
      </w:pPr>
      <w:r w:rsidRPr="0076473C">
        <w:rPr>
          <w:lang w:val="en-CA"/>
        </w:rPr>
        <w:t>[53]</w:t>
      </w:r>
      <w:r w:rsidRPr="0076473C">
        <w:rPr>
          <w:lang w:val="en-CA"/>
        </w:rPr>
        <w:tab/>
      </w:r>
      <w:r w:rsidR="006368B2">
        <w:rPr>
          <w:lang w:val="en-CA"/>
        </w:rPr>
        <w:t>F</w:t>
      </w:r>
      <w:r w:rsidR="006368B2" w:rsidRPr="006C0449">
        <w:rPr>
          <w:lang w:val="en-CA"/>
        </w:rPr>
        <w:t>rom the evidence as a whole</w:t>
      </w:r>
      <w:r w:rsidR="006368B2">
        <w:rPr>
          <w:lang w:val="en-CA"/>
        </w:rPr>
        <w:t>,</w:t>
      </w:r>
      <w:r w:rsidR="006368B2" w:rsidRPr="006C0449">
        <w:rPr>
          <w:lang w:val="en-CA"/>
        </w:rPr>
        <w:t xml:space="preserve"> </w:t>
      </w:r>
      <w:r w:rsidR="006368B2">
        <w:rPr>
          <w:lang w:val="en-CA"/>
        </w:rPr>
        <w:t>t</w:t>
      </w:r>
      <w:r w:rsidR="00B643B0" w:rsidRPr="006C0449">
        <w:rPr>
          <w:lang w:val="en-CA"/>
        </w:rPr>
        <w:t xml:space="preserve">he Court </w:t>
      </w:r>
      <w:r w:rsidR="006368B2">
        <w:rPr>
          <w:lang w:val="en-CA"/>
        </w:rPr>
        <w:t>accepts</w:t>
      </w:r>
      <w:r w:rsidR="006368B2" w:rsidRPr="006C0449">
        <w:rPr>
          <w:lang w:val="en-CA"/>
        </w:rPr>
        <w:t xml:space="preserve"> </w:t>
      </w:r>
      <w:r w:rsidR="00B643B0" w:rsidRPr="006C0449">
        <w:rPr>
          <w:lang w:val="en-CA"/>
        </w:rPr>
        <w:t xml:space="preserve">that the </w:t>
      </w:r>
      <w:r w:rsidR="0086454E" w:rsidRPr="006C0449">
        <w:rPr>
          <w:lang w:val="en-CA"/>
        </w:rPr>
        <w:t>offender</w:t>
      </w:r>
      <w:r w:rsidR="00B643B0" w:rsidRPr="006C0449">
        <w:rPr>
          <w:lang w:val="en-CA"/>
        </w:rPr>
        <w:t xml:space="preserve"> initiated the first contact between the complainant and himself through a Facebook friend request following a chan</w:t>
      </w:r>
      <w:r w:rsidR="004018FE" w:rsidRPr="006C0449">
        <w:rPr>
          <w:lang w:val="en-CA"/>
        </w:rPr>
        <w:t>c</w:t>
      </w:r>
      <w:r w:rsidR="00B643B0" w:rsidRPr="006C0449">
        <w:rPr>
          <w:lang w:val="en-CA"/>
        </w:rPr>
        <w:t xml:space="preserve">e meeting through </w:t>
      </w:r>
      <w:r w:rsidR="00E7448B">
        <w:rPr>
          <w:lang w:val="en-CA"/>
        </w:rPr>
        <w:t>mutual</w:t>
      </w:r>
      <w:r w:rsidR="00B643B0" w:rsidRPr="006C0449">
        <w:rPr>
          <w:lang w:val="en-CA"/>
        </w:rPr>
        <w:t xml:space="preserve"> friends.</w:t>
      </w:r>
      <w:r w:rsidRPr="0076473C">
        <w:rPr>
          <w:lang w:val="en-CA"/>
        </w:rPr>
        <w:t xml:space="preserve"> </w:t>
      </w:r>
      <w:r w:rsidR="00B643B0" w:rsidRPr="0076473C">
        <w:rPr>
          <w:lang w:val="en-CA"/>
        </w:rPr>
        <w:t xml:space="preserve">He </w:t>
      </w:r>
      <w:r w:rsidR="0086454E" w:rsidRPr="0076473C">
        <w:rPr>
          <w:lang w:val="en-CA"/>
        </w:rPr>
        <w:t>quickly</w:t>
      </w:r>
      <w:r w:rsidR="00B643B0" w:rsidRPr="0076473C">
        <w:rPr>
          <w:lang w:val="en-CA"/>
        </w:rPr>
        <w:t xml:space="preserve"> learned that she was only 13 years old </w:t>
      </w:r>
      <w:r w:rsidR="006368B2">
        <w:rPr>
          <w:lang w:val="en-CA"/>
        </w:rPr>
        <w:t>and therefore</w:t>
      </w:r>
      <w:r w:rsidR="00B643B0" w:rsidRPr="0076473C">
        <w:rPr>
          <w:lang w:val="en-CA"/>
        </w:rPr>
        <w:t xml:space="preserve"> nine years younger than </w:t>
      </w:r>
      <w:r w:rsidR="004018FE" w:rsidRPr="0076473C">
        <w:rPr>
          <w:lang w:val="en-CA"/>
        </w:rPr>
        <w:t>he was</w:t>
      </w:r>
      <w:r w:rsidR="006368B2">
        <w:rPr>
          <w:lang w:val="en-CA"/>
        </w:rPr>
        <w:t>. H</w:t>
      </w:r>
      <w:r w:rsidR="00B643B0" w:rsidRPr="0076473C">
        <w:rPr>
          <w:lang w:val="en-CA"/>
        </w:rPr>
        <w:t xml:space="preserve">e </w:t>
      </w:r>
      <w:r w:rsidR="004018FE" w:rsidRPr="0076473C">
        <w:rPr>
          <w:lang w:val="en-CA"/>
        </w:rPr>
        <w:t xml:space="preserve">nevertheless </w:t>
      </w:r>
      <w:r w:rsidR="00B643B0" w:rsidRPr="0076473C">
        <w:rPr>
          <w:lang w:val="en-CA"/>
        </w:rPr>
        <w:t>continued their conversations.</w:t>
      </w:r>
      <w:r w:rsidRPr="0076473C">
        <w:rPr>
          <w:lang w:val="en-CA"/>
        </w:rPr>
        <w:t xml:space="preserve"> </w:t>
      </w:r>
      <w:r w:rsidR="00B643B0" w:rsidRPr="0076473C">
        <w:rPr>
          <w:lang w:val="en-CA"/>
        </w:rPr>
        <w:t xml:space="preserve">He was well aware of the </w:t>
      </w:r>
      <w:r w:rsidR="0086454E" w:rsidRPr="0076473C">
        <w:rPr>
          <w:lang w:val="en-CA"/>
        </w:rPr>
        <w:t>illegality</w:t>
      </w:r>
      <w:r w:rsidR="00B643B0" w:rsidRPr="0076473C">
        <w:rPr>
          <w:lang w:val="en-CA"/>
        </w:rPr>
        <w:t xml:space="preserve"> of their sexual </w:t>
      </w:r>
      <w:r w:rsidR="00E7448B">
        <w:rPr>
          <w:lang w:val="en-CA"/>
        </w:rPr>
        <w:t>relationship</w:t>
      </w:r>
      <w:r w:rsidR="00B643B0" w:rsidRPr="0076473C">
        <w:rPr>
          <w:lang w:val="en-CA"/>
        </w:rPr>
        <w:t xml:space="preserve">, but </w:t>
      </w:r>
      <w:r w:rsidR="004F57BB">
        <w:rPr>
          <w:lang w:val="en-CA"/>
        </w:rPr>
        <w:t>continued to seek it out</w:t>
      </w:r>
      <w:r w:rsidR="00B643B0" w:rsidRPr="0076473C">
        <w:rPr>
          <w:lang w:val="en-CA"/>
        </w:rPr>
        <w:t>.</w:t>
      </w:r>
    </w:p>
    <w:p w14:paraId="62B86267" w14:textId="071305D4" w:rsidR="00562F60" w:rsidRPr="0076473C" w:rsidRDefault="004018FE" w:rsidP="00562F60">
      <w:pPr>
        <w:pStyle w:val="Citationenretrait"/>
        <w:rPr>
          <w:lang w:val="en-CA"/>
        </w:rPr>
      </w:pPr>
      <w:r w:rsidRPr="0076473C">
        <w:rPr>
          <w:lang w:val="en-CA"/>
        </w:rPr>
        <w:t>…</w:t>
      </w:r>
    </w:p>
    <w:p w14:paraId="56A3EC19" w14:textId="54DED043" w:rsidR="00562F60" w:rsidRPr="0076473C" w:rsidRDefault="00562F60" w:rsidP="00562F60">
      <w:pPr>
        <w:pStyle w:val="Citationenretrait"/>
        <w:rPr>
          <w:lang w:val="en-CA"/>
        </w:rPr>
      </w:pPr>
      <w:r w:rsidRPr="0076473C">
        <w:rPr>
          <w:lang w:val="en-CA"/>
        </w:rPr>
        <w:t>[59]</w:t>
      </w:r>
      <w:r w:rsidRPr="0076473C">
        <w:rPr>
          <w:lang w:val="en-CA"/>
        </w:rPr>
        <w:tab/>
      </w:r>
      <w:r w:rsidR="00B643B0" w:rsidRPr="006C0449">
        <w:rPr>
          <w:lang w:val="en-CA"/>
        </w:rPr>
        <w:t xml:space="preserve">Although </w:t>
      </w:r>
      <w:r w:rsidR="00F51B72">
        <w:rPr>
          <w:lang w:val="en-CA"/>
        </w:rPr>
        <w:t>there was no specific evidence concerning</w:t>
      </w:r>
      <w:r w:rsidR="00B643B0" w:rsidRPr="006C0449">
        <w:rPr>
          <w:lang w:val="en-CA"/>
        </w:rPr>
        <w:t xml:space="preserve"> the consequences of the crime on the complainant, the </w:t>
      </w:r>
      <w:r w:rsidR="0086454E" w:rsidRPr="006C0449">
        <w:rPr>
          <w:lang w:val="en-CA"/>
        </w:rPr>
        <w:t>Court</w:t>
      </w:r>
      <w:r w:rsidR="00B643B0" w:rsidRPr="006C0449">
        <w:rPr>
          <w:lang w:val="en-CA"/>
        </w:rPr>
        <w:t xml:space="preserve"> concludes that it had </w:t>
      </w:r>
      <w:r w:rsidR="00213242">
        <w:rPr>
          <w:lang w:val="en-CA"/>
        </w:rPr>
        <w:t xml:space="preserve">a </w:t>
      </w:r>
      <w:r w:rsidR="00B643B0" w:rsidRPr="006C0449">
        <w:rPr>
          <w:lang w:val="en-CA"/>
        </w:rPr>
        <w:t xml:space="preserve">significant </w:t>
      </w:r>
      <w:r w:rsidR="00213242">
        <w:rPr>
          <w:lang w:val="en-CA"/>
        </w:rPr>
        <w:t>impact</w:t>
      </w:r>
      <w:r w:rsidR="00213242" w:rsidRPr="006C0449">
        <w:rPr>
          <w:lang w:val="en-CA"/>
        </w:rPr>
        <w:t xml:space="preserve"> </w:t>
      </w:r>
      <w:r w:rsidR="00B643B0" w:rsidRPr="006C0449">
        <w:rPr>
          <w:lang w:val="en-CA"/>
        </w:rPr>
        <w:t>on her.</w:t>
      </w:r>
      <w:r w:rsidRPr="0076473C">
        <w:rPr>
          <w:lang w:val="en-CA"/>
        </w:rPr>
        <w:t xml:space="preserve"> </w:t>
      </w:r>
      <w:r w:rsidR="00B643B0" w:rsidRPr="006C0449">
        <w:rPr>
          <w:lang w:val="en-CA"/>
        </w:rPr>
        <w:t xml:space="preserve">From the beginning of the communications </w:t>
      </w:r>
      <w:r w:rsidR="00213242">
        <w:rPr>
          <w:lang w:val="en-CA"/>
        </w:rPr>
        <w:t>filed under</w:t>
      </w:r>
      <w:r w:rsidR="00B643B0" w:rsidRPr="006C0449">
        <w:rPr>
          <w:lang w:val="en-CA"/>
        </w:rPr>
        <w:t xml:space="preserve"> exhibit S-4, she </w:t>
      </w:r>
      <w:r w:rsidR="005A5C9A">
        <w:rPr>
          <w:lang w:val="en-CA"/>
        </w:rPr>
        <w:t>said</w:t>
      </w:r>
      <w:r w:rsidR="00B643B0" w:rsidRPr="006C0449">
        <w:rPr>
          <w:lang w:val="en-CA"/>
        </w:rPr>
        <w:t xml:space="preserve"> </w:t>
      </w:r>
      <w:r w:rsidR="00B643B0" w:rsidRPr="006C0449">
        <w:rPr>
          <w:lang w:val="en-CA"/>
        </w:rPr>
        <w:lastRenderedPageBreak/>
        <w:t xml:space="preserve">that the only reason the offender </w:t>
      </w:r>
      <w:r w:rsidR="0039089E">
        <w:rPr>
          <w:lang w:val="en-CA"/>
        </w:rPr>
        <w:t>was staying</w:t>
      </w:r>
      <w:r w:rsidR="00213242">
        <w:rPr>
          <w:lang w:val="en-CA"/>
        </w:rPr>
        <w:t xml:space="preserve"> in</w:t>
      </w:r>
      <w:r w:rsidR="00B643B0" w:rsidRPr="006C0449">
        <w:rPr>
          <w:lang w:val="en-CA"/>
        </w:rPr>
        <w:t xml:space="preserve"> contact with her </w:t>
      </w:r>
      <w:r w:rsidR="0039089E">
        <w:rPr>
          <w:lang w:val="en-CA"/>
        </w:rPr>
        <w:t>was</w:t>
      </w:r>
      <w:r w:rsidR="00B643B0" w:rsidRPr="006C0449">
        <w:rPr>
          <w:lang w:val="en-CA"/>
        </w:rPr>
        <w:t xml:space="preserve"> to have sexual </w:t>
      </w:r>
      <w:r w:rsidR="004018FE" w:rsidRPr="006C0449">
        <w:rPr>
          <w:lang w:val="en-CA"/>
        </w:rPr>
        <w:t>intercourse</w:t>
      </w:r>
      <w:r w:rsidR="00B643B0" w:rsidRPr="006C0449">
        <w:rPr>
          <w:lang w:val="en-CA"/>
        </w:rPr>
        <w:t>.</w:t>
      </w:r>
      <w:r w:rsidRPr="0076473C">
        <w:rPr>
          <w:lang w:val="en-CA"/>
        </w:rPr>
        <w:t xml:space="preserve"> </w:t>
      </w:r>
      <w:r w:rsidR="00B643B0" w:rsidRPr="006C0449">
        <w:rPr>
          <w:lang w:val="en-CA"/>
        </w:rPr>
        <w:t xml:space="preserve">In </w:t>
      </w:r>
      <w:r w:rsidR="0086454E" w:rsidRPr="006C0449">
        <w:rPr>
          <w:lang w:val="en-CA"/>
        </w:rPr>
        <w:t>certain</w:t>
      </w:r>
      <w:r w:rsidR="00B643B0" w:rsidRPr="006C0449">
        <w:rPr>
          <w:lang w:val="en-CA"/>
        </w:rPr>
        <w:t xml:space="preserve"> passages from the conversations, she</w:t>
      </w:r>
      <w:r w:rsidR="00213242">
        <w:rPr>
          <w:lang w:val="en-CA"/>
        </w:rPr>
        <w:t xml:space="preserve"> says she</w:t>
      </w:r>
      <w:r w:rsidR="00B643B0" w:rsidRPr="006C0449">
        <w:rPr>
          <w:lang w:val="en-CA"/>
        </w:rPr>
        <w:t xml:space="preserve"> feels</w:t>
      </w:r>
      <w:r w:rsidR="00581A95">
        <w:rPr>
          <w:lang w:val="en-CA"/>
        </w:rPr>
        <w:t xml:space="preserve"> used and exploited and she let</w:t>
      </w:r>
      <w:r w:rsidR="005A5C9A">
        <w:rPr>
          <w:lang w:val="en-CA"/>
        </w:rPr>
        <w:t>s</w:t>
      </w:r>
      <w:r w:rsidR="00B643B0" w:rsidRPr="006C0449">
        <w:rPr>
          <w:lang w:val="en-CA"/>
        </w:rPr>
        <w:t xml:space="preserve"> him know it.</w:t>
      </w:r>
      <w:r w:rsidRPr="0076473C">
        <w:rPr>
          <w:lang w:val="en-CA"/>
        </w:rPr>
        <w:t xml:space="preserve"> </w:t>
      </w:r>
      <w:r w:rsidR="00581A95">
        <w:rPr>
          <w:lang w:val="en-CA"/>
        </w:rPr>
        <w:t>It was the reason</w:t>
      </w:r>
      <w:r w:rsidR="00B643B0" w:rsidRPr="006C0449">
        <w:rPr>
          <w:lang w:val="en-CA"/>
        </w:rPr>
        <w:t xml:space="preserve"> she finally ended their relationship in August or September 2015.</w:t>
      </w:r>
      <w:r w:rsidRPr="0076473C">
        <w:rPr>
          <w:lang w:val="en-CA"/>
        </w:rPr>
        <w:t xml:space="preserve"> </w:t>
      </w:r>
      <w:r w:rsidR="00B643B0" w:rsidRPr="0076473C">
        <w:rPr>
          <w:lang w:val="en-CA"/>
        </w:rPr>
        <w:t xml:space="preserve">This type of relationship based on manipulation </w:t>
      </w:r>
      <w:r w:rsidR="0039089E">
        <w:rPr>
          <w:lang w:val="en-CA"/>
        </w:rPr>
        <w:t xml:space="preserve">to </w:t>
      </w:r>
      <w:r w:rsidR="0086454E" w:rsidRPr="0076473C">
        <w:rPr>
          <w:lang w:val="en-CA"/>
        </w:rPr>
        <w:t>satisfy</w:t>
      </w:r>
      <w:r w:rsidR="00B643B0" w:rsidRPr="0076473C">
        <w:rPr>
          <w:lang w:val="en-CA"/>
        </w:rPr>
        <w:t xml:space="preserve"> sexual needs with a </w:t>
      </w:r>
      <w:r w:rsidR="00213242">
        <w:rPr>
          <w:lang w:val="en-CA"/>
        </w:rPr>
        <w:t>still</w:t>
      </w:r>
      <w:r w:rsidR="0039089E">
        <w:rPr>
          <w:lang w:val="en-CA"/>
        </w:rPr>
        <w:t>-</w:t>
      </w:r>
      <w:r w:rsidR="00B643B0" w:rsidRPr="0076473C">
        <w:rPr>
          <w:lang w:val="en-CA"/>
        </w:rPr>
        <w:t>developing adolescent undoubtedly leaves scars</w:t>
      </w:r>
      <w:r w:rsidRPr="006C0449">
        <w:rPr>
          <w:lang w:val="en-CA"/>
        </w:rPr>
        <w:t>.</w:t>
      </w:r>
      <w:r w:rsidRPr="0076473C">
        <w:rPr>
          <w:lang w:val="en-CA"/>
        </w:rPr>
        <w:t xml:space="preserve"> </w:t>
      </w:r>
      <w:r w:rsidR="00B643B0" w:rsidRPr="006C0449">
        <w:rPr>
          <w:lang w:val="en-CA"/>
        </w:rPr>
        <w:t xml:space="preserve">The </w:t>
      </w:r>
      <w:r w:rsidR="0039089E">
        <w:rPr>
          <w:lang w:val="en-CA"/>
        </w:rPr>
        <w:t>specific</w:t>
      </w:r>
      <w:r w:rsidR="00B643B0" w:rsidRPr="006C0449">
        <w:rPr>
          <w:lang w:val="en-CA"/>
        </w:rPr>
        <w:t xml:space="preserve"> situation of X, who </w:t>
      </w:r>
      <w:r w:rsidR="00213242">
        <w:rPr>
          <w:lang w:val="en-CA"/>
        </w:rPr>
        <w:t>was</w:t>
      </w:r>
      <w:r w:rsidR="00213242" w:rsidRPr="006C0449">
        <w:rPr>
          <w:lang w:val="en-CA"/>
        </w:rPr>
        <w:t xml:space="preserve"> </w:t>
      </w:r>
      <w:r w:rsidR="00B643B0" w:rsidRPr="006C0449">
        <w:rPr>
          <w:lang w:val="en-CA"/>
        </w:rPr>
        <w:t xml:space="preserve">already </w:t>
      </w:r>
      <w:r w:rsidR="00213242">
        <w:rPr>
          <w:lang w:val="en-CA"/>
        </w:rPr>
        <w:t>dealing with</w:t>
      </w:r>
      <w:r w:rsidR="00B643B0" w:rsidRPr="006C0449">
        <w:rPr>
          <w:lang w:val="en-CA"/>
        </w:rPr>
        <w:t xml:space="preserve"> challenges that </w:t>
      </w:r>
      <w:r w:rsidR="0086454E" w:rsidRPr="006C0449">
        <w:rPr>
          <w:lang w:val="en-CA"/>
        </w:rPr>
        <w:t>led</w:t>
      </w:r>
      <w:r w:rsidR="00B643B0" w:rsidRPr="006C0449">
        <w:rPr>
          <w:lang w:val="en-CA"/>
        </w:rPr>
        <w:t xml:space="preserve"> to the intervention of the Director of Youth Protection, </w:t>
      </w:r>
      <w:r w:rsidR="0039089E">
        <w:rPr>
          <w:lang w:val="en-CA"/>
        </w:rPr>
        <w:t>exacerbates</w:t>
      </w:r>
      <w:r w:rsidR="00B643B0" w:rsidRPr="006C0449">
        <w:rPr>
          <w:lang w:val="en-CA"/>
        </w:rPr>
        <w:t xml:space="preserve"> the difficulties that </w:t>
      </w:r>
      <w:r w:rsidR="007759B9" w:rsidRPr="006C0449">
        <w:rPr>
          <w:lang w:val="en-CA"/>
        </w:rPr>
        <w:t>can</w:t>
      </w:r>
      <w:r w:rsidR="00B643B0" w:rsidRPr="006C0449">
        <w:rPr>
          <w:lang w:val="en-CA"/>
        </w:rPr>
        <w:t xml:space="preserve"> be related to these events.</w:t>
      </w:r>
    </w:p>
    <w:p w14:paraId="69A55D63" w14:textId="2355C458" w:rsidR="00562F60" w:rsidRPr="0076473C" w:rsidRDefault="00562F60" w:rsidP="00562F60">
      <w:pPr>
        <w:pStyle w:val="Citationenretrait"/>
        <w:rPr>
          <w:lang w:val="en-CA"/>
        </w:rPr>
      </w:pPr>
      <w:r w:rsidRPr="0076473C">
        <w:rPr>
          <w:lang w:val="en-CA"/>
        </w:rPr>
        <w:t>[60]</w:t>
      </w:r>
      <w:r w:rsidRPr="0076473C">
        <w:rPr>
          <w:lang w:val="en-CA"/>
        </w:rPr>
        <w:tab/>
      </w:r>
      <w:r w:rsidR="00B643B0" w:rsidRPr="0076473C">
        <w:rPr>
          <w:lang w:val="en-CA"/>
        </w:rPr>
        <w:t xml:space="preserve">In </w:t>
      </w:r>
      <w:r w:rsidR="001448F7">
        <w:rPr>
          <w:lang w:val="en-CA"/>
        </w:rPr>
        <w:t>short</w:t>
      </w:r>
      <w:r w:rsidR="00B643B0" w:rsidRPr="0076473C">
        <w:rPr>
          <w:lang w:val="en-CA"/>
        </w:rPr>
        <w:t xml:space="preserve">, this is a situation of sexual exploitation by an </w:t>
      </w:r>
      <w:r w:rsidR="0086454E" w:rsidRPr="0076473C">
        <w:rPr>
          <w:lang w:val="en-CA"/>
        </w:rPr>
        <w:t>individual</w:t>
      </w:r>
      <w:r w:rsidR="00B643B0" w:rsidRPr="0076473C">
        <w:rPr>
          <w:lang w:val="en-CA"/>
        </w:rPr>
        <w:t xml:space="preserve"> who is nine years older than the complainant </w:t>
      </w:r>
      <w:r w:rsidR="00581A95">
        <w:rPr>
          <w:lang w:val="en-CA"/>
        </w:rPr>
        <w:t xml:space="preserve">and who </w:t>
      </w:r>
      <w:r w:rsidR="0086454E" w:rsidRPr="0076473C">
        <w:rPr>
          <w:lang w:val="en-CA"/>
        </w:rPr>
        <w:t>wanted</w:t>
      </w:r>
      <w:r w:rsidR="00B643B0" w:rsidRPr="0076473C">
        <w:rPr>
          <w:lang w:val="en-CA"/>
        </w:rPr>
        <w:t xml:space="preserve"> to take advantage of </w:t>
      </w:r>
      <w:r w:rsidR="0039089E">
        <w:rPr>
          <w:lang w:val="en-CA"/>
        </w:rPr>
        <w:t xml:space="preserve">this young adolescent’s </w:t>
      </w:r>
      <w:r w:rsidR="0086454E" w:rsidRPr="0076473C">
        <w:rPr>
          <w:lang w:val="en-CA"/>
        </w:rPr>
        <w:t>naivet</w:t>
      </w:r>
      <w:r w:rsidR="00272EA9" w:rsidRPr="0076473C">
        <w:rPr>
          <w:lang w:val="en-CA"/>
        </w:rPr>
        <w:t>y</w:t>
      </w:r>
      <w:r w:rsidR="00B643B0" w:rsidRPr="0076473C">
        <w:rPr>
          <w:lang w:val="en-CA"/>
        </w:rPr>
        <w:t xml:space="preserve"> and vulnerability to obtain occasional sexual favours when </w:t>
      </w:r>
      <w:r w:rsidR="007759B9" w:rsidRPr="0076473C">
        <w:rPr>
          <w:lang w:val="en-CA"/>
        </w:rPr>
        <w:t>the</w:t>
      </w:r>
      <w:r w:rsidR="00B643B0" w:rsidRPr="0076473C">
        <w:rPr>
          <w:lang w:val="en-CA"/>
        </w:rPr>
        <w:t xml:space="preserve"> </w:t>
      </w:r>
      <w:r w:rsidR="0039089E">
        <w:rPr>
          <w:lang w:val="en-CA"/>
        </w:rPr>
        <w:t xml:space="preserve">circumstances </w:t>
      </w:r>
      <w:r w:rsidR="00B643B0" w:rsidRPr="0076473C">
        <w:rPr>
          <w:lang w:val="en-CA"/>
        </w:rPr>
        <w:t>allowed.</w:t>
      </w:r>
      <w:r w:rsidRPr="0076473C">
        <w:rPr>
          <w:lang w:val="en-CA"/>
        </w:rPr>
        <w:t xml:space="preserve"> </w:t>
      </w:r>
      <w:r w:rsidR="00B643B0" w:rsidRPr="0076473C">
        <w:rPr>
          <w:lang w:val="en-CA"/>
        </w:rPr>
        <w:t xml:space="preserve">This situation is not similar to the facts in </w:t>
      </w:r>
      <w:r w:rsidR="00B643B0" w:rsidRPr="0076473C">
        <w:rPr>
          <w:i/>
          <w:lang w:val="en-CA"/>
        </w:rPr>
        <w:t xml:space="preserve">Jomphe </w:t>
      </w:r>
      <w:r w:rsidR="00B643B0" w:rsidRPr="0076473C">
        <w:rPr>
          <w:lang w:val="en-CA"/>
        </w:rPr>
        <w:t xml:space="preserve">and </w:t>
      </w:r>
      <w:r w:rsidR="00B643B0" w:rsidRPr="0076473C">
        <w:rPr>
          <w:i/>
          <w:lang w:val="en-CA"/>
        </w:rPr>
        <w:t>Caron Bar</w:t>
      </w:r>
      <w:r w:rsidR="003E7773" w:rsidRPr="0076473C">
        <w:rPr>
          <w:i/>
          <w:lang w:val="en-CA"/>
        </w:rPr>
        <w:t>r</w:t>
      </w:r>
      <w:r w:rsidR="00B643B0" w:rsidRPr="0076473C">
        <w:rPr>
          <w:i/>
          <w:lang w:val="en-CA"/>
        </w:rPr>
        <w:t>ette</w:t>
      </w:r>
      <w:r w:rsidR="00B643B0" w:rsidRPr="0076473C">
        <w:rPr>
          <w:lang w:val="en-CA"/>
        </w:rPr>
        <w:t>, cited by the offender</w:t>
      </w:r>
      <w:r w:rsidR="0039089E">
        <w:rPr>
          <w:lang w:val="en-CA"/>
        </w:rPr>
        <w:t>,</w:t>
      </w:r>
      <w:r w:rsidR="00B643B0" w:rsidRPr="0076473C">
        <w:rPr>
          <w:lang w:val="en-CA"/>
        </w:rPr>
        <w:t xml:space="preserve"> where the </w:t>
      </w:r>
      <w:r w:rsidR="0039089E">
        <w:rPr>
          <w:lang w:val="en-CA"/>
        </w:rPr>
        <w:t xml:space="preserve">prohibited </w:t>
      </w:r>
      <w:r w:rsidR="00B643B0" w:rsidRPr="0076473C">
        <w:rPr>
          <w:lang w:val="en-CA"/>
        </w:rPr>
        <w:t xml:space="preserve">sexual acts were committed in the </w:t>
      </w:r>
      <w:r w:rsidR="00272EA9" w:rsidRPr="0076473C">
        <w:rPr>
          <w:lang w:val="en-CA"/>
        </w:rPr>
        <w:t>context</w:t>
      </w:r>
      <w:r w:rsidR="00B643B0" w:rsidRPr="0076473C">
        <w:rPr>
          <w:lang w:val="en-CA"/>
        </w:rPr>
        <w:t xml:space="preserve"> of a consensual romantic relationship</w:t>
      </w:r>
      <w:r w:rsidR="001448F7">
        <w:rPr>
          <w:lang w:val="en-CA"/>
        </w:rPr>
        <w:t xml:space="preserve"> that had the approval and support of the young girls’ parents.</w:t>
      </w:r>
      <w:r w:rsidR="00B643B0" w:rsidRPr="0076473C">
        <w:rPr>
          <w:lang w:val="en-CA"/>
        </w:rPr>
        <w:t xml:space="preserve"> </w:t>
      </w:r>
    </w:p>
    <w:p w14:paraId="07FC84CC" w14:textId="0AE95AA2" w:rsidR="00562F60" w:rsidRPr="0076473C" w:rsidRDefault="00562F60" w:rsidP="00562F60">
      <w:pPr>
        <w:pStyle w:val="Citationenretrait"/>
        <w:rPr>
          <w:lang w:val="en-CA"/>
        </w:rPr>
      </w:pPr>
      <w:r w:rsidRPr="0076473C">
        <w:rPr>
          <w:lang w:val="en-CA"/>
        </w:rPr>
        <w:t>[61]</w:t>
      </w:r>
      <w:r w:rsidRPr="0076473C">
        <w:rPr>
          <w:lang w:val="en-CA"/>
        </w:rPr>
        <w:tab/>
      </w:r>
      <w:r w:rsidR="00B643B0" w:rsidRPr="0076473C">
        <w:rPr>
          <w:lang w:val="en-CA"/>
        </w:rPr>
        <w:t xml:space="preserve">Taking into account the </w:t>
      </w:r>
      <w:r w:rsidR="0039089E">
        <w:rPr>
          <w:lang w:val="en-CA"/>
        </w:rPr>
        <w:t>offender’s age</w:t>
      </w:r>
      <w:r w:rsidR="00B643B0" w:rsidRPr="0076473C">
        <w:rPr>
          <w:lang w:val="en-CA"/>
        </w:rPr>
        <w:t>, his personal situation, h</w:t>
      </w:r>
      <w:r w:rsidR="00FA48F9" w:rsidRPr="0076473C">
        <w:rPr>
          <w:lang w:val="en-CA"/>
        </w:rPr>
        <w:t>is</w:t>
      </w:r>
      <w:r w:rsidR="00B643B0" w:rsidRPr="0076473C">
        <w:rPr>
          <w:lang w:val="en-CA"/>
        </w:rPr>
        <w:t xml:space="preserve"> lack of prior convictions, his guilty plea</w:t>
      </w:r>
      <w:r w:rsidR="00FA48F9" w:rsidRPr="0076473C">
        <w:rPr>
          <w:lang w:val="en-CA"/>
        </w:rPr>
        <w:t>,</w:t>
      </w:r>
      <w:r w:rsidR="00B643B0" w:rsidRPr="0076473C">
        <w:rPr>
          <w:lang w:val="en-CA"/>
        </w:rPr>
        <w:t xml:space="preserve"> and the particular circumstances of </w:t>
      </w:r>
      <w:r w:rsidR="0039089E">
        <w:rPr>
          <w:lang w:val="en-CA"/>
        </w:rPr>
        <w:t xml:space="preserve">the </w:t>
      </w:r>
      <w:r w:rsidR="00B643B0" w:rsidRPr="0076473C">
        <w:rPr>
          <w:lang w:val="en-CA"/>
        </w:rPr>
        <w:t xml:space="preserve">case described above, the Court finds that a sentence of 10 months’ imprisonment on the count of sexual </w:t>
      </w:r>
      <w:r w:rsidR="00FA48F9" w:rsidRPr="0076473C">
        <w:rPr>
          <w:lang w:val="en-CA"/>
        </w:rPr>
        <w:t>interference</w:t>
      </w:r>
      <w:r w:rsidR="00B643B0" w:rsidRPr="0076473C">
        <w:rPr>
          <w:lang w:val="en-CA"/>
        </w:rPr>
        <w:t xml:space="preserve"> is </w:t>
      </w:r>
      <w:r w:rsidR="007759B9" w:rsidRPr="0076473C">
        <w:rPr>
          <w:lang w:val="en-CA"/>
        </w:rPr>
        <w:t>appropriate</w:t>
      </w:r>
      <w:r w:rsidR="00B643B0" w:rsidRPr="0076473C">
        <w:rPr>
          <w:lang w:val="en-CA"/>
        </w:rPr>
        <w:t>.</w:t>
      </w:r>
    </w:p>
    <w:p w14:paraId="7D7F33D0" w14:textId="142C4179" w:rsidR="00562F60" w:rsidRPr="0076473C" w:rsidRDefault="007759B9" w:rsidP="00562F60">
      <w:pPr>
        <w:pStyle w:val="Citationenretrait"/>
        <w:rPr>
          <w:lang w:val="en-CA"/>
        </w:rPr>
      </w:pPr>
      <w:r w:rsidRPr="0076473C">
        <w:rPr>
          <w:lang w:val="en-CA"/>
        </w:rPr>
        <w:t>…</w:t>
      </w:r>
    </w:p>
    <w:p w14:paraId="13F3AB20" w14:textId="7FD84681" w:rsidR="00562F60" w:rsidRPr="0076473C" w:rsidRDefault="00562F60" w:rsidP="00562F60">
      <w:pPr>
        <w:pStyle w:val="Citationenretrait"/>
        <w:rPr>
          <w:lang w:val="en-CA"/>
        </w:rPr>
      </w:pPr>
      <w:r w:rsidRPr="0076473C">
        <w:rPr>
          <w:lang w:val="en-CA"/>
        </w:rPr>
        <w:t>[63]</w:t>
      </w:r>
      <w:r w:rsidRPr="0076473C">
        <w:rPr>
          <w:lang w:val="en-CA"/>
        </w:rPr>
        <w:tab/>
      </w:r>
      <w:r w:rsidR="00C9796C">
        <w:rPr>
          <w:lang w:val="en-CA"/>
        </w:rPr>
        <w:t>In all likelihood</w:t>
      </w:r>
      <w:r w:rsidR="00B643B0" w:rsidRPr="0076473C">
        <w:rPr>
          <w:lang w:val="en-CA"/>
        </w:rPr>
        <w:t xml:space="preserve">, the count of luring was brought </w:t>
      </w:r>
      <w:r w:rsidR="00311E12">
        <w:rPr>
          <w:lang w:val="en-CA"/>
        </w:rPr>
        <w:t>following</w:t>
      </w:r>
      <w:r w:rsidR="00B643B0" w:rsidRPr="0076473C">
        <w:rPr>
          <w:lang w:val="en-CA"/>
        </w:rPr>
        <w:t xml:space="preserve"> the discovery of the Facebook conversations between the two </w:t>
      </w:r>
      <w:r w:rsidR="00272EA9" w:rsidRPr="0076473C">
        <w:rPr>
          <w:lang w:val="en-CA"/>
        </w:rPr>
        <w:t>protagonists</w:t>
      </w:r>
      <w:r w:rsidR="00B643B0" w:rsidRPr="0076473C">
        <w:rPr>
          <w:lang w:val="en-CA"/>
        </w:rPr>
        <w:t xml:space="preserve">, filed </w:t>
      </w:r>
      <w:r w:rsidR="00311E12">
        <w:rPr>
          <w:lang w:val="en-CA"/>
        </w:rPr>
        <w:t>under</w:t>
      </w:r>
      <w:r w:rsidR="00311E12" w:rsidRPr="0076473C">
        <w:rPr>
          <w:lang w:val="en-CA"/>
        </w:rPr>
        <w:t xml:space="preserve"> </w:t>
      </w:r>
      <w:r w:rsidR="00B643B0" w:rsidRPr="0076473C">
        <w:rPr>
          <w:lang w:val="en-CA"/>
        </w:rPr>
        <w:t>exhibit S</w:t>
      </w:r>
      <w:r w:rsidR="0039089E">
        <w:rPr>
          <w:lang w:val="en-CA"/>
        </w:rPr>
        <w:noBreakHyphen/>
      </w:r>
      <w:r w:rsidR="00B643B0" w:rsidRPr="0076473C">
        <w:rPr>
          <w:lang w:val="en-CA"/>
        </w:rPr>
        <w:t>4.</w:t>
      </w:r>
      <w:r w:rsidRPr="0076473C">
        <w:rPr>
          <w:lang w:val="en-CA"/>
        </w:rPr>
        <w:t xml:space="preserve"> </w:t>
      </w:r>
      <w:r w:rsidR="00B643B0" w:rsidRPr="0076473C">
        <w:rPr>
          <w:lang w:val="en-CA"/>
        </w:rPr>
        <w:t>It targets the</w:t>
      </w:r>
      <w:r w:rsidR="00A614C0">
        <w:rPr>
          <w:lang w:val="en-CA"/>
        </w:rPr>
        <w:t xml:space="preserve"> offender’s</w:t>
      </w:r>
      <w:r w:rsidR="00B643B0" w:rsidRPr="0076473C">
        <w:rPr>
          <w:lang w:val="en-CA"/>
        </w:rPr>
        <w:t xml:space="preserve"> </w:t>
      </w:r>
      <w:r w:rsidR="00311E12">
        <w:rPr>
          <w:lang w:val="en-CA"/>
        </w:rPr>
        <w:t>many</w:t>
      </w:r>
      <w:r w:rsidR="00B643B0" w:rsidRPr="0076473C">
        <w:rPr>
          <w:lang w:val="en-CA"/>
        </w:rPr>
        <w:t xml:space="preserve"> propositions </w:t>
      </w:r>
      <w:r w:rsidR="0039089E">
        <w:rPr>
          <w:lang w:val="en-CA"/>
        </w:rPr>
        <w:t xml:space="preserve">contained in that document </w:t>
      </w:r>
      <w:r w:rsidR="00B643B0" w:rsidRPr="0076473C">
        <w:rPr>
          <w:lang w:val="en-CA"/>
        </w:rPr>
        <w:t xml:space="preserve">to meet the </w:t>
      </w:r>
      <w:r w:rsidR="00272EA9" w:rsidRPr="0076473C">
        <w:rPr>
          <w:lang w:val="en-CA"/>
        </w:rPr>
        <w:t>complainant</w:t>
      </w:r>
      <w:r w:rsidR="00B643B0" w:rsidRPr="0076473C">
        <w:rPr>
          <w:lang w:val="en-CA"/>
        </w:rPr>
        <w:t xml:space="preserve"> to have sexual relations.</w:t>
      </w:r>
    </w:p>
    <w:p w14:paraId="05F8A825" w14:textId="6F86071C" w:rsidR="00562F60" w:rsidRPr="0076473C" w:rsidRDefault="00562F60" w:rsidP="00562F60">
      <w:pPr>
        <w:pStyle w:val="Citationenretrait"/>
        <w:rPr>
          <w:lang w:val="en-CA"/>
        </w:rPr>
      </w:pPr>
      <w:r w:rsidRPr="0076473C">
        <w:rPr>
          <w:lang w:val="en-CA"/>
        </w:rPr>
        <w:t>[64]</w:t>
      </w:r>
      <w:r w:rsidRPr="0076473C">
        <w:rPr>
          <w:lang w:val="en-CA"/>
        </w:rPr>
        <w:tab/>
      </w:r>
      <w:r w:rsidR="00B643B0" w:rsidRPr="006C0449">
        <w:rPr>
          <w:lang w:val="en-CA"/>
        </w:rPr>
        <w:t>This is not a classic case of a sexual predator who goes on the Internet to find a young victim and facilitate the commission of sexual offences.</w:t>
      </w:r>
      <w:r w:rsidRPr="0076473C">
        <w:rPr>
          <w:lang w:val="en-CA"/>
        </w:rPr>
        <w:t xml:space="preserve"> </w:t>
      </w:r>
      <w:r w:rsidR="0039089E">
        <w:rPr>
          <w:lang w:val="en-CA"/>
        </w:rPr>
        <w:t>G</w:t>
      </w:r>
      <w:r w:rsidR="0039089E" w:rsidRPr="0039089E">
        <w:rPr>
          <w:lang w:val="en-CA"/>
        </w:rPr>
        <w:t>iven the dates stated in the charge</w:t>
      </w:r>
      <w:r w:rsidR="0039089E">
        <w:rPr>
          <w:lang w:val="en-CA"/>
        </w:rPr>
        <w:t>, w</w:t>
      </w:r>
      <w:r w:rsidR="00B643B0" w:rsidRPr="006C0449">
        <w:rPr>
          <w:lang w:val="en-CA"/>
        </w:rPr>
        <w:t xml:space="preserve">hat the offender is specifically being </w:t>
      </w:r>
      <w:r w:rsidR="00311E12">
        <w:rPr>
          <w:lang w:val="en-CA"/>
        </w:rPr>
        <w:t>accused of</w:t>
      </w:r>
      <w:r w:rsidR="00B643B0" w:rsidRPr="006C0449">
        <w:rPr>
          <w:lang w:val="en-CA"/>
        </w:rPr>
        <w:t xml:space="preserve"> is having used a means of telecommunication to organize and facilitate sexual </w:t>
      </w:r>
      <w:r w:rsidR="0039089E">
        <w:rPr>
          <w:lang w:val="en-CA"/>
        </w:rPr>
        <w:t>encounters</w:t>
      </w:r>
      <w:r w:rsidR="00B643B0" w:rsidRPr="006C0449">
        <w:rPr>
          <w:lang w:val="en-CA"/>
        </w:rPr>
        <w:t xml:space="preserve"> with her, </w:t>
      </w:r>
      <w:r w:rsidR="00F93E5A">
        <w:rPr>
          <w:lang w:val="en-CA"/>
        </w:rPr>
        <w:t xml:space="preserve">which </w:t>
      </w:r>
      <w:r w:rsidR="00B643B0" w:rsidRPr="006C0449">
        <w:rPr>
          <w:lang w:val="en-CA"/>
        </w:rPr>
        <w:t xml:space="preserve">had </w:t>
      </w:r>
      <w:r w:rsidR="00272EA9" w:rsidRPr="006C0449">
        <w:rPr>
          <w:lang w:val="en-CA"/>
        </w:rPr>
        <w:t>already</w:t>
      </w:r>
      <w:r w:rsidR="00B643B0" w:rsidRPr="006C0449">
        <w:rPr>
          <w:lang w:val="en-CA"/>
        </w:rPr>
        <w:t xml:space="preserve"> </w:t>
      </w:r>
      <w:r w:rsidR="00311E12">
        <w:rPr>
          <w:lang w:val="en-CA"/>
        </w:rPr>
        <w:t>been ongoing for</w:t>
      </w:r>
      <w:r w:rsidR="00311E12" w:rsidRPr="006C0449">
        <w:rPr>
          <w:lang w:val="en-CA"/>
        </w:rPr>
        <w:t xml:space="preserve"> </w:t>
      </w:r>
      <w:r w:rsidR="00B643B0" w:rsidRPr="006C0449">
        <w:rPr>
          <w:lang w:val="en-CA"/>
        </w:rPr>
        <w:t>a year and a half.</w:t>
      </w:r>
    </w:p>
    <w:p w14:paraId="2F574BCA" w14:textId="4335ED83" w:rsidR="00562F60" w:rsidRPr="0076473C" w:rsidRDefault="007759B9" w:rsidP="00562F60">
      <w:pPr>
        <w:pStyle w:val="Citationenretrait"/>
        <w:rPr>
          <w:lang w:val="en-CA"/>
        </w:rPr>
      </w:pPr>
      <w:r w:rsidRPr="0076473C">
        <w:rPr>
          <w:lang w:val="en-CA"/>
        </w:rPr>
        <w:t>…</w:t>
      </w:r>
    </w:p>
    <w:p w14:paraId="43034EA3" w14:textId="635DFBBF" w:rsidR="00562F60" w:rsidRPr="0076473C" w:rsidRDefault="00562F60" w:rsidP="00562F60">
      <w:pPr>
        <w:pStyle w:val="Citationenretrait"/>
        <w:keepNext/>
        <w:keepLines/>
        <w:rPr>
          <w:lang w:val="en-CA"/>
        </w:rPr>
      </w:pPr>
      <w:r w:rsidRPr="0076473C">
        <w:rPr>
          <w:lang w:val="en-CA"/>
        </w:rPr>
        <w:t>[67]</w:t>
      </w:r>
      <w:r w:rsidRPr="0076473C">
        <w:rPr>
          <w:lang w:val="en-CA"/>
        </w:rPr>
        <w:tab/>
      </w:r>
      <w:r w:rsidR="00565BD2">
        <w:rPr>
          <w:lang w:val="en-CA"/>
        </w:rPr>
        <w:t xml:space="preserve">… </w:t>
      </w:r>
      <w:r w:rsidR="005E1177" w:rsidRPr="006C0449">
        <w:rPr>
          <w:lang w:val="en-CA"/>
        </w:rPr>
        <w:t xml:space="preserve">In the Court’s opinion, the means used by the offender to communicate with X reveal a generational choice rather than a means specifically chosen to anonymously browse various websites </w:t>
      </w:r>
      <w:r w:rsidR="00272EA9" w:rsidRPr="006C0449">
        <w:rPr>
          <w:lang w:val="en-CA"/>
        </w:rPr>
        <w:t>searching</w:t>
      </w:r>
      <w:r w:rsidR="005E1177" w:rsidRPr="006C0449">
        <w:rPr>
          <w:lang w:val="en-CA"/>
        </w:rPr>
        <w:t xml:space="preserve"> for a young victim or to enter into contact with a young person for the purpose of eventually obtaining sexual favours.</w:t>
      </w:r>
    </w:p>
    <w:p w14:paraId="70EC9D47" w14:textId="10C3B18B" w:rsidR="00562F60" w:rsidRPr="0076473C" w:rsidRDefault="00562F60" w:rsidP="00562F60">
      <w:pPr>
        <w:pStyle w:val="Citationenretrait"/>
        <w:rPr>
          <w:lang w:val="en-CA"/>
        </w:rPr>
      </w:pPr>
      <w:r w:rsidRPr="0076473C">
        <w:rPr>
          <w:lang w:val="en-CA"/>
        </w:rPr>
        <w:t>[68]</w:t>
      </w:r>
      <w:r w:rsidRPr="0076473C">
        <w:rPr>
          <w:lang w:val="en-CA"/>
        </w:rPr>
        <w:tab/>
      </w:r>
      <w:r w:rsidR="005E1177" w:rsidRPr="0076473C">
        <w:rPr>
          <w:lang w:val="en-CA"/>
        </w:rPr>
        <w:t xml:space="preserve">In the period covered by the charge, the offender offered to meet the complainant around 18 times, as </w:t>
      </w:r>
      <w:r w:rsidR="00565BD2">
        <w:rPr>
          <w:lang w:val="en-CA"/>
        </w:rPr>
        <w:t>stated</w:t>
      </w:r>
      <w:r w:rsidR="00565BD2" w:rsidRPr="0076473C">
        <w:rPr>
          <w:lang w:val="en-CA"/>
        </w:rPr>
        <w:t xml:space="preserve"> </w:t>
      </w:r>
      <w:r w:rsidR="005E1177" w:rsidRPr="0076473C">
        <w:rPr>
          <w:lang w:val="en-CA"/>
        </w:rPr>
        <w:t>above.</w:t>
      </w:r>
      <w:r w:rsidR="00A614C0">
        <w:rPr>
          <w:lang w:val="en-CA"/>
        </w:rPr>
        <w:t xml:space="preserve"> </w:t>
      </w:r>
      <w:r w:rsidR="005E1177" w:rsidRPr="0076473C">
        <w:rPr>
          <w:lang w:val="en-CA"/>
        </w:rPr>
        <w:t>She hesitated</w:t>
      </w:r>
      <w:r w:rsidR="00F93E5A">
        <w:rPr>
          <w:lang w:val="en-CA"/>
        </w:rPr>
        <w:t xml:space="preserve"> and</w:t>
      </w:r>
      <w:r w:rsidR="005E1177" w:rsidRPr="0076473C">
        <w:rPr>
          <w:lang w:val="en-CA"/>
        </w:rPr>
        <w:t xml:space="preserve"> agreed to </w:t>
      </w:r>
      <w:r w:rsidR="00565BD2">
        <w:rPr>
          <w:lang w:val="en-CA"/>
        </w:rPr>
        <w:t>some</w:t>
      </w:r>
      <w:r w:rsidR="00565BD2" w:rsidRPr="0076473C">
        <w:rPr>
          <w:lang w:val="en-CA"/>
        </w:rPr>
        <w:t xml:space="preserve"> </w:t>
      </w:r>
      <w:r w:rsidR="005E1177" w:rsidRPr="0076473C">
        <w:rPr>
          <w:lang w:val="en-CA"/>
        </w:rPr>
        <w:lastRenderedPageBreak/>
        <w:t>meeting</w:t>
      </w:r>
      <w:r w:rsidR="00565BD2">
        <w:rPr>
          <w:lang w:val="en-CA"/>
        </w:rPr>
        <w:t>s</w:t>
      </w:r>
      <w:r w:rsidR="005E1177" w:rsidRPr="0076473C">
        <w:rPr>
          <w:lang w:val="en-CA"/>
        </w:rPr>
        <w:t xml:space="preserve"> </w:t>
      </w:r>
      <w:r w:rsidR="00565BD2">
        <w:rPr>
          <w:lang w:val="en-CA"/>
        </w:rPr>
        <w:t>before cancelling</w:t>
      </w:r>
      <w:r w:rsidR="005E1177" w:rsidRPr="0076473C">
        <w:rPr>
          <w:lang w:val="en-CA"/>
        </w:rPr>
        <w:t xml:space="preserve"> them.</w:t>
      </w:r>
      <w:r w:rsidRPr="0076473C">
        <w:rPr>
          <w:lang w:val="en-CA"/>
        </w:rPr>
        <w:t xml:space="preserve"> </w:t>
      </w:r>
      <w:r w:rsidR="005E1177" w:rsidRPr="0076473C">
        <w:rPr>
          <w:lang w:val="en-CA"/>
        </w:rPr>
        <w:t>She worried about the potential consequences if their escapades were uncovered and she shared her worries with him.</w:t>
      </w:r>
      <w:r w:rsidRPr="0076473C">
        <w:rPr>
          <w:lang w:val="en-CA"/>
        </w:rPr>
        <w:t xml:space="preserve"> </w:t>
      </w:r>
      <w:r w:rsidR="005E1177" w:rsidRPr="0076473C">
        <w:rPr>
          <w:lang w:val="en-CA"/>
        </w:rPr>
        <w:t>He ignored her uneasiness</w:t>
      </w:r>
      <w:r w:rsidR="00F93E5A">
        <w:rPr>
          <w:lang w:val="en-CA"/>
        </w:rPr>
        <w:t>,</w:t>
      </w:r>
      <w:r w:rsidR="005E1177" w:rsidRPr="0076473C">
        <w:rPr>
          <w:lang w:val="en-CA"/>
        </w:rPr>
        <w:t xml:space="preserve"> often </w:t>
      </w:r>
      <w:r w:rsidR="00F93E5A">
        <w:rPr>
          <w:lang w:val="en-CA"/>
        </w:rPr>
        <w:t>repeating his requests</w:t>
      </w:r>
      <w:r w:rsidR="005E1177" w:rsidRPr="0076473C">
        <w:rPr>
          <w:lang w:val="en-CA"/>
        </w:rPr>
        <w:t>.</w:t>
      </w:r>
      <w:r w:rsidRPr="0076473C">
        <w:rPr>
          <w:lang w:val="en-CA"/>
        </w:rPr>
        <w:t xml:space="preserve"> </w:t>
      </w:r>
      <w:r w:rsidR="005E1177" w:rsidRPr="006C0449">
        <w:rPr>
          <w:lang w:val="en-CA"/>
        </w:rPr>
        <w:t>He accused her of [</w:t>
      </w:r>
      <w:r w:rsidR="005E1177" w:rsidRPr="006C0449">
        <w:rPr>
          <w:smallCaps/>
          <w:lang w:val="en-CA"/>
        </w:rPr>
        <w:t>translation</w:t>
      </w:r>
      <w:r w:rsidR="005E1177" w:rsidRPr="006C0449">
        <w:rPr>
          <w:lang w:val="en-CA"/>
        </w:rPr>
        <w:t>] “bailing” a few times.</w:t>
      </w:r>
    </w:p>
    <w:p w14:paraId="405A935F" w14:textId="1FE8318A" w:rsidR="00562F60" w:rsidRPr="0076473C" w:rsidRDefault="007759B9" w:rsidP="00562F60">
      <w:pPr>
        <w:pStyle w:val="Citationenretrait"/>
        <w:rPr>
          <w:lang w:val="en-CA"/>
        </w:rPr>
      </w:pPr>
      <w:r w:rsidRPr="0076473C">
        <w:rPr>
          <w:lang w:val="en-CA"/>
        </w:rPr>
        <w:t>…</w:t>
      </w:r>
    </w:p>
    <w:p w14:paraId="6DD4709C" w14:textId="525C3554" w:rsidR="00562F60" w:rsidRPr="0076473C" w:rsidRDefault="00562F60" w:rsidP="00562F60">
      <w:pPr>
        <w:pStyle w:val="Citationenretrait"/>
        <w:rPr>
          <w:lang w:val="en-CA"/>
        </w:rPr>
      </w:pPr>
      <w:r w:rsidRPr="0076473C">
        <w:rPr>
          <w:lang w:val="en-CA"/>
        </w:rPr>
        <w:t>[70]</w:t>
      </w:r>
      <w:r w:rsidRPr="0076473C">
        <w:rPr>
          <w:lang w:val="en-CA"/>
        </w:rPr>
        <w:tab/>
      </w:r>
      <w:r w:rsidR="005E1177" w:rsidRPr="0076473C">
        <w:rPr>
          <w:lang w:val="en-CA"/>
        </w:rPr>
        <w:t>Although the</w:t>
      </w:r>
      <w:r w:rsidR="00B92DD6">
        <w:rPr>
          <w:lang w:val="en-CA"/>
        </w:rPr>
        <w:t>se</w:t>
      </w:r>
      <w:r w:rsidR="005E1177" w:rsidRPr="0076473C">
        <w:rPr>
          <w:lang w:val="en-CA"/>
        </w:rPr>
        <w:t xml:space="preserve"> communications</w:t>
      </w:r>
      <w:r w:rsidR="00B92DD6">
        <w:rPr>
          <w:lang w:val="en-CA"/>
        </w:rPr>
        <w:t xml:space="preserve"> were</w:t>
      </w:r>
      <w:r w:rsidR="005E1177" w:rsidRPr="0076473C">
        <w:rPr>
          <w:lang w:val="en-CA"/>
        </w:rPr>
        <w:t xml:space="preserve"> made for the purpose of facilitating the commission of sexual offences against a person under the age of 16 years, the acts committed by the offender do not constitute preparatory grooming of the adolescent for the purpose of lowering her inhibitions and convincing her to participate in sexual activities.</w:t>
      </w:r>
      <w:r w:rsidRPr="0076473C">
        <w:rPr>
          <w:lang w:val="en-CA"/>
        </w:rPr>
        <w:t xml:space="preserve"> </w:t>
      </w:r>
      <w:r w:rsidR="007759B9" w:rsidRPr="006C0449">
        <w:rPr>
          <w:lang w:val="en-CA"/>
        </w:rPr>
        <w:t>She had</w:t>
      </w:r>
      <w:r w:rsidR="005E1177" w:rsidRPr="006C0449">
        <w:rPr>
          <w:lang w:val="en-CA"/>
        </w:rPr>
        <w:t xml:space="preserve"> already consent</w:t>
      </w:r>
      <w:r w:rsidR="00672815" w:rsidRPr="006C0449">
        <w:rPr>
          <w:lang w:val="en-CA"/>
        </w:rPr>
        <w:t>ed</w:t>
      </w:r>
      <w:r w:rsidR="005E1177" w:rsidRPr="006C0449">
        <w:rPr>
          <w:lang w:val="en-CA"/>
        </w:rPr>
        <w:t xml:space="preserve"> to such activities three times.</w:t>
      </w:r>
      <w:r w:rsidRPr="0076473C">
        <w:rPr>
          <w:lang w:val="en-CA"/>
        </w:rPr>
        <w:t xml:space="preserve"> </w:t>
      </w:r>
      <w:r w:rsidR="005E1177" w:rsidRPr="006C0449">
        <w:rPr>
          <w:lang w:val="en-CA"/>
        </w:rPr>
        <w:t>They are instead repeated attempts, th</w:t>
      </w:r>
      <w:r w:rsidR="00672815" w:rsidRPr="006C0449">
        <w:rPr>
          <w:lang w:val="en-CA"/>
        </w:rPr>
        <w:t>r</w:t>
      </w:r>
      <w:r w:rsidR="005E1177" w:rsidRPr="006C0449">
        <w:rPr>
          <w:lang w:val="en-CA"/>
        </w:rPr>
        <w:t xml:space="preserve">ough the use of electronic conversations, to have sexual </w:t>
      </w:r>
      <w:r w:rsidR="009C0868" w:rsidRPr="006C0449">
        <w:rPr>
          <w:lang w:val="en-CA"/>
        </w:rPr>
        <w:t>intercourse</w:t>
      </w:r>
      <w:r w:rsidR="005E1177" w:rsidRPr="006C0449">
        <w:rPr>
          <w:lang w:val="en-CA"/>
        </w:rPr>
        <w:t xml:space="preserve"> with her again, made in the specific context of a young vulnerable girl who was </w:t>
      </w:r>
      <w:r w:rsidR="00A614C0">
        <w:rPr>
          <w:lang w:val="en-CA"/>
        </w:rPr>
        <w:t>under</w:t>
      </w:r>
      <w:r w:rsidR="005E1177" w:rsidRPr="006C0449">
        <w:rPr>
          <w:lang w:val="en-CA"/>
        </w:rPr>
        <w:t xml:space="preserve"> the Director of </w:t>
      </w:r>
      <w:r w:rsidR="007759B9" w:rsidRPr="006C0449">
        <w:rPr>
          <w:lang w:val="en-CA"/>
        </w:rPr>
        <w:t>Y</w:t>
      </w:r>
      <w:r w:rsidR="005E1177" w:rsidRPr="006C0449">
        <w:rPr>
          <w:lang w:val="en-CA"/>
        </w:rPr>
        <w:t>outh Protection</w:t>
      </w:r>
      <w:r w:rsidR="00A614C0">
        <w:rPr>
          <w:lang w:val="en-CA"/>
        </w:rPr>
        <w:t>’s care</w:t>
      </w:r>
      <w:r w:rsidR="005E1177" w:rsidRPr="006C0449">
        <w:rPr>
          <w:lang w:val="en-CA"/>
        </w:rPr>
        <w:t xml:space="preserve">. </w:t>
      </w:r>
    </w:p>
    <w:p w14:paraId="09F10D5B" w14:textId="016CA33D" w:rsidR="00562F60" w:rsidRPr="0076473C" w:rsidRDefault="00562F60" w:rsidP="00562F60">
      <w:pPr>
        <w:pStyle w:val="Citationenretrait"/>
        <w:rPr>
          <w:lang w:val="en-CA"/>
        </w:rPr>
      </w:pPr>
      <w:r w:rsidRPr="0076473C">
        <w:rPr>
          <w:lang w:val="en-CA"/>
        </w:rPr>
        <w:t>[71]</w:t>
      </w:r>
      <w:r w:rsidRPr="0076473C">
        <w:rPr>
          <w:lang w:val="en-CA"/>
        </w:rPr>
        <w:tab/>
      </w:r>
      <w:r w:rsidR="005E1177" w:rsidRPr="006C0449">
        <w:rPr>
          <w:lang w:val="en-CA"/>
        </w:rPr>
        <w:t xml:space="preserve">The Court is of the view that a sentence of </w:t>
      </w:r>
      <w:r w:rsidR="00F93E5A">
        <w:rPr>
          <w:lang w:val="en-CA"/>
        </w:rPr>
        <w:t>5</w:t>
      </w:r>
      <w:r w:rsidR="005E1177" w:rsidRPr="006C0449">
        <w:rPr>
          <w:lang w:val="en-CA"/>
        </w:rPr>
        <w:t xml:space="preserve"> months’ imprisonment is </w:t>
      </w:r>
      <w:r w:rsidR="007759B9" w:rsidRPr="006C0449">
        <w:rPr>
          <w:lang w:val="en-CA"/>
        </w:rPr>
        <w:t>appropriate</w:t>
      </w:r>
      <w:r w:rsidR="005E1177" w:rsidRPr="006C0449">
        <w:rPr>
          <w:lang w:val="en-CA"/>
        </w:rPr>
        <w:t xml:space="preserve"> in the circumstances.</w:t>
      </w:r>
    </w:p>
    <w:p w14:paraId="7F9A191F" w14:textId="6BE17B00" w:rsidR="00562F60" w:rsidRPr="0076473C" w:rsidRDefault="007759B9" w:rsidP="00562F60">
      <w:pPr>
        <w:pStyle w:val="Citationenretrait"/>
        <w:rPr>
          <w:lang w:val="en-CA"/>
        </w:rPr>
      </w:pPr>
      <w:r w:rsidRPr="0076473C">
        <w:rPr>
          <w:lang w:val="en-CA"/>
        </w:rPr>
        <w:t>…</w:t>
      </w:r>
    </w:p>
    <w:p w14:paraId="55C2BBE3" w14:textId="465F95CC" w:rsidR="00562F60" w:rsidRPr="0076473C" w:rsidRDefault="00562F60" w:rsidP="00562F60">
      <w:pPr>
        <w:pStyle w:val="Citationenretrait"/>
        <w:rPr>
          <w:lang w:val="en-CA"/>
        </w:rPr>
      </w:pPr>
      <w:r w:rsidRPr="0076473C">
        <w:rPr>
          <w:lang w:val="en-CA"/>
        </w:rPr>
        <w:t>[78]</w:t>
      </w:r>
      <w:r w:rsidRPr="0076473C">
        <w:rPr>
          <w:lang w:val="en-CA"/>
        </w:rPr>
        <w:tab/>
      </w:r>
      <w:r w:rsidR="007759B9" w:rsidRPr="0076473C">
        <w:rPr>
          <w:lang w:val="en-CA"/>
        </w:rPr>
        <w:t xml:space="preserve">... </w:t>
      </w:r>
      <w:r w:rsidR="005E1177" w:rsidRPr="0076473C">
        <w:rPr>
          <w:lang w:val="en-CA"/>
        </w:rPr>
        <w:t xml:space="preserve">The luring to which the offender pleaded guilty does not cover </w:t>
      </w:r>
      <w:r w:rsidR="00A614C0">
        <w:rPr>
          <w:lang w:val="en-CA"/>
        </w:rPr>
        <w:t>a</w:t>
      </w:r>
      <w:r w:rsidR="005E1177" w:rsidRPr="0076473C">
        <w:rPr>
          <w:lang w:val="en-CA"/>
        </w:rPr>
        <w:t xml:space="preserve"> period of grooming in preparation for the commission of other offences.</w:t>
      </w:r>
      <w:r w:rsidRPr="0076473C">
        <w:rPr>
          <w:lang w:val="en-CA"/>
        </w:rPr>
        <w:t xml:space="preserve"> </w:t>
      </w:r>
      <w:r w:rsidR="00A614C0">
        <w:rPr>
          <w:lang w:val="en-CA"/>
        </w:rPr>
        <w:t xml:space="preserve">It </w:t>
      </w:r>
      <w:r w:rsidR="003333F6">
        <w:rPr>
          <w:lang w:val="en-CA"/>
        </w:rPr>
        <w:t xml:space="preserve">concerns </w:t>
      </w:r>
      <w:r w:rsidR="005E1177" w:rsidRPr="0076473C">
        <w:rPr>
          <w:lang w:val="en-CA"/>
        </w:rPr>
        <w:t>communications lea</w:t>
      </w:r>
      <w:r w:rsidR="007759B9" w:rsidRPr="0076473C">
        <w:rPr>
          <w:lang w:val="en-CA"/>
        </w:rPr>
        <w:t>ding</w:t>
      </w:r>
      <w:r w:rsidR="005E1177" w:rsidRPr="0076473C">
        <w:rPr>
          <w:lang w:val="en-CA"/>
        </w:rPr>
        <w:t xml:space="preserve"> to the repetition of sexual </w:t>
      </w:r>
      <w:r w:rsidR="00272EA9" w:rsidRPr="0076473C">
        <w:rPr>
          <w:lang w:val="en-CA"/>
        </w:rPr>
        <w:t>encounters</w:t>
      </w:r>
      <w:r w:rsidR="005E1177" w:rsidRPr="0076473C">
        <w:rPr>
          <w:lang w:val="en-CA"/>
        </w:rPr>
        <w:t xml:space="preserve">. </w:t>
      </w:r>
    </w:p>
    <w:p w14:paraId="5275D1CB" w14:textId="77777777" w:rsidR="00F0277E" w:rsidRDefault="00562F60" w:rsidP="00A614C0">
      <w:pPr>
        <w:pStyle w:val="Citationenretrait"/>
        <w:spacing w:after="0"/>
        <w:rPr>
          <w:lang w:val="en-CA"/>
        </w:rPr>
      </w:pPr>
      <w:r w:rsidRPr="0076473C">
        <w:rPr>
          <w:lang w:val="en-CA"/>
        </w:rPr>
        <w:t>[79]</w:t>
      </w:r>
      <w:r w:rsidRPr="0076473C">
        <w:rPr>
          <w:lang w:val="en-CA"/>
        </w:rPr>
        <w:tab/>
      </w:r>
      <w:r w:rsidR="005E1177" w:rsidRPr="0076473C">
        <w:rPr>
          <w:lang w:val="en-CA"/>
        </w:rPr>
        <w:t xml:space="preserve">Although I entirely agree with the Court of Appeal’s analysis in </w:t>
      </w:r>
      <w:r w:rsidR="005E1177" w:rsidRPr="0076473C">
        <w:rPr>
          <w:i/>
          <w:lang w:val="en-CA"/>
        </w:rPr>
        <w:t>Rayo</w:t>
      </w:r>
      <w:r w:rsidR="005E1177" w:rsidRPr="0076473C">
        <w:rPr>
          <w:lang w:val="en-CA"/>
        </w:rPr>
        <w:t>, I believe that the facts of the specific situation in this case do not lead to the same conclusions.</w:t>
      </w:r>
      <w:r w:rsidRPr="0076473C">
        <w:rPr>
          <w:lang w:val="en-CA"/>
        </w:rPr>
        <w:t xml:space="preserve"> </w:t>
      </w:r>
      <w:r w:rsidR="005E1177" w:rsidRPr="0076473C">
        <w:rPr>
          <w:lang w:val="en-CA"/>
        </w:rPr>
        <w:t xml:space="preserve">The distinct social interest </w:t>
      </w:r>
      <w:r w:rsidR="00F0277E">
        <w:rPr>
          <w:lang w:val="en-CA"/>
        </w:rPr>
        <w:t xml:space="preserve">that </w:t>
      </w:r>
      <w:r w:rsidR="005E1177" w:rsidRPr="0076473C">
        <w:rPr>
          <w:lang w:val="en-CA"/>
        </w:rPr>
        <w:t xml:space="preserve">luring aims to protect in nearly every situation is not present here, given the specific circumstances </w:t>
      </w:r>
      <w:r w:rsidR="00B92DD6">
        <w:rPr>
          <w:lang w:val="en-CA"/>
        </w:rPr>
        <w:t>of</w:t>
      </w:r>
      <w:r w:rsidR="005E1177" w:rsidRPr="0076473C">
        <w:rPr>
          <w:lang w:val="en-CA"/>
        </w:rPr>
        <w:t xml:space="preserve"> this case.</w:t>
      </w:r>
      <w:r w:rsidRPr="0076473C">
        <w:rPr>
          <w:lang w:val="en-CA"/>
        </w:rPr>
        <w:t xml:space="preserve"> </w:t>
      </w:r>
      <w:r w:rsidR="005E1177" w:rsidRPr="0076473C">
        <w:rPr>
          <w:lang w:val="en-CA"/>
        </w:rPr>
        <w:t xml:space="preserve">The luring </w:t>
      </w:r>
      <w:r w:rsidR="00F0277E">
        <w:rPr>
          <w:lang w:val="en-CA"/>
        </w:rPr>
        <w:t xml:space="preserve">charged against </w:t>
      </w:r>
      <w:r w:rsidR="005E1177" w:rsidRPr="0076473C">
        <w:rPr>
          <w:lang w:val="en-CA"/>
        </w:rPr>
        <w:t xml:space="preserve">Mr. Bertrand Marchand does not concern the premeditated seduction of the </w:t>
      </w:r>
      <w:r w:rsidR="00272EA9" w:rsidRPr="0076473C">
        <w:rPr>
          <w:lang w:val="en-CA"/>
        </w:rPr>
        <w:t>adolescent</w:t>
      </w:r>
      <w:r w:rsidR="005E1177" w:rsidRPr="0076473C">
        <w:rPr>
          <w:lang w:val="en-CA"/>
        </w:rPr>
        <w:t xml:space="preserve"> for the purpose of gaining her trust and eventually leading her to consent to sexual activity.</w:t>
      </w:r>
      <w:r w:rsidRPr="0076473C">
        <w:rPr>
          <w:lang w:val="en-CA"/>
        </w:rPr>
        <w:t xml:space="preserve"> </w:t>
      </w:r>
      <w:r w:rsidR="005E1177" w:rsidRPr="0076473C">
        <w:rPr>
          <w:lang w:val="en-CA"/>
        </w:rPr>
        <w:t xml:space="preserve">It is instead repeated communications for the purpose of convincing her to meet with him to have sexual </w:t>
      </w:r>
      <w:r w:rsidR="007759B9" w:rsidRPr="0076473C">
        <w:rPr>
          <w:lang w:val="en-CA"/>
        </w:rPr>
        <w:t>intercourse</w:t>
      </w:r>
      <w:r w:rsidR="005E1177" w:rsidRPr="0076473C">
        <w:rPr>
          <w:lang w:val="en-CA"/>
        </w:rPr>
        <w:t xml:space="preserve"> again.</w:t>
      </w:r>
      <w:r w:rsidRPr="0076473C">
        <w:rPr>
          <w:lang w:val="en-CA"/>
        </w:rPr>
        <w:t xml:space="preserve"> </w:t>
      </w:r>
      <w:r w:rsidR="005E1177" w:rsidRPr="0076473C">
        <w:rPr>
          <w:lang w:val="en-CA"/>
        </w:rPr>
        <w:t>These circumstances convince me that the offence of luring committed by Mr.</w:t>
      </w:r>
      <w:r w:rsidR="00F0277E">
        <w:rPr>
          <w:lang w:val="en-CA"/>
        </w:rPr>
        <w:t> </w:t>
      </w:r>
      <w:r w:rsidR="005E1177" w:rsidRPr="0076473C">
        <w:rPr>
          <w:lang w:val="en-CA"/>
        </w:rPr>
        <w:t xml:space="preserve">Bertrand Marchand is </w:t>
      </w:r>
      <w:r w:rsidR="00272EA9" w:rsidRPr="0076473C">
        <w:rPr>
          <w:lang w:val="en-CA"/>
        </w:rPr>
        <w:t>closely</w:t>
      </w:r>
      <w:r w:rsidR="005E1177" w:rsidRPr="0076473C">
        <w:rPr>
          <w:lang w:val="en-CA"/>
        </w:rPr>
        <w:t xml:space="preserve"> </w:t>
      </w:r>
      <w:r w:rsidR="00B92DD6">
        <w:rPr>
          <w:lang w:val="en-CA"/>
        </w:rPr>
        <w:t>linked</w:t>
      </w:r>
      <w:r w:rsidR="00B92DD6" w:rsidRPr="0076473C">
        <w:rPr>
          <w:lang w:val="en-CA"/>
        </w:rPr>
        <w:t xml:space="preserve"> </w:t>
      </w:r>
      <w:r w:rsidR="005E1177" w:rsidRPr="0076473C">
        <w:rPr>
          <w:lang w:val="en-CA"/>
        </w:rPr>
        <w:t xml:space="preserve">to the sexual </w:t>
      </w:r>
      <w:r w:rsidR="00FA48F9" w:rsidRPr="0076473C">
        <w:rPr>
          <w:lang w:val="en-CA"/>
        </w:rPr>
        <w:t>interference</w:t>
      </w:r>
      <w:r w:rsidR="005E1177" w:rsidRPr="0076473C">
        <w:rPr>
          <w:lang w:val="en-CA"/>
        </w:rPr>
        <w:t xml:space="preserve"> and that the sentences for these two </w:t>
      </w:r>
      <w:r w:rsidR="00272EA9" w:rsidRPr="0076473C">
        <w:rPr>
          <w:lang w:val="en-CA"/>
        </w:rPr>
        <w:t>offences</w:t>
      </w:r>
      <w:r w:rsidR="005E1177" w:rsidRPr="0076473C">
        <w:rPr>
          <w:lang w:val="en-CA"/>
        </w:rPr>
        <w:t xml:space="preserve"> should be served concurrently.</w:t>
      </w:r>
    </w:p>
    <w:p w14:paraId="106B6AF9" w14:textId="772953D5" w:rsidR="00562F60" w:rsidRDefault="005E1177" w:rsidP="00F0277E">
      <w:pPr>
        <w:pStyle w:val="Citationenretrait"/>
        <w:spacing w:after="0"/>
        <w:jc w:val="right"/>
        <w:rPr>
          <w:lang w:val="en-CA"/>
        </w:rPr>
      </w:pPr>
      <w:r w:rsidRPr="006C0449">
        <w:rPr>
          <w:lang w:val="en-CA"/>
        </w:rPr>
        <w:t>[Citations omitted.]</w:t>
      </w:r>
    </w:p>
    <w:p w14:paraId="07820433" w14:textId="42D35695" w:rsidR="004A51A6" w:rsidRDefault="004A51A6">
      <w:pPr>
        <w:spacing w:line="240" w:lineRule="auto"/>
        <w:rPr>
          <w:kern w:val="24"/>
          <w:sz w:val="22"/>
          <w:lang w:val="en-CA"/>
        </w:rPr>
      </w:pPr>
      <w:r>
        <w:rPr>
          <w:lang w:val="en-CA"/>
        </w:rPr>
        <w:br w:type="page"/>
      </w:r>
    </w:p>
    <w:p w14:paraId="40AD769C" w14:textId="77777777" w:rsidR="004A51A6" w:rsidRPr="006C0449" w:rsidRDefault="004A51A6" w:rsidP="00F0277E">
      <w:pPr>
        <w:pStyle w:val="Citationenretrait"/>
        <w:spacing w:after="0"/>
        <w:jc w:val="right"/>
        <w:rPr>
          <w:lang w:val="en-CA"/>
        </w:rPr>
      </w:pPr>
    </w:p>
    <w:p w14:paraId="03F39F90" w14:textId="390A9799" w:rsidR="00562F60" w:rsidRPr="006C0449" w:rsidRDefault="005E1177" w:rsidP="00562F60">
      <w:pPr>
        <w:pStyle w:val="Titre1"/>
        <w:numPr>
          <w:ilvl w:val="0"/>
          <w:numId w:val="21"/>
        </w:numPr>
        <w:spacing w:after="120" w:line="280" w:lineRule="exact"/>
        <w:ind w:left="567" w:hanging="567"/>
        <w:rPr>
          <w:lang w:val="en-CA"/>
        </w:rPr>
      </w:pPr>
      <w:r w:rsidRPr="006C0449">
        <w:rPr>
          <w:lang w:val="en-CA"/>
        </w:rPr>
        <w:t>THE JUDGMENT UNDER APPEAL</w:t>
      </w:r>
    </w:p>
    <w:p w14:paraId="343D0745" w14:textId="4E13A5BA" w:rsidR="00562F60" w:rsidRPr="0076473C" w:rsidRDefault="002855B5" w:rsidP="00562F60">
      <w:pPr>
        <w:pStyle w:val="Paragraphe"/>
        <w:spacing w:line="280" w:lineRule="exact"/>
        <w:rPr>
          <w:lang w:val="en-CA"/>
        </w:rPr>
      </w:pPr>
      <w:r w:rsidRPr="0076473C">
        <w:rPr>
          <w:lang w:val="en-CA"/>
        </w:rPr>
        <w:t xml:space="preserve">The judge noted that the respondent pleaded guilty to sexual interference and luring a person under </w:t>
      </w:r>
      <w:r w:rsidR="00F0277E">
        <w:rPr>
          <w:lang w:val="en-CA"/>
        </w:rPr>
        <w:t>the</w:t>
      </w:r>
      <w:r w:rsidRPr="0076473C">
        <w:rPr>
          <w:lang w:val="en-CA"/>
        </w:rPr>
        <w:t xml:space="preserve"> age of 16 years.</w:t>
      </w:r>
      <w:r w:rsidR="00562F60" w:rsidRPr="0076473C">
        <w:rPr>
          <w:lang w:val="en-CA"/>
        </w:rPr>
        <w:t xml:space="preserve"> </w:t>
      </w:r>
      <w:r w:rsidRPr="0076473C">
        <w:rPr>
          <w:lang w:val="en-CA"/>
        </w:rPr>
        <w:t xml:space="preserve">She summarized the positions of the parties </w:t>
      </w:r>
      <w:r w:rsidR="00F0277E">
        <w:rPr>
          <w:lang w:val="en-CA"/>
        </w:rPr>
        <w:t>on</w:t>
      </w:r>
      <w:r w:rsidRPr="0076473C">
        <w:rPr>
          <w:lang w:val="en-CA"/>
        </w:rPr>
        <w:t xml:space="preserve"> the </w:t>
      </w:r>
      <w:r w:rsidR="00650023" w:rsidRPr="0076473C">
        <w:rPr>
          <w:lang w:val="en-CA"/>
        </w:rPr>
        <w:t>appropriate</w:t>
      </w:r>
      <w:r w:rsidRPr="0076473C">
        <w:rPr>
          <w:lang w:val="en-CA"/>
        </w:rPr>
        <w:t xml:space="preserve"> sentence.</w:t>
      </w:r>
      <w:r w:rsidR="00562F60" w:rsidRPr="0076473C">
        <w:rPr>
          <w:lang w:val="en-CA"/>
        </w:rPr>
        <w:t xml:space="preserve"> </w:t>
      </w:r>
      <w:r w:rsidRPr="0076473C">
        <w:rPr>
          <w:lang w:val="en-CA"/>
        </w:rPr>
        <w:t xml:space="preserve">The Crown suggested </w:t>
      </w:r>
      <w:r w:rsidR="00F0277E">
        <w:rPr>
          <w:lang w:val="en-CA"/>
        </w:rPr>
        <w:t>2</w:t>
      </w:r>
      <w:r w:rsidRPr="0076473C">
        <w:rPr>
          <w:lang w:val="en-CA"/>
        </w:rPr>
        <w:t xml:space="preserve"> years less </w:t>
      </w:r>
      <w:r w:rsidR="00F0277E">
        <w:rPr>
          <w:lang w:val="en-CA"/>
        </w:rPr>
        <w:t>a</w:t>
      </w:r>
      <w:r w:rsidRPr="0076473C">
        <w:rPr>
          <w:lang w:val="en-CA"/>
        </w:rPr>
        <w:t xml:space="preserve"> day (12 to 15 months’ imprisonment for luring and 12 months for sexual interference</w:t>
      </w:r>
      <w:r w:rsidR="005633F1">
        <w:rPr>
          <w:lang w:val="en-CA"/>
        </w:rPr>
        <w:t>, to be served consecutively)</w:t>
      </w:r>
      <w:r w:rsidRPr="0076473C">
        <w:rPr>
          <w:lang w:val="en-CA"/>
        </w:rPr>
        <w:t>.</w:t>
      </w:r>
      <w:r w:rsidR="00562F60" w:rsidRPr="0076473C">
        <w:rPr>
          <w:lang w:val="en-CA"/>
        </w:rPr>
        <w:t xml:space="preserve"> </w:t>
      </w:r>
      <w:r w:rsidRPr="006C0449">
        <w:rPr>
          <w:lang w:val="en-CA"/>
        </w:rPr>
        <w:t xml:space="preserve">The respondent </w:t>
      </w:r>
      <w:r w:rsidR="00650023" w:rsidRPr="006C0449">
        <w:rPr>
          <w:lang w:val="en-CA"/>
        </w:rPr>
        <w:t>consider</w:t>
      </w:r>
      <w:r w:rsidR="005633F1">
        <w:rPr>
          <w:lang w:val="en-CA"/>
        </w:rPr>
        <w:t>ed</w:t>
      </w:r>
      <w:r w:rsidR="00650023" w:rsidRPr="006C0449">
        <w:rPr>
          <w:lang w:val="en-CA"/>
        </w:rPr>
        <w:t xml:space="preserve"> </w:t>
      </w:r>
      <w:r w:rsidRPr="006C0449">
        <w:rPr>
          <w:lang w:val="en-CA"/>
        </w:rPr>
        <w:t>that a total sentence of 90 days</w:t>
      </w:r>
      <w:r w:rsidR="00650023" w:rsidRPr="006C0449">
        <w:rPr>
          <w:lang w:val="en-CA"/>
        </w:rPr>
        <w:t>’</w:t>
      </w:r>
      <w:r w:rsidRPr="006C0449">
        <w:rPr>
          <w:lang w:val="en-CA"/>
        </w:rPr>
        <w:t xml:space="preserve"> imprisonment served intermittently </w:t>
      </w:r>
      <w:r w:rsidR="005633F1">
        <w:rPr>
          <w:lang w:val="en-CA"/>
        </w:rPr>
        <w:t>was</w:t>
      </w:r>
      <w:r w:rsidR="005633F1" w:rsidRPr="006C0449">
        <w:rPr>
          <w:lang w:val="en-CA"/>
        </w:rPr>
        <w:t xml:space="preserve"> </w:t>
      </w:r>
      <w:r w:rsidRPr="006C0449">
        <w:rPr>
          <w:lang w:val="en-CA"/>
        </w:rPr>
        <w:t>appropriate.</w:t>
      </w:r>
      <w:r w:rsidR="00562F60" w:rsidRPr="0076473C">
        <w:rPr>
          <w:lang w:val="en-CA"/>
        </w:rPr>
        <w:t xml:space="preserve"> </w:t>
      </w:r>
      <w:r w:rsidRPr="0076473C">
        <w:rPr>
          <w:lang w:val="en-CA"/>
        </w:rPr>
        <w:t>This mean</w:t>
      </w:r>
      <w:r w:rsidR="005633F1">
        <w:rPr>
          <w:lang w:val="en-CA"/>
        </w:rPr>
        <w:t>t</w:t>
      </w:r>
      <w:r w:rsidRPr="0076473C">
        <w:rPr>
          <w:lang w:val="en-CA"/>
        </w:rPr>
        <w:t xml:space="preserve"> that the minimum sentence for the offence of luring </w:t>
      </w:r>
      <w:r w:rsidR="005633F1">
        <w:rPr>
          <w:lang w:val="en-CA"/>
        </w:rPr>
        <w:t>should</w:t>
      </w:r>
      <w:r w:rsidR="005633F1" w:rsidRPr="0076473C">
        <w:rPr>
          <w:lang w:val="en-CA"/>
        </w:rPr>
        <w:t xml:space="preserve"> </w:t>
      </w:r>
      <w:r w:rsidRPr="0076473C">
        <w:rPr>
          <w:lang w:val="en-CA"/>
        </w:rPr>
        <w:t xml:space="preserve">be considered cruel and unusual punishment, in violation of s. 12 of the </w:t>
      </w:r>
      <w:r w:rsidRPr="0076473C">
        <w:rPr>
          <w:i/>
          <w:lang w:val="en-CA"/>
        </w:rPr>
        <w:t>Charter</w:t>
      </w:r>
      <w:r w:rsidRPr="0076473C">
        <w:rPr>
          <w:lang w:val="en-CA"/>
        </w:rPr>
        <w:t>.</w:t>
      </w:r>
      <w:r w:rsidR="00562F60" w:rsidRPr="0076473C">
        <w:rPr>
          <w:rStyle w:val="Appelnotedebasdep"/>
          <w:lang w:val="en-CA"/>
        </w:rPr>
        <w:footnoteReference w:id="8"/>
      </w:r>
      <w:r w:rsidRPr="0076473C">
        <w:rPr>
          <w:lang w:val="en-CA"/>
        </w:rPr>
        <w:t xml:space="preserve"> </w:t>
      </w:r>
    </w:p>
    <w:p w14:paraId="244C9F23" w14:textId="00499B7F" w:rsidR="00562F60" w:rsidRPr="0076473C" w:rsidRDefault="002855B5" w:rsidP="00562F60">
      <w:pPr>
        <w:pStyle w:val="Paragraphe"/>
        <w:spacing w:line="280" w:lineRule="exact"/>
        <w:rPr>
          <w:lang w:val="en-CA"/>
        </w:rPr>
      </w:pPr>
      <w:r w:rsidRPr="0076473C">
        <w:rPr>
          <w:lang w:val="en-CA"/>
        </w:rPr>
        <w:t>Because the respondent contested the minimum sentence for the offence of luring, the judge</w:t>
      </w:r>
      <w:r w:rsidR="00C054CE">
        <w:rPr>
          <w:lang w:val="en-CA"/>
        </w:rPr>
        <w:t xml:space="preserve">, as </w:t>
      </w:r>
      <w:r w:rsidR="00A02F00">
        <w:rPr>
          <w:lang w:val="en-CA"/>
        </w:rPr>
        <w:t>was right</w:t>
      </w:r>
      <w:r w:rsidR="00C054CE">
        <w:rPr>
          <w:lang w:val="en-CA"/>
        </w:rPr>
        <w:t>, first</w:t>
      </w:r>
      <w:r w:rsidRPr="0076473C">
        <w:rPr>
          <w:lang w:val="en-CA"/>
        </w:rPr>
        <w:t xml:space="preserve"> </w:t>
      </w:r>
      <w:r w:rsidR="00A02F00">
        <w:rPr>
          <w:lang w:val="en-CA"/>
        </w:rPr>
        <w:t>analyzed</w:t>
      </w:r>
      <w:r w:rsidRPr="0076473C">
        <w:rPr>
          <w:lang w:val="en-CA"/>
        </w:rPr>
        <w:t xml:space="preserve"> the </w:t>
      </w:r>
      <w:r w:rsidR="00F7758C" w:rsidRPr="0076473C">
        <w:rPr>
          <w:lang w:val="en-CA"/>
        </w:rPr>
        <w:t>just</w:t>
      </w:r>
      <w:r w:rsidRPr="0076473C">
        <w:rPr>
          <w:lang w:val="en-CA"/>
        </w:rPr>
        <w:t xml:space="preserve"> and appropriate sentence to impose on him.</w:t>
      </w:r>
      <w:r w:rsidR="00562F60" w:rsidRPr="0076473C">
        <w:rPr>
          <w:lang w:val="en-CA"/>
        </w:rPr>
        <w:t xml:space="preserve"> </w:t>
      </w:r>
      <w:r w:rsidR="00FA48F9" w:rsidRPr="0076473C">
        <w:rPr>
          <w:lang w:val="en-CA"/>
        </w:rPr>
        <w:t xml:space="preserve">Relying on ss. 718 </w:t>
      </w:r>
      <w:r w:rsidR="00FA48F9" w:rsidRPr="00A02F00">
        <w:rPr>
          <w:i/>
          <w:lang w:val="en-CA"/>
        </w:rPr>
        <w:t>et seq</w:t>
      </w:r>
      <w:r w:rsidR="00FA48F9" w:rsidRPr="0076473C">
        <w:rPr>
          <w:lang w:val="en-CA"/>
        </w:rPr>
        <w:t xml:space="preserve">. </w:t>
      </w:r>
      <w:r w:rsidR="00FA48F9" w:rsidRPr="0076473C">
        <w:rPr>
          <w:i/>
          <w:lang w:val="en-CA"/>
        </w:rPr>
        <w:t>Cr. C.,</w:t>
      </w:r>
      <w:r w:rsidR="00FA48F9" w:rsidRPr="0076473C">
        <w:rPr>
          <w:lang w:val="en-CA"/>
        </w:rPr>
        <w:t xml:space="preserve"> she note</w:t>
      </w:r>
      <w:r w:rsidR="00650023" w:rsidRPr="0076473C">
        <w:rPr>
          <w:lang w:val="en-CA"/>
        </w:rPr>
        <w:t>d</w:t>
      </w:r>
      <w:r w:rsidR="00FA48F9" w:rsidRPr="0076473C">
        <w:rPr>
          <w:lang w:val="en-CA"/>
        </w:rPr>
        <w:t xml:space="preserve"> that the total sentence must be </w:t>
      </w:r>
      <w:r w:rsidR="00272EA9" w:rsidRPr="0076473C">
        <w:rPr>
          <w:lang w:val="en-CA"/>
        </w:rPr>
        <w:t>proportionate to th</w:t>
      </w:r>
      <w:r w:rsidR="00FA48F9" w:rsidRPr="0076473C">
        <w:rPr>
          <w:lang w:val="en-CA"/>
        </w:rPr>
        <w:t>e</w:t>
      </w:r>
      <w:r w:rsidR="00272EA9" w:rsidRPr="0076473C">
        <w:rPr>
          <w:lang w:val="en-CA"/>
        </w:rPr>
        <w:t xml:space="preserve"> </w:t>
      </w:r>
      <w:r w:rsidR="00F7758C" w:rsidRPr="0076473C">
        <w:rPr>
          <w:lang w:val="en-CA"/>
        </w:rPr>
        <w:t>gravity</w:t>
      </w:r>
      <w:r w:rsidR="00FA48F9" w:rsidRPr="0076473C">
        <w:rPr>
          <w:lang w:val="en-CA"/>
        </w:rPr>
        <w:t xml:space="preserve"> of the offence and the respondent’s degree of responsibility.</w:t>
      </w:r>
      <w:r w:rsidR="00562F60" w:rsidRPr="0076473C">
        <w:rPr>
          <w:lang w:val="en-CA"/>
        </w:rPr>
        <w:t xml:space="preserve"> </w:t>
      </w:r>
      <w:r w:rsidR="00FA48F9" w:rsidRPr="0076473C">
        <w:rPr>
          <w:lang w:val="en-CA"/>
        </w:rPr>
        <w:t>She recall</w:t>
      </w:r>
      <w:r w:rsidR="00650023" w:rsidRPr="0076473C">
        <w:rPr>
          <w:lang w:val="en-CA"/>
        </w:rPr>
        <w:t>ed</w:t>
      </w:r>
      <w:r w:rsidR="00FA48F9" w:rsidRPr="0076473C">
        <w:rPr>
          <w:lang w:val="en-CA"/>
        </w:rPr>
        <w:t xml:space="preserve"> the importance of </w:t>
      </w:r>
      <w:r w:rsidR="00272EA9" w:rsidRPr="0076473C">
        <w:rPr>
          <w:lang w:val="en-CA"/>
        </w:rPr>
        <w:t>denouncing</w:t>
      </w:r>
      <w:r w:rsidR="00FA48F9" w:rsidRPr="0076473C">
        <w:rPr>
          <w:lang w:val="en-CA"/>
        </w:rPr>
        <w:t xml:space="preserve"> and deterring sexual offences committed against children or </w:t>
      </w:r>
      <w:r w:rsidR="00272EA9" w:rsidRPr="0076473C">
        <w:rPr>
          <w:lang w:val="en-CA"/>
        </w:rPr>
        <w:t>adolescents</w:t>
      </w:r>
      <w:r w:rsidR="00FA48F9" w:rsidRPr="0076473C">
        <w:rPr>
          <w:lang w:val="en-CA"/>
        </w:rPr>
        <w:t>.</w:t>
      </w:r>
      <w:r w:rsidR="00562F60" w:rsidRPr="0076473C">
        <w:rPr>
          <w:rStyle w:val="Appelnotedebasdep"/>
          <w:lang w:val="en-CA"/>
        </w:rPr>
        <w:footnoteReference w:id="9"/>
      </w:r>
      <w:r w:rsidR="00FA48F9" w:rsidRPr="0076473C">
        <w:rPr>
          <w:lang w:val="en-CA"/>
        </w:rPr>
        <w:t xml:space="preserve"> </w:t>
      </w:r>
    </w:p>
    <w:p w14:paraId="2A81B69E" w14:textId="7CB5AD41" w:rsidR="00562F60" w:rsidRPr="0076473C" w:rsidRDefault="00FA48F9" w:rsidP="00562F60">
      <w:pPr>
        <w:pStyle w:val="Paragraphe"/>
        <w:spacing w:line="280" w:lineRule="exact"/>
        <w:rPr>
          <w:lang w:val="en-CA"/>
        </w:rPr>
      </w:pPr>
      <w:r w:rsidRPr="0076473C">
        <w:rPr>
          <w:lang w:val="en-CA"/>
        </w:rPr>
        <w:t xml:space="preserve">From the evidence adduced, the judge </w:t>
      </w:r>
      <w:r w:rsidR="00272EA9" w:rsidRPr="0076473C">
        <w:rPr>
          <w:lang w:val="en-CA"/>
        </w:rPr>
        <w:t>accepted</w:t>
      </w:r>
      <w:r w:rsidRPr="0076473C">
        <w:rPr>
          <w:lang w:val="en-CA"/>
        </w:rPr>
        <w:t xml:space="preserve"> the following elements</w:t>
      </w:r>
      <w:r w:rsidR="00C054CE" w:rsidRPr="00C054CE">
        <w:rPr>
          <w:lang w:val="en-CA"/>
        </w:rPr>
        <w:t xml:space="preserve"> </w:t>
      </w:r>
      <w:r w:rsidR="00C054CE" w:rsidRPr="0076473C">
        <w:rPr>
          <w:lang w:val="en-CA"/>
        </w:rPr>
        <w:t>in particular</w:t>
      </w:r>
      <w:r w:rsidRPr="0076473C">
        <w:rPr>
          <w:lang w:val="en-CA"/>
        </w:rPr>
        <w:t xml:space="preserve">: the age difference between the respondent and the victim (nine years), </w:t>
      </w:r>
      <w:r w:rsidR="00C054CE">
        <w:rPr>
          <w:lang w:val="en-CA"/>
        </w:rPr>
        <w:t>full</w:t>
      </w:r>
      <w:r w:rsidR="00C054CE" w:rsidRPr="0076473C">
        <w:rPr>
          <w:lang w:val="en-CA"/>
        </w:rPr>
        <w:t xml:space="preserve"> </w:t>
      </w:r>
      <w:r w:rsidRPr="0076473C">
        <w:rPr>
          <w:lang w:val="en-CA"/>
        </w:rPr>
        <w:t xml:space="preserve">sexual </w:t>
      </w:r>
      <w:r w:rsidR="00650023" w:rsidRPr="0076473C">
        <w:rPr>
          <w:lang w:val="en-CA"/>
        </w:rPr>
        <w:t>intercourse</w:t>
      </w:r>
      <w:r w:rsidR="00556450">
        <w:rPr>
          <w:lang w:val="en-CA"/>
        </w:rPr>
        <w:t xml:space="preserve"> on</w:t>
      </w:r>
      <w:r w:rsidR="00650023" w:rsidRPr="0076473C">
        <w:rPr>
          <w:lang w:val="en-CA"/>
        </w:rPr>
        <w:t xml:space="preserve"> four </w:t>
      </w:r>
      <w:r w:rsidR="00556450">
        <w:rPr>
          <w:lang w:val="en-CA"/>
        </w:rPr>
        <w:t>occasions</w:t>
      </w:r>
      <w:r w:rsidRPr="0076473C">
        <w:rPr>
          <w:rStyle w:val="Appelnotedebasdep"/>
          <w:lang w:val="en-CA"/>
        </w:rPr>
        <w:footnoteReference w:id="10"/>
      </w:r>
      <w:r w:rsidRPr="0076473C">
        <w:rPr>
          <w:lang w:val="en-CA"/>
        </w:rPr>
        <w:t xml:space="preserve"> over a period of two years</w:t>
      </w:r>
      <w:r w:rsidR="00F0277E">
        <w:rPr>
          <w:lang w:val="en-CA"/>
        </w:rPr>
        <w:t>,</w:t>
      </w:r>
      <w:r w:rsidRPr="0076473C">
        <w:rPr>
          <w:lang w:val="en-CA"/>
        </w:rPr>
        <w:t xml:space="preserve"> and the </w:t>
      </w:r>
      <w:r w:rsidR="00272EA9" w:rsidRPr="0076473C">
        <w:rPr>
          <w:lang w:val="en-CA"/>
        </w:rPr>
        <w:t>maintenance</w:t>
      </w:r>
      <w:r w:rsidRPr="0076473C">
        <w:rPr>
          <w:lang w:val="en-CA"/>
        </w:rPr>
        <w:t xml:space="preserve"> of a virtual relationship </w:t>
      </w:r>
      <w:r w:rsidR="00556450">
        <w:rPr>
          <w:lang w:val="en-CA"/>
        </w:rPr>
        <w:t>through</w:t>
      </w:r>
      <w:r w:rsidR="00556450" w:rsidRPr="0076473C">
        <w:rPr>
          <w:lang w:val="en-CA"/>
        </w:rPr>
        <w:t xml:space="preserve"> </w:t>
      </w:r>
      <w:r w:rsidRPr="0076473C">
        <w:rPr>
          <w:lang w:val="en-CA"/>
        </w:rPr>
        <w:t xml:space="preserve">social </w:t>
      </w:r>
      <w:r w:rsidR="00556450">
        <w:rPr>
          <w:lang w:val="en-CA"/>
        </w:rPr>
        <w:t>networks</w:t>
      </w:r>
      <w:r w:rsidR="00556450" w:rsidRPr="0076473C">
        <w:rPr>
          <w:lang w:val="en-CA"/>
        </w:rPr>
        <w:t xml:space="preserve"> </w:t>
      </w:r>
      <w:r w:rsidRPr="0076473C">
        <w:rPr>
          <w:lang w:val="en-CA"/>
        </w:rPr>
        <w:t xml:space="preserve">for the </w:t>
      </w:r>
      <w:r w:rsidR="00556450">
        <w:rPr>
          <w:lang w:val="en-CA"/>
        </w:rPr>
        <w:t xml:space="preserve">basic </w:t>
      </w:r>
      <w:r w:rsidRPr="0076473C">
        <w:rPr>
          <w:lang w:val="en-CA"/>
        </w:rPr>
        <w:t xml:space="preserve">purpose of having sexual </w:t>
      </w:r>
      <w:r w:rsidR="00F0277E">
        <w:rPr>
          <w:lang w:val="en-CA"/>
        </w:rPr>
        <w:t>encounters</w:t>
      </w:r>
      <w:r w:rsidRPr="0076473C">
        <w:rPr>
          <w:lang w:val="en-CA"/>
        </w:rPr>
        <w:t xml:space="preserve">. She </w:t>
      </w:r>
      <w:r w:rsidR="00F0277E">
        <w:rPr>
          <w:lang w:val="en-CA"/>
        </w:rPr>
        <w:t>found</w:t>
      </w:r>
      <w:r w:rsidRPr="0076473C">
        <w:rPr>
          <w:lang w:val="en-CA"/>
        </w:rPr>
        <w:t xml:space="preserve"> that the respondent took </w:t>
      </w:r>
      <w:r w:rsidR="00272EA9" w:rsidRPr="0076473C">
        <w:rPr>
          <w:lang w:val="en-CA"/>
        </w:rPr>
        <w:t>advantage</w:t>
      </w:r>
      <w:r w:rsidRPr="0076473C">
        <w:rPr>
          <w:lang w:val="en-CA"/>
        </w:rPr>
        <w:t xml:space="preserve"> of </w:t>
      </w:r>
      <w:r w:rsidR="00F0277E">
        <w:rPr>
          <w:lang w:val="en-CA"/>
        </w:rPr>
        <w:t>the</w:t>
      </w:r>
      <w:r w:rsidRPr="0076473C">
        <w:rPr>
          <w:lang w:val="en-CA"/>
        </w:rPr>
        <w:t xml:space="preserve"> adolescent’s </w:t>
      </w:r>
      <w:r w:rsidR="00272EA9" w:rsidRPr="0076473C">
        <w:rPr>
          <w:lang w:val="en-CA"/>
        </w:rPr>
        <w:t>naivety</w:t>
      </w:r>
      <w:r w:rsidRPr="0076473C">
        <w:rPr>
          <w:lang w:val="en-CA"/>
        </w:rPr>
        <w:t xml:space="preserve"> and vulnerability to obtain occasional sexual favours, even though he kn</w:t>
      </w:r>
      <w:r w:rsidR="00272EA9" w:rsidRPr="0076473C">
        <w:rPr>
          <w:lang w:val="en-CA"/>
        </w:rPr>
        <w:t>ew that the victim was under th</w:t>
      </w:r>
      <w:r w:rsidRPr="0076473C">
        <w:rPr>
          <w:lang w:val="en-CA"/>
        </w:rPr>
        <w:t>e authority of the Director of Youth Protection.</w:t>
      </w:r>
      <w:r w:rsidR="00562F60" w:rsidRPr="0076473C">
        <w:rPr>
          <w:lang w:val="en-CA"/>
        </w:rPr>
        <w:t xml:space="preserve"> </w:t>
      </w:r>
      <w:r w:rsidRPr="006C0449">
        <w:rPr>
          <w:lang w:val="en-CA"/>
        </w:rPr>
        <w:t>She was of the opinion that it was a situation of sexual exploitation.</w:t>
      </w:r>
      <w:r w:rsidR="00562F60" w:rsidRPr="0076473C">
        <w:rPr>
          <w:lang w:val="en-CA"/>
        </w:rPr>
        <w:t xml:space="preserve"> </w:t>
      </w:r>
      <w:r w:rsidR="00F0277E">
        <w:rPr>
          <w:lang w:val="en-CA"/>
        </w:rPr>
        <w:t>Considering</w:t>
      </w:r>
      <w:r w:rsidRPr="0076473C">
        <w:rPr>
          <w:lang w:val="en-CA"/>
        </w:rPr>
        <w:t xml:space="preserve"> the age of the offender, his personal situation, his lack of prior convictions, his guilty plea</w:t>
      </w:r>
      <w:r w:rsidR="00650023" w:rsidRPr="0076473C">
        <w:rPr>
          <w:lang w:val="en-CA"/>
        </w:rPr>
        <w:t>,</w:t>
      </w:r>
      <w:r w:rsidRPr="0076473C">
        <w:rPr>
          <w:lang w:val="en-CA"/>
        </w:rPr>
        <w:t xml:space="preserve"> and the particular circumstances of the case, the judge determined that a sentence of 10 months’ imprisonment on the count of sexual interference was appropriate.</w:t>
      </w:r>
      <w:r w:rsidR="00562F60" w:rsidRPr="0076473C">
        <w:rPr>
          <w:rStyle w:val="Appelnotedebasdep"/>
          <w:lang w:val="en-CA"/>
        </w:rPr>
        <w:footnoteReference w:id="11"/>
      </w:r>
      <w:r w:rsidRPr="0076473C">
        <w:rPr>
          <w:lang w:val="en-CA"/>
        </w:rPr>
        <w:t xml:space="preserve"> </w:t>
      </w:r>
    </w:p>
    <w:p w14:paraId="4D478804" w14:textId="0736B79F" w:rsidR="00562F60" w:rsidRPr="0076473C" w:rsidRDefault="00FA48F9" w:rsidP="00562F60">
      <w:pPr>
        <w:pStyle w:val="Paragraphe"/>
        <w:spacing w:line="280" w:lineRule="exact"/>
        <w:rPr>
          <w:lang w:val="en-CA"/>
        </w:rPr>
      </w:pPr>
      <w:r w:rsidRPr="0076473C">
        <w:rPr>
          <w:lang w:val="en-CA"/>
        </w:rPr>
        <w:t xml:space="preserve">With respect to the count of luring, the judge first </w:t>
      </w:r>
      <w:r w:rsidR="009C68B7">
        <w:rPr>
          <w:lang w:val="en-CA"/>
        </w:rPr>
        <w:t>found</w:t>
      </w:r>
      <w:r w:rsidR="009C68B7" w:rsidRPr="0076473C">
        <w:rPr>
          <w:lang w:val="en-CA"/>
        </w:rPr>
        <w:t xml:space="preserve"> </w:t>
      </w:r>
      <w:r w:rsidRPr="0076473C">
        <w:rPr>
          <w:lang w:val="en-CA"/>
        </w:rPr>
        <w:t>that the guilty plea did not cover the period when the sexual acts began (</w:t>
      </w:r>
      <w:r w:rsidR="00650023" w:rsidRPr="0076473C">
        <w:rPr>
          <w:lang w:val="en-CA"/>
        </w:rPr>
        <w:t>A</w:t>
      </w:r>
      <w:r w:rsidRPr="0076473C">
        <w:rPr>
          <w:lang w:val="en-CA"/>
        </w:rPr>
        <w:t>ugust 2013), but only the period between February 25, 2015, and September 13, 2015.</w:t>
      </w:r>
      <w:r w:rsidR="00562F60" w:rsidRPr="0076473C">
        <w:rPr>
          <w:lang w:val="en-CA"/>
        </w:rPr>
        <w:t xml:space="preserve"> </w:t>
      </w:r>
      <w:r w:rsidRPr="0076473C">
        <w:rPr>
          <w:lang w:val="en-CA"/>
        </w:rPr>
        <w:t xml:space="preserve">In the judge’s opinion, </w:t>
      </w:r>
      <w:r w:rsidR="00650023" w:rsidRPr="0076473C">
        <w:rPr>
          <w:u w:val="single"/>
          <w:lang w:val="en-CA"/>
        </w:rPr>
        <w:t>this</w:t>
      </w:r>
      <w:r w:rsidRPr="0076473C">
        <w:rPr>
          <w:u w:val="single"/>
          <w:lang w:val="en-CA"/>
        </w:rPr>
        <w:t xml:space="preserve"> </w:t>
      </w:r>
      <w:r w:rsidR="00650023" w:rsidRPr="0076473C">
        <w:rPr>
          <w:u w:val="single"/>
          <w:lang w:val="en-CA"/>
        </w:rPr>
        <w:t>is</w:t>
      </w:r>
      <w:r w:rsidRPr="0076473C">
        <w:rPr>
          <w:u w:val="single"/>
          <w:lang w:val="en-CA"/>
        </w:rPr>
        <w:t xml:space="preserve"> not a classic case of luring but rather the use of a means of telecommunication to organize and facilitate sexual </w:t>
      </w:r>
      <w:r w:rsidR="00FB415A">
        <w:rPr>
          <w:u w:val="single"/>
          <w:lang w:val="en-CA"/>
        </w:rPr>
        <w:t>encounters</w:t>
      </w:r>
      <w:r w:rsidRPr="0076473C">
        <w:rPr>
          <w:u w:val="single"/>
          <w:lang w:val="en-CA"/>
        </w:rPr>
        <w:t xml:space="preserve"> with the victim</w:t>
      </w:r>
      <w:r w:rsidRPr="009B7B69">
        <w:rPr>
          <w:u w:val="single"/>
          <w:lang w:val="en-CA"/>
        </w:rPr>
        <w:t>.</w:t>
      </w:r>
      <w:r w:rsidR="00562F60" w:rsidRPr="009B7B69">
        <w:rPr>
          <w:u w:val="single"/>
          <w:lang w:val="en-CA"/>
        </w:rPr>
        <w:t xml:space="preserve"> </w:t>
      </w:r>
      <w:r w:rsidRPr="0076473C">
        <w:rPr>
          <w:u w:val="single"/>
          <w:lang w:val="en-CA"/>
        </w:rPr>
        <w:t xml:space="preserve">She thought it </w:t>
      </w:r>
      <w:r w:rsidR="009C68B7">
        <w:rPr>
          <w:u w:val="single"/>
          <w:lang w:val="en-CA"/>
        </w:rPr>
        <w:t>right</w:t>
      </w:r>
      <w:r w:rsidRPr="0076473C">
        <w:rPr>
          <w:u w:val="single"/>
          <w:lang w:val="en-CA"/>
        </w:rPr>
        <w:t xml:space="preserve"> to </w:t>
      </w:r>
      <w:r w:rsidR="00FB415A">
        <w:rPr>
          <w:u w:val="single"/>
          <w:lang w:val="en-CA"/>
        </w:rPr>
        <w:t>assert</w:t>
      </w:r>
      <w:r w:rsidR="009C68B7" w:rsidRPr="0076473C">
        <w:rPr>
          <w:u w:val="single"/>
          <w:lang w:val="en-CA"/>
        </w:rPr>
        <w:t xml:space="preserve"> </w:t>
      </w:r>
      <w:r w:rsidRPr="0076473C">
        <w:rPr>
          <w:u w:val="single"/>
          <w:lang w:val="en-CA"/>
        </w:rPr>
        <w:t xml:space="preserve">that the use of </w:t>
      </w:r>
      <w:r w:rsidRPr="0076473C">
        <w:rPr>
          <w:u w:val="single"/>
          <w:lang w:val="en-CA"/>
        </w:rPr>
        <w:lastRenderedPageBreak/>
        <w:t>Facebook is a generational choice</w:t>
      </w:r>
      <w:r w:rsidRPr="0076473C">
        <w:rPr>
          <w:lang w:val="en-CA"/>
        </w:rPr>
        <w:t>.</w:t>
      </w:r>
      <w:r w:rsidR="00562F60" w:rsidRPr="0076473C">
        <w:rPr>
          <w:lang w:val="en-CA"/>
        </w:rPr>
        <w:t xml:space="preserve"> </w:t>
      </w:r>
      <w:r w:rsidRPr="0076473C">
        <w:rPr>
          <w:lang w:val="en-CA"/>
        </w:rPr>
        <w:t xml:space="preserve">The judge noted that a single encounter </w:t>
      </w:r>
      <w:r w:rsidR="00272EA9" w:rsidRPr="0076473C">
        <w:rPr>
          <w:lang w:val="en-CA"/>
        </w:rPr>
        <w:t>occurred</w:t>
      </w:r>
      <w:r w:rsidRPr="0076473C">
        <w:rPr>
          <w:lang w:val="en-CA"/>
        </w:rPr>
        <w:t xml:space="preserve"> during the period covered by the indictment. Since the victim had already [</w:t>
      </w:r>
      <w:r w:rsidRPr="0076473C">
        <w:rPr>
          <w:smallCaps/>
          <w:lang w:val="en-CA"/>
        </w:rPr>
        <w:t>translation</w:t>
      </w:r>
      <w:r w:rsidRPr="0076473C">
        <w:rPr>
          <w:lang w:val="en-CA"/>
        </w:rPr>
        <w:t xml:space="preserve">] “consented” three times to sexual </w:t>
      </w:r>
      <w:r w:rsidR="00650023" w:rsidRPr="0076473C">
        <w:rPr>
          <w:lang w:val="en-CA"/>
        </w:rPr>
        <w:t>intercourse</w:t>
      </w:r>
      <w:r w:rsidRPr="0076473C">
        <w:rPr>
          <w:lang w:val="en-CA"/>
        </w:rPr>
        <w:t>, the acts committed by the respondent cannot be seen as preparatory grooming.</w:t>
      </w:r>
      <w:r w:rsidR="00562F60" w:rsidRPr="0076473C">
        <w:rPr>
          <w:lang w:val="en-CA"/>
        </w:rPr>
        <w:t xml:space="preserve"> </w:t>
      </w:r>
      <w:r w:rsidRPr="0076473C">
        <w:rPr>
          <w:lang w:val="en-CA"/>
        </w:rPr>
        <w:t xml:space="preserve">She was of the opinion that the appropriate sentence </w:t>
      </w:r>
      <w:r w:rsidR="00FB415A">
        <w:rPr>
          <w:lang w:val="en-CA"/>
        </w:rPr>
        <w:t>was</w:t>
      </w:r>
      <w:r w:rsidRPr="0076473C">
        <w:rPr>
          <w:lang w:val="en-CA"/>
        </w:rPr>
        <w:t xml:space="preserve"> five months’ imprisonment, while taking care to specify that it would have been different had the respondent pleaded guilty before the commission of the first sexual interference.</w:t>
      </w:r>
      <w:r w:rsidR="00562F60" w:rsidRPr="0076473C">
        <w:rPr>
          <w:rStyle w:val="Appelnotedebasdep"/>
          <w:lang w:val="en-CA"/>
        </w:rPr>
        <w:footnoteReference w:id="12"/>
      </w:r>
      <w:r w:rsidRPr="0076473C">
        <w:rPr>
          <w:lang w:val="en-CA"/>
        </w:rPr>
        <w:t xml:space="preserve"> </w:t>
      </w:r>
    </w:p>
    <w:p w14:paraId="4C39D945" w14:textId="558B93DF" w:rsidR="00562F60" w:rsidRPr="0076473C" w:rsidRDefault="00FA48F9" w:rsidP="00562F60">
      <w:pPr>
        <w:pStyle w:val="Paragraphe"/>
        <w:spacing w:line="280" w:lineRule="exact"/>
        <w:rPr>
          <w:lang w:val="en-CA"/>
        </w:rPr>
      </w:pPr>
      <w:r w:rsidRPr="0076473C">
        <w:rPr>
          <w:lang w:val="en-CA"/>
        </w:rPr>
        <w:t>The judge then determined that the sentences should be concurrent</w:t>
      </w:r>
      <w:r w:rsidR="00FB415A">
        <w:rPr>
          <w:lang w:val="en-CA"/>
        </w:rPr>
        <w:t>,</w:t>
      </w:r>
      <w:r w:rsidRPr="0076473C">
        <w:rPr>
          <w:lang w:val="en-CA"/>
        </w:rPr>
        <w:t xml:space="preserve"> not consecutive. </w:t>
      </w:r>
      <w:r w:rsidR="00FB415A">
        <w:rPr>
          <w:lang w:val="en-CA"/>
        </w:rPr>
        <w:t xml:space="preserve">She did not apply </w:t>
      </w:r>
      <w:r w:rsidR="00F72FD4" w:rsidRPr="0076473C">
        <w:rPr>
          <w:lang w:val="en-CA"/>
        </w:rPr>
        <w:t>s. 718.3(4)(</w:t>
      </w:r>
      <w:r w:rsidR="00F72FD4" w:rsidRPr="009B7B69">
        <w:rPr>
          <w:i/>
          <w:lang w:val="en-CA"/>
        </w:rPr>
        <w:t>b</w:t>
      </w:r>
      <w:r w:rsidR="00F72FD4" w:rsidRPr="0076473C">
        <w:rPr>
          <w:lang w:val="en-CA"/>
        </w:rPr>
        <w:t xml:space="preserve">) </w:t>
      </w:r>
      <w:r w:rsidR="00F72FD4" w:rsidRPr="0076473C">
        <w:rPr>
          <w:i/>
          <w:lang w:val="en-CA"/>
        </w:rPr>
        <w:t>Cr. C</w:t>
      </w:r>
      <w:r w:rsidR="00F72FD4" w:rsidRPr="0076473C">
        <w:rPr>
          <w:lang w:val="en-CA"/>
        </w:rPr>
        <w:t>. and s. 163.1 </w:t>
      </w:r>
      <w:r w:rsidR="00F72FD4" w:rsidRPr="0076473C">
        <w:rPr>
          <w:i/>
          <w:lang w:val="en-CA"/>
        </w:rPr>
        <w:t>Cr.</w:t>
      </w:r>
      <w:r w:rsidR="00FB415A">
        <w:rPr>
          <w:i/>
          <w:lang w:val="en-CA"/>
        </w:rPr>
        <w:t> </w:t>
      </w:r>
      <w:r w:rsidR="00F72FD4" w:rsidRPr="0076473C">
        <w:rPr>
          <w:i/>
          <w:lang w:val="en-CA"/>
        </w:rPr>
        <w:t>C.</w:t>
      </w:r>
      <w:r w:rsidR="00F72FD4" w:rsidRPr="0076473C">
        <w:rPr>
          <w:lang w:val="en-CA"/>
        </w:rPr>
        <w:t xml:space="preserve"> </w:t>
      </w:r>
      <w:r w:rsidR="00FB415A">
        <w:rPr>
          <w:lang w:val="en-CA"/>
        </w:rPr>
        <w:t xml:space="preserve">because the </w:t>
      </w:r>
      <w:r w:rsidR="00F72FD4" w:rsidRPr="0076473C">
        <w:rPr>
          <w:lang w:val="en-CA"/>
        </w:rPr>
        <w:t xml:space="preserve">case did not </w:t>
      </w:r>
      <w:r w:rsidR="009C68B7">
        <w:rPr>
          <w:lang w:val="en-CA"/>
        </w:rPr>
        <w:t>meet</w:t>
      </w:r>
      <w:r w:rsidR="009C68B7" w:rsidRPr="0076473C">
        <w:rPr>
          <w:lang w:val="en-CA"/>
        </w:rPr>
        <w:t xml:space="preserve"> </w:t>
      </w:r>
      <w:r w:rsidR="00F72FD4" w:rsidRPr="0076473C">
        <w:rPr>
          <w:lang w:val="en-CA"/>
        </w:rPr>
        <w:t xml:space="preserve">the </w:t>
      </w:r>
      <w:r w:rsidR="00272EA9" w:rsidRPr="0076473C">
        <w:rPr>
          <w:lang w:val="en-CA"/>
        </w:rPr>
        <w:t>criteria</w:t>
      </w:r>
      <w:r w:rsidR="00F72FD4" w:rsidRPr="0076473C">
        <w:rPr>
          <w:lang w:val="en-CA"/>
        </w:rPr>
        <w:t>.</w:t>
      </w:r>
      <w:bookmarkStart w:id="6" w:name="_Ref77769591"/>
      <w:r w:rsidR="00FB415A">
        <w:rPr>
          <w:lang w:val="en-CA"/>
        </w:rPr>
        <w:t xml:space="preserve"> She </w:t>
      </w:r>
      <w:r w:rsidR="00F72FD4" w:rsidRPr="0076473C">
        <w:rPr>
          <w:lang w:val="en-CA"/>
        </w:rPr>
        <w:t>distinguis</w:t>
      </w:r>
      <w:r w:rsidR="00FB415A">
        <w:rPr>
          <w:lang w:val="en-CA"/>
        </w:rPr>
        <w:t>hed</w:t>
      </w:r>
      <w:r w:rsidR="00F72FD4" w:rsidRPr="0076473C">
        <w:rPr>
          <w:lang w:val="en-CA"/>
        </w:rPr>
        <w:t xml:space="preserve"> this case from </w:t>
      </w:r>
      <w:r w:rsidR="00F72FD4" w:rsidRPr="0076473C">
        <w:rPr>
          <w:i/>
          <w:lang w:val="en-CA"/>
        </w:rPr>
        <w:t>Rayo</w:t>
      </w:r>
      <w:r w:rsidR="00272EA9" w:rsidRPr="0076473C">
        <w:rPr>
          <w:rStyle w:val="Appelnotedebasdep"/>
          <w:lang w:val="en-CA"/>
        </w:rPr>
        <w:footnoteReference w:id="13"/>
      </w:r>
      <w:r w:rsidR="00650023" w:rsidRPr="0076473C">
        <w:rPr>
          <w:lang w:val="en-CA"/>
        </w:rPr>
        <w:t xml:space="preserve"> </w:t>
      </w:r>
      <w:r w:rsidR="009C68B7">
        <w:rPr>
          <w:lang w:val="en-CA"/>
        </w:rPr>
        <w:t>because</w:t>
      </w:r>
      <w:r w:rsidR="009C68B7" w:rsidRPr="0076473C">
        <w:rPr>
          <w:lang w:val="en-CA"/>
        </w:rPr>
        <w:t xml:space="preserve"> </w:t>
      </w:r>
      <w:r w:rsidR="00650023" w:rsidRPr="0076473C">
        <w:rPr>
          <w:lang w:val="en-CA"/>
        </w:rPr>
        <w:t xml:space="preserve">the </w:t>
      </w:r>
      <w:r w:rsidR="00F72FD4" w:rsidRPr="0076473C">
        <w:rPr>
          <w:lang w:val="en-CA"/>
        </w:rPr>
        <w:t xml:space="preserve">sexual acts started before the short period </w:t>
      </w:r>
      <w:r w:rsidR="00FB415A">
        <w:rPr>
          <w:lang w:val="en-CA"/>
        </w:rPr>
        <w:t xml:space="preserve">connected with </w:t>
      </w:r>
      <w:r w:rsidR="00F72FD4" w:rsidRPr="0076473C">
        <w:rPr>
          <w:lang w:val="en-CA"/>
        </w:rPr>
        <w:t>the offence of luring.</w:t>
      </w:r>
      <w:r w:rsidR="00F72FD4" w:rsidRPr="0076473C">
        <w:rPr>
          <w:i/>
          <w:lang w:val="en-CA"/>
        </w:rPr>
        <w:t xml:space="preserve"> </w:t>
      </w:r>
      <w:bookmarkEnd w:id="6"/>
      <w:r w:rsidR="00D06D15" w:rsidRPr="0076473C">
        <w:rPr>
          <w:lang w:val="en-CA"/>
        </w:rPr>
        <w:t>The luring in th</w:t>
      </w:r>
      <w:r w:rsidR="009849FA">
        <w:rPr>
          <w:lang w:val="en-CA"/>
        </w:rPr>
        <w:t>is</w:t>
      </w:r>
      <w:r w:rsidR="00D06D15" w:rsidRPr="0076473C">
        <w:rPr>
          <w:lang w:val="en-CA"/>
        </w:rPr>
        <w:t xml:space="preserve"> case aimed to convince the victim, through repeated communications, to agree to have sexual </w:t>
      </w:r>
      <w:r w:rsidR="00FB415A">
        <w:rPr>
          <w:lang w:val="en-CA"/>
        </w:rPr>
        <w:t xml:space="preserve">relations </w:t>
      </w:r>
      <w:r w:rsidR="00D06D15" w:rsidRPr="0076473C">
        <w:rPr>
          <w:lang w:val="en-CA"/>
        </w:rPr>
        <w:t>with him again.</w:t>
      </w:r>
      <w:r w:rsidR="00562F60" w:rsidRPr="0076473C">
        <w:rPr>
          <w:lang w:val="en-CA"/>
        </w:rPr>
        <w:t xml:space="preserve"> </w:t>
      </w:r>
      <w:r w:rsidR="00D06D15" w:rsidRPr="0076473C">
        <w:rPr>
          <w:lang w:val="en-CA"/>
        </w:rPr>
        <w:t xml:space="preserve">That being the case, the offence of luring is closely </w:t>
      </w:r>
      <w:r w:rsidR="009849FA">
        <w:rPr>
          <w:lang w:val="en-CA"/>
        </w:rPr>
        <w:t>linked</w:t>
      </w:r>
      <w:r w:rsidR="009849FA" w:rsidRPr="0076473C">
        <w:rPr>
          <w:lang w:val="en-CA"/>
        </w:rPr>
        <w:t xml:space="preserve"> </w:t>
      </w:r>
      <w:r w:rsidR="00D06D15" w:rsidRPr="0076473C">
        <w:rPr>
          <w:lang w:val="en-CA"/>
        </w:rPr>
        <w:t xml:space="preserve">to the sexual </w:t>
      </w:r>
      <w:r w:rsidR="00272EA9" w:rsidRPr="0076473C">
        <w:rPr>
          <w:lang w:val="en-CA"/>
        </w:rPr>
        <w:t>interference</w:t>
      </w:r>
      <w:r w:rsidR="00D06D15" w:rsidRPr="0076473C">
        <w:rPr>
          <w:lang w:val="en-CA"/>
        </w:rPr>
        <w:t>.</w:t>
      </w:r>
      <w:r w:rsidR="00562F60" w:rsidRPr="0076473C">
        <w:rPr>
          <w:rStyle w:val="Appelnotedebasdep"/>
          <w:lang w:val="en-CA"/>
        </w:rPr>
        <w:footnoteReference w:id="14"/>
      </w:r>
      <w:r w:rsidR="00D06D15" w:rsidRPr="0076473C">
        <w:rPr>
          <w:lang w:val="en-CA"/>
        </w:rPr>
        <w:t xml:space="preserve"> </w:t>
      </w:r>
    </w:p>
    <w:p w14:paraId="62510168" w14:textId="5852E9C3" w:rsidR="00562F60" w:rsidRPr="0076473C" w:rsidRDefault="00D06D15" w:rsidP="00562F60">
      <w:pPr>
        <w:pStyle w:val="Paragraphe"/>
        <w:spacing w:line="280" w:lineRule="exact"/>
        <w:rPr>
          <w:lang w:val="en-CA"/>
        </w:rPr>
      </w:pPr>
      <w:r w:rsidRPr="0076473C">
        <w:rPr>
          <w:lang w:val="en-CA"/>
        </w:rPr>
        <w:t>This is how she concluded that a total sentence</w:t>
      </w:r>
      <w:r w:rsidR="00FA3BCB">
        <w:rPr>
          <w:lang w:val="en-CA"/>
        </w:rPr>
        <w:t xml:space="preserve"> of </w:t>
      </w:r>
      <w:r w:rsidR="00FB415A">
        <w:rPr>
          <w:lang w:val="en-CA"/>
        </w:rPr>
        <w:t>5</w:t>
      </w:r>
      <w:r w:rsidR="00FA3BCB">
        <w:rPr>
          <w:lang w:val="en-CA"/>
        </w:rPr>
        <w:t xml:space="preserve"> months’ imprisonment was</w:t>
      </w:r>
      <w:r w:rsidRPr="0076473C">
        <w:rPr>
          <w:lang w:val="en-CA"/>
        </w:rPr>
        <w:t xml:space="preserve"> </w:t>
      </w:r>
      <w:r w:rsidR="00F7758C" w:rsidRPr="0076473C">
        <w:rPr>
          <w:lang w:val="en-CA"/>
        </w:rPr>
        <w:t>just</w:t>
      </w:r>
      <w:r w:rsidRPr="0076473C">
        <w:rPr>
          <w:lang w:val="en-CA"/>
        </w:rPr>
        <w:t xml:space="preserve">, reasonable, and proportionate to the </w:t>
      </w:r>
      <w:r w:rsidR="00F7758C" w:rsidRPr="0076473C">
        <w:rPr>
          <w:lang w:val="en-CA"/>
        </w:rPr>
        <w:t>gravity</w:t>
      </w:r>
      <w:r w:rsidRPr="0076473C">
        <w:rPr>
          <w:lang w:val="en-CA"/>
        </w:rPr>
        <w:t xml:space="preserve"> of the offender’s act</w:t>
      </w:r>
      <w:r w:rsidR="009849FA">
        <w:rPr>
          <w:lang w:val="en-CA"/>
        </w:rPr>
        <w:t>ions</w:t>
      </w:r>
      <w:r w:rsidRPr="0076473C">
        <w:rPr>
          <w:lang w:val="en-CA"/>
        </w:rPr>
        <w:t>.</w:t>
      </w:r>
    </w:p>
    <w:p w14:paraId="58AFEEB6" w14:textId="5363CD43" w:rsidR="00562F60" w:rsidRPr="0076473C" w:rsidRDefault="0042654F" w:rsidP="00562F60">
      <w:pPr>
        <w:pStyle w:val="Paragraphe"/>
        <w:spacing w:line="280" w:lineRule="exact"/>
        <w:rPr>
          <w:lang w:val="en-CA"/>
        </w:rPr>
      </w:pPr>
      <w:r w:rsidRPr="006C0449">
        <w:rPr>
          <w:lang w:val="en-CA"/>
        </w:rPr>
        <w:t>The judge then questioned</w:t>
      </w:r>
      <w:r w:rsidR="00D06D15" w:rsidRPr="006C0449">
        <w:rPr>
          <w:lang w:val="en-CA"/>
        </w:rPr>
        <w:t xml:space="preserve"> whether the mandat</w:t>
      </w:r>
      <w:r w:rsidRPr="006C0449">
        <w:rPr>
          <w:lang w:val="en-CA"/>
        </w:rPr>
        <w:t>ory minimum sentence wa</w:t>
      </w:r>
      <w:r w:rsidR="00D06D15" w:rsidRPr="006C0449">
        <w:rPr>
          <w:lang w:val="en-CA"/>
        </w:rPr>
        <w:t>s “grossly disproportionate”.</w:t>
      </w:r>
      <w:r w:rsidR="00562F60" w:rsidRPr="0076473C">
        <w:rPr>
          <w:lang w:val="en-CA"/>
        </w:rPr>
        <w:t xml:space="preserve"> </w:t>
      </w:r>
      <w:r w:rsidR="006C3785">
        <w:rPr>
          <w:lang w:val="en-CA"/>
        </w:rPr>
        <w:t>Because</w:t>
      </w:r>
      <w:r w:rsidR="00D06D15" w:rsidRPr="0076473C">
        <w:rPr>
          <w:lang w:val="en-CA"/>
        </w:rPr>
        <w:t xml:space="preserve"> she was of the opinion that the fit sentence was a term of imprisonment of </w:t>
      </w:r>
      <w:r w:rsidR="00FB415A">
        <w:rPr>
          <w:lang w:val="en-CA"/>
        </w:rPr>
        <w:t>5</w:t>
      </w:r>
      <w:r w:rsidR="00D06D15" w:rsidRPr="0076473C">
        <w:rPr>
          <w:lang w:val="en-CA"/>
        </w:rPr>
        <w:t xml:space="preserve"> months, the judge </w:t>
      </w:r>
      <w:r w:rsidR="00FB415A">
        <w:rPr>
          <w:lang w:val="en-CA"/>
        </w:rPr>
        <w:t>found</w:t>
      </w:r>
      <w:r w:rsidR="00D06D15" w:rsidRPr="0076473C">
        <w:rPr>
          <w:lang w:val="en-CA"/>
        </w:rPr>
        <w:t xml:space="preserve"> that a public well informed of the circumstances of the matter would be outraged to see </w:t>
      </w:r>
      <w:r w:rsidR="00FB415A">
        <w:rPr>
          <w:lang w:val="en-CA"/>
        </w:rPr>
        <w:t xml:space="preserve">the respondent </w:t>
      </w:r>
      <w:r w:rsidR="00D06D15" w:rsidRPr="0076473C">
        <w:rPr>
          <w:lang w:val="en-CA"/>
        </w:rPr>
        <w:t>sentence</w:t>
      </w:r>
      <w:r w:rsidR="00FB415A">
        <w:rPr>
          <w:lang w:val="en-CA"/>
        </w:rPr>
        <w:t>d to</w:t>
      </w:r>
      <w:r w:rsidR="00D06D15" w:rsidRPr="0076473C">
        <w:rPr>
          <w:lang w:val="en-CA"/>
        </w:rPr>
        <w:t xml:space="preserve"> 12 months’ </w:t>
      </w:r>
      <w:r w:rsidR="00272EA9" w:rsidRPr="0076473C">
        <w:rPr>
          <w:lang w:val="en-CA"/>
        </w:rPr>
        <w:t>imprisonment</w:t>
      </w:r>
      <w:r w:rsidR="00D06D15" w:rsidRPr="0076473C">
        <w:rPr>
          <w:lang w:val="en-CA"/>
        </w:rPr>
        <w:t>.</w:t>
      </w:r>
      <w:r w:rsidR="00562F60" w:rsidRPr="0076473C">
        <w:rPr>
          <w:lang w:val="en-CA"/>
        </w:rPr>
        <w:t xml:space="preserve"> </w:t>
      </w:r>
    </w:p>
    <w:p w14:paraId="7065A696" w14:textId="5A1AAB42" w:rsidR="00562F60" w:rsidRPr="0076473C" w:rsidRDefault="00D06D15" w:rsidP="00562F60">
      <w:pPr>
        <w:pStyle w:val="Paragraphe"/>
        <w:spacing w:line="280" w:lineRule="exact"/>
        <w:rPr>
          <w:lang w:val="en-CA"/>
        </w:rPr>
      </w:pPr>
      <w:r w:rsidRPr="0076473C">
        <w:rPr>
          <w:lang w:val="en-CA"/>
        </w:rPr>
        <w:t>The judge</w:t>
      </w:r>
      <w:r w:rsidR="00FB415A">
        <w:rPr>
          <w:lang w:val="en-CA"/>
        </w:rPr>
        <w:t xml:space="preserve"> therefore declared </w:t>
      </w:r>
      <w:r w:rsidRPr="0076473C">
        <w:rPr>
          <w:lang w:val="en-CA"/>
        </w:rPr>
        <w:t xml:space="preserve">that the minimum sentence for the offence of luring violated s. 12 the </w:t>
      </w:r>
      <w:r w:rsidRPr="0076473C">
        <w:rPr>
          <w:i/>
          <w:lang w:val="en-CA"/>
        </w:rPr>
        <w:t xml:space="preserve">Canadian Charter of Rights and Freedoms </w:t>
      </w:r>
      <w:r w:rsidRPr="0076473C">
        <w:rPr>
          <w:lang w:val="en-CA"/>
        </w:rPr>
        <w:t>in the respondent</w:t>
      </w:r>
      <w:r w:rsidR="00FB415A">
        <w:rPr>
          <w:lang w:val="en-CA"/>
        </w:rPr>
        <w:t>’s case</w:t>
      </w:r>
      <w:r w:rsidRPr="0076473C">
        <w:rPr>
          <w:lang w:val="en-CA"/>
        </w:rPr>
        <w:t xml:space="preserve"> and that it is inoperative with respect to him.</w:t>
      </w:r>
      <w:r w:rsidR="00562F60" w:rsidRPr="0076473C">
        <w:rPr>
          <w:rStyle w:val="Appelnotedebasdep"/>
          <w:spacing w:val="-4"/>
          <w:lang w:val="en-CA"/>
        </w:rPr>
        <w:footnoteReference w:id="15"/>
      </w:r>
      <w:r w:rsidR="00562F60" w:rsidRPr="0076473C">
        <w:rPr>
          <w:spacing w:val="-4"/>
          <w:lang w:val="en-CA"/>
        </w:rPr>
        <w:t xml:space="preserve"> </w:t>
      </w:r>
      <w:r w:rsidRPr="006C0449">
        <w:rPr>
          <w:spacing w:val="-4"/>
          <w:lang w:val="en-CA"/>
        </w:rPr>
        <w:t>She wrote:</w:t>
      </w:r>
    </w:p>
    <w:p w14:paraId="3FFF60A3" w14:textId="7442B633" w:rsidR="00D06D15" w:rsidRPr="0076473C" w:rsidRDefault="00D06D15" w:rsidP="00D06D15">
      <w:pPr>
        <w:pStyle w:val="Paragraphe"/>
        <w:numPr>
          <w:ilvl w:val="0"/>
          <w:numId w:val="0"/>
        </w:numPr>
        <w:spacing w:line="280" w:lineRule="exact"/>
        <w:rPr>
          <w:lang w:val="en-CA"/>
        </w:rPr>
      </w:pPr>
      <w:r w:rsidRPr="0076473C">
        <w:rPr>
          <w:spacing w:val="-4"/>
          <w:lang w:val="en-CA"/>
        </w:rPr>
        <w:tab/>
        <w:t>[</w:t>
      </w:r>
      <w:r w:rsidRPr="0076473C">
        <w:rPr>
          <w:smallCaps/>
          <w:spacing w:val="-4"/>
          <w:lang w:val="en-CA"/>
        </w:rPr>
        <w:t>translation</w:t>
      </w:r>
      <w:r w:rsidRPr="0076473C">
        <w:rPr>
          <w:spacing w:val="-4"/>
          <w:lang w:val="en-CA"/>
        </w:rPr>
        <w:t xml:space="preserve">] </w:t>
      </w:r>
    </w:p>
    <w:p w14:paraId="06B4CCF8" w14:textId="55623BEC" w:rsidR="00562F60" w:rsidRPr="0076473C" w:rsidRDefault="00562F60" w:rsidP="00562F60">
      <w:pPr>
        <w:pStyle w:val="Citationenretrait"/>
        <w:rPr>
          <w:lang w:val="en-CA"/>
        </w:rPr>
      </w:pPr>
      <w:r w:rsidRPr="0076473C">
        <w:rPr>
          <w:lang w:val="en-CA"/>
        </w:rPr>
        <w:t>[82]</w:t>
      </w:r>
      <w:r w:rsidRPr="0076473C">
        <w:rPr>
          <w:lang w:val="en-CA"/>
        </w:rPr>
        <w:tab/>
      </w:r>
      <w:r w:rsidR="00D06D15" w:rsidRPr="0076473C">
        <w:rPr>
          <w:lang w:val="en-CA"/>
        </w:rPr>
        <w:t xml:space="preserve">Since the </w:t>
      </w:r>
      <w:r w:rsidR="0042654F" w:rsidRPr="0076473C">
        <w:rPr>
          <w:lang w:val="en-CA"/>
        </w:rPr>
        <w:t>appropriate</w:t>
      </w:r>
      <w:r w:rsidR="00D06D15" w:rsidRPr="0076473C">
        <w:rPr>
          <w:lang w:val="en-CA"/>
        </w:rPr>
        <w:t xml:space="preserve"> sentence for the offence of luring committed by the offender is </w:t>
      </w:r>
      <w:r w:rsidR="00FB415A">
        <w:rPr>
          <w:lang w:val="en-CA"/>
        </w:rPr>
        <w:t>5</w:t>
      </w:r>
      <w:r w:rsidR="00D06D15" w:rsidRPr="0076473C">
        <w:rPr>
          <w:lang w:val="en-CA"/>
        </w:rPr>
        <w:t xml:space="preserve"> months’ imprisonment, the mandatory minimum sentence of </w:t>
      </w:r>
      <w:r w:rsidR="00FB415A">
        <w:rPr>
          <w:lang w:val="en-CA"/>
        </w:rPr>
        <w:t>1</w:t>
      </w:r>
      <w:r w:rsidR="00D06D15" w:rsidRPr="0076473C">
        <w:rPr>
          <w:lang w:val="en-CA"/>
        </w:rPr>
        <w:t xml:space="preserve"> year of imprisonment consequently appears </w:t>
      </w:r>
      <w:r w:rsidR="00FA3BCB">
        <w:rPr>
          <w:lang w:val="en-CA"/>
        </w:rPr>
        <w:t>entirely</w:t>
      </w:r>
      <w:r w:rsidR="00D06D15" w:rsidRPr="0076473C">
        <w:rPr>
          <w:lang w:val="en-CA"/>
        </w:rPr>
        <w:t xml:space="preserve"> </w:t>
      </w:r>
      <w:r w:rsidR="00272EA9" w:rsidRPr="0076473C">
        <w:rPr>
          <w:lang w:val="en-CA"/>
        </w:rPr>
        <w:t>disproportionate</w:t>
      </w:r>
      <w:r w:rsidR="00D06D15" w:rsidRPr="0076473C">
        <w:rPr>
          <w:lang w:val="en-CA"/>
        </w:rPr>
        <w:t xml:space="preserve"> </w:t>
      </w:r>
      <w:r w:rsidR="00FA3BCB">
        <w:rPr>
          <w:lang w:val="en-CA"/>
        </w:rPr>
        <w:t>when</w:t>
      </w:r>
      <w:r w:rsidR="00D06D15" w:rsidRPr="0076473C">
        <w:rPr>
          <w:lang w:val="en-CA"/>
        </w:rPr>
        <w:t xml:space="preserve"> applied to him.</w:t>
      </w:r>
      <w:r w:rsidRPr="0076473C">
        <w:rPr>
          <w:lang w:val="en-CA"/>
        </w:rPr>
        <w:t xml:space="preserve"> </w:t>
      </w:r>
      <w:r w:rsidR="00D06D15" w:rsidRPr="006C0449">
        <w:rPr>
          <w:lang w:val="en-CA"/>
        </w:rPr>
        <w:t>The Court considers that a public well informed of all the circumstances of this matter would be outrag</w:t>
      </w:r>
      <w:r w:rsidR="0042654F" w:rsidRPr="006C0449">
        <w:rPr>
          <w:lang w:val="en-CA"/>
        </w:rPr>
        <w:t>ed to see Mr. Bertrand Marchand</w:t>
      </w:r>
      <w:r w:rsidR="00D06D15" w:rsidRPr="006C0449">
        <w:rPr>
          <w:lang w:val="en-CA"/>
        </w:rPr>
        <w:t xml:space="preserve"> sentenced to 12 month’s </w:t>
      </w:r>
      <w:r w:rsidR="00272EA9" w:rsidRPr="006C0449">
        <w:rPr>
          <w:lang w:val="en-CA"/>
        </w:rPr>
        <w:t>imprisonment</w:t>
      </w:r>
      <w:r w:rsidR="00D06D15" w:rsidRPr="006C0449">
        <w:rPr>
          <w:lang w:val="en-CA"/>
        </w:rPr>
        <w:t xml:space="preserve"> for </w:t>
      </w:r>
      <w:r w:rsidR="00D660D2">
        <w:rPr>
          <w:lang w:val="en-CA"/>
        </w:rPr>
        <w:t>t</w:t>
      </w:r>
      <w:r w:rsidR="00D06D15" w:rsidRPr="006C0449">
        <w:rPr>
          <w:lang w:val="en-CA"/>
        </w:rPr>
        <w:t>his offence.</w:t>
      </w:r>
      <w:r w:rsidRPr="0076473C">
        <w:rPr>
          <w:lang w:val="en-CA"/>
        </w:rPr>
        <w:t xml:space="preserve"> </w:t>
      </w:r>
      <w:r w:rsidR="00D06D15" w:rsidRPr="0076473C">
        <w:rPr>
          <w:lang w:val="en-CA"/>
        </w:rPr>
        <w:t xml:space="preserve">The subjective </w:t>
      </w:r>
      <w:r w:rsidR="00F7758C" w:rsidRPr="0076473C">
        <w:rPr>
          <w:lang w:val="en-CA"/>
        </w:rPr>
        <w:t>gravity</w:t>
      </w:r>
      <w:r w:rsidR="00D06D15" w:rsidRPr="0076473C">
        <w:rPr>
          <w:lang w:val="en-CA"/>
        </w:rPr>
        <w:t xml:space="preserve"> of this offence, in the circumstances of this matter, does not call for a sentence as harsh as those normally </w:t>
      </w:r>
      <w:r w:rsidR="0042654F" w:rsidRPr="0076473C">
        <w:rPr>
          <w:lang w:val="en-CA"/>
        </w:rPr>
        <w:t>required</w:t>
      </w:r>
      <w:r w:rsidR="00D06D15" w:rsidRPr="0076473C">
        <w:rPr>
          <w:lang w:val="en-CA"/>
        </w:rPr>
        <w:t xml:space="preserve"> </w:t>
      </w:r>
      <w:r w:rsidR="0042654F" w:rsidRPr="0076473C">
        <w:rPr>
          <w:lang w:val="en-CA"/>
        </w:rPr>
        <w:t xml:space="preserve">for </w:t>
      </w:r>
      <w:r w:rsidR="00D06D15" w:rsidRPr="0076473C">
        <w:rPr>
          <w:lang w:val="en-CA"/>
        </w:rPr>
        <w:t>this type of offence.</w:t>
      </w:r>
      <w:r w:rsidRPr="0076473C">
        <w:rPr>
          <w:rStyle w:val="Appelnotedebasdep"/>
          <w:lang w:val="en-CA"/>
        </w:rPr>
        <w:footnoteReference w:id="16"/>
      </w:r>
    </w:p>
    <w:p w14:paraId="6127FEF6" w14:textId="3E11CCDB" w:rsidR="00562F60" w:rsidRPr="006C0449" w:rsidRDefault="00272EA9" w:rsidP="00562F60">
      <w:pPr>
        <w:pStyle w:val="Titre1"/>
        <w:numPr>
          <w:ilvl w:val="0"/>
          <w:numId w:val="21"/>
        </w:numPr>
        <w:spacing w:after="120" w:line="280" w:lineRule="exact"/>
        <w:ind w:left="709" w:hanging="709"/>
        <w:rPr>
          <w:lang w:val="en-CA"/>
        </w:rPr>
      </w:pPr>
      <w:r w:rsidRPr="006C0449">
        <w:rPr>
          <w:lang w:val="en-CA"/>
        </w:rPr>
        <w:lastRenderedPageBreak/>
        <w:t>GROUNDS OF APPEAL</w:t>
      </w:r>
      <w:r w:rsidR="00562F60" w:rsidRPr="006C0449">
        <w:rPr>
          <w:lang w:val="en-CA"/>
        </w:rPr>
        <w:t xml:space="preserve"> </w:t>
      </w:r>
    </w:p>
    <w:p w14:paraId="566D1E66" w14:textId="31AEA661" w:rsidR="00562F60" w:rsidRPr="0076473C" w:rsidRDefault="00272EA9" w:rsidP="00562F60">
      <w:pPr>
        <w:pStyle w:val="Paragraphe"/>
        <w:spacing w:line="280" w:lineRule="exact"/>
        <w:rPr>
          <w:lang w:val="en-CA"/>
        </w:rPr>
      </w:pPr>
      <w:r w:rsidRPr="0076473C">
        <w:rPr>
          <w:lang w:val="en-CA"/>
        </w:rPr>
        <w:t>The applicants essentially argue that the judge committed errors in principle by incorrectly considering certain mitigating factors and by limiting the scope of the offence of luring</w:t>
      </w:r>
      <w:r w:rsidR="00562F60" w:rsidRPr="0076473C">
        <w:rPr>
          <w:lang w:val="en-CA"/>
        </w:rPr>
        <w:t xml:space="preserve">. </w:t>
      </w:r>
      <w:r w:rsidR="00D660D2">
        <w:rPr>
          <w:lang w:val="en-CA"/>
        </w:rPr>
        <w:t>A</w:t>
      </w:r>
      <w:r w:rsidR="00D660D2" w:rsidRPr="0076473C">
        <w:rPr>
          <w:lang w:val="en-CA"/>
        </w:rPr>
        <w:t xml:space="preserve">ccording to them, </w:t>
      </w:r>
      <w:r w:rsidR="00D660D2">
        <w:rPr>
          <w:lang w:val="en-CA"/>
        </w:rPr>
        <w:t>t</w:t>
      </w:r>
      <w:r w:rsidRPr="0076473C">
        <w:rPr>
          <w:lang w:val="en-CA"/>
        </w:rPr>
        <w:t>hese errors ha</w:t>
      </w:r>
      <w:r w:rsidR="00542573" w:rsidRPr="0076473C">
        <w:rPr>
          <w:lang w:val="en-CA"/>
        </w:rPr>
        <w:t>d</w:t>
      </w:r>
      <w:r w:rsidRPr="0076473C">
        <w:rPr>
          <w:lang w:val="en-CA"/>
        </w:rPr>
        <w:t xml:space="preserve"> a significant effect on the sentence, such that the sentence is demonstrably unfit.</w:t>
      </w:r>
      <w:r w:rsidR="00562F60" w:rsidRPr="0076473C">
        <w:rPr>
          <w:lang w:val="en-CA"/>
        </w:rPr>
        <w:t xml:space="preserve"> </w:t>
      </w:r>
      <w:r w:rsidRPr="0076473C">
        <w:rPr>
          <w:lang w:val="en-CA"/>
        </w:rPr>
        <w:t xml:space="preserve">They consider that the judge was also mistaken in not ordering </w:t>
      </w:r>
      <w:r w:rsidR="0011425D">
        <w:rPr>
          <w:lang w:val="en-CA"/>
        </w:rPr>
        <w:t xml:space="preserve">consecutive sentences for </w:t>
      </w:r>
      <w:r w:rsidRPr="0076473C">
        <w:rPr>
          <w:lang w:val="en-CA"/>
        </w:rPr>
        <w:t>the count</w:t>
      </w:r>
      <w:r w:rsidR="0011425D">
        <w:rPr>
          <w:lang w:val="en-CA"/>
        </w:rPr>
        <w:t>s</w:t>
      </w:r>
      <w:r w:rsidRPr="0076473C">
        <w:rPr>
          <w:lang w:val="en-CA"/>
        </w:rPr>
        <w:t xml:space="preserve"> of luring </w:t>
      </w:r>
      <w:r w:rsidR="0011425D">
        <w:rPr>
          <w:lang w:val="en-CA"/>
        </w:rPr>
        <w:t>and</w:t>
      </w:r>
      <w:r w:rsidRPr="0076473C">
        <w:rPr>
          <w:lang w:val="en-CA"/>
        </w:rPr>
        <w:t xml:space="preserve"> sexual interference</w:t>
      </w:r>
      <w:r w:rsidR="0011425D">
        <w:rPr>
          <w:lang w:val="en-CA"/>
        </w:rPr>
        <w:t xml:space="preserve">. </w:t>
      </w:r>
      <w:r w:rsidRPr="0076473C">
        <w:rPr>
          <w:lang w:val="en-CA"/>
        </w:rPr>
        <w:t xml:space="preserve">They also argue that the judge erred in </w:t>
      </w:r>
      <w:r w:rsidR="0011425D">
        <w:rPr>
          <w:lang w:val="en-CA"/>
        </w:rPr>
        <w:t>her</w:t>
      </w:r>
      <w:r w:rsidRPr="0076473C">
        <w:rPr>
          <w:lang w:val="en-CA"/>
        </w:rPr>
        <w:t xml:space="preserve"> assessment and application of the test </w:t>
      </w:r>
      <w:r w:rsidR="00D660D2">
        <w:rPr>
          <w:lang w:val="en-CA"/>
        </w:rPr>
        <w:t xml:space="preserve">to determine whether </w:t>
      </w:r>
      <w:r w:rsidRPr="0076473C">
        <w:rPr>
          <w:lang w:val="en-CA"/>
        </w:rPr>
        <w:t xml:space="preserve">s. 12 of the </w:t>
      </w:r>
      <w:r w:rsidRPr="0076473C">
        <w:rPr>
          <w:i/>
          <w:lang w:val="en-CA"/>
        </w:rPr>
        <w:t xml:space="preserve">Charter </w:t>
      </w:r>
      <w:r w:rsidR="00D660D2" w:rsidRPr="009B7B69">
        <w:rPr>
          <w:lang w:val="en-CA"/>
        </w:rPr>
        <w:t>applies</w:t>
      </w:r>
      <w:r w:rsidR="0011425D">
        <w:rPr>
          <w:lang w:val="en-CA"/>
        </w:rPr>
        <w:t>,</w:t>
      </w:r>
      <w:r w:rsidR="00D660D2" w:rsidRPr="009B7B69">
        <w:rPr>
          <w:lang w:val="en-CA"/>
        </w:rPr>
        <w:t xml:space="preserve"> </w:t>
      </w:r>
      <w:r w:rsidRPr="0076473C">
        <w:rPr>
          <w:lang w:val="en-CA"/>
        </w:rPr>
        <w:t>and that she err</w:t>
      </w:r>
      <w:r w:rsidR="00542573" w:rsidRPr="0076473C">
        <w:rPr>
          <w:lang w:val="en-CA"/>
        </w:rPr>
        <w:t>ed</w:t>
      </w:r>
      <w:r w:rsidRPr="0076473C">
        <w:rPr>
          <w:lang w:val="en-CA"/>
        </w:rPr>
        <w:t xml:space="preserve"> in law </w:t>
      </w:r>
      <w:r w:rsidRPr="00D660D2">
        <w:rPr>
          <w:lang w:val="en-CA"/>
        </w:rPr>
        <w:t>in</w:t>
      </w:r>
      <w:r w:rsidRPr="0076473C">
        <w:rPr>
          <w:lang w:val="en-CA"/>
        </w:rPr>
        <w:t xml:space="preserve"> declaring inoperative the mandatory minimum sentence of </w:t>
      </w:r>
      <w:r w:rsidR="0011425D">
        <w:rPr>
          <w:lang w:val="en-CA"/>
        </w:rPr>
        <w:t>1</w:t>
      </w:r>
      <w:r w:rsidRPr="0076473C">
        <w:rPr>
          <w:lang w:val="en-CA"/>
        </w:rPr>
        <w:t xml:space="preserve"> year </w:t>
      </w:r>
      <w:r w:rsidR="0011425D">
        <w:rPr>
          <w:lang w:val="en-CA"/>
        </w:rPr>
        <w:t>under</w:t>
      </w:r>
      <w:r w:rsidRPr="0076473C">
        <w:rPr>
          <w:lang w:val="en-CA"/>
        </w:rPr>
        <w:t xml:space="preserve"> s. 172.1(2)(</w:t>
      </w:r>
      <w:r w:rsidRPr="009B7B69">
        <w:rPr>
          <w:i/>
          <w:lang w:val="en-CA"/>
        </w:rPr>
        <w:t>a</w:t>
      </w:r>
      <w:r w:rsidRPr="0076473C">
        <w:rPr>
          <w:lang w:val="en-CA"/>
        </w:rPr>
        <w:t xml:space="preserve">) </w:t>
      </w:r>
      <w:r w:rsidRPr="0076473C">
        <w:rPr>
          <w:i/>
          <w:lang w:val="en-CA"/>
        </w:rPr>
        <w:t>Cr. C</w:t>
      </w:r>
      <w:r w:rsidRPr="0076473C">
        <w:rPr>
          <w:lang w:val="en-CA"/>
        </w:rPr>
        <w:t>.</w:t>
      </w:r>
    </w:p>
    <w:p w14:paraId="333412A3" w14:textId="6D3FBA31" w:rsidR="00562F60" w:rsidRPr="0076473C" w:rsidRDefault="00272EA9" w:rsidP="00562F60">
      <w:pPr>
        <w:pStyle w:val="Paragraphe"/>
        <w:spacing w:line="280" w:lineRule="exact"/>
        <w:rPr>
          <w:lang w:val="en-CA"/>
        </w:rPr>
      </w:pPr>
      <w:r w:rsidRPr="0076473C">
        <w:rPr>
          <w:lang w:val="en-CA"/>
        </w:rPr>
        <w:t>The respondent suggests that the judge exercised her discretionary power in a reasonable manner and that there is no overriding error</w:t>
      </w:r>
      <w:r w:rsidR="0011425D">
        <w:rPr>
          <w:lang w:val="en-CA"/>
        </w:rPr>
        <w:t xml:space="preserve"> </w:t>
      </w:r>
      <w:r w:rsidRPr="0076473C">
        <w:rPr>
          <w:lang w:val="en-CA"/>
        </w:rPr>
        <w:t xml:space="preserve">or </w:t>
      </w:r>
      <w:r w:rsidR="00D660D2">
        <w:rPr>
          <w:lang w:val="en-CA"/>
        </w:rPr>
        <w:t xml:space="preserve">any </w:t>
      </w:r>
      <w:r w:rsidRPr="0076473C">
        <w:rPr>
          <w:lang w:val="en-CA"/>
        </w:rPr>
        <w:t xml:space="preserve">error of law. </w:t>
      </w:r>
      <w:r w:rsidR="00562F60" w:rsidRPr="0076473C">
        <w:rPr>
          <w:lang w:val="en-CA"/>
        </w:rPr>
        <w:t xml:space="preserve"> </w:t>
      </w:r>
    </w:p>
    <w:p w14:paraId="6FBBBA0C" w14:textId="73C430A5" w:rsidR="00562F60" w:rsidRPr="006C0449" w:rsidRDefault="00272EA9" w:rsidP="00562F60">
      <w:pPr>
        <w:pStyle w:val="Titre1"/>
        <w:numPr>
          <w:ilvl w:val="0"/>
          <w:numId w:val="21"/>
        </w:numPr>
        <w:spacing w:after="120" w:line="280" w:lineRule="exact"/>
        <w:ind w:left="709" w:hanging="709"/>
        <w:rPr>
          <w:lang w:val="en-CA"/>
        </w:rPr>
      </w:pPr>
      <w:r w:rsidRPr="006C0449">
        <w:rPr>
          <w:lang w:val="en-CA"/>
        </w:rPr>
        <w:t xml:space="preserve">STANDARD OF </w:t>
      </w:r>
      <w:r w:rsidR="00C36301">
        <w:rPr>
          <w:lang w:val="en-CA"/>
        </w:rPr>
        <w:t>REVIEW</w:t>
      </w:r>
    </w:p>
    <w:p w14:paraId="0FDD5F77" w14:textId="488B286C" w:rsidR="00562F60" w:rsidRPr="0076473C" w:rsidRDefault="00272EA9" w:rsidP="00562F60">
      <w:pPr>
        <w:pStyle w:val="Paragraphe"/>
        <w:spacing w:line="280" w:lineRule="exact"/>
        <w:rPr>
          <w:lang w:val="en-CA"/>
        </w:rPr>
      </w:pPr>
      <w:r w:rsidRPr="0076473C">
        <w:rPr>
          <w:i/>
          <w:lang w:val="en-CA"/>
        </w:rPr>
        <w:t>Lacasse</w:t>
      </w:r>
      <w:r w:rsidRPr="0076473C">
        <w:rPr>
          <w:rStyle w:val="Appelnotedebasdep"/>
          <w:lang w:val="en-CA"/>
        </w:rPr>
        <w:footnoteReference w:id="17"/>
      </w:r>
      <w:r w:rsidRPr="0076473C">
        <w:rPr>
          <w:i/>
          <w:lang w:val="en-CA"/>
        </w:rPr>
        <w:t xml:space="preserve"> </w:t>
      </w:r>
      <w:r w:rsidRPr="0076473C">
        <w:rPr>
          <w:lang w:val="en-CA"/>
        </w:rPr>
        <w:t xml:space="preserve">and </w:t>
      </w:r>
      <w:r w:rsidRPr="0076473C">
        <w:rPr>
          <w:i/>
          <w:lang w:val="en-CA"/>
        </w:rPr>
        <w:t>Friesen</w:t>
      </w:r>
      <w:bookmarkStart w:id="7" w:name="_Ref77767582"/>
      <w:r w:rsidRPr="0076473C">
        <w:rPr>
          <w:rStyle w:val="Appelnotedebasdep"/>
          <w:lang w:val="en-CA"/>
        </w:rPr>
        <w:footnoteReference w:id="18"/>
      </w:r>
      <w:bookmarkEnd w:id="7"/>
      <w:r w:rsidRPr="0076473C">
        <w:rPr>
          <w:lang w:val="en-CA"/>
        </w:rPr>
        <w:t xml:space="preserve"> crystallized </w:t>
      </w:r>
      <w:r w:rsidR="00542573" w:rsidRPr="0076473C">
        <w:rPr>
          <w:lang w:val="en-CA"/>
        </w:rPr>
        <w:t xml:space="preserve">the </w:t>
      </w:r>
      <w:r w:rsidRPr="0076473C">
        <w:rPr>
          <w:lang w:val="en-CA"/>
        </w:rPr>
        <w:t>standard of review of an appellate court in sentencing.</w:t>
      </w:r>
      <w:r w:rsidRPr="0076473C">
        <w:rPr>
          <w:i/>
          <w:lang w:val="en-CA"/>
        </w:rPr>
        <w:t xml:space="preserve"> </w:t>
      </w:r>
      <w:r w:rsidRPr="006C0449">
        <w:rPr>
          <w:lang w:val="en-CA"/>
        </w:rPr>
        <w:t xml:space="preserve">Deference is required and intervention will be justified </w:t>
      </w:r>
      <w:r w:rsidR="00CC5EE9" w:rsidRPr="006C0449">
        <w:rPr>
          <w:lang w:val="en-CA"/>
        </w:rPr>
        <w:t xml:space="preserve">only </w:t>
      </w:r>
      <w:r w:rsidRPr="006C0449">
        <w:rPr>
          <w:lang w:val="en-CA"/>
        </w:rPr>
        <w:t>if it is established that a sentence is demonstrably unfit or if the judge committed an error in principle that had an impact on the sentence imposed.</w:t>
      </w:r>
    </w:p>
    <w:p w14:paraId="3AA40A82" w14:textId="28BBE71D" w:rsidR="00562F60" w:rsidRPr="0076473C" w:rsidRDefault="00CC5EE9" w:rsidP="00562F60">
      <w:pPr>
        <w:pStyle w:val="Paragraphe"/>
        <w:spacing w:line="280" w:lineRule="exact"/>
        <w:rPr>
          <w:lang w:val="en-CA"/>
        </w:rPr>
      </w:pPr>
      <w:r>
        <w:rPr>
          <w:lang w:val="en-CA"/>
        </w:rPr>
        <w:t>While this case also concerns determining</w:t>
      </w:r>
      <w:r w:rsidR="00272EA9" w:rsidRPr="0076473C">
        <w:rPr>
          <w:lang w:val="en-CA"/>
        </w:rPr>
        <w:t xml:space="preserve"> the appropriate sentence in the context of a constitutional challenge, this analysis is no different tha</w:t>
      </w:r>
      <w:r w:rsidR="00542573" w:rsidRPr="0076473C">
        <w:rPr>
          <w:lang w:val="en-CA"/>
        </w:rPr>
        <w:t>n</w:t>
      </w:r>
      <w:r w:rsidR="00272EA9" w:rsidRPr="0076473C">
        <w:rPr>
          <w:lang w:val="en-CA"/>
        </w:rPr>
        <w:t xml:space="preserve"> the one conducted where no such challenge</w:t>
      </w:r>
      <w:r w:rsidR="0011425D">
        <w:rPr>
          <w:lang w:val="en-CA"/>
        </w:rPr>
        <w:t xml:space="preserve"> exists</w:t>
      </w:r>
      <w:r w:rsidR="00272EA9" w:rsidRPr="0076473C">
        <w:rPr>
          <w:lang w:val="en-CA"/>
        </w:rPr>
        <w:t>.</w:t>
      </w:r>
      <w:r w:rsidR="00562F60" w:rsidRPr="0076473C">
        <w:rPr>
          <w:rStyle w:val="Appelnotedebasdep"/>
          <w:lang w:val="en-CA"/>
        </w:rPr>
        <w:footnoteReference w:id="19"/>
      </w:r>
      <w:r w:rsidR="00272EA9" w:rsidRPr="0076473C">
        <w:rPr>
          <w:lang w:val="en-CA"/>
        </w:rPr>
        <w:t xml:space="preserve"> </w:t>
      </w:r>
      <w:bookmarkStart w:id="8" w:name="_Ref78365179"/>
      <w:r w:rsidR="00272EA9" w:rsidRPr="0076473C">
        <w:rPr>
          <w:lang w:val="en-CA"/>
        </w:rPr>
        <w:t xml:space="preserve">In reviewing the sentence, </w:t>
      </w:r>
      <w:r w:rsidR="0011425D">
        <w:rPr>
          <w:lang w:val="en-CA"/>
        </w:rPr>
        <w:t xml:space="preserve">therefore, </w:t>
      </w:r>
      <w:r w:rsidR="00272EA9" w:rsidRPr="0076473C">
        <w:rPr>
          <w:lang w:val="en-CA"/>
        </w:rPr>
        <w:t>the Court must avoid substituting its opinion for that of the trial judge simply because it would have imposed a different sentence or because it would have weighed the relevant factors differently.</w:t>
      </w:r>
      <w:r w:rsidR="00562F60" w:rsidRPr="0076473C">
        <w:rPr>
          <w:rStyle w:val="Appelnotedebasdep"/>
          <w:lang w:val="en-CA"/>
        </w:rPr>
        <w:footnoteReference w:id="20"/>
      </w:r>
      <w:bookmarkEnd w:id="8"/>
      <w:r w:rsidR="00272EA9" w:rsidRPr="0076473C">
        <w:rPr>
          <w:lang w:val="en-CA"/>
        </w:rPr>
        <w:t xml:space="preserve"> </w:t>
      </w:r>
    </w:p>
    <w:p w14:paraId="4233F27F" w14:textId="44B09636" w:rsidR="00562F60" w:rsidRPr="006C0449" w:rsidRDefault="00272EA9" w:rsidP="00562F60">
      <w:pPr>
        <w:pStyle w:val="Titre1"/>
        <w:numPr>
          <w:ilvl w:val="0"/>
          <w:numId w:val="21"/>
        </w:numPr>
        <w:spacing w:after="120" w:line="280" w:lineRule="exact"/>
        <w:ind w:left="709" w:hanging="709"/>
        <w:rPr>
          <w:lang w:val="en-CA"/>
        </w:rPr>
      </w:pPr>
      <w:r w:rsidRPr="006C0449">
        <w:rPr>
          <w:lang w:val="en-CA"/>
        </w:rPr>
        <w:t>ANALYSIS</w:t>
      </w:r>
    </w:p>
    <w:p w14:paraId="5DEAC0BC" w14:textId="52A0179D" w:rsidR="00562F60" w:rsidRPr="0076473C" w:rsidRDefault="00562F60" w:rsidP="00562F60">
      <w:pPr>
        <w:pStyle w:val="Titre2"/>
        <w:ind w:left="709"/>
        <w:jc w:val="both"/>
        <w:rPr>
          <w:lang w:val="en-CA"/>
        </w:rPr>
      </w:pPr>
      <w:r w:rsidRPr="0076473C">
        <w:rPr>
          <w:lang w:val="en-CA"/>
        </w:rPr>
        <w:t>5.1</w:t>
      </w:r>
      <w:r w:rsidRPr="0076473C">
        <w:rPr>
          <w:lang w:val="en-CA"/>
        </w:rPr>
        <w:tab/>
      </w:r>
      <w:r w:rsidR="00672815" w:rsidRPr="0076473C">
        <w:rPr>
          <w:lang w:val="en-CA"/>
        </w:rPr>
        <w:t xml:space="preserve">Did the judge err by incorrectly considering certain mitigating factors and by limiting the scope of the offence of luring, </w:t>
      </w:r>
      <w:r w:rsidR="001E2E4D">
        <w:rPr>
          <w:lang w:val="en-CA"/>
        </w:rPr>
        <w:t xml:space="preserve">thereby </w:t>
      </w:r>
      <w:r w:rsidR="00672815" w:rsidRPr="0076473C">
        <w:rPr>
          <w:lang w:val="en-CA"/>
        </w:rPr>
        <w:t xml:space="preserve">rendering </w:t>
      </w:r>
      <w:r w:rsidR="001E2E4D">
        <w:rPr>
          <w:lang w:val="en-CA"/>
        </w:rPr>
        <w:t xml:space="preserve">the sentence </w:t>
      </w:r>
      <w:r w:rsidR="00672815" w:rsidRPr="0076473C">
        <w:rPr>
          <w:lang w:val="en-CA"/>
        </w:rPr>
        <w:t>demonstrably unfit?</w:t>
      </w:r>
    </w:p>
    <w:p w14:paraId="11F0DAE5" w14:textId="0E2C7517" w:rsidR="00562F60" w:rsidRPr="0076473C" w:rsidRDefault="00672815" w:rsidP="00562F60">
      <w:pPr>
        <w:pStyle w:val="Paragraphe"/>
        <w:spacing w:line="280" w:lineRule="exact"/>
        <w:rPr>
          <w:lang w:val="en-CA"/>
        </w:rPr>
      </w:pPr>
      <w:r w:rsidRPr="0076473C">
        <w:rPr>
          <w:lang w:val="en-CA"/>
        </w:rPr>
        <w:t>I belie</w:t>
      </w:r>
      <w:r w:rsidR="00C84391">
        <w:rPr>
          <w:lang w:val="en-CA"/>
        </w:rPr>
        <w:t>ve that it is important to note</w:t>
      </w:r>
      <w:r w:rsidRPr="0076473C">
        <w:rPr>
          <w:lang w:val="en-CA"/>
        </w:rPr>
        <w:t xml:space="preserve"> at the outset that the trial judge did not have the benefit of the teachings of </w:t>
      </w:r>
      <w:r w:rsidRPr="0076473C">
        <w:rPr>
          <w:i/>
          <w:lang w:val="en-CA"/>
        </w:rPr>
        <w:t>Friesen</w:t>
      </w:r>
      <w:r w:rsidR="00542573" w:rsidRPr="0076473C">
        <w:rPr>
          <w:rStyle w:val="Appelnotedebasdep"/>
          <w:lang w:val="en-CA"/>
        </w:rPr>
        <w:footnoteReference w:id="21"/>
      </w:r>
      <w:r w:rsidRPr="0076473C">
        <w:rPr>
          <w:lang w:val="en-CA"/>
        </w:rPr>
        <w:t xml:space="preserve"> when she rendered her </w:t>
      </w:r>
      <w:r w:rsidR="00C84391" w:rsidRPr="0076473C">
        <w:rPr>
          <w:lang w:val="en-CA"/>
        </w:rPr>
        <w:t xml:space="preserve">sentencing </w:t>
      </w:r>
      <w:r w:rsidRPr="0076473C">
        <w:rPr>
          <w:lang w:val="en-CA"/>
        </w:rPr>
        <w:t>judgment on March 11, 2020.</w:t>
      </w:r>
      <w:r w:rsidRPr="0076473C">
        <w:rPr>
          <w:i/>
          <w:lang w:val="en-CA"/>
        </w:rPr>
        <w:t xml:space="preserve"> Friesen</w:t>
      </w:r>
      <w:r w:rsidRPr="0076473C">
        <w:rPr>
          <w:lang w:val="en-CA"/>
        </w:rPr>
        <w:t xml:space="preserve"> </w:t>
      </w:r>
      <w:r w:rsidR="0011425D">
        <w:rPr>
          <w:lang w:val="en-CA"/>
        </w:rPr>
        <w:t>urges</w:t>
      </w:r>
      <w:r w:rsidRPr="0076473C">
        <w:rPr>
          <w:lang w:val="en-CA"/>
        </w:rPr>
        <w:t xml:space="preserve"> judges and appellate courts to consider, among other things, “Parliament’s legislative initiatives” and “the profound harm” that sexual offences </w:t>
      </w:r>
      <w:r w:rsidRPr="0076473C">
        <w:rPr>
          <w:lang w:val="en-CA"/>
        </w:rPr>
        <w:lastRenderedPageBreak/>
        <w:t>cause young persons who are its victims.</w:t>
      </w:r>
      <w:r w:rsidR="00562F60" w:rsidRPr="0076473C">
        <w:rPr>
          <w:rStyle w:val="Appelnotedebasdep"/>
          <w:lang w:val="en-CA"/>
        </w:rPr>
        <w:footnoteReference w:id="22"/>
      </w:r>
      <w:r w:rsidRPr="0076473C">
        <w:rPr>
          <w:lang w:val="en-CA"/>
        </w:rPr>
        <w:t xml:space="preserve"> </w:t>
      </w:r>
      <w:r w:rsidRPr="006C0449">
        <w:rPr>
          <w:lang w:val="en-CA"/>
        </w:rPr>
        <w:t>The Supreme Court proposes impos</w:t>
      </w:r>
      <w:r w:rsidR="00403EDB">
        <w:rPr>
          <w:lang w:val="en-CA"/>
        </w:rPr>
        <w:t>ing</w:t>
      </w:r>
      <w:r w:rsidRPr="006C0449">
        <w:rPr>
          <w:lang w:val="en-CA"/>
        </w:rPr>
        <w:t xml:space="preserve"> higher sentences to give effect to Parliament’s clear and repeated signals.</w:t>
      </w:r>
      <w:r w:rsidR="00562F60" w:rsidRPr="0076473C">
        <w:rPr>
          <w:rStyle w:val="Appelnotedebasdep"/>
          <w:lang w:val="en-CA"/>
        </w:rPr>
        <w:footnoteReference w:id="23"/>
      </w:r>
      <w:r w:rsidR="00542573" w:rsidRPr="006C0449">
        <w:rPr>
          <w:lang w:val="en-CA"/>
        </w:rPr>
        <w:t xml:space="preserve"> </w:t>
      </w:r>
      <w:r w:rsidRPr="0076473C">
        <w:rPr>
          <w:lang w:val="en-CA"/>
        </w:rPr>
        <w:t xml:space="preserve">The </w:t>
      </w:r>
      <w:r w:rsidR="00403EDB">
        <w:rPr>
          <w:lang w:val="en-CA"/>
        </w:rPr>
        <w:t>applicants</w:t>
      </w:r>
      <w:r w:rsidR="00403EDB" w:rsidRPr="0076473C">
        <w:rPr>
          <w:lang w:val="en-CA"/>
        </w:rPr>
        <w:t xml:space="preserve"> </w:t>
      </w:r>
      <w:r w:rsidRPr="0076473C">
        <w:rPr>
          <w:lang w:val="en-CA"/>
        </w:rPr>
        <w:t>therefore criticize the trial judge for committ</w:t>
      </w:r>
      <w:r w:rsidR="00403EDB">
        <w:rPr>
          <w:lang w:val="en-CA"/>
        </w:rPr>
        <w:t>ing</w:t>
      </w:r>
      <w:r w:rsidRPr="0076473C">
        <w:rPr>
          <w:lang w:val="en-CA"/>
        </w:rPr>
        <w:t xml:space="preserve"> errors in principle that had a determinative effect on her decision to declare inoperative the minimum sentence of </w:t>
      </w:r>
      <w:r w:rsidR="00210937">
        <w:rPr>
          <w:lang w:val="en-CA"/>
        </w:rPr>
        <w:t>1</w:t>
      </w:r>
      <w:r w:rsidRPr="0076473C">
        <w:rPr>
          <w:lang w:val="en-CA"/>
        </w:rPr>
        <w:t xml:space="preserve"> year prescribed under s. 172.1(2)(</w:t>
      </w:r>
      <w:r w:rsidRPr="009B7B69">
        <w:rPr>
          <w:i/>
          <w:lang w:val="en-CA"/>
        </w:rPr>
        <w:t>a</w:t>
      </w:r>
      <w:r w:rsidRPr="0076473C">
        <w:rPr>
          <w:lang w:val="en-CA"/>
        </w:rPr>
        <w:t xml:space="preserve">) </w:t>
      </w:r>
      <w:r w:rsidRPr="0076473C">
        <w:rPr>
          <w:i/>
          <w:lang w:val="en-CA"/>
        </w:rPr>
        <w:t>Cr. C</w:t>
      </w:r>
      <w:r w:rsidRPr="0076473C">
        <w:rPr>
          <w:lang w:val="en-CA"/>
        </w:rPr>
        <w:t xml:space="preserve">. and to impose a </w:t>
      </w:r>
      <w:r w:rsidR="00EC0981">
        <w:rPr>
          <w:lang w:val="en-CA"/>
        </w:rPr>
        <w:t xml:space="preserve">final </w:t>
      </w:r>
      <w:r w:rsidRPr="0076473C">
        <w:rPr>
          <w:lang w:val="en-CA"/>
        </w:rPr>
        <w:t>sentenc</w:t>
      </w:r>
      <w:r w:rsidR="00E90879" w:rsidRPr="0076473C">
        <w:rPr>
          <w:lang w:val="en-CA"/>
        </w:rPr>
        <w:t xml:space="preserve">e of </w:t>
      </w:r>
      <w:r w:rsidR="00210937">
        <w:rPr>
          <w:lang w:val="en-CA"/>
        </w:rPr>
        <w:t>5</w:t>
      </w:r>
      <w:r w:rsidR="00E90879" w:rsidRPr="0076473C">
        <w:rPr>
          <w:lang w:val="en-CA"/>
        </w:rPr>
        <w:t xml:space="preserve"> months’ imprisonment</w:t>
      </w:r>
      <w:r w:rsidR="00210937">
        <w:rPr>
          <w:lang w:val="en-CA"/>
        </w:rPr>
        <w:t>,</w:t>
      </w:r>
      <w:r w:rsidR="00E90879" w:rsidRPr="0076473C">
        <w:rPr>
          <w:lang w:val="en-CA"/>
        </w:rPr>
        <w:t xml:space="preserve"> </w:t>
      </w:r>
      <w:r w:rsidR="00210937">
        <w:rPr>
          <w:lang w:val="en-CA"/>
        </w:rPr>
        <w:t xml:space="preserve">which </w:t>
      </w:r>
      <w:r w:rsidRPr="0076473C">
        <w:rPr>
          <w:lang w:val="en-CA"/>
        </w:rPr>
        <w:t>she considered just and appropriate in the circumstances she</w:t>
      </w:r>
      <w:r w:rsidR="00210937">
        <w:rPr>
          <w:lang w:val="en-CA"/>
        </w:rPr>
        <w:t xml:space="preserve"> had</w:t>
      </w:r>
      <w:r w:rsidRPr="0076473C">
        <w:rPr>
          <w:lang w:val="en-CA"/>
        </w:rPr>
        <w:t xml:space="preserve"> </w:t>
      </w:r>
      <w:r w:rsidR="00B24FC5" w:rsidRPr="0076473C">
        <w:rPr>
          <w:lang w:val="en-CA"/>
        </w:rPr>
        <w:t>identified</w:t>
      </w:r>
      <w:r w:rsidRPr="0076473C">
        <w:rPr>
          <w:lang w:val="en-CA"/>
        </w:rPr>
        <w:t>.</w:t>
      </w:r>
    </w:p>
    <w:p w14:paraId="600A3A90" w14:textId="508DF5D1" w:rsidR="00562F60" w:rsidRPr="0076473C" w:rsidRDefault="00672815" w:rsidP="00562F60">
      <w:pPr>
        <w:pStyle w:val="Paragraphe"/>
        <w:spacing w:line="280" w:lineRule="exact"/>
        <w:rPr>
          <w:lang w:val="en-CA"/>
        </w:rPr>
      </w:pPr>
      <w:r w:rsidRPr="0076473C">
        <w:rPr>
          <w:lang w:val="en-CA"/>
        </w:rPr>
        <w:t>By pleading guilty to the offence of luring, the respondent acknowledged that</w:t>
      </w:r>
      <w:r w:rsidR="00403EDB" w:rsidRPr="0076473C">
        <w:rPr>
          <w:lang w:val="en-CA"/>
        </w:rPr>
        <w:t>, between February 25, 2015, and September 13, 2015,</w:t>
      </w:r>
      <w:r w:rsidR="00403EDB">
        <w:rPr>
          <w:lang w:val="en-CA"/>
        </w:rPr>
        <w:t xml:space="preserve"> </w:t>
      </w:r>
      <w:r w:rsidRPr="0076473C">
        <w:rPr>
          <w:lang w:val="en-CA"/>
        </w:rPr>
        <w:t>he wilfully communicated with a person he knew was a minor and that he had the specific intention of facilitating the commission of a sexual offence or another designated offence with respect to that person.</w:t>
      </w:r>
      <w:r w:rsidR="00562F60" w:rsidRPr="0076473C">
        <w:rPr>
          <w:rStyle w:val="Appelnotedebasdep"/>
          <w:lang w:val="en-CA"/>
        </w:rPr>
        <w:footnoteReference w:id="24"/>
      </w:r>
      <w:r w:rsidRPr="0076473C">
        <w:rPr>
          <w:lang w:val="en-CA"/>
        </w:rPr>
        <w:t xml:space="preserve"> </w:t>
      </w:r>
    </w:p>
    <w:p w14:paraId="03758912" w14:textId="0A7E6A94" w:rsidR="00562F60" w:rsidRPr="0076473C" w:rsidRDefault="00672815" w:rsidP="00562F60">
      <w:pPr>
        <w:pStyle w:val="Paragraphe"/>
        <w:spacing w:line="280" w:lineRule="exact"/>
        <w:rPr>
          <w:lang w:val="en-CA"/>
        </w:rPr>
      </w:pPr>
      <w:r w:rsidRPr="0076473C">
        <w:rPr>
          <w:lang w:val="en-CA"/>
        </w:rPr>
        <w:t xml:space="preserve">I am of the </w:t>
      </w:r>
      <w:r w:rsidR="00403EDB">
        <w:rPr>
          <w:lang w:val="en-CA"/>
        </w:rPr>
        <w:t>view</w:t>
      </w:r>
      <w:r w:rsidR="00403EDB" w:rsidRPr="0076473C">
        <w:rPr>
          <w:lang w:val="en-CA"/>
        </w:rPr>
        <w:t xml:space="preserve"> </w:t>
      </w:r>
      <w:r w:rsidRPr="0076473C">
        <w:rPr>
          <w:lang w:val="en-CA"/>
        </w:rPr>
        <w:t>that the trial judge unduly minimize</w:t>
      </w:r>
      <w:r w:rsidR="00403EDB">
        <w:rPr>
          <w:lang w:val="en-CA"/>
        </w:rPr>
        <w:t>d</w:t>
      </w:r>
      <w:r w:rsidRPr="0076473C">
        <w:rPr>
          <w:lang w:val="en-CA"/>
        </w:rPr>
        <w:t xml:space="preserve"> the objective gravity of the offence </w:t>
      </w:r>
      <w:r w:rsidR="00403EDB">
        <w:rPr>
          <w:lang w:val="en-CA"/>
        </w:rPr>
        <w:t>to</w:t>
      </w:r>
      <w:r w:rsidR="00403EDB" w:rsidRPr="0076473C">
        <w:rPr>
          <w:lang w:val="en-CA"/>
        </w:rPr>
        <w:t xml:space="preserve"> </w:t>
      </w:r>
      <w:r w:rsidRPr="0076473C">
        <w:rPr>
          <w:lang w:val="en-CA"/>
        </w:rPr>
        <w:t xml:space="preserve">which the respondent pleaded guilty and that she diminished the subjective gravity of the offence by considering that several </w:t>
      </w:r>
      <w:r w:rsidR="009C0868" w:rsidRPr="0076473C">
        <w:rPr>
          <w:lang w:val="en-CA"/>
        </w:rPr>
        <w:t>instances</w:t>
      </w:r>
      <w:r w:rsidRPr="0076473C">
        <w:rPr>
          <w:lang w:val="en-CA"/>
        </w:rPr>
        <w:t xml:space="preserve"> of sexual </w:t>
      </w:r>
      <w:r w:rsidR="00403EDB">
        <w:rPr>
          <w:lang w:val="en-CA"/>
        </w:rPr>
        <w:t>relations</w:t>
      </w:r>
      <w:r w:rsidR="00403EDB" w:rsidRPr="0076473C">
        <w:rPr>
          <w:lang w:val="en-CA"/>
        </w:rPr>
        <w:t xml:space="preserve"> </w:t>
      </w:r>
      <w:r w:rsidRPr="0076473C">
        <w:rPr>
          <w:lang w:val="en-CA"/>
        </w:rPr>
        <w:t>had already taken place without the victim’s objection.</w:t>
      </w:r>
      <w:r w:rsidR="00562F60" w:rsidRPr="0076473C">
        <w:rPr>
          <w:lang w:val="en-CA"/>
        </w:rPr>
        <w:t xml:space="preserve"> </w:t>
      </w:r>
      <w:r w:rsidRPr="006C0449">
        <w:rPr>
          <w:lang w:val="en-CA"/>
        </w:rPr>
        <w:t>Th</w:t>
      </w:r>
      <w:r w:rsidR="00E90879" w:rsidRPr="006C0449">
        <w:rPr>
          <w:lang w:val="en-CA"/>
        </w:rPr>
        <w:t xml:space="preserve">at </w:t>
      </w:r>
      <w:r w:rsidRPr="006C0449">
        <w:rPr>
          <w:lang w:val="en-CA"/>
        </w:rPr>
        <w:t>is an error in principle.</w:t>
      </w:r>
      <w:r w:rsidR="00562F60" w:rsidRPr="0076473C">
        <w:rPr>
          <w:lang w:val="en-CA"/>
        </w:rPr>
        <w:t xml:space="preserve"> </w:t>
      </w:r>
      <w:r w:rsidR="00C84391">
        <w:rPr>
          <w:lang w:val="en-CA"/>
        </w:rPr>
        <w:t>A</w:t>
      </w:r>
      <w:r w:rsidR="00C84391" w:rsidRPr="006C0449">
        <w:rPr>
          <w:lang w:val="en-CA"/>
        </w:rPr>
        <w:t>mong other</w:t>
      </w:r>
      <w:r w:rsidR="00C84391">
        <w:rPr>
          <w:lang w:val="en-CA"/>
        </w:rPr>
        <w:t xml:space="preserve"> things,</w:t>
      </w:r>
      <w:r w:rsidR="00C84391" w:rsidRPr="006C0449">
        <w:rPr>
          <w:lang w:val="en-CA"/>
        </w:rPr>
        <w:t xml:space="preserve"> </w:t>
      </w:r>
      <w:r w:rsidR="00C84391">
        <w:rPr>
          <w:lang w:val="en-CA"/>
        </w:rPr>
        <w:t>t</w:t>
      </w:r>
      <w:r w:rsidRPr="006C0449">
        <w:rPr>
          <w:lang w:val="en-CA"/>
        </w:rPr>
        <w:t>he trial judge wrote:</w:t>
      </w:r>
    </w:p>
    <w:p w14:paraId="491C008C" w14:textId="5E4AB66B" w:rsidR="00672815" w:rsidRPr="0076473C" w:rsidRDefault="00672815" w:rsidP="00672815">
      <w:pPr>
        <w:pStyle w:val="Paragraphe"/>
        <w:numPr>
          <w:ilvl w:val="0"/>
          <w:numId w:val="0"/>
        </w:numPr>
        <w:spacing w:line="280" w:lineRule="exact"/>
        <w:rPr>
          <w:lang w:val="en-CA"/>
        </w:rPr>
      </w:pPr>
      <w:r w:rsidRPr="0076473C">
        <w:rPr>
          <w:lang w:val="en-CA"/>
        </w:rPr>
        <w:tab/>
        <w:t>[</w:t>
      </w:r>
      <w:r w:rsidRPr="0076473C">
        <w:rPr>
          <w:smallCaps/>
          <w:lang w:val="en-CA"/>
        </w:rPr>
        <w:t>translation</w:t>
      </w:r>
      <w:r w:rsidRPr="0076473C">
        <w:rPr>
          <w:lang w:val="en-CA"/>
        </w:rPr>
        <w:t>]</w:t>
      </w:r>
    </w:p>
    <w:p w14:paraId="4F183A73" w14:textId="10CBF6CC" w:rsidR="00562F60" w:rsidRPr="0076473C" w:rsidRDefault="00562F60" w:rsidP="00562F60">
      <w:pPr>
        <w:pStyle w:val="Citationenretrait"/>
        <w:rPr>
          <w:lang w:val="en-CA"/>
        </w:rPr>
      </w:pPr>
      <w:r w:rsidRPr="0076473C">
        <w:rPr>
          <w:lang w:val="en-CA"/>
        </w:rPr>
        <w:t>[38]</w:t>
      </w:r>
      <w:r w:rsidRPr="0076473C">
        <w:rPr>
          <w:lang w:val="en-CA"/>
        </w:rPr>
        <w:tab/>
      </w:r>
      <w:r w:rsidR="00332D84" w:rsidRPr="006C0449">
        <w:rPr>
          <w:lang w:val="en-CA"/>
        </w:rPr>
        <w:t>Bertrand Marchand, who is nine years older than the complainant, had complete vaginal sexual intercourse with her four times over a period of about two years.</w:t>
      </w:r>
      <w:r w:rsidR="00332D84" w:rsidRPr="0076473C">
        <w:rPr>
          <w:lang w:val="en-CA"/>
        </w:rPr>
        <w:t xml:space="preserve"> </w:t>
      </w:r>
      <w:r w:rsidR="00332D84" w:rsidRPr="006C0449">
        <w:rPr>
          <w:lang w:val="en-CA"/>
        </w:rPr>
        <w:t xml:space="preserve">He maintained an online relationship with her </w:t>
      </w:r>
      <w:r w:rsidR="00782BC9">
        <w:rPr>
          <w:lang w:val="en-CA"/>
        </w:rPr>
        <w:t>through</w:t>
      </w:r>
      <w:r w:rsidR="00782BC9" w:rsidRPr="006C0449">
        <w:rPr>
          <w:lang w:val="en-CA"/>
        </w:rPr>
        <w:t xml:space="preserve"> </w:t>
      </w:r>
      <w:r w:rsidR="00332D84" w:rsidRPr="006C0449">
        <w:rPr>
          <w:lang w:val="en-CA"/>
        </w:rPr>
        <w:t xml:space="preserve">social </w:t>
      </w:r>
      <w:r w:rsidR="00EC0981">
        <w:rPr>
          <w:lang w:val="en-CA"/>
        </w:rPr>
        <w:t>media</w:t>
      </w:r>
      <w:r w:rsidR="00332D84" w:rsidRPr="006C0449">
        <w:rPr>
          <w:lang w:val="en-CA"/>
        </w:rPr>
        <w:t xml:space="preserve">, punctuated by sporadic physical encounters organized during these electronic conversations, the purpose of which was essentially to have sexual </w:t>
      </w:r>
      <w:r w:rsidR="00EC0981">
        <w:rPr>
          <w:lang w:val="en-CA"/>
        </w:rPr>
        <w:t>encounters</w:t>
      </w:r>
      <w:r w:rsidR="00672815" w:rsidRPr="006C0449">
        <w:rPr>
          <w:lang w:val="en-CA"/>
        </w:rPr>
        <w:t>.</w:t>
      </w:r>
      <w:r w:rsidRPr="0076473C">
        <w:rPr>
          <w:rStyle w:val="Appelnotedebasdep"/>
          <w:lang w:val="en-CA"/>
        </w:rPr>
        <w:footnoteReference w:id="25"/>
      </w:r>
      <w:r w:rsidRPr="0076473C">
        <w:rPr>
          <w:lang w:val="en-CA"/>
        </w:rPr>
        <w:t xml:space="preserve"> </w:t>
      </w:r>
    </w:p>
    <w:p w14:paraId="6F872F7B" w14:textId="668B1678" w:rsidR="00562F60" w:rsidRPr="0076473C" w:rsidRDefault="00672815" w:rsidP="00562F60">
      <w:pPr>
        <w:pStyle w:val="Paragraphe"/>
        <w:spacing w:line="280" w:lineRule="exact"/>
        <w:rPr>
          <w:lang w:val="en-CA"/>
        </w:rPr>
      </w:pPr>
      <w:r w:rsidRPr="0076473C">
        <w:rPr>
          <w:lang w:val="en-CA"/>
        </w:rPr>
        <w:t xml:space="preserve">The conversations </w:t>
      </w:r>
      <w:r w:rsidR="000718CA">
        <w:rPr>
          <w:lang w:val="en-CA"/>
        </w:rPr>
        <w:t xml:space="preserve">of </w:t>
      </w:r>
      <w:r w:rsidRPr="0076473C">
        <w:rPr>
          <w:lang w:val="en-CA"/>
        </w:rPr>
        <w:t>the respondent and the victim</w:t>
      </w:r>
      <w:r w:rsidR="000718CA">
        <w:rPr>
          <w:lang w:val="en-CA"/>
        </w:rPr>
        <w:t xml:space="preserve"> held</w:t>
      </w:r>
      <w:r w:rsidRPr="0076473C">
        <w:rPr>
          <w:lang w:val="en-CA"/>
        </w:rPr>
        <w:t xml:space="preserve"> between February 27, 2015, and September 13, 2015,</w:t>
      </w:r>
      <w:r w:rsidR="000718CA">
        <w:rPr>
          <w:lang w:val="en-CA"/>
        </w:rPr>
        <w:t xml:space="preserve"> through telecommunication,</w:t>
      </w:r>
      <w:r w:rsidRPr="0076473C">
        <w:rPr>
          <w:lang w:val="en-CA"/>
        </w:rPr>
        <w:t xml:space="preserve"> exhibit S-4, were not filed in the record.</w:t>
      </w:r>
      <w:r w:rsidR="00562F60" w:rsidRPr="0076473C">
        <w:rPr>
          <w:lang w:val="en-CA"/>
        </w:rPr>
        <w:t xml:space="preserve"> </w:t>
      </w:r>
      <w:r w:rsidRPr="0076473C">
        <w:rPr>
          <w:lang w:val="en-CA"/>
        </w:rPr>
        <w:t>The judge</w:t>
      </w:r>
      <w:r w:rsidR="00E90879" w:rsidRPr="0076473C">
        <w:rPr>
          <w:lang w:val="en-CA"/>
        </w:rPr>
        <w:t>,</w:t>
      </w:r>
      <w:r w:rsidRPr="0076473C">
        <w:rPr>
          <w:lang w:val="en-CA"/>
        </w:rPr>
        <w:t xml:space="preserve"> </w:t>
      </w:r>
      <w:r w:rsidR="00E90879" w:rsidRPr="0076473C">
        <w:rPr>
          <w:lang w:val="en-CA"/>
        </w:rPr>
        <w:t>however,</w:t>
      </w:r>
      <w:r w:rsidRPr="0076473C">
        <w:rPr>
          <w:lang w:val="en-CA"/>
        </w:rPr>
        <w:t xml:space="preserve"> clearly </w:t>
      </w:r>
      <w:r w:rsidR="000718CA">
        <w:rPr>
          <w:lang w:val="en-CA"/>
        </w:rPr>
        <w:t>refers</w:t>
      </w:r>
      <w:r w:rsidRPr="0076473C">
        <w:rPr>
          <w:lang w:val="en-CA"/>
        </w:rPr>
        <w:t xml:space="preserve"> to them at para</w:t>
      </w:r>
      <w:r w:rsidR="00C84391">
        <w:rPr>
          <w:lang w:val="en-CA"/>
        </w:rPr>
        <w:t xml:space="preserve">graphs 44 to 54 of her judgment, which </w:t>
      </w:r>
      <w:r w:rsidRPr="006C0449">
        <w:rPr>
          <w:lang w:val="en-CA"/>
        </w:rPr>
        <w:t>state:</w:t>
      </w:r>
    </w:p>
    <w:p w14:paraId="4FB07FB6" w14:textId="022D86D9" w:rsidR="00672815" w:rsidRPr="0076473C" w:rsidRDefault="00672815" w:rsidP="00672815">
      <w:pPr>
        <w:pStyle w:val="Paragraphe"/>
        <w:numPr>
          <w:ilvl w:val="0"/>
          <w:numId w:val="0"/>
        </w:numPr>
        <w:spacing w:line="280" w:lineRule="exact"/>
        <w:rPr>
          <w:lang w:val="en-CA"/>
        </w:rPr>
      </w:pPr>
      <w:r w:rsidRPr="0076473C">
        <w:rPr>
          <w:lang w:val="en-CA"/>
        </w:rPr>
        <w:tab/>
        <w:t>[</w:t>
      </w:r>
      <w:r w:rsidRPr="0076473C">
        <w:rPr>
          <w:smallCaps/>
          <w:lang w:val="en-CA"/>
        </w:rPr>
        <w:t>translation</w:t>
      </w:r>
      <w:r w:rsidRPr="0076473C">
        <w:rPr>
          <w:lang w:val="en-CA"/>
        </w:rPr>
        <w:t>]</w:t>
      </w:r>
    </w:p>
    <w:p w14:paraId="30357C7E" w14:textId="15EEB0A3" w:rsidR="00562F60" w:rsidRPr="0076473C" w:rsidRDefault="00562F60" w:rsidP="00562F60">
      <w:pPr>
        <w:pStyle w:val="Citationenretrait"/>
        <w:rPr>
          <w:lang w:val="en-CA"/>
        </w:rPr>
      </w:pPr>
      <w:r w:rsidRPr="0076473C">
        <w:rPr>
          <w:lang w:val="en-CA"/>
        </w:rPr>
        <w:t>[49]</w:t>
      </w:r>
      <w:r w:rsidRPr="0076473C">
        <w:rPr>
          <w:lang w:val="en-CA"/>
        </w:rPr>
        <w:tab/>
      </w:r>
      <w:r w:rsidR="00441FC8">
        <w:rPr>
          <w:lang w:val="en-CA"/>
        </w:rPr>
        <w:t>A</w:t>
      </w:r>
      <w:r w:rsidR="00441FC8" w:rsidRPr="006C0449">
        <w:rPr>
          <w:lang w:val="en-CA"/>
        </w:rPr>
        <w:t xml:space="preserve"> reading of the these conversations also </w:t>
      </w:r>
      <w:r w:rsidR="00441FC8">
        <w:rPr>
          <w:lang w:val="en-CA"/>
        </w:rPr>
        <w:t>reveals</w:t>
      </w:r>
      <w:r w:rsidR="00441FC8" w:rsidRPr="006C0449">
        <w:rPr>
          <w:lang w:val="en-CA"/>
        </w:rPr>
        <w:t xml:space="preserve"> that Bertrand Marchand was aware of the illegality of </w:t>
      </w:r>
      <w:r w:rsidR="00EC0981">
        <w:rPr>
          <w:lang w:val="en-CA"/>
        </w:rPr>
        <w:t>his</w:t>
      </w:r>
      <w:r w:rsidR="00441FC8" w:rsidRPr="006C0449">
        <w:rPr>
          <w:lang w:val="en-CA"/>
        </w:rPr>
        <w:t xml:space="preserve"> relationship with the adolescent and the risk he was running of facing charges for </w:t>
      </w:r>
      <w:r w:rsidR="00C84391">
        <w:rPr>
          <w:lang w:val="en-CA"/>
        </w:rPr>
        <w:t>committing t</w:t>
      </w:r>
      <w:r w:rsidR="00441FC8" w:rsidRPr="006C0449">
        <w:rPr>
          <w:lang w:val="en-CA"/>
        </w:rPr>
        <w:t>he acts.</w:t>
      </w:r>
      <w:r w:rsidR="00441FC8" w:rsidRPr="0076473C">
        <w:rPr>
          <w:lang w:val="en-CA"/>
        </w:rPr>
        <w:t xml:space="preserve"> </w:t>
      </w:r>
      <w:r w:rsidR="00873772">
        <w:rPr>
          <w:lang w:val="en-CA"/>
        </w:rPr>
        <w:t>He nevertheless</w:t>
      </w:r>
      <w:r w:rsidR="00441FC8" w:rsidRPr="0076473C">
        <w:rPr>
          <w:lang w:val="en-CA"/>
        </w:rPr>
        <w:t xml:space="preserve"> continued having conversations </w:t>
      </w:r>
      <w:r w:rsidR="00441FC8">
        <w:rPr>
          <w:lang w:val="en-CA"/>
        </w:rPr>
        <w:t>that had</w:t>
      </w:r>
      <w:r w:rsidR="005A5C9A">
        <w:rPr>
          <w:lang w:val="en-CA"/>
        </w:rPr>
        <w:t xml:space="preserve"> sexual overtones with her. He also</w:t>
      </w:r>
      <w:r w:rsidR="00441FC8" w:rsidRPr="0076473C">
        <w:rPr>
          <w:lang w:val="en-CA"/>
        </w:rPr>
        <w:t xml:space="preserve"> asked her for </w:t>
      </w:r>
      <w:r w:rsidR="005A5C9A">
        <w:rPr>
          <w:lang w:val="en-CA"/>
        </w:rPr>
        <w:t>compromising photos on Snapchat</w:t>
      </w:r>
      <w:r w:rsidR="00441FC8" w:rsidRPr="0076473C">
        <w:rPr>
          <w:lang w:val="en-CA"/>
        </w:rPr>
        <w:t xml:space="preserve"> and organized encounters with her. </w:t>
      </w:r>
      <w:r w:rsidR="00441FC8" w:rsidRPr="006C0449">
        <w:rPr>
          <w:lang w:val="en-CA"/>
        </w:rPr>
        <w:t xml:space="preserve">He was often the </w:t>
      </w:r>
      <w:r w:rsidR="00441FC8">
        <w:rPr>
          <w:lang w:val="en-CA"/>
        </w:rPr>
        <w:t>one to</w:t>
      </w:r>
      <w:r w:rsidR="00441FC8" w:rsidRPr="006C0449">
        <w:rPr>
          <w:lang w:val="en-CA"/>
        </w:rPr>
        <w:t xml:space="preserve"> request</w:t>
      </w:r>
      <w:r w:rsidR="00441FC8">
        <w:rPr>
          <w:lang w:val="en-CA"/>
        </w:rPr>
        <w:t xml:space="preserve"> that they</w:t>
      </w:r>
      <w:r w:rsidR="00441FC8" w:rsidRPr="006C0449">
        <w:rPr>
          <w:lang w:val="en-CA"/>
        </w:rPr>
        <w:t xml:space="preserve"> meet up.</w:t>
      </w:r>
      <w:r w:rsidR="00441FC8" w:rsidRPr="0076473C">
        <w:rPr>
          <w:lang w:val="en-CA"/>
        </w:rPr>
        <w:t xml:space="preserve"> </w:t>
      </w:r>
      <w:r w:rsidR="00441FC8" w:rsidRPr="006C0449">
        <w:rPr>
          <w:lang w:val="en-CA"/>
        </w:rPr>
        <w:t xml:space="preserve">The Court has identified about 18 </w:t>
      </w:r>
      <w:r w:rsidR="00441FC8" w:rsidRPr="006C0449">
        <w:rPr>
          <w:lang w:val="en-CA"/>
        </w:rPr>
        <w:lastRenderedPageBreak/>
        <w:t xml:space="preserve">conversations </w:t>
      </w:r>
      <w:r w:rsidR="00873772">
        <w:rPr>
          <w:lang w:val="en-CA"/>
        </w:rPr>
        <w:t>where</w:t>
      </w:r>
      <w:r w:rsidR="00441FC8" w:rsidRPr="006C0449">
        <w:rPr>
          <w:lang w:val="en-CA"/>
        </w:rPr>
        <w:t xml:space="preserve"> he aske</w:t>
      </w:r>
      <w:r w:rsidR="005A5C9A">
        <w:rPr>
          <w:lang w:val="en-CA"/>
        </w:rPr>
        <w:t>d her to come see him, suggesting that</w:t>
      </w:r>
      <w:r w:rsidR="00441FC8" w:rsidRPr="006C0449">
        <w:rPr>
          <w:lang w:val="en-CA"/>
        </w:rPr>
        <w:t xml:space="preserve"> he go meet her or </w:t>
      </w:r>
      <w:r w:rsidR="00441FC8">
        <w:rPr>
          <w:lang w:val="en-CA"/>
        </w:rPr>
        <w:t xml:space="preserve">that </w:t>
      </w:r>
      <w:r w:rsidR="00441FC8" w:rsidRPr="006C0449">
        <w:rPr>
          <w:lang w:val="en-CA"/>
        </w:rPr>
        <w:t xml:space="preserve">they meet somewhere so he </w:t>
      </w:r>
      <w:r w:rsidR="00441FC8">
        <w:rPr>
          <w:lang w:val="en-CA"/>
        </w:rPr>
        <w:t>could</w:t>
      </w:r>
      <w:r w:rsidR="00441FC8" w:rsidRPr="006C0449">
        <w:rPr>
          <w:lang w:val="en-CA"/>
        </w:rPr>
        <w:t xml:space="preserve"> see her and bring her back to the centre </w:t>
      </w:r>
      <w:r w:rsidR="005A5C9A">
        <w:rPr>
          <w:lang w:val="en-CA"/>
        </w:rPr>
        <w:t xml:space="preserve">himself </w:t>
      </w:r>
      <w:r w:rsidR="00441FC8">
        <w:rPr>
          <w:lang w:val="en-CA"/>
        </w:rPr>
        <w:t>after</w:t>
      </w:r>
      <w:r w:rsidR="00441FC8" w:rsidRPr="006C0449">
        <w:rPr>
          <w:lang w:val="en-CA"/>
        </w:rPr>
        <w:t xml:space="preserve"> a visit </w:t>
      </w:r>
      <w:r w:rsidR="005A5C9A">
        <w:rPr>
          <w:lang w:val="en-CA"/>
        </w:rPr>
        <w:t xml:space="preserve">to </w:t>
      </w:r>
      <w:r w:rsidR="00441FC8" w:rsidRPr="006C0449">
        <w:rPr>
          <w:lang w:val="en-CA"/>
        </w:rPr>
        <w:t xml:space="preserve">her mother’s home or </w:t>
      </w:r>
      <w:r w:rsidR="00441FC8">
        <w:rPr>
          <w:lang w:val="en-CA"/>
        </w:rPr>
        <w:t xml:space="preserve">with </w:t>
      </w:r>
      <w:r w:rsidR="00441FC8" w:rsidRPr="006C0449">
        <w:rPr>
          <w:lang w:val="en-CA"/>
        </w:rPr>
        <w:t>the foster family in City B.</w:t>
      </w:r>
      <w:r w:rsidR="00672815" w:rsidRPr="006C0449">
        <w:rPr>
          <w:lang w:val="en-CA"/>
        </w:rPr>
        <w:t xml:space="preserve"> </w:t>
      </w:r>
    </w:p>
    <w:p w14:paraId="0EF5BC87" w14:textId="0FFD9762" w:rsidR="00562F60" w:rsidRPr="0076473C" w:rsidRDefault="00562F60" w:rsidP="00562F60">
      <w:pPr>
        <w:pStyle w:val="Citationenretrait"/>
        <w:rPr>
          <w:lang w:val="en-CA"/>
        </w:rPr>
      </w:pPr>
      <w:r w:rsidRPr="0076473C">
        <w:rPr>
          <w:lang w:val="en-CA"/>
        </w:rPr>
        <w:t>[50]</w:t>
      </w:r>
      <w:r w:rsidRPr="0076473C">
        <w:rPr>
          <w:lang w:val="en-CA"/>
        </w:rPr>
        <w:tab/>
      </w:r>
      <w:r w:rsidR="00441FC8">
        <w:rPr>
          <w:lang w:val="en-CA"/>
        </w:rPr>
        <w:t xml:space="preserve">… </w:t>
      </w:r>
      <w:r w:rsidR="00672815" w:rsidRPr="0076473C">
        <w:rPr>
          <w:lang w:val="en-CA"/>
        </w:rPr>
        <w:t>On several occasions, she refused meet</w:t>
      </w:r>
      <w:r w:rsidR="00441FC8">
        <w:rPr>
          <w:lang w:val="en-CA"/>
        </w:rPr>
        <w:t>ings</w:t>
      </w:r>
      <w:r w:rsidR="00672815" w:rsidRPr="0076473C">
        <w:rPr>
          <w:lang w:val="en-CA"/>
        </w:rPr>
        <w:t xml:space="preserve"> or cancelled them for fear that her educator would </w:t>
      </w:r>
      <w:r w:rsidR="00441FC8">
        <w:rPr>
          <w:lang w:val="en-CA"/>
        </w:rPr>
        <w:t>find out about</w:t>
      </w:r>
      <w:r w:rsidR="00672815" w:rsidRPr="0076473C">
        <w:rPr>
          <w:lang w:val="en-CA"/>
        </w:rPr>
        <w:t xml:space="preserve"> her escapades and impose negative </w:t>
      </w:r>
      <w:r w:rsidR="00B24FC5" w:rsidRPr="0076473C">
        <w:rPr>
          <w:lang w:val="en-CA"/>
        </w:rPr>
        <w:t>consequences</w:t>
      </w:r>
      <w:r w:rsidR="00672815" w:rsidRPr="0076473C">
        <w:rPr>
          <w:lang w:val="en-CA"/>
        </w:rPr>
        <w:t xml:space="preserve"> on her. </w:t>
      </w:r>
    </w:p>
    <w:p w14:paraId="044E36DA" w14:textId="06952F33" w:rsidR="00562F60" w:rsidRPr="0076473C" w:rsidRDefault="00E90879" w:rsidP="00562F60">
      <w:pPr>
        <w:pStyle w:val="Citationenretrait"/>
        <w:rPr>
          <w:lang w:val="en-CA"/>
        </w:rPr>
      </w:pPr>
      <w:r w:rsidRPr="0076473C">
        <w:rPr>
          <w:lang w:val="en-CA"/>
        </w:rPr>
        <w:t>…</w:t>
      </w:r>
    </w:p>
    <w:p w14:paraId="479AF853" w14:textId="5B92B369" w:rsidR="00562F60" w:rsidRPr="0076473C" w:rsidRDefault="00562F60" w:rsidP="00562F60">
      <w:pPr>
        <w:pStyle w:val="Citationenretrait"/>
        <w:rPr>
          <w:lang w:val="en-CA"/>
        </w:rPr>
      </w:pPr>
      <w:r w:rsidRPr="0076473C">
        <w:rPr>
          <w:lang w:val="en-CA"/>
        </w:rPr>
        <w:t>[52]</w:t>
      </w:r>
      <w:r w:rsidRPr="0076473C">
        <w:rPr>
          <w:lang w:val="en-CA"/>
        </w:rPr>
        <w:tab/>
      </w:r>
      <w:r w:rsidR="00672815" w:rsidRPr="0076473C">
        <w:rPr>
          <w:lang w:val="en-CA"/>
        </w:rPr>
        <w:t xml:space="preserve">Two days earlier, when they were discussing organizing a </w:t>
      </w:r>
      <w:r w:rsidR="00B24FC5" w:rsidRPr="0076473C">
        <w:rPr>
          <w:lang w:val="en-CA"/>
        </w:rPr>
        <w:t>rendezvous</w:t>
      </w:r>
      <w:r w:rsidR="00672815" w:rsidRPr="0076473C">
        <w:rPr>
          <w:lang w:val="en-CA"/>
        </w:rPr>
        <w:t xml:space="preserve">, she </w:t>
      </w:r>
      <w:r w:rsidR="00DC2AA7">
        <w:rPr>
          <w:lang w:val="en-CA"/>
        </w:rPr>
        <w:t xml:space="preserve">had </w:t>
      </w:r>
      <w:r w:rsidR="00672815" w:rsidRPr="0076473C">
        <w:rPr>
          <w:lang w:val="en-CA"/>
        </w:rPr>
        <w:t>asked him to buy alcohol, telling him that she needed three or four [</w:t>
      </w:r>
      <w:r w:rsidR="00672815" w:rsidRPr="0076473C">
        <w:rPr>
          <w:smallCaps/>
          <w:lang w:val="en-CA"/>
        </w:rPr>
        <w:t>translation</w:t>
      </w:r>
      <w:r w:rsidR="00672815" w:rsidRPr="0076473C">
        <w:rPr>
          <w:lang w:val="en-CA"/>
        </w:rPr>
        <w:t>] “</w:t>
      </w:r>
      <w:r w:rsidR="005A5C9A">
        <w:rPr>
          <w:lang w:val="en-CA"/>
        </w:rPr>
        <w:t>then</w:t>
      </w:r>
      <w:r w:rsidR="00672815" w:rsidRPr="0076473C">
        <w:rPr>
          <w:lang w:val="en-CA"/>
        </w:rPr>
        <w:t xml:space="preserve"> I feel good.</w:t>
      </w:r>
      <w:r w:rsidRPr="0076473C">
        <w:rPr>
          <w:lang w:val="en-CA"/>
        </w:rPr>
        <w:t xml:space="preserve"> </w:t>
      </w:r>
      <w:r w:rsidR="00672815" w:rsidRPr="0076473C">
        <w:rPr>
          <w:lang w:val="en-CA"/>
        </w:rPr>
        <w:t>I feel slutty hahaha”.</w:t>
      </w:r>
      <w:r w:rsidRPr="0076473C">
        <w:rPr>
          <w:lang w:val="en-CA"/>
        </w:rPr>
        <w:t xml:space="preserve"> </w:t>
      </w:r>
      <w:r w:rsidR="00672815" w:rsidRPr="0076473C">
        <w:rPr>
          <w:lang w:val="en-CA"/>
        </w:rPr>
        <w:t>An hour and a half before they were supposed to meet, the adolescent asked him to buy alcohol.</w:t>
      </w:r>
      <w:r w:rsidRPr="0076473C">
        <w:rPr>
          <w:lang w:val="en-CA"/>
        </w:rPr>
        <w:t xml:space="preserve"> </w:t>
      </w:r>
      <w:r w:rsidR="00672815" w:rsidRPr="0076473C">
        <w:rPr>
          <w:lang w:val="en-CA"/>
        </w:rPr>
        <w:t xml:space="preserve">He told her that he would go buy alcoholic beverages and </w:t>
      </w:r>
      <w:r w:rsidR="00B24FC5" w:rsidRPr="0076473C">
        <w:rPr>
          <w:lang w:val="en-CA"/>
        </w:rPr>
        <w:t>asked</w:t>
      </w:r>
      <w:r w:rsidR="00672815" w:rsidRPr="0076473C">
        <w:rPr>
          <w:lang w:val="en-CA"/>
        </w:rPr>
        <w:t xml:space="preserve"> </w:t>
      </w:r>
      <w:r w:rsidR="006275D4">
        <w:rPr>
          <w:lang w:val="en-CA"/>
        </w:rPr>
        <w:t>her</w:t>
      </w:r>
      <w:r w:rsidR="00672815" w:rsidRPr="0076473C">
        <w:rPr>
          <w:lang w:val="en-CA"/>
        </w:rPr>
        <w:t xml:space="preserve"> if he would be entitled to a bonus for</w:t>
      </w:r>
      <w:r w:rsidR="00DC2AA7">
        <w:rPr>
          <w:lang w:val="en-CA"/>
        </w:rPr>
        <w:t xml:space="preserve"> this</w:t>
      </w:r>
      <w:r w:rsidR="00672815" w:rsidRPr="0076473C">
        <w:rPr>
          <w:lang w:val="en-CA"/>
        </w:rPr>
        <w:t>.</w:t>
      </w:r>
      <w:r w:rsidRPr="0076473C">
        <w:rPr>
          <w:lang w:val="en-CA"/>
        </w:rPr>
        <w:t xml:space="preserve"> </w:t>
      </w:r>
      <w:r w:rsidR="00672815" w:rsidRPr="006C0449">
        <w:rPr>
          <w:lang w:val="en-CA"/>
        </w:rPr>
        <w:t>She said no.</w:t>
      </w:r>
      <w:r w:rsidRPr="0076473C">
        <w:rPr>
          <w:lang w:val="en-CA"/>
        </w:rPr>
        <w:t xml:space="preserve"> </w:t>
      </w:r>
      <w:r w:rsidR="00672815" w:rsidRPr="0076473C">
        <w:rPr>
          <w:lang w:val="en-CA"/>
        </w:rPr>
        <w:t xml:space="preserve">He told her that he had bought two cans of “Mojo” and told her that she should be </w:t>
      </w:r>
      <w:r w:rsidR="00DC2AA7">
        <w:rPr>
          <w:lang w:val="en-CA"/>
        </w:rPr>
        <w:t>tipsy</w:t>
      </w:r>
      <w:r w:rsidR="00672815" w:rsidRPr="0076473C">
        <w:rPr>
          <w:lang w:val="en-CA"/>
        </w:rPr>
        <w:t xml:space="preserve"> after drinking them.</w:t>
      </w:r>
    </w:p>
    <w:p w14:paraId="1F356BA9" w14:textId="61A43937" w:rsidR="00562F60" w:rsidRPr="0076473C" w:rsidRDefault="00662045" w:rsidP="00562F60">
      <w:pPr>
        <w:pStyle w:val="Citationenretrait"/>
        <w:rPr>
          <w:lang w:val="en-CA"/>
        </w:rPr>
      </w:pPr>
      <w:r w:rsidRPr="0076473C">
        <w:rPr>
          <w:lang w:val="en-CA"/>
        </w:rPr>
        <w:t>…</w:t>
      </w:r>
    </w:p>
    <w:p w14:paraId="5F6FEE43" w14:textId="32A85FDB" w:rsidR="00562F60" w:rsidRPr="0076473C" w:rsidRDefault="00562F60" w:rsidP="00562F60">
      <w:pPr>
        <w:pStyle w:val="Citationenretrait"/>
        <w:rPr>
          <w:lang w:val="en-CA"/>
        </w:rPr>
      </w:pPr>
      <w:r w:rsidRPr="0076473C">
        <w:rPr>
          <w:lang w:val="en-CA"/>
        </w:rPr>
        <w:t>[54]</w:t>
      </w:r>
      <w:r w:rsidRPr="0076473C">
        <w:rPr>
          <w:lang w:val="en-CA"/>
        </w:rPr>
        <w:tab/>
      </w:r>
      <w:r w:rsidR="00672815" w:rsidRPr="006C0449">
        <w:rPr>
          <w:lang w:val="en-CA"/>
        </w:rPr>
        <w:t>The evidence also reveals that the offender was well aware of the adolescent’s vulnerability.</w:t>
      </w:r>
      <w:r w:rsidRPr="0076473C">
        <w:rPr>
          <w:lang w:val="en-CA"/>
        </w:rPr>
        <w:t xml:space="preserve"> </w:t>
      </w:r>
      <w:r w:rsidR="00672815" w:rsidRPr="0076473C">
        <w:rPr>
          <w:lang w:val="en-CA"/>
        </w:rPr>
        <w:t>He took advantage of this condition to maintain their connection and arrange sexual encounters to satisfy his needs.</w:t>
      </w:r>
      <w:r w:rsidRPr="0076473C">
        <w:rPr>
          <w:rStyle w:val="Appelnotedebasdep"/>
          <w:lang w:val="en-CA"/>
        </w:rPr>
        <w:footnoteReference w:id="26"/>
      </w:r>
    </w:p>
    <w:p w14:paraId="64145F32" w14:textId="7AD294DC" w:rsidR="00562F60" w:rsidRPr="006C0449" w:rsidRDefault="00672815" w:rsidP="00562F60">
      <w:pPr>
        <w:pStyle w:val="Paragraphe"/>
        <w:spacing w:line="280" w:lineRule="exact"/>
        <w:rPr>
          <w:lang w:val="en-CA"/>
        </w:rPr>
      </w:pPr>
      <w:r w:rsidRPr="006C0449">
        <w:rPr>
          <w:lang w:val="en-CA"/>
        </w:rPr>
        <w:t>The judge also noted that:</w:t>
      </w:r>
    </w:p>
    <w:p w14:paraId="7BA5C483" w14:textId="48B9B24B" w:rsidR="00672815" w:rsidRPr="0076473C" w:rsidRDefault="00672815" w:rsidP="00672815">
      <w:pPr>
        <w:pStyle w:val="Paragraphe"/>
        <w:numPr>
          <w:ilvl w:val="0"/>
          <w:numId w:val="0"/>
        </w:numPr>
        <w:spacing w:line="280" w:lineRule="exact"/>
        <w:rPr>
          <w:lang w:val="en-CA"/>
        </w:rPr>
      </w:pPr>
      <w:r w:rsidRPr="0076473C">
        <w:rPr>
          <w:lang w:val="en-CA"/>
        </w:rPr>
        <w:tab/>
        <w:t>[</w:t>
      </w:r>
      <w:r w:rsidRPr="0076473C">
        <w:rPr>
          <w:smallCaps/>
          <w:lang w:val="en-CA"/>
        </w:rPr>
        <w:t>translation</w:t>
      </w:r>
      <w:r w:rsidRPr="0076473C">
        <w:rPr>
          <w:lang w:val="en-CA"/>
        </w:rPr>
        <w:t>]</w:t>
      </w:r>
    </w:p>
    <w:p w14:paraId="7C94FFB7" w14:textId="47802A48" w:rsidR="00562F60" w:rsidRPr="0076473C" w:rsidRDefault="00562F60" w:rsidP="00562F60">
      <w:pPr>
        <w:pStyle w:val="Citationenretrait"/>
        <w:rPr>
          <w:lang w:val="en-CA"/>
        </w:rPr>
      </w:pPr>
      <w:r w:rsidRPr="0076473C">
        <w:rPr>
          <w:lang w:val="en-CA"/>
        </w:rPr>
        <w:t>[59]</w:t>
      </w:r>
      <w:r w:rsidRPr="0076473C">
        <w:rPr>
          <w:lang w:val="en-CA"/>
        </w:rPr>
        <w:tab/>
      </w:r>
      <w:r w:rsidR="0064254A" w:rsidRPr="006C0449">
        <w:rPr>
          <w:lang w:val="en-CA"/>
        </w:rPr>
        <w:t xml:space="preserve">Although there was no specific evidence on the consequences of the crime on the complainant, the Court concludes that it had </w:t>
      </w:r>
      <w:r w:rsidR="0064254A">
        <w:rPr>
          <w:lang w:val="en-CA"/>
        </w:rPr>
        <w:t xml:space="preserve">a </w:t>
      </w:r>
      <w:r w:rsidR="0064254A" w:rsidRPr="006C0449">
        <w:rPr>
          <w:lang w:val="en-CA"/>
        </w:rPr>
        <w:t xml:space="preserve">significant </w:t>
      </w:r>
      <w:r w:rsidR="0064254A">
        <w:rPr>
          <w:lang w:val="en-CA"/>
        </w:rPr>
        <w:t>impact</w:t>
      </w:r>
      <w:r w:rsidR="0064254A" w:rsidRPr="006C0449">
        <w:rPr>
          <w:lang w:val="en-CA"/>
        </w:rPr>
        <w:t xml:space="preserve"> on her.</w:t>
      </w:r>
      <w:r w:rsidR="0064254A" w:rsidRPr="0076473C">
        <w:rPr>
          <w:lang w:val="en-CA"/>
        </w:rPr>
        <w:t xml:space="preserve"> </w:t>
      </w:r>
      <w:r w:rsidR="0064254A" w:rsidRPr="006C0449">
        <w:rPr>
          <w:lang w:val="en-CA"/>
        </w:rPr>
        <w:t xml:space="preserve">From the beginning of the communications </w:t>
      </w:r>
      <w:r w:rsidR="0064254A">
        <w:rPr>
          <w:lang w:val="en-CA"/>
        </w:rPr>
        <w:t>filed under</w:t>
      </w:r>
      <w:r w:rsidR="0064254A" w:rsidRPr="006C0449">
        <w:rPr>
          <w:lang w:val="en-CA"/>
        </w:rPr>
        <w:t xml:space="preserve"> exhibit S-4, she </w:t>
      </w:r>
      <w:r w:rsidR="005A5C9A">
        <w:rPr>
          <w:lang w:val="en-CA"/>
        </w:rPr>
        <w:t>said</w:t>
      </w:r>
      <w:r w:rsidR="0064254A" w:rsidRPr="006C0449">
        <w:rPr>
          <w:lang w:val="en-CA"/>
        </w:rPr>
        <w:t xml:space="preserve"> that the only reason the offender </w:t>
      </w:r>
      <w:r w:rsidR="005A5C9A">
        <w:rPr>
          <w:lang w:val="en-CA"/>
        </w:rPr>
        <w:t>was staying</w:t>
      </w:r>
      <w:r w:rsidR="0064254A">
        <w:rPr>
          <w:lang w:val="en-CA"/>
        </w:rPr>
        <w:t xml:space="preserve"> in</w:t>
      </w:r>
      <w:r w:rsidR="0064254A" w:rsidRPr="006C0449">
        <w:rPr>
          <w:lang w:val="en-CA"/>
        </w:rPr>
        <w:t xml:space="preserve"> contact with her </w:t>
      </w:r>
      <w:r w:rsidR="005A5C9A">
        <w:rPr>
          <w:lang w:val="en-CA"/>
        </w:rPr>
        <w:t>was</w:t>
      </w:r>
      <w:r w:rsidR="0064254A" w:rsidRPr="006C0449">
        <w:rPr>
          <w:lang w:val="en-CA"/>
        </w:rPr>
        <w:t xml:space="preserve"> to have sexual intercourse.</w:t>
      </w:r>
      <w:r w:rsidR="0064254A" w:rsidRPr="0076473C">
        <w:rPr>
          <w:lang w:val="en-CA"/>
        </w:rPr>
        <w:t xml:space="preserve"> </w:t>
      </w:r>
      <w:r w:rsidR="0064254A" w:rsidRPr="006C0449">
        <w:rPr>
          <w:lang w:val="en-CA"/>
        </w:rPr>
        <w:t>In certain passages from the conversations, she</w:t>
      </w:r>
      <w:r w:rsidR="0064254A">
        <w:rPr>
          <w:lang w:val="en-CA"/>
        </w:rPr>
        <w:t xml:space="preserve"> says she</w:t>
      </w:r>
      <w:r w:rsidR="0064254A" w:rsidRPr="006C0449">
        <w:rPr>
          <w:lang w:val="en-CA"/>
        </w:rPr>
        <w:t xml:space="preserve"> feels used and exploited and she lets him know it.</w:t>
      </w:r>
      <w:r w:rsidR="0064254A" w:rsidRPr="0076473C">
        <w:rPr>
          <w:lang w:val="en-CA"/>
        </w:rPr>
        <w:t xml:space="preserve"> </w:t>
      </w:r>
      <w:r w:rsidR="0064254A" w:rsidRPr="006C0449">
        <w:rPr>
          <w:lang w:val="en-CA"/>
        </w:rPr>
        <w:t xml:space="preserve">This </w:t>
      </w:r>
      <w:r w:rsidR="005A5C9A">
        <w:rPr>
          <w:lang w:val="en-CA"/>
        </w:rPr>
        <w:t>was</w:t>
      </w:r>
      <w:r w:rsidR="0064254A" w:rsidRPr="006C0449">
        <w:rPr>
          <w:lang w:val="en-CA"/>
        </w:rPr>
        <w:t xml:space="preserve"> why she finally ended their relationship in August or September 2015.</w:t>
      </w:r>
      <w:r w:rsidR="0064254A" w:rsidRPr="0076473C">
        <w:rPr>
          <w:lang w:val="en-CA"/>
        </w:rPr>
        <w:t xml:space="preserve"> This type of relationship based on manipulation </w:t>
      </w:r>
      <w:r w:rsidR="005A5C9A">
        <w:rPr>
          <w:lang w:val="en-CA"/>
        </w:rPr>
        <w:t>to</w:t>
      </w:r>
      <w:r w:rsidR="0064254A" w:rsidRPr="0076473C">
        <w:rPr>
          <w:lang w:val="en-CA"/>
        </w:rPr>
        <w:t xml:space="preserve"> satisfy sexual needs with a </w:t>
      </w:r>
      <w:r w:rsidR="0064254A">
        <w:rPr>
          <w:lang w:val="en-CA"/>
        </w:rPr>
        <w:t>still</w:t>
      </w:r>
      <w:r w:rsidR="004766D9">
        <w:rPr>
          <w:lang w:val="en-CA"/>
        </w:rPr>
        <w:t>-</w:t>
      </w:r>
      <w:r w:rsidR="0064254A" w:rsidRPr="0076473C">
        <w:rPr>
          <w:lang w:val="en-CA"/>
        </w:rPr>
        <w:t>developing adolescent undoubtedly leaves scars</w:t>
      </w:r>
      <w:r w:rsidR="0064254A" w:rsidRPr="006C0449">
        <w:rPr>
          <w:lang w:val="en-CA"/>
        </w:rPr>
        <w:t>.</w:t>
      </w:r>
      <w:r w:rsidR="0064254A" w:rsidRPr="0076473C">
        <w:rPr>
          <w:lang w:val="en-CA"/>
        </w:rPr>
        <w:t xml:space="preserve"> </w:t>
      </w:r>
      <w:r w:rsidR="0064254A" w:rsidRPr="006C0449">
        <w:rPr>
          <w:lang w:val="en-CA"/>
        </w:rPr>
        <w:t xml:space="preserve">The particular situation of X, who </w:t>
      </w:r>
      <w:r w:rsidR="0064254A">
        <w:rPr>
          <w:lang w:val="en-CA"/>
        </w:rPr>
        <w:t>was</w:t>
      </w:r>
      <w:r w:rsidR="0064254A" w:rsidRPr="006C0449">
        <w:rPr>
          <w:lang w:val="en-CA"/>
        </w:rPr>
        <w:t xml:space="preserve"> already </w:t>
      </w:r>
      <w:r w:rsidR="0064254A">
        <w:rPr>
          <w:lang w:val="en-CA"/>
        </w:rPr>
        <w:t>dealing with</w:t>
      </w:r>
      <w:r w:rsidR="0064254A" w:rsidRPr="006C0449">
        <w:rPr>
          <w:lang w:val="en-CA"/>
        </w:rPr>
        <w:t xml:space="preserve"> challenges that led to the intervention of the Director of Youth Protection, </w:t>
      </w:r>
      <w:r w:rsidR="004766D9">
        <w:rPr>
          <w:lang w:val="en-CA"/>
        </w:rPr>
        <w:t>exacerbates</w:t>
      </w:r>
      <w:r w:rsidR="0064254A" w:rsidRPr="006C0449">
        <w:rPr>
          <w:lang w:val="en-CA"/>
        </w:rPr>
        <w:t xml:space="preserve"> the difficulties that can be related to these events.</w:t>
      </w:r>
      <w:r w:rsidRPr="0076473C">
        <w:rPr>
          <w:rStyle w:val="Appelnotedebasdep"/>
          <w:lang w:val="en-CA"/>
        </w:rPr>
        <w:footnoteReference w:id="27"/>
      </w:r>
    </w:p>
    <w:p w14:paraId="7B2307AA" w14:textId="3AE44E40" w:rsidR="00562F60" w:rsidRPr="006C0449" w:rsidRDefault="00672815" w:rsidP="00562F60">
      <w:pPr>
        <w:pStyle w:val="Paragraphe"/>
        <w:spacing w:line="280" w:lineRule="exact"/>
        <w:rPr>
          <w:lang w:val="en-CA"/>
        </w:rPr>
      </w:pPr>
      <w:r w:rsidRPr="006C0449">
        <w:rPr>
          <w:lang w:val="en-CA"/>
        </w:rPr>
        <w:t xml:space="preserve">She </w:t>
      </w:r>
      <w:r w:rsidR="0064254A">
        <w:rPr>
          <w:lang w:val="en-CA"/>
        </w:rPr>
        <w:t xml:space="preserve">was </w:t>
      </w:r>
      <w:r w:rsidR="00662045" w:rsidRPr="006C0449">
        <w:rPr>
          <w:lang w:val="en-CA"/>
        </w:rPr>
        <w:t>n</w:t>
      </w:r>
      <w:r w:rsidR="0064254A">
        <w:rPr>
          <w:lang w:val="en-CA"/>
        </w:rPr>
        <w:t>ever</w:t>
      </w:r>
      <w:r w:rsidR="00662045" w:rsidRPr="006C0449">
        <w:rPr>
          <w:lang w:val="en-CA"/>
        </w:rPr>
        <w:t>theless</w:t>
      </w:r>
      <w:r w:rsidRPr="006C0449">
        <w:rPr>
          <w:lang w:val="en-CA"/>
        </w:rPr>
        <w:t xml:space="preserve"> </w:t>
      </w:r>
      <w:r w:rsidR="0064254A">
        <w:rPr>
          <w:lang w:val="en-CA"/>
        </w:rPr>
        <w:t>of the view</w:t>
      </w:r>
      <w:r w:rsidRPr="006C0449">
        <w:rPr>
          <w:lang w:val="en-CA"/>
        </w:rPr>
        <w:t xml:space="preserve"> that:</w:t>
      </w:r>
      <w:r w:rsidR="00562F60" w:rsidRPr="006C0449">
        <w:rPr>
          <w:lang w:val="en-CA"/>
        </w:rPr>
        <w:t xml:space="preserve"> </w:t>
      </w:r>
    </w:p>
    <w:p w14:paraId="7CBF52EF" w14:textId="0C9642B4" w:rsidR="00672815" w:rsidRPr="0076473C" w:rsidRDefault="00672815" w:rsidP="00672815">
      <w:pPr>
        <w:pStyle w:val="Paragraphe"/>
        <w:numPr>
          <w:ilvl w:val="0"/>
          <w:numId w:val="0"/>
        </w:numPr>
        <w:spacing w:line="280" w:lineRule="exact"/>
        <w:rPr>
          <w:lang w:val="en-CA"/>
        </w:rPr>
      </w:pPr>
      <w:r w:rsidRPr="0076473C">
        <w:rPr>
          <w:lang w:val="en-CA"/>
        </w:rPr>
        <w:lastRenderedPageBreak/>
        <w:tab/>
        <w:t>[</w:t>
      </w:r>
      <w:r w:rsidRPr="0076473C">
        <w:rPr>
          <w:smallCaps/>
          <w:lang w:val="en-CA"/>
        </w:rPr>
        <w:t>translation</w:t>
      </w:r>
      <w:r w:rsidRPr="0076473C">
        <w:rPr>
          <w:lang w:val="en-CA"/>
        </w:rPr>
        <w:t>]</w:t>
      </w:r>
    </w:p>
    <w:p w14:paraId="09E9EC16" w14:textId="78F5FB00" w:rsidR="00562F60" w:rsidRPr="0076473C" w:rsidRDefault="00562F60" w:rsidP="00562F60">
      <w:pPr>
        <w:pStyle w:val="Citationenretrait"/>
        <w:rPr>
          <w:lang w:val="en-CA"/>
        </w:rPr>
      </w:pPr>
      <w:r w:rsidRPr="0076473C">
        <w:rPr>
          <w:lang w:val="en-CA"/>
        </w:rPr>
        <w:t>[64]</w:t>
      </w:r>
      <w:r w:rsidRPr="0076473C">
        <w:rPr>
          <w:lang w:val="en-CA"/>
        </w:rPr>
        <w:tab/>
      </w:r>
      <w:r w:rsidR="0064254A" w:rsidRPr="006C0449">
        <w:rPr>
          <w:lang w:val="en-CA"/>
        </w:rPr>
        <w:t xml:space="preserve">This is not a classic case of a sexual predator who goes </w:t>
      </w:r>
      <w:r w:rsidR="004766D9">
        <w:rPr>
          <w:lang w:val="en-CA"/>
        </w:rPr>
        <w:t>on</w:t>
      </w:r>
      <w:r w:rsidR="0064254A" w:rsidRPr="006C0449">
        <w:rPr>
          <w:lang w:val="en-CA"/>
        </w:rPr>
        <w:t xml:space="preserve"> the Internet to find a young victim and facilitate the commission of sexual offences.</w:t>
      </w:r>
      <w:r w:rsidR="0064254A" w:rsidRPr="0076473C">
        <w:rPr>
          <w:lang w:val="en-CA"/>
        </w:rPr>
        <w:t xml:space="preserve"> </w:t>
      </w:r>
      <w:r w:rsidR="004766D9">
        <w:rPr>
          <w:lang w:val="en-CA"/>
        </w:rPr>
        <w:t xml:space="preserve">Given the dates stated in the charge, what </w:t>
      </w:r>
      <w:r w:rsidR="0064254A" w:rsidRPr="006C0449">
        <w:rPr>
          <w:lang w:val="en-CA"/>
        </w:rPr>
        <w:t xml:space="preserve">the offender is specifically being </w:t>
      </w:r>
      <w:r w:rsidR="0064254A">
        <w:rPr>
          <w:lang w:val="en-CA"/>
        </w:rPr>
        <w:t>accused of</w:t>
      </w:r>
      <w:r w:rsidR="004766D9">
        <w:rPr>
          <w:lang w:val="en-CA"/>
        </w:rPr>
        <w:t xml:space="preserve"> </w:t>
      </w:r>
      <w:r w:rsidR="0064254A" w:rsidRPr="006C0449">
        <w:rPr>
          <w:lang w:val="en-CA"/>
        </w:rPr>
        <w:t xml:space="preserve">is having used a means of telecommunication to organize and facilitate sexual </w:t>
      </w:r>
      <w:r w:rsidR="004766D9">
        <w:rPr>
          <w:lang w:val="en-CA"/>
        </w:rPr>
        <w:t>encounters</w:t>
      </w:r>
      <w:r w:rsidR="0064254A" w:rsidRPr="006C0449">
        <w:rPr>
          <w:lang w:val="en-CA"/>
        </w:rPr>
        <w:t xml:space="preserve"> with her</w:t>
      </w:r>
      <w:r w:rsidR="004766D9">
        <w:rPr>
          <w:lang w:val="en-CA"/>
        </w:rPr>
        <w:t>, which</w:t>
      </w:r>
      <w:r w:rsidR="0064254A" w:rsidRPr="006C0449">
        <w:rPr>
          <w:lang w:val="en-CA"/>
        </w:rPr>
        <w:t xml:space="preserve"> had already </w:t>
      </w:r>
      <w:r w:rsidR="0064254A">
        <w:rPr>
          <w:lang w:val="en-CA"/>
        </w:rPr>
        <w:t>been ongoing for</w:t>
      </w:r>
      <w:r w:rsidR="0064254A" w:rsidRPr="006C0449">
        <w:rPr>
          <w:lang w:val="en-CA"/>
        </w:rPr>
        <w:t xml:space="preserve"> a year and a half.</w:t>
      </w:r>
    </w:p>
    <w:p w14:paraId="6E12CE0C" w14:textId="36F22703" w:rsidR="00562F60" w:rsidRPr="0076473C" w:rsidRDefault="00562F60" w:rsidP="00562F60">
      <w:pPr>
        <w:pStyle w:val="Citationenretrait"/>
        <w:rPr>
          <w:lang w:val="en-CA"/>
        </w:rPr>
      </w:pPr>
      <w:r w:rsidRPr="0076473C">
        <w:rPr>
          <w:lang w:val="en-CA"/>
        </w:rPr>
        <w:t>[65]</w:t>
      </w:r>
      <w:r w:rsidRPr="0076473C">
        <w:rPr>
          <w:lang w:val="en-CA"/>
        </w:rPr>
        <w:tab/>
      </w:r>
      <w:r w:rsidR="00672815" w:rsidRPr="0076473C">
        <w:rPr>
          <w:lang w:val="en-CA"/>
        </w:rPr>
        <w:t>... were it not for the adolescent</w:t>
      </w:r>
      <w:r w:rsidR="00350524">
        <w:rPr>
          <w:lang w:val="en-CA"/>
        </w:rPr>
        <w:t>’s access</w:t>
      </w:r>
      <w:r w:rsidR="00672815" w:rsidRPr="0076473C">
        <w:rPr>
          <w:lang w:val="en-CA"/>
        </w:rPr>
        <w:t xml:space="preserve"> to this type of media, the offender never would have succeeded in maintaining the conversations that enable</w:t>
      </w:r>
      <w:r w:rsidR="00CD0E25">
        <w:rPr>
          <w:lang w:val="en-CA"/>
        </w:rPr>
        <w:t>d</w:t>
      </w:r>
      <w:r w:rsidR="00672815" w:rsidRPr="0076473C">
        <w:rPr>
          <w:lang w:val="en-CA"/>
        </w:rPr>
        <w:t xml:space="preserve"> them to have their repeated </w:t>
      </w:r>
      <w:r w:rsidR="00B24FC5" w:rsidRPr="0076473C">
        <w:rPr>
          <w:lang w:val="en-CA"/>
        </w:rPr>
        <w:t>rendezvous</w:t>
      </w:r>
      <w:r w:rsidR="00672815" w:rsidRPr="0076473C">
        <w:rPr>
          <w:lang w:val="en-CA"/>
        </w:rPr>
        <w:t>.</w:t>
      </w:r>
      <w:r w:rsidRPr="0076473C">
        <w:rPr>
          <w:rStyle w:val="Appelnotedebasdep"/>
          <w:lang w:val="en-CA"/>
        </w:rPr>
        <w:footnoteReference w:id="28"/>
      </w:r>
    </w:p>
    <w:p w14:paraId="62779C31" w14:textId="78EDEC97" w:rsidR="00562F60" w:rsidRPr="006C0449" w:rsidRDefault="004766D9" w:rsidP="00562F60">
      <w:pPr>
        <w:pStyle w:val="Paragraphe"/>
        <w:spacing w:line="280" w:lineRule="exact"/>
        <w:rPr>
          <w:lang w:val="en-CA"/>
        </w:rPr>
      </w:pPr>
      <w:r>
        <w:rPr>
          <w:lang w:val="en-CA"/>
        </w:rPr>
        <w:t>And</w:t>
      </w:r>
      <w:r w:rsidR="00672815" w:rsidRPr="006C0449">
        <w:rPr>
          <w:lang w:val="en-CA"/>
        </w:rPr>
        <w:t xml:space="preserve"> conclude</w:t>
      </w:r>
      <w:r>
        <w:rPr>
          <w:lang w:val="en-CA"/>
        </w:rPr>
        <w:t>d</w:t>
      </w:r>
      <w:r w:rsidR="00672815" w:rsidRPr="006C0449">
        <w:rPr>
          <w:lang w:val="en-CA"/>
        </w:rPr>
        <w:t xml:space="preserve"> that:</w:t>
      </w:r>
    </w:p>
    <w:p w14:paraId="0A64C28D" w14:textId="18EDDADD" w:rsidR="00662045" w:rsidRPr="0076473C" w:rsidRDefault="00662045" w:rsidP="00662045">
      <w:pPr>
        <w:pStyle w:val="Paragraphe"/>
        <w:numPr>
          <w:ilvl w:val="0"/>
          <w:numId w:val="0"/>
        </w:numPr>
        <w:spacing w:line="280" w:lineRule="exact"/>
        <w:rPr>
          <w:lang w:val="en-CA"/>
        </w:rPr>
      </w:pPr>
      <w:r w:rsidRPr="0076473C">
        <w:rPr>
          <w:lang w:val="en-CA"/>
        </w:rPr>
        <w:tab/>
        <w:t>[</w:t>
      </w:r>
      <w:r w:rsidRPr="0076473C">
        <w:rPr>
          <w:smallCaps/>
          <w:lang w:val="en-CA"/>
        </w:rPr>
        <w:t>translation</w:t>
      </w:r>
      <w:r w:rsidRPr="0076473C">
        <w:rPr>
          <w:lang w:val="en-CA"/>
        </w:rPr>
        <w:t>]</w:t>
      </w:r>
    </w:p>
    <w:p w14:paraId="21AFEB21" w14:textId="5DB8F519" w:rsidR="00562F60" w:rsidRPr="0076473C" w:rsidRDefault="00562F60" w:rsidP="00562F60">
      <w:pPr>
        <w:pStyle w:val="Citationenretrait"/>
        <w:rPr>
          <w:lang w:val="en-CA"/>
        </w:rPr>
      </w:pPr>
      <w:r w:rsidRPr="0076473C">
        <w:rPr>
          <w:lang w:val="en-CA"/>
        </w:rPr>
        <w:t>[67]</w:t>
      </w:r>
      <w:r w:rsidRPr="0076473C">
        <w:rPr>
          <w:lang w:val="en-CA"/>
        </w:rPr>
        <w:tab/>
      </w:r>
      <w:r w:rsidR="00672815" w:rsidRPr="006C0449">
        <w:rPr>
          <w:lang w:val="en-CA"/>
        </w:rPr>
        <w:t>... In the Court’s opinion, the means used by the offender to communicate with X reveal a generational choice rather than a means specifically chosen to anonymously browse various websites searching for a young victim or to enter into contact with a young person for the purpose of eventually obtaining sexual favours.</w:t>
      </w:r>
      <w:r w:rsidRPr="0076473C">
        <w:rPr>
          <w:rStyle w:val="Appelnotedebasdep"/>
          <w:lang w:val="en-CA"/>
        </w:rPr>
        <w:footnoteReference w:id="29"/>
      </w:r>
    </w:p>
    <w:p w14:paraId="74DC16F8" w14:textId="755D7EF3" w:rsidR="00562F60" w:rsidRPr="006C0449" w:rsidRDefault="00672815" w:rsidP="00562F60">
      <w:pPr>
        <w:pStyle w:val="Paragraphe"/>
        <w:spacing w:line="280" w:lineRule="exact"/>
        <w:rPr>
          <w:lang w:val="en-CA"/>
        </w:rPr>
      </w:pPr>
      <w:r w:rsidRPr="006C0449">
        <w:rPr>
          <w:lang w:val="en-CA"/>
        </w:rPr>
        <w:t>Moreover:</w:t>
      </w:r>
    </w:p>
    <w:p w14:paraId="1EDC1967" w14:textId="3EEFA529" w:rsidR="00662045" w:rsidRPr="0076473C" w:rsidRDefault="00662045" w:rsidP="00662045">
      <w:pPr>
        <w:pStyle w:val="Paragraphe"/>
        <w:numPr>
          <w:ilvl w:val="0"/>
          <w:numId w:val="0"/>
        </w:numPr>
        <w:spacing w:line="280" w:lineRule="exact"/>
        <w:rPr>
          <w:lang w:val="en-CA"/>
        </w:rPr>
      </w:pPr>
      <w:r w:rsidRPr="006C0449">
        <w:rPr>
          <w:lang w:val="en-CA"/>
        </w:rPr>
        <w:tab/>
      </w:r>
      <w:r w:rsidRPr="0076473C">
        <w:rPr>
          <w:lang w:val="en-CA"/>
        </w:rPr>
        <w:t>[</w:t>
      </w:r>
      <w:r w:rsidRPr="0076473C">
        <w:rPr>
          <w:smallCaps/>
          <w:lang w:val="en-CA"/>
        </w:rPr>
        <w:t>translation</w:t>
      </w:r>
      <w:r w:rsidRPr="0076473C">
        <w:rPr>
          <w:lang w:val="en-CA"/>
        </w:rPr>
        <w:t>]</w:t>
      </w:r>
    </w:p>
    <w:p w14:paraId="3A6A1AF6" w14:textId="20CEF471" w:rsidR="00562F60" w:rsidRPr="0076473C" w:rsidRDefault="00562F60" w:rsidP="00562F60">
      <w:pPr>
        <w:pStyle w:val="Citationenretrait"/>
        <w:rPr>
          <w:lang w:val="en-CA"/>
        </w:rPr>
      </w:pPr>
      <w:r w:rsidRPr="0076473C">
        <w:rPr>
          <w:lang w:val="en-CA"/>
        </w:rPr>
        <w:t>[70]</w:t>
      </w:r>
      <w:r w:rsidRPr="0076473C">
        <w:rPr>
          <w:lang w:val="en-CA"/>
        </w:rPr>
        <w:tab/>
      </w:r>
      <w:r w:rsidR="00CC6E10" w:rsidRPr="0076473C">
        <w:rPr>
          <w:lang w:val="en-CA"/>
        </w:rPr>
        <w:t>Although the</w:t>
      </w:r>
      <w:r w:rsidR="00CC6E10">
        <w:rPr>
          <w:lang w:val="en-CA"/>
        </w:rPr>
        <w:t>se</w:t>
      </w:r>
      <w:r w:rsidR="00CC6E10" w:rsidRPr="0076473C">
        <w:rPr>
          <w:lang w:val="en-CA"/>
        </w:rPr>
        <w:t xml:space="preserve"> communications</w:t>
      </w:r>
      <w:r w:rsidR="00CC6E10">
        <w:rPr>
          <w:lang w:val="en-CA"/>
        </w:rPr>
        <w:t xml:space="preserve"> were</w:t>
      </w:r>
      <w:r w:rsidR="00CC6E10" w:rsidRPr="0076473C">
        <w:rPr>
          <w:lang w:val="en-CA"/>
        </w:rPr>
        <w:t xml:space="preserve"> made for the purpose of facilitating the commission of sexual offences against a person under the age of 16 years, the acts committed by the offender do not constitute preparatory grooming of the adolescent for the purpose of lowering her inhibitions and convincing her to participate in sexual activities. </w:t>
      </w:r>
      <w:r w:rsidR="00CC6E10" w:rsidRPr="006C0449">
        <w:rPr>
          <w:lang w:val="en-CA"/>
        </w:rPr>
        <w:t>She had already consented to such activities three times.</w:t>
      </w:r>
      <w:r w:rsidR="00CC6E10" w:rsidRPr="0076473C">
        <w:rPr>
          <w:lang w:val="en-CA"/>
        </w:rPr>
        <w:t xml:space="preserve"> </w:t>
      </w:r>
      <w:r w:rsidR="00CC6E10" w:rsidRPr="006C0449">
        <w:rPr>
          <w:lang w:val="en-CA"/>
        </w:rPr>
        <w:t xml:space="preserve">They are instead repeated attempts, through the use of electronic conversations, to have sexual intercourse with her again, made in the specific context of a young vulnerable girl who was </w:t>
      </w:r>
      <w:r w:rsidR="00757DE7">
        <w:rPr>
          <w:lang w:val="en-CA"/>
        </w:rPr>
        <w:t>under</w:t>
      </w:r>
      <w:r w:rsidR="00CC6E10" w:rsidRPr="006C0449">
        <w:rPr>
          <w:lang w:val="en-CA"/>
        </w:rPr>
        <w:t xml:space="preserve"> the Director of Youth Protection</w:t>
      </w:r>
      <w:r w:rsidR="00757DE7">
        <w:rPr>
          <w:lang w:val="en-CA"/>
        </w:rPr>
        <w:t>’s care</w:t>
      </w:r>
      <w:r w:rsidR="00CC6E10" w:rsidRPr="006C0449">
        <w:rPr>
          <w:lang w:val="en-CA"/>
        </w:rPr>
        <w:t>.</w:t>
      </w:r>
      <w:r w:rsidRPr="0076473C">
        <w:rPr>
          <w:rStyle w:val="Appelnotedebasdep"/>
          <w:lang w:val="en-CA"/>
        </w:rPr>
        <w:footnoteReference w:id="30"/>
      </w:r>
    </w:p>
    <w:p w14:paraId="13991461" w14:textId="3329A70D" w:rsidR="00562F60" w:rsidRPr="0076473C" w:rsidRDefault="00B24FC5" w:rsidP="00562F60">
      <w:pPr>
        <w:pStyle w:val="Paragraphe"/>
        <w:spacing w:line="280" w:lineRule="exact"/>
        <w:rPr>
          <w:lang w:val="en-CA"/>
        </w:rPr>
      </w:pPr>
      <w:r w:rsidRPr="0076473C">
        <w:rPr>
          <w:lang w:val="en-CA"/>
        </w:rPr>
        <w:t>The</w:t>
      </w:r>
      <w:r w:rsidR="004766D9">
        <w:rPr>
          <w:lang w:val="en-CA"/>
        </w:rPr>
        <w:t xml:space="preserve"> parties’</w:t>
      </w:r>
      <w:r w:rsidRPr="0076473C">
        <w:rPr>
          <w:lang w:val="en-CA"/>
        </w:rPr>
        <w:t xml:space="preserve"> </w:t>
      </w:r>
      <w:r w:rsidR="0015447A" w:rsidRPr="0076473C">
        <w:rPr>
          <w:lang w:val="en-CA"/>
        </w:rPr>
        <w:t>submissions</w:t>
      </w:r>
      <w:r w:rsidR="002710EC">
        <w:rPr>
          <w:lang w:val="en-CA"/>
        </w:rPr>
        <w:t xml:space="preserve"> on sentencing</w:t>
      </w:r>
      <w:r w:rsidRPr="0076473C">
        <w:rPr>
          <w:lang w:val="en-CA"/>
        </w:rPr>
        <w:t xml:space="preserve"> indicate that the victim had been placed in a rehabilitation centre for a period of eight months, </w:t>
      </w:r>
      <w:r w:rsidR="00532A46">
        <w:rPr>
          <w:lang w:val="en-CA"/>
        </w:rPr>
        <w:t xml:space="preserve">starting in </w:t>
      </w:r>
      <w:r w:rsidRPr="0076473C">
        <w:rPr>
          <w:lang w:val="en-CA"/>
        </w:rPr>
        <w:t>April 2015.</w:t>
      </w:r>
      <w:r w:rsidR="00562F60" w:rsidRPr="0076473C">
        <w:rPr>
          <w:rStyle w:val="Appelnotedebasdep"/>
          <w:lang w:val="en-CA"/>
        </w:rPr>
        <w:footnoteReference w:id="31"/>
      </w:r>
      <w:r w:rsidR="00562F60" w:rsidRPr="0076473C">
        <w:rPr>
          <w:lang w:val="en-CA"/>
        </w:rPr>
        <w:t xml:space="preserve"> </w:t>
      </w:r>
      <w:r w:rsidRPr="0076473C">
        <w:rPr>
          <w:lang w:val="en-CA"/>
        </w:rPr>
        <w:t xml:space="preserve">The respondent’s testimony during the hearing on December 17, 2019, </w:t>
      </w:r>
      <w:r w:rsidR="00B51B97" w:rsidRPr="0076473C">
        <w:rPr>
          <w:lang w:val="en-CA"/>
        </w:rPr>
        <w:t>established</w:t>
      </w:r>
      <w:r w:rsidRPr="0076473C">
        <w:rPr>
          <w:lang w:val="en-CA"/>
        </w:rPr>
        <w:t xml:space="preserve"> that he even</w:t>
      </w:r>
      <w:r w:rsidR="002710EC" w:rsidRPr="002710EC">
        <w:rPr>
          <w:lang w:val="en-CA"/>
        </w:rPr>
        <w:t xml:space="preserve"> </w:t>
      </w:r>
      <w:r w:rsidR="002710EC" w:rsidRPr="0076473C">
        <w:rPr>
          <w:lang w:val="en-CA"/>
        </w:rPr>
        <w:t>communicated with the victim in 2017 using Tinder</w:t>
      </w:r>
      <w:r w:rsidRPr="0076473C">
        <w:rPr>
          <w:lang w:val="en-CA"/>
        </w:rPr>
        <w:t xml:space="preserve">, despite it being prohibited: </w:t>
      </w:r>
      <w:r w:rsidRPr="0076473C">
        <w:rPr>
          <w:lang w:val="en-CA"/>
        </w:rPr>
        <w:lastRenderedPageBreak/>
        <w:t>[</w:t>
      </w:r>
      <w:r w:rsidRPr="0076473C">
        <w:rPr>
          <w:smallCaps/>
          <w:lang w:val="en-CA"/>
        </w:rPr>
        <w:t>translation</w:t>
      </w:r>
      <w:r w:rsidRPr="0076473C">
        <w:rPr>
          <w:lang w:val="en-CA"/>
        </w:rPr>
        <w:t xml:space="preserve">] “Because I knew that she was in love with me and she </w:t>
      </w:r>
      <w:r w:rsidR="00B332D3">
        <w:rPr>
          <w:lang w:val="en-CA"/>
        </w:rPr>
        <w:t>had not forgotten</w:t>
      </w:r>
      <w:r w:rsidRPr="0076473C">
        <w:rPr>
          <w:lang w:val="en-CA"/>
        </w:rPr>
        <w:t xml:space="preserve"> me, and she sent me a request on Facebook, and after that she came to talk to me, </w:t>
      </w:r>
      <w:r w:rsidR="00B332D3">
        <w:rPr>
          <w:lang w:val="en-CA"/>
        </w:rPr>
        <w:t>so</w:t>
      </w:r>
      <w:r w:rsidRPr="0076473C">
        <w:rPr>
          <w:lang w:val="en-CA"/>
        </w:rPr>
        <w:t>...</w:t>
      </w:r>
      <w:r w:rsidR="0015447A" w:rsidRPr="0076473C">
        <w:rPr>
          <w:lang w:val="en-CA"/>
        </w:rPr>
        <w:t>”.</w:t>
      </w:r>
      <w:r w:rsidR="00562F60" w:rsidRPr="0076473C">
        <w:rPr>
          <w:rStyle w:val="Appelnotedebasdep"/>
          <w:lang w:val="en-CA"/>
        </w:rPr>
        <w:footnoteReference w:id="32"/>
      </w:r>
    </w:p>
    <w:p w14:paraId="72AF8BE0" w14:textId="4AB7A74D" w:rsidR="00562F60" w:rsidRPr="0076473C" w:rsidRDefault="00B24FC5" w:rsidP="00562F60">
      <w:pPr>
        <w:pStyle w:val="Paragraphe"/>
        <w:spacing w:line="280" w:lineRule="exact"/>
        <w:rPr>
          <w:lang w:val="en-CA"/>
        </w:rPr>
      </w:pPr>
      <w:r w:rsidRPr="0076473C">
        <w:rPr>
          <w:lang w:val="en-CA"/>
        </w:rPr>
        <w:t xml:space="preserve">These observations </w:t>
      </w:r>
      <w:r w:rsidR="00532A46">
        <w:rPr>
          <w:lang w:val="en-CA"/>
        </w:rPr>
        <w:t>emerging from the evidence</w:t>
      </w:r>
      <w:r w:rsidRPr="0076473C">
        <w:rPr>
          <w:lang w:val="en-CA"/>
        </w:rPr>
        <w:t xml:space="preserve"> and from the respondent’s own admission support the conclusion that the respondent knowingly and </w:t>
      </w:r>
      <w:r w:rsidR="00532A46">
        <w:rPr>
          <w:lang w:val="en-CA"/>
        </w:rPr>
        <w:t xml:space="preserve">more specifically because of </w:t>
      </w:r>
      <w:r w:rsidRPr="0076473C">
        <w:rPr>
          <w:lang w:val="en-CA"/>
        </w:rPr>
        <w:t xml:space="preserve">the strong dependence and great vulnerability </w:t>
      </w:r>
      <w:r w:rsidR="00BF0D25">
        <w:rPr>
          <w:lang w:val="en-CA"/>
        </w:rPr>
        <w:t>of the victim cho</w:t>
      </w:r>
      <w:r w:rsidRPr="0076473C">
        <w:rPr>
          <w:lang w:val="en-CA"/>
        </w:rPr>
        <w:t xml:space="preserve">se to use the means of telecommunication available to him and the victim to </w:t>
      </w:r>
      <w:r w:rsidR="00E52181">
        <w:rPr>
          <w:lang w:val="en-CA"/>
        </w:rPr>
        <w:t>multiply</w:t>
      </w:r>
      <w:r w:rsidR="00E52181" w:rsidRPr="0076473C">
        <w:rPr>
          <w:lang w:val="en-CA"/>
        </w:rPr>
        <w:t xml:space="preserve"> </w:t>
      </w:r>
      <w:r w:rsidRPr="0076473C">
        <w:rPr>
          <w:lang w:val="en-CA"/>
        </w:rPr>
        <w:t xml:space="preserve">their encounters to ensure his </w:t>
      </w:r>
      <w:r w:rsidR="0015447A" w:rsidRPr="0076473C">
        <w:rPr>
          <w:lang w:val="en-CA"/>
        </w:rPr>
        <w:t>control</w:t>
      </w:r>
      <w:r w:rsidRPr="0076473C">
        <w:rPr>
          <w:lang w:val="en-CA"/>
        </w:rPr>
        <w:t xml:space="preserve"> and </w:t>
      </w:r>
      <w:r w:rsidR="006A3409" w:rsidRPr="0076473C">
        <w:rPr>
          <w:lang w:val="en-CA"/>
        </w:rPr>
        <w:t>maintain</w:t>
      </w:r>
      <w:r w:rsidRPr="0076473C">
        <w:rPr>
          <w:lang w:val="en-CA"/>
        </w:rPr>
        <w:t xml:space="preserve"> his domination over her </w:t>
      </w:r>
      <w:r w:rsidR="00532A46">
        <w:rPr>
          <w:lang w:val="en-CA"/>
        </w:rPr>
        <w:t>solely for the</w:t>
      </w:r>
      <w:r w:rsidRPr="0076473C">
        <w:rPr>
          <w:lang w:val="en-CA"/>
        </w:rPr>
        <w:t xml:space="preserve"> selfish purpose of satisfying his sexual impulses.</w:t>
      </w:r>
      <w:r w:rsidR="00562F60" w:rsidRPr="0076473C">
        <w:rPr>
          <w:lang w:val="en-CA"/>
        </w:rPr>
        <w:t xml:space="preserve"> </w:t>
      </w:r>
    </w:p>
    <w:p w14:paraId="53960AE2" w14:textId="78B2AA4F" w:rsidR="00562F60" w:rsidRPr="0076473C" w:rsidRDefault="00B24FC5" w:rsidP="00562F60">
      <w:pPr>
        <w:pStyle w:val="Paragraphe"/>
        <w:spacing w:line="280" w:lineRule="exact"/>
        <w:rPr>
          <w:lang w:val="en-CA"/>
        </w:rPr>
      </w:pPr>
      <w:r w:rsidRPr="0076473C">
        <w:rPr>
          <w:lang w:val="en-CA"/>
        </w:rPr>
        <w:t>I cannot accept that the offence of luring a child must be limited solely to communication</w:t>
      </w:r>
      <w:r w:rsidR="00CD46A8">
        <w:rPr>
          <w:lang w:val="en-CA"/>
        </w:rPr>
        <w:t>s</w:t>
      </w:r>
      <w:r w:rsidRPr="0076473C">
        <w:rPr>
          <w:lang w:val="en-CA"/>
        </w:rPr>
        <w:t xml:space="preserve"> that </w:t>
      </w:r>
      <w:r w:rsidR="006A3409" w:rsidRPr="0076473C">
        <w:rPr>
          <w:lang w:val="en-CA"/>
        </w:rPr>
        <w:t>precede</w:t>
      </w:r>
      <w:r w:rsidR="00532A46">
        <w:rPr>
          <w:lang w:val="en-CA"/>
        </w:rPr>
        <w:t>d</w:t>
      </w:r>
      <w:r w:rsidRPr="0076473C">
        <w:rPr>
          <w:lang w:val="en-CA"/>
        </w:rPr>
        <w:t xml:space="preserve"> </w:t>
      </w:r>
      <w:r w:rsidR="00CD46A8">
        <w:rPr>
          <w:lang w:val="en-CA"/>
        </w:rPr>
        <w:t>the</w:t>
      </w:r>
      <w:r w:rsidRPr="0076473C">
        <w:rPr>
          <w:lang w:val="en-CA"/>
        </w:rPr>
        <w:t xml:space="preserve"> sexual assault or sexual interference.</w:t>
      </w:r>
      <w:r w:rsidR="00562F60" w:rsidRPr="0076473C">
        <w:rPr>
          <w:lang w:val="en-CA"/>
        </w:rPr>
        <w:t xml:space="preserve"> </w:t>
      </w:r>
      <w:r w:rsidR="00CD46A8">
        <w:rPr>
          <w:lang w:val="en-CA"/>
        </w:rPr>
        <w:t>This very vulnerable young person was the victim of manipulation</w:t>
      </w:r>
      <w:r w:rsidRPr="0076473C">
        <w:rPr>
          <w:lang w:val="en-CA"/>
        </w:rPr>
        <w:t xml:space="preserve"> between February 2015 and </w:t>
      </w:r>
      <w:r w:rsidR="0015447A" w:rsidRPr="0076473C">
        <w:rPr>
          <w:lang w:val="en-CA"/>
        </w:rPr>
        <w:t>September 2015, through</w:t>
      </w:r>
      <w:r w:rsidR="00CD46A8">
        <w:rPr>
          <w:lang w:val="en-CA"/>
        </w:rPr>
        <w:t xml:space="preserve"> the defendant’s increased contact with her.</w:t>
      </w:r>
      <w:r w:rsidR="00BF0D25">
        <w:rPr>
          <w:lang w:val="en-CA"/>
        </w:rPr>
        <w:t xml:space="preserve"> </w:t>
      </w:r>
      <w:r w:rsidR="00CD46A8">
        <w:rPr>
          <w:lang w:val="en-CA"/>
        </w:rPr>
        <w:t xml:space="preserve">This manipulation </w:t>
      </w:r>
      <w:r w:rsidR="0015447A" w:rsidRPr="0076473C">
        <w:rPr>
          <w:lang w:val="en-CA"/>
        </w:rPr>
        <w:t>establishes</w:t>
      </w:r>
      <w:r w:rsidRPr="0076473C">
        <w:rPr>
          <w:lang w:val="en-CA"/>
        </w:rPr>
        <w:t xml:space="preserve">, without a shadow of a doubt, that all of this had no purpose </w:t>
      </w:r>
      <w:r w:rsidR="00532A46">
        <w:rPr>
          <w:lang w:val="en-CA"/>
        </w:rPr>
        <w:t xml:space="preserve">other </w:t>
      </w:r>
      <w:r w:rsidRPr="0076473C">
        <w:rPr>
          <w:lang w:val="en-CA"/>
        </w:rPr>
        <w:t>than to facilitate another sexual offence against the victim.</w:t>
      </w:r>
      <w:r w:rsidR="00562F60" w:rsidRPr="0076473C">
        <w:rPr>
          <w:rStyle w:val="Appelnotedebasdep"/>
          <w:lang w:val="en-CA"/>
        </w:rPr>
        <w:footnoteReference w:id="33"/>
      </w:r>
      <w:r w:rsidR="00562F60" w:rsidRPr="0076473C">
        <w:rPr>
          <w:lang w:val="en-CA"/>
        </w:rPr>
        <w:t xml:space="preserve"> </w:t>
      </w:r>
      <w:r w:rsidRPr="0076473C">
        <w:rPr>
          <w:lang w:val="en-CA"/>
        </w:rPr>
        <w:t>The sole purpose of the</w:t>
      </w:r>
      <w:r w:rsidR="00CD46A8">
        <w:rPr>
          <w:lang w:val="en-CA"/>
        </w:rPr>
        <w:t xml:space="preserve"> respondent’s</w:t>
      </w:r>
      <w:r w:rsidRPr="0076473C">
        <w:rPr>
          <w:lang w:val="en-CA"/>
        </w:rPr>
        <w:t xml:space="preserve"> communications with the victim by a means of telecommunication was to maintain and </w:t>
      </w:r>
      <w:r w:rsidR="0084490D">
        <w:rPr>
          <w:lang w:val="en-CA"/>
        </w:rPr>
        <w:t>build</w:t>
      </w:r>
      <w:r w:rsidR="0084490D" w:rsidRPr="0076473C">
        <w:rPr>
          <w:lang w:val="en-CA"/>
        </w:rPr>
        <w:t xml:space="preserve"> </w:t>
      </w:r>
      <w:r w:rsidRPr="0076473C">
        <w:rPr>
          <w:lang w:val="en-CA"/>
        </w:rPr>
        <w:t>the relationship of trust that existed between them.</w:t>
      </w:r>
    </w:p>
    <w:p w14:paraId="3E2C5957" w14:textId="43D9F1E3" w:rsidR="00562F60" w:rsidRPr="0076473C" w:rsidRDefault="000B50FC" w:rsidP="00562F60">
      <w:pPr>
        <w:pStyle w:val="Paragraphe"/>
        <w:spacing w:line="280" w:lineRule="exact"/>
        <w:rPr>
          <w:lang w:val="en-CA"/>
        </w:rPr>
      </w:pPr>
      <w:r>
        <w:rPr>
          <w:lang w:val="en-CA"/>
        </w:rPr>
        <w:t>The Supreme Court clearly set</w:t>
      </w:r>
      <w:r w:rsidR="00B24FC5" w:rsidRPr="006C0449">
        <w:rPr>
          <w:lang w:val="en-CA"/>
        </w:rPr>
        <w:t xml:space="preserve"> out the applicable principle in such situations when it </w:t>
      </w:r>
      <w:r>
        <w:rPr>
          <w:lang w:val="en-CA"/>
        </w:rPr>
        <w:t>wrote</w:t>
      </w:r>
      <w:r w:rsidR="00B24FC5" w:rsidRPr="006C0449">
        <w:rPr>
          <w:lang w:val="en-CA"/>
        </w:rPr>
        <w:t>:</w:t>
      </w:r>
    </w:p>
    <w:p w14:paraId="466C4542" w14:textId="0684FC7A" w:rsidR="00562F60" w:rsidRPr="0076473C" w:rsidRDefault="00B24FC5" w:rsidP="00562F60">
      <w:pPr>
        <w:pStyle w:val="Citationenretrait"/>
        <w:rPr>
          <w:szCs w:val="22"/>
          <w:lang w:val="en-CA"/>
        </w:rPr>
      </w:pPr>
      <w:r w:rsidRPr="0076473C">
        <w:rPr>
          <w:szCs w:val="22"/>
          <w:lang w:val="en-CA"/>
        </w:rPr>
        <w:t>[153]   Third, in some cases, a victim’s participation is the result of a campaign of grooming by the offender or of a breach of an existing relationship of trust. In no case should the victim’s participation be considered a mitigating factor. Where a breach of trust or grooming led to the participation, that should properly be seen as an aggrava</w:t>
      </w:r>
      <w:r w:rsidR="0015447A" w:rsidRPr="0076473C">
        <w:rPr>
          <w:szCs w:val="22"/>
          <w:lang w:val="en-CA"/>
        </w:rPr>
        <w:t>ting factor (</w:t>
      </w:r>
      <w:r w:rsidR="0015447A" w:rsidRPr="00BF0D25">
        <w:rPr>
          <w:i/>
          <w:szCs w:val="22"/>
          <w:lang w:val="en-CA"/>
        </w:rPr>
        <w:t>R. v. P.M.</w:t>
      </w:r>
      <w:r w:rsidR="0015447A" w:rsidRPr="0076473C">
        <w:rPr>
          <w:szCs w:val="22"/>
          <w:lang w:val="en-CA"/>
        </w:rPr>
        <w:t xml:space="preserve"> (2002)</w:t>
      </w:r>
      <w:r w:rsidRPr="0076473C">
        <w:rPr>
          <w:szCs w:val="22"/>
          <w:lang w:val="en-CA"/>
        </w:rPr>
        <w:t>, 155 O.A.C. 242, at pa</w:t>
      </w:r>
      <w:r w:rsidR="0015447A" w:rsidRPr="0076473C">
        <w:rPr>
          <w:szCs w:val="22"/>
          <w:lang w:val="en-CA"/>
        </w:rPr>
        <w:t xml:space="preserve">ra. 19; </w:t>
      </w:r>
      <w:r w:rsidR="0015447A" w:rsidRPr="00BF0D25">
        <w:rPr>
          <w:i/>
          <w:szCs w:val="22"/>
          <w:lang w:val="en-CA"/>
        </w:rPr>
        <w:t>R. v. F. (G.C.)</w:t>
      </w:r>
      <w:r w:rsidR="0015447A" w:rsidRPr="0076473C">
        <w:rPr>
          <w:szCs w:val="22"/>
          <w:lang w:val="en-CA"/>
        </w:rPr>
        <w:t xml:space="preserve"> (2004)</w:t>
      </w:r>
      <w:r w:rsidRPr="0076473C">
        <w:rPr>
          <w:szCs w:val="22"/>
          <w:lang w:val="en-CA"/>
        </w:rPr>
        <w:t xml:space="preserve">, 71 O.R. (3d) 771 (C.A.), at paras. 7 and 21; </w:t>
      </w:r>
      <w:r w:rsidRPr="0076473C">
        <w:rPr>
          <w:i/>
          <w:szCs w:val="22"/>
          <w:lang w:val="en-CA"/>
        </w:rPr>
        <w:t>Woodward</w:t>
      </w:r>
      <w:r w:rsidRPr="0076473C">
        <w:rPr>
          <w:szCs w:val="22"/>
          <w:lang w:val="en-CA"/>
        </w:rPr>
        <w:t xml:space="preserve">, at para. 43). Adolescence can be a confusing and challenging time for young people as they grow and mature, navigate friendships and peer groups, and discover their sexuality. As Feldman J.A. wrote in </w:t>
      </w:r>
      <w:r w:rsidRPr="0076473C">
        <w:rPr>
          <w:i/>
          <w:szCs w:val="22"/>
          <w:lang w:val="en-CA"/>
        </w:rPr>
        <w:t>P.M.,</w:t>
      </w:r>
      <w:r w:rsidRPr="0076473C">
        <w:rPr>
          <w:szCs w:val="22"/>
          <w:lang w:val="en-CA"/>
        </w:rPr>
        <w:t xml:space="preserve"> to exploit young teenagers during this period by leading them to believe that they are in a love relationship with an adult “reveals a level of amorality that is of great concern” (para. 19).</w:t>
      </w:r>
      <w:r w:rsidR="00562F60" w:rsidRPr="0076473C">
        <w:rPr>
          <w:rStyle w:val="Appelnotedebasdep"/>
          <w:szCs w:val="22"/>
          <w:lang w:val="en-CA"/>
        </w:rPr>
        <w:footnoteReference w:id="34"/>
      </w:r>
    </w:p>
    <w:p w14:paraId="42A9C8F9" w14:textId="5CB78B19" w:rsidR="00562F60" w:rsidRPr="0076473C" w:rsidRDefault="00F7758C" w:rsidP="00562F60">
      <w:pPr>
        <w:pStyle w:val="Paragraphe"/>
        <w:spacing w:line="280" w:lineRule="exact"/>
        <w:rPr>
          <w:sz w:val="22"/>
          <w:szCs w:val="22"/>
          <w:lang w:val="en-CA" w:eastAsia="fr-CA"/>
        </w:rPr>
      </w:pPr>
      <w:bookmarkStart w:id="9" w:name="_Ref77770824"/>
      <w:r w:rsidRPr="0076473C">
        <w:rPr>
          <w:lang w:val="en-CA"/>
        </w:rPr>
        <w:lastRenderedPageBreak/>
        <w:t xml:space="preserve">In </w:t>
      </w:r>
      <w:r w:rsidRPr="0076473C">
        <w:rPr>
          <w:i/>
          <w:lang w:val="en-CA"/>
        </w:rPr>
        <w:t>Rayo</w:t>
      </w:r>
      <w:r w:rsidRPr="0076473C">
        <w:rPr>
          <w:lang w:val="en-CA"/>
        </w:rPr>
        <w:t>,</w:t>
      </w:r>
      <w:r w:rsidRPr="0076473C">
        <w:rPr>
          <w:rStyle w:val="Appelnotedebasdep"/>
          <w:spacing w:val="-2"/>
          <w:lang w:val="en-CA"/>
        </w:rPr>
        <w:footnoteReference w:id="35"/>
      </w:r>
      <w:r w:rsidRPr="0076473C">
        <w:rPr>
          <w:lang w:val="en-CA"/>
        </w:rPr>
        <w:t xml:space="preserve"> Kasirer</w:t>
      </w:r>
      <w:r w:rsidR="00532A46">
        <w:rPr>
          <w:lang w:val="en-CA"/>
        </w:rPr>
        <w:t>,</w:t>
      </w:r>
      <w:r w:rsidRPr="0076473C">
        <w:rPr>
          <w:lang w:val="en-CA"/>
        </w:rPr>
        <w:t xml:space="preserve"> J.A., </w:t>
      </w:r>
      <w:r w:rsidR="0084490D">
        <w:rPr>
          <w:lang w:val="en-CA"/>
        </w:rPr>
        <w:t xml:space="preserve">as he </w:t>
      </w:r>
      <w:r w:rsidR="00532A46">
        <w:rPr>
          <w:lang w:val="en-CA"/>
        </w:rPr>
        <w:t xml:space="preserve">then </w:t>
      </w:r>
      <w:r w:rsidR="0084490D">
        <w:rPr>
          <w:lang w:val="en-CA"/>
        </w:rPr>
        <w:t>was</w:t>
      </w:r>
      <w:r w:rsidRPr="0076473C">
        <w:rPr>
          <w:lang w:val="en-CA"/>
        </w:rPr>
        <w:t xml:space="preserve">, recalled that a term of </w:t>
      </w:r>
      <w:r w:rsidR="00532A46">
        <w:rPr>
          <w:lang w:val="en-CA"/>
        </w:rPr>
        <w:t xml:space="preserve">12 months’ </w:t>
      </w:r>
      <w:r w:rsidRPr="0076473C">
        <w:rPr>
          <w:lang w:val="en-CA"/>
        </w:rPr>
        <w:t xml:space="preserve">imprisonment is generally imposed for the offence of luring. </w:t>
      </w:r>
      <w:bookmarkEnd w:id="9"/>
      <w:r w:rsidR="00532A46">
        <w:rPr>
          <w:lang w:val="en-CA"/>
        </w:rPr>
        <w:t xml:space="preserve">But </w:t>
      </w:r>
      <w:r w:rsidRPr="0076473C">
        <w:rPr>
          <w:lang w:val="en-CA"/>
        </w:rPr>
        <w:t xml:space="preserve">for the errors in </w:t>
      </w:r>
      <w:r w:rsidR="006A3409" w:rsidRPr="0076473C">
        <w:rPr>
          <w:lang w:val="en-CA"/>
        </w:rPr>
        <w:t>principle</w:t>
      </w:r>
      <w:r w:rsidRPr="0076473C">
        <w:rPr>
          <w:lang w:val="en-CA"/>
        </w:rPr>
        <w:t xml:space="preserve"> noted, the trial judge certainly would not have concluded that the just sentence, proportionate to the gravity of the offence and the degree of responsibility of the offender, was </w:t>
      </w:r>
      <w:r w:rsidR="000B50FC">
        <w:rPr>
          <w:lang w:val="en-CA"/>
        </w:rPr>
        <w:t>5</w:t>
      </w:r>
      <w:r w:rsidRPr="0076473C">
        <w:rPr>
          <w:lang w:val="en-CA"/>
        </w:rPr>
        <w:t xml:space="preserve"> months’ </w:t>
      </w:r>
      <w:r w:rsidR="006A3409" w:rsidRPr="0076473C">
        <w:rPr>
          <w:lang w:val="en-CA"/>
        </w:rPr>
        <w:t>imprisonment</w:t>
      </w:r>
      <w:r w:rsidRPr="0076473C">
        <w:rPr>
          <w:lang w:val="en-CA"/>
        </w:rPr>
        <w:t xml:space="preserve"> to be served concurrent</w:t>
      </w:r>
      <w:r w:rsidR="00BF0D25">
        <w:rPr>
          <w:lang w:val="en-CA"/>
        </w:rPr>
        <w:t>ly</w:t>
      </w:r>
      <w:r w:rsidRPr="0076473C">
        <w:rPr>
          <w:lang w:val="en-CA"/>
        </w:rPr>
        <w:t xml:space="preserve"> </w:t>
      </w:r>
      <w:r w:rsidR="000B50FC">
        <w:rPr>
          <w:lang w:val="en-CA"/>
        </w:rPr>
        <w:t>with</w:t>
      </w:r>
      <w:r w:rsidRPr="0076473C">
        <w:rPr>
          <w:lang w:val="en-CA"/>
        </w:rPr>
        <w:t xml:space="preserve"> 10 months’ imprisonment for the count of sexual touching.</w:t>
      </w:r>
    </w:p>
    <w:p w14:paraId="068FC3B0" w14:textId="610EEF96" w:rsidR="00562F60" w:rsidRPr="0076473C" w:rsidRDefault="00F7758C" w:rsidP="00562F60">
      <w:pPr>
        <w:pStyle w:val="Paragraphe"/>
        <w:spacing w:line="280" w:lineRule="exact"/>
        <w:rPr>
          <w:sz w:val="22"/>
          <w:szCs w:val="22"/>
          <w:lang w:val="en-CA" w:eastAsia="fr-CA"/>
        </w:rPr>
      </w:pPr>
      <w:r w:rsidRPr="0076473C">
        <w:rPr>
          <w:lang w:val="en-CA"/>
        </w:rPr>
        <w:t>The parties did not see fit to file into the appeal record the pre-sentence report filed in the Court of Québec on November 20, 2017.</w:t>
      </w:r>
      <w:r w:rsidR="00562F60" w:rsidRPr="0076473C">
        <w:rPr>
          <w:lang w:val="en-CA"/>
        </w:rPr>
        <w:t xml:space="preserve"> </w:t>
      </w:r>
      <w:r w:rsidRPr="0076473C">
        <w:rPr>
          <w:lang w:val="en-CA"/>
        </w:rPr>
        <w:t xml:space="preserve">It is, however, possible to </w:t>
      </w:r>
      <w:r w:rsidR="00BF0D25">
        <w:rPr>
          <w:lang w:val="en-CA"/>
        </w:rPr>
        <w:t>gather</w:t>
      </w:r>
      <w:r w:rsidRPr="0076473C">
        <w:rPr>
          <w:lang w:val="en-CA"/>
        </w:rPr>
        <w:t xml:space="preserve"> from the judgment und</w:t>
      </w:r>
      <w:r w:rsidR="000B50FC">
        <w:rPr>
          <w:lang w:val="en-CA"/>
        </w:rPr>
        <w:t>er appeal (paragraphs 21 to 28)</w:t>
      </w:r>
      <w:r w:rsidRPr="0076473C">
        <w:rPr>
          <w:lang w:val="en-CA"/>
        </w:rPr>
        <w:t xml:space="preserve"> </w:t>
      </w:r>
      <w:r w:rsidR="00BF0D25">
        <w:rPr>
          <w:lang w:val="en-CA"/>
        </w:rPr>
        <w:t>and</w:t>
      </w:r>
      <w:r w:rsidRPr="0076473C">
        <w:rPr>
          <w:lang w:val="en-CA"/>
        </w:rPr>
        <w:t xml:space="preserve"> from the </w:t>
      </w:r>
      <w:r w:rsidR="006A3409" w:rsidRPr="0076473C">
        <w:rPr>
          <w:lang w:val="en-CA"/>
        </w:rPr>
        <w:t>parties’</w:t>
      </w:r>
      <w:r w:rsidRPr="0076473C">
        <w:rPr>
          <w:lang w:val="en-CA"/>
        </w:rPr>
        <w:t xml:space="preserve"> submission</w:t>
      </w:r>
      <w:r w:rsidR="00D814D9" w:rsidRPr="0076473C">
        <w:rPr>
          <w:lang w:val="en-CA"/>
        </w:rPr>
        <w:t>s</w:t>
      </w:r>
      <w:r w:rsidRPr="0076473C">
        <w:rPr>
          <w:lang w:val="en-CA"/>
        </w:rPr>
        <w:t xml:space="preserve"> </w:t>
      </w:r>
      <w:r w:rsidR="006A3409" w:rsidRPr="0076473C">
        <w:rPr>
          <w:lang w:val="en-CA"/>
        </w:rPr>
        <w:t>during</w:t>
      </w:r>
      <w:r w:rsidR="00BF0D25">
        <w:rPr>
          <w:lang w:val="en-CA"/>
        </w:rPr>
        <w:t xml:space="preserve"> the sentencing</w:t>
      </w:r>
      <w:r w:rsidR="000B50FC">
        <w:rPr>
          <w:lang w:val="en-CA"/>
        </w:rPr>
        <w:t xml:space="preserve"> hearing</w:t>
      </w:r>
      <w:r w:rsidRPr="0076473C">
        <w:rPr>
          <w:lang w:val="en-CA"/>
        </w:rPr>
        <w:t xml:space="preserve"> that this report was hardly favourable to the respondent.</w:t>
      </w:r>
      <w:r w:rsidR="00562F60" w:rsidRPr="0076473C">
        <w:rPr>
          <w:lang w:val="en-CA"/>
        </w:rPr>
        <w:t xml:space="preserve"> </w:t>
      </w:r>
      <w:r w:rsidRPr="0076473C">
        <w:rPr>
          <w:lang w:val="en-CA"/>
        </w:rPr>
        <w:t>Here is what the Crown prosecutor stated at the hearing of December 17, 2019:</w:t>
      </w:r>
    </w:p>
    <w:p w14:paraId="0E5E5128" w14:textId="5DDC367C" w:rsidR="00F7758C" w:rsidRPr="0076473C" w:rsidRDefault="00F7758C" w:rsidP="00F7758C">
      <w:pPr>
        <w:pStyle w:val="Paragraphe"/>
        <w:numPr>
          <w:ilvl w:val="0"/>
          <w:numId w:val="0"/>
        </w:numPr>
        <w:spacing w:line="280" w:lineRule="exact"/>
        <w:rPr>
          <w:sz w:val="22"/>
          <w:szCs w:val="22"/>
          <w:lang w:val="en-CA" w:eastAsia="fr-CA"/>
        </w:rPr>
      </w:pPr>
      <w:r w:rsidRPr="0076473C">
        <w:rPr>
          <w:lang w:val="en-CA"/>
        </w:rPr>
        <w:tab/>
        <w:t>[</w:t>
      </w:r>
      <w:r w:rsidRPr="0076473C">
        <w:rPr>
          <w:smallCaps/>
          <w:lang w:val="en-CA"/>
        </w:rPr>
        <w:t>translation</w:t>
      </w:r>
      <w:r w:rsidRPr="0076473C">
        <w:rPr>
          <w:lang w:val="en-CA"/>
        </w:rPr>
        <w:t>]</w:t>
      </w:r>
    </w:p>
    <w:p w14:paraId="5452F880" w14:textId="16CD51B6" w:rsidR="00562F60" w:rsidRPr="0076473C" w:rsidRDefault="0066306A" w:rsidP="00562F60">
      <w:pPr>
        <w:pStyle w:val="Citationenretrait"/>
        <w:rPr>
          <w:lang w:val="en-CA" w:eastAsia="fr-CA"/>
        </w:rPr>
      </w:pPr>
      <w:r w:rsidRPr="0076473C">
        <w:rPr>
          <w:lang w:val="en-CA" w:eastAsia="fr-CA"/>
        </w:rPr>
        <w:t xml:space="preserve">What the officer is saying is that he benefited from a positive family environment in which there were no psychosocial </w:t>
      </w:r>
      <w:r w:rsidR="000B50FC">
        <w:rPr>
          <w:lang w:val="en-CA" w:eastAsia="fr-CA"/>
        </w:rPr>
        <w:t>issues</w:t>
      </w:r>
      <w:r w:rsidRPr="0076473C">
        <w:rPr>
          <w:lang w:val="en-CA" w:eastAsia="fr-CA"/>
        </w:rPr>
        <w:t>.</w:t>
      </w:r>
    </w:p>
    <w:p w14:paraId="0E141DDF" w14:textId="7AB31744" w:rsidR="00562F60" w:rsidRPr="0076473C" w:rsidRDefault="0066306A" w:rsidP="00562F60">
      <w:pPr>
        <w:pStyle w:val="Citationenretrait"/>
        <w:rPr>
          <w:lang w:val="en-CA" w:eastAsia="fr-CA"/>
        </w:rPr>
      </w:pPr>
      <w:r w:rsidRPr="0076473C">
        <w:rPr>
          <w:lang w:val="en-CA" w:eastAsia="fr-CA"/>
        </w:rPr>
        <w:t>At page 5 of the report, the officer state</w:t>
      </w:r>
      <w:r w:rsidR="00BF0D25">
        <w:rPr>
          <w:lang w:val="en-CA" w:eastAsia="fr-CA"/>
        </w:rPr>
        <w:t>s</w:t>
      </w:r>
      <w:r w:rsidRPr="0076473C">
        <w:rPr>
          <w:lang w:val="en-CA" w:eastAsia="fr-CA"/>
        </w:rPr>
        <w:t xml:space="preserve"> that the accused’s sexual development appear</w:t>
      </w:r>
      <w:r w:rsidR="000B50FC">
        <w:rPr>
          <w:lang w:val="en-CA" w:eastAsia="fr-CA"/>
        </w:rPr>
        <w:t>s</w:t>
      </w:r>
      <w:r w:rsidRPr="0076473C">
        <w:rPr>
          <w:lang w:val="en-CA" w:eastAsia="fr-CA"/>
        </w:rPr>
        <w:t xml:space="preserve"> conventional, that the relationship he had with S. was an impersonal </w:t>
      </w:r>
      <w:r w:rsidR="000B50FC">
        <w:rPr>
          <w:lang w:val="en-CA" w:eastAsia="fr-CA"/>
        </w:rPr>
        <w:t>one</w:t>
      </w:r>
      <w:r w:rsidRPr="0076473C">
        <w:rPr>
          <w:lang w:val="en-CA" w:eastAsia="fr-CA"/>
        </w:rPr>
        <w:t xml:space="preserve"> in which there was no emotional commitment. </w:t>
      </w:r>
    </w:p>
    <w:p w14:paraId="34CA9F8C" w14:textId="6B725D23" w:rsidR="00562F60" w:rsidRPr="0076473C" w:rsidRDefault="0066306A" w:rsidP="00562F60">
      <w:pPr>
        <w:pStyle w:val="Citationenretrait"/>
        <w:rPr>
          <w:lang w:val="en-CA" w:eastAsia="fr-CA"/>
        </w:rPr>
      </w:pPr>
      <w:r w:rsidRPr="0076473C">
        <w:rPr>
          <w:lang w:val="en-CA" w:eastAsia="fr-CA"/>
        </w:rPr>
        <w:t>The officer who prepared the report state</w:t>
      </w:r>
      <w:r w:rsidR="00BF0D25">
        <w:rPr>
          <w:lang w:val="en-CA" w:eastAsia="fr-CA"/>
        </w:rPr>
        <w:t>s</w:t>
      </w:r>
      <w:r w:rsidRPr="0076473C">
        <w:rPr>
          <w:lang w:val="en-CA" w:eastAsia="fr-CA"/>
        </w:rPr>
        <w:t xml:space="preserve"> that she was able to identify other signs of impersonal sexual activities.</w:t>
      </w:r>
      <w:r w:rsidR="00562F60" w:rsidRPr="0076473C">
        <w:rPr>
          <w:lang w:val="en-CA" w:eastAsia="fr-CA"/>
        </w:rPr>
        <w:t xml:space="preserve"> </w:t>
      </w:r>
      <w:r w:rsidRPr="0076473C">
        <w:rPr>
          <w:lang w:val="en-CA" w:eastAsia="fr-CA"/>
        </w:rPr>
        <w:t>She report</w:t>
      </w:r>
      <w:r w:rsidR="00BF0D25">
        <w:rPr>
          <w:lang w:val="en-CA" w:eastAsia="fr-CA"/>
        </w:rPr>
        <w:t>s</w:t>
      </w:r>
      <w:r w:rsidRPr="0076473C">
        <w:rPr>
          <w:lang w:val="en-CA" w:eastAsia="fr-CA"/>
        </w:rPr>
        <w:t xml:space="preserve"> a significant number of sexual partners and the</w:t>
      </w:r>
      <w:r w:rsidR="00BF0D25">
        <w:rPr>
          <w:lang w:val="en-CA" w:eastAsia="fr-CA"/>
        </w:rPr>
        <w:t xml:space="preserve"> accused’s</w:t>
      </w:r>
      <w:r w:rsidRPr="0076473C">
        <w:rPr>
          <w:lang w:val="en-CA" w:eastAsia="fr-CA"/>
        </w:rPr>
        <w:t xml:space="preserve"> use of the Internet </w:t>
      </w:r>
      <w:r w:rsidR="00BF0D25">
        <w:rPr>
          <w:lang w:val="en-CA" w:eastAsia="fr-CA"/>
        </w:rPr>
        <w:t>to</w:t>
      </w:r>
      <w:r w:rsidRPr="0076473C">
        <w:rPr>
          <w:lang w:val="en-CA" w:eastAsia="fr-CA"/>
        </w:rPr>
        <w:t xml:space="preserve"> facilitat</w:t>
      </w:r>
      <w:r w:rsidR="00BF0D25">
        <w:rPr>
          <w:lang w:val="en-CA" w:eastAsia="fr-CA"/>
        </w:rPr>
        <w:t>e</w:t>
      </w:r>
      <w:r w:rsidRPr="0076473C">
        <w:rPr>
          <w:lang w:val="en-CA" w:eastAsia="fr-CA"/>
        </w:rPr>
        <w:t xml:space="preserve"> encounters with potential sexual partners.</w:t>
      </w:r>
      <w:r w:rsidR="00562F60" w:rsidRPr="0076473C">
        <w:rPr>
          <w:lang w:val="en-CA" w:eastAsia="fr-CA"/>
        </w:rPr>
        <w:t xml:space="preserve"> </w:t>
      </w:r>
      <w:r w:rsidRPr="006C0449">
        <w:rPr>
          <w:lang w:val="en-CA" w:eastAsia="fr-CA"/>
        </w:rPr>
        <w:t>This is on page 5.</w:t>
      </w:r>
    </w:p>
    <w:p w14:paraId="5C5785CA" w14:textId="71B24FAE" w:rsidR="00562F60" w:rsidRPr="0076473C" w:rsidRDefault="0066306A" w:rsidP="00562F60">
      <w:pPr>
        <w:pStyle w:val="Citationenretrait"/>
        <w:rPr>
          <w:lang w:val="en-CA" w:eastAsia="fr-CA"/>
        </w:rPr>
      </w:pPr>
      <w:r w:rsidRPr="0076473C">
        <w:rPr>
          <w:lang w:val="en-CA" w:eastAsia="fr-CA"/>
        </w:rPr>
        <w:t>These facts here, the fact that the accused did not necessar</w:t>
      </w:r>
      <w:r w:rsidR="00A03383">
        <w:rPr>
          <w:lang w:val="en-CA" w:eastAsia="fr-CA"/>
        </w:rPr>
        <w:t>ily</w:t>
      </w:r>
      <w:r w:rsidRPr="0076473C">
        <w:rPr>
          <w:lang w:val="en-CA" w:eastAsia="fr-CA"/>
        </w:rPr>
        <w:t xml:space="preserve"> want a commitment and that he had some... </w:t>
      </w:r>
      <w:r w:rsidR="00A03383">
        <w:rPr>
          <w:lang w:val="en-CA" w:eastAsia="fr-CA"/>
        </w:rPr>
        <w:t>so</w:t>
      </w:r>
      <w:r w:rsidR="00A03383" w:rsidRPr="0076473C">
        <w:rPr>
          <w:lang w:val="en-CA" w:eastAsia="fr-CA"/>
        </w:rPr>
        <w:t xml:space="preserve"> </w:t>
      </w:r>
      <w:r w:rsidRPr="0076473C">
        <w:rPr>
          <w:lang w:val="en-CA" w:eastAsia="fr-CA"/>
        </w:rPr>
        <w:t xml:space="preserve">it was </w:t>
      </w:r>
      <w:r w:rsidR="000B50FC">
        <w:rPr>
          <w:lang w:val="en-CA" w:eastAsia="fr-CA"/>
        </w:rPr>
        <w:t>more</w:t>
      </w:r>
      <w:r w:rsidRPr="0076473C">
        <w:rPr>
          <w:lang w:val="en-CA" w:eastAsia="fr-CA"/>
        </w:rPr>
        <w:t xml:space="preserve"> an impersonal context, this also appears from the messages that the accused sent to the young girl.</w:t>
      </w:r>
    </w:p>
    <w:p w14:paraId="24B47E9C" w14:textId="328B9874" w:rsidR="00562F60" w:rsidRPr="0076473C" w:rsidRDefault="0066306A" w:rsidP="00562F60">
      <w:pPr>
        <w:pStyle w:val="Citationenretrait"/>
        <w:rPr>
          <w:lang w:val="en-CA" w:eastAsia="fr-CA"/>
        </w:rPr>
      </w:pPr>
      <w:r w:rsidRPr="0076473C">
        <w:rPr>
          <w:lang w:val="en-CA" w:eastAsia="fr-CA"/>
        </w:rPr>
        <w:t>On page 6, the officer state</w:t>
      </w:r>
      <w:r w:rsidR="0054240A">
        <w:rPr>
          <w:lang w:val="en-CA" w:eastAsia="fr-CA"/>
        </w:rPr>
        <w:t>s</w:t>
      </w:r>
      <w:r w:rsidRPr="0076473C">
        <w:rPr>
          <w:lang w:val="en-CA" w:eastAsia="fr-CA"/>
        </w:rPr>
        <w:t xml:space="preserve"> that the personal, ... in fact, his personal desire, of the accused, led him to </w:t>
      </w:r>
      <w:r w:rsidR="00EC420B">
        <w:rPr>
          <w:lang w:val="en-CA" w:eastAsia="fr-CA"/>
        </w:rPr>
        <w:t>obliterate</w:t>
      </w:r>
      <w:r w:rsidRPr="0076473C">
        <w:rPr>
          <w:lang w:val="en-CA" w:eastAsia="fr-CA"/>
        </w:rPr>
        <w:t xml:space="preserve"> the inherent </w:t>
      </w:r>
      <w:r w:rsidR="00A03383">
        <w:rPr>
          <w:lang w:val="en-CA" w:eastAsia="fr-CA"/>
        </w:rPr>
        <w:t>obstacles</w:t>
      </w:r>
      <w:r w:rsidRPr="0076473C">
        <w:rPr>
          <w:lang w:val="en-CA" w:eastAsia="fr-CA"/>
        </w:rPr>
        <w:t xml:space="preserve">, </w:t>
      </w:r>
      <w:r w:rsidR="000B50FC">
        <w:rPr>
          <w:lang w:val="en-CA" w:eastAsia="fr-CA"/>
        </w:rPr>
        <w:t>that is</w:t>
      </w:r>
      <w:r w:rsidRPr="0076473C">
        <w:rPr>
          <w:lang w:val="en-CA" w:eastAsia="fr-CA"/>
        </w:rPr>
        <w:t>, those related to the victim’s age and the illegality of the act.</w:t>
      </w:r>
      <w:r w:rsidR="00562F60" w:rsidRPr="0076473C">
        <w:rPr>
          <w:lang w:val="en-CA" w:eastAsia="fr-CA"/>
        </w:rPr>
        <w:t xml:space="preserve"> </w:t>
      </w:r>
      <w:r w:rsidR="00A03383">
        <w:rPr>
          <w:lang w:val="en-CA" w:eastAsia="fr-CA"/>
        </w:rPr>
        <w:t>So</w:t>
      </w:r>
      <w:r w:rsidRPr="0076473C">
        <w:rPr>
          <w:lang w:val="en-CA" w:eastAsia="fr-CA"/>
        </w:rPr>
        <w:t>, she also state</w:t>
      </w:r>
      <w:r w:rsidR="0054240A">
        <w:rPr>
          <w:lang w:val="en-CA" w:eastAsia="fr-CA"/>
        </w:rPr>
        <w:t>s</w:t>
      </w:r>
      <w:r w:rsidRPr="0076473C">
        <w:rPr>
          <w:lang w:val="en-CA" w:eastAsia="fr-CA"/>
        </w:rPr>
        <w:t xml:space="preserve"> that the acts were facilitated by the victim’s consent.</w:t>
      </w:r>
    </w:p>
    <w:p w14:paraId="3B69F38D" w14:textId="4742D05D" w:rsidR="00562F60" w:rsidRPr="0076473C" w:rsidRDefault="0066306A" w:rsidP="00562F60">
      <w:pPr>
        <w:pStyle w:val="Citationenretrait"/>
        <w:rPr>
          <w:lang w:val="en-CA" w:eastAsia="fr-CA"/>
        </w:rPr>
      </w:pPr>
      <w:r w:rsidRPr="0076473C">
        <w:rPr>
          <w:lang w:val="en-CA" w:eastAsia="fr-CA"/>
        </w:rPr>
        <w:t>There is an important fact also in the report which is that the officer state</w:t>
      </w:r>
      <w:r w:rsidR="0054240A">
        <w:rPr>
          <w:lang w:val="en-CA" w:eastAsia="fr-CA"/>
        </w:rPr>
        <w:t>s</w:t>
      </w:r>
      <w:r w:rsidRPr="0076473C">
        <w:rPr>
          <w:lang w:val="en-CA" w:eastAsia="fr-CA"/>
        </w:rPr>
        <w:t xml:space="preserve"> that the accused assigned importance to the gratification of his sexual needs and that </w:t>
      </w:r>
      <w:r w:rsidR="00D814D9" w:rsidRPr="0076473C">
        <w:rPr>
          <w:lang w:val="en-CA" w:eastAsia="fr-CA"/>
        </w:rPr>
        <w:t xml:space="preserve">his </w:t>
      </w:r>
      <w:r w:rsidR="00A03383">
        <w:rPr>
          <w:lang w:val="en-CA" w:eastAsia="fr-CA"/>
        </w:rPr>
        <w:t xml:space="preserve">choice of </w:t>
      </w:r>
      <w:r w:rsidR="00D814D9" w:rsidRPr="0076473C">
        <w:rPr>
          <w:lang w:val="en-CA" w:eastAsia="fr-CA"/>
        </w:rPr>
        <w:t>partners</w:t>
      </w:r>
      <w:r w:rsidR="00A03383">
        <w:rPr>
          <w:lang w:val="en-CA" w:eastAsia="fr-CA"/>
        </w:rPr>
        <w:t xml:space="preserve"> is</w:t>
      </w:r>
      <w:r w:rsidRPr="0076473C">
        <w:rPr>
          <w:lang w:val="en-CA" w:eastAsia="fr-CA"/>
        </w:rPr>
        <w:t xml:space="preserve"> truly </w:t>
      </w:r>
      <w:r w:rsidR="00A03383">
        <w:rPr>
          <w:lang w:val="en-CA" w:eastAsia="fr-CA"/>
        </w:rPr>
        <w:t>led</w:t>
      </w:r>
      <w:r w:rsidRPr="0076473C">
        <w:rPr>
          <w:lang w:val="en-CA" w:eastAsia="fr-CA"/>
        </w:rPr>
        <w:t xml:space="preserve"> by this desire for gratification</w:t>
      </w:r>
      <w:r w:rsidR="00EC420B">
        <w:rPr>
          <w:lang w:val="en-CA" w:eastAsia="fr-CA"/>
        </w:rPr>
        <w:t>. T</w:t>
      </w:r>
      <w:r w:rsidRPr="0076473C">
        <w:rPr>
          <w:lang w:val="en-CA" w:eastAsia="fr-CA"/>
        </w:rPr>
        <w:t>his is on page 6.</w:t>
      </w:r>
      <w:r w:rsidR="00562F60" w:rsidRPr="0076473C">
        <w:rPr>
          <w:rStyle w:val="Appelnotedebasdep"/>
          <w:lang w:val="en-CA" w:eastAsia="fr-CA"/>
        </w:rPr>
        <w:footnoteReference w:id="36"/>
      </w:r>
    </w:p>
    <w:p w14:paraId="6AB129A2" w14:textId="4BA55B99" w:rsidR="00562F60" w:rsidRPr="0076473C" w:rsidRDefault="0066306A" w:rsidP="00562F60">
      <w:pPr>
        <w:pStyle w:val="Paragraphe"/>
        <w:spacing w:line="280" w:lineRule="exact"/>
        <w:rPr>
          <w:sz w:val="22"/>
          <w:szCs w:val="22"/>
          <w:lang w:val="en-CA" w:eastAsia="fr-CA"/>
        </w:rPr>
      </w:pPr>
      <w:r w:rsidRPr="0076473C">
        <w:rPr>
          <w:lang w:val="en-CA"/>
        </w:rPr>
        <w:lastRenderedPageBreak/>
        <w:t xml:space="preserve">Although </w:t>
      </w:r>
      <w:r w:rsidR="006A3409" w:rsidRPr="0076473C">
        <w:rPr>
          <w:lang w:val="en-CA"/>
        </w:rPr>
        <w:t>certain</w:t>
      </w:r>
      <w:r w:rsidRPr="0076473C">
        <w:rPr>
          <w:lang w:val="en-CA"/>
        </w:rPr>
        <w:t xml:space="preserve"> factors </w:t>
      </w:r>
      <w:r w:rsidR="006A3409" w:rsidRPr="0076473C">
        <w:rPr>
          <w:lang w:val="en-CA"/>
        </w:rPr>
        <w:t>specific</w:t>
      </w:r>
      <w:r w:rsidRPr="0076473C">
        <w:rPr>
          <w:lang w:val="en-CA"/>
        </w:rPr>
        <w:t xml:space="preserve"> to the respondent</w:t>
      </w:r>
      <w:r w:rsidR="00EC420B" w:rsidRPr="0076473C">
        <w:rPr>
          <w:rStyle w:val="Appelnotedebasdep"/>
          <w:lang w:val="en-CA"/>
        </w:rPr>
        <w:footnoteReference w:id="37"/>
      </w:r>
      <w:r w:rsidRPr="0076473C">
        <w:rPr>
          <w:lang w:val="en-CA"/>
        </w:rPr>
        <w:t xml:space="preserve"> may suggest that rehabilitation </w:t>
      </w:r>
      <w:r w:rsidR="00EC420B">
        <w:rPr>
          <w:lang w:val="en-CA"/>
        </w:rPr>
        <w:t>should be</w:t>
      </w:r>
      <w:r w:rsidRPr="0076473C">
        <w:rPr>
          <w:lang w:val="en-CA"/>
        </w:rPr>
        <w:t xml:space="preserve"> an important objective of his sentence, </w:t>
      </w:r>
      <w:r w:rsidR="00EC420B">
        <w:rPr>
          <w:lang w:val="en-CA"/>
        </w:rPr>
        <w:t>the fact</w:t>
      </w:r>
      <w:r w:rsidRPr="0076473C">
        <w:rPr>
          <w:lang w:val="en-CA"/>
        </w:rPr>
        <w:t xml:space="preserve"> nevertheless remains that, in the </w:t>
      </w:r>
      <w:r w:rsidR="00EC420B">
        <w:rPr>
          <w:lang w:val="en-CA"/>
        </w:rPr>
        <w:t>specific</w:t>
      </w:r>
      <w:r w:rsidRPr="0076473C">
        <w:rPr>
          <w:lang w:val="en-CA"/>
        </w:rPr>
        <w:t xml:space="preserve"> context of this case, the objectives of deterrence and denunciation should be prioritized. The victim’s young age and </w:t>
      </w:r>
      <w:r w:rsidR="00EC420B">
        <w:rPr>
          <w:lang w:val="en-CA"/>
        </w:rPr>
        <w:t xml:space="preserve">her </w:t>
      </w:r>
      <w:r w:rsidRPr="0076473C">
        <w:rPr>
          <w:lang w:val="en-CA"/>
        </w:rPr>
        <w:t>great vulnerability</w:t>
      </w:r>
      <w:r w:rsidR="00EC420B">
        <w:rPr>
          <w:lang w:val="en-CA"/>
        </w:rPr>
        <w:t xml:space="preserve"> in her situation</w:t>
      </w:r>
      <w:r w:rsidRPr="0076473C">
        <w:rPr>
          <w:lang w:val="en-CA"/>
        </w:rPr>
        <w:t xml:space="preserve">, well known to the respondent, </w:t>
      </w:r>
      <w:r w:rsidR="009A65DB" w:rsidRPr="0076473C">
        <w:rPr>
          <w:lang w:val="en-CA"/>
        </w:rPr>
        <w:t>justif</w:t>
      </w:r>
      <w:r w:rsidR="009A65DB">
        <w:rPr>
          <w:lang w:val="en-CA"/>
        </w:rPr>
        <w:t>ied</w:t>
      </w:r>
      <w:r w:rsidR="009A65DB" w:rsidRPr="0076473C">
        <w:rPr>
          <w:lang w:val="en-CA"/>
        </w:rPr>
        <w:t xml:space="preserve"> </w:t>
      </w:r>
      <w:r w:rsidRPr="0076473C">
        <w:rPr>
          <w:lang w:val="en-CA"/>
        </w:rPr>
        <w:t>a sentence of 12 months’ imprisonment.</w:t>
      </w:r>
      <w:r w:rsidR="00562F60" w:rsidRPr="0076473C">
        <w:rPr>
          <w:lang w:val="en-CA"/>
        </w:rPr>
        <w:t xml:space="preserve"> </w:t>
      </w:r>
      <w:r w:rsidRPr="0076473C">
        <w:rPr>
          <w:lang w:val="en-CA"/>
        </w:rPr>
        <w:t xml:space="preserve">The judgment under appeal </w:t>
      </w:r>
      <w:r w:rsidR="009A65DB">
        <w:rPr>
          <w:lang w:val="en-CA"/>
        </w:rPr>
        <w:t>does not address</w:t>
      </w:r>
      <w:r w:rsidRPr="0076473C">
        <w:rPr>
          <w:lang w:val="en-CA"/>
        </w:rPr>
        <w:t xml:space="preserve"> the principles </w:t>
      </w:r>
      <w:r w:rsidR="00D814D9" w:rsidRPr="0076473C">
        <w:rPr>
          <w:lang w:val="en-CA"/>
        </w:rPr>
        <w:t>regarding</w:t>
      </w:r>
      <w:r w:rsidRPr="0076473C">
        <w:rPr>
          <w:lang w:val="en-CA"/>
        </w:rPr>
        <w:t xml:space="preserve"> the impact of the acts committed on the health, security, and dignity of the young victim.</w:t>
      </w:r>
      <w:r w:rsidR="00562F60" w:rsidRPr="0076473C">
        <w:rPr>
          <w:rStyle w:val="Appelnotedebasdep"/>
          <w:lang w:val="en-CA"/>
        </w:rPr>
        <w:footnoteReference w:id="38"/>
      </w:r>
      <w:r w:rsidRPr="0076473C">
        <w:rPr>
          <w:lang w:val="en-CA"/>
        </w:rPr>
        <w:t xml:space="preserve"> </w:t>
      </w:r>
    </w:p>
    <w:p w14:paraId="29971BA5" w14:textId="7127FFDD" w:rsidR="00562F60" w:rsidRPr="0076473C" w:rsidRDefault="0066306A" w:rsidP="00562F60">
      <w:pPr>
        <w:pStyle w:val="Paragraphe"/>
        <w:keepNext/>
        <w:keepLines/>
        <w:numPr>
          <w:ilvl w:val="0"/>
          <w:numId w:val="0"/>
        </w:numPr>
        <w:spacing w:line="280" w:lineRule="exact"/>
        <w:rPr>
          <w:b/>
          <w:sz w:val="22"/>
          <w:szCs w:val="22"/>
          <w:lang w:val="en-CA" w:eastAsia="fr-CA"/>
        </w:rPr>
      </w:pPr>
      <w:r w:rsidRPr="006C0449">
        <w:rPr>
          <w:b/>
          <w:lang w:val="en-CA"/>
        </w:rPr>
        <w:t>Concurrent or consecutive sentence</w:t>
      </w:r>
      <w:r w:rsidR="00D814D9" w:rsidRPr="0076473C">
        <w:rPr>
          <w:b/>
          <w:lang w:val="en-CA"/>
        </w:rPr>
        <w:t>s</w:t>
      </w:r>
    </w:p>
    <w:p w14:paraId="250C6315" w14:textId="34B6EC38" w:rsidR="00562F60" w:rsidRPr="0076473C" w:rsidRDefault="0066306A" w:rsidP="00562F60">
      <w:pPr>
        <w:pStyle w:val="Paragraphe"/>
        <w:keepNext/>
        <w:keepLines/>
        <w:spacing w:line="280" w:lineRule="exact"/>
        <w:rPr>
          <w:lang w:val="en-CA"/>
        </w:rPr>
      </w:pPr>
      <w:r w:rsidRPr="0076473C">
        <w:rPr>
          <w:lang w:val="en-CA"/>
        </w:rPr>
        <w:t xml:space="preserve">It is well established that the sentencing judge has broad discretion to </w:t>
      </w:r>
      <w:r w:rsidR="00EC420B">
        <w:rPr>
          <w:lang w:val="en-CA"/>
        </w:rPr>
        <w:t>impose</w:t>
      </w:r>
      <w:r w:rsidRPr="0076473C">
        <w:rPr>
          <w:lang w:val="en-CA"/>
        </w:rPr>
        <w:t xml:space="preserve"> a consecutive or</w:t>
      </w:r>
      <w:r w:rsidR="00EC420B">
        <w:rPr>
          <w:lang w:val="en-CA"/>
        </w:rPr>
        <w:t xml:space="preserve"> a</w:t>
      </w:r>
      <w:r w:rsidRPr="0076473C">
        <w:rPr>
          <w:lang w:val="en-CA"/>
        </w:rPr>
        <w:t xml:space="preserve"> concurrent sentence.</w:t>
      </w:r>
      <w:r w:rsidR="00562F60" w:rsidRPr="0076473C">
        <w:rPr>
          <w:lang w:val="en-CA"/>
        </w:rPr>
        <w:t xml:space="preserve"> </w:t>
      </w:r>
      <w:r w:rsidRPr="0076473C">
        <w:rPr>
          <w:lang w:val="en-CA"/>
        </w:rPr>
        <w:t xml:space="preserve">The standard of review on appeal is high: a court of appeal must show the same </w:t>
      </w:r>
      <w:r w:rsidR="00200585" w:rsidRPr="0076473C">
        <w:rPr>
          <w:lang w:val="en-CA"/>
        </w:rPr>
        <w:t>deference</w:t>
      </w:r>
      <w:r w:rsidRPr="0076473C">
        <w:rPr>
          <w:lang w:val="en-CA"/>
        </w:rPr>
        <w:t xml:space="preserve"> it uses when assessing the sentence.</w:t>
      </w:r>
      <w:r w:rsidR="00562F60" w:rsidRPr="0076473C">
        <w:rPr>
          <w:rStyle w:val="Appelnotedebasdep"/>
          <w:spacing w:val="-2"/>
          <w:lang w:val="en-CA"/>
        </w:rPr>
        <w:footnoteReference w:id="39"/>
      </w:r>
      <w:r w:rsidRPr="0076473C">
        <w:rPr>
          <w:lang w:val="en-CA"/>
        </w:rPr>
        <w:t xml:space="preserve"> </w:t>
      </w:r>
      <w:r w:rsidR="00562F60" w:rsidRPr="0076473C">
        <w:rPr>
          <w:lang w:val="en-CA"/>
        </w:rPr>
        <w:t xml:space="preserve"> </w:t>
      </w:r>
    </w:p>
    <w:p w14:paraId="6741E3CF" w14:textId="62F31FBB" w:rsidR="00562F60" w:rsidRPr="0076473C" w:rsidRDefault="0066306A" w:rsidP="00562F60">
      <w:pPr>
        <w:pStyle w:val="Paragraphe"/>
        <w:spacing w:line="280" w:lineRule="exact"/>
        <w:rPr>
          <w:lang w:val="en-CA"/>
        </w:rPr>
      </w:pPr>
      <w:r w:rsidRPr="0076473C">
        <w:rPr>
          <w:lang w:val="en-CA"/>
        </w:rPr>
        <w:t xml:space="preserve">In </w:t>
      </w:r>
      <w:r w:rsidRPr="0076473C">
        <w:rPr>
          <w:i/>
          <w:lang w:val="en-CA"/>
        </w:rPr>
        <w:t>Rayo</w:t>
      </w:r>
      <w:r w:rsidRPr="0076473C">
        <w:rPr>
          <w:lang w:val="en-CA"/>
        </w:rPr>
        <w:t>, Kasirer</w:t>
      </w:r>
      <w:r w:rsidR="00EC420B">
        <w:rPr>
          <w:lang w:val="en-CA"/>
        </w:rPr>
        <w:t>,</w:t>
      </w:r>
      <w:r w:rsidRPr="0076473C">
        <w:rPr>
          <w:lang w:val="en-CA"/>
        </w:rPr>
        <w:t xml:space="preserve"> J.A. explained </w:t>
      </w:r>
      <w:r w:rsidR="00D814D9" w:rsidRPr="0076473C">
        <w:rPr>
          <w:lang w:val="en-CA"/>
        </w:rPr>
        <w:t>clearly that</w:t>
      </w:r>
      <w:r w:rsidRPr="0076473C">
        <w:rPr>
          <w:lang w:val="en-CA"/>
        </w:rPr>
        <w:t xml:space="preserve"> the offence of luring pursues a different and more specific societal interest – protecting children from cyberspace</w:t>
      </w:r>
      <w:r w:rsidR="00EC420B">
        <w:rPr>
          <w:lang w:val="en-CA"/>
        </w:rPr>
        <w:t>,</w:t>
      </w:r>
      <w:r w:rsidRPr="0076473C">
        <w:rPr>
          <w:lang w:val="en-CA"/>
        </w:rPr>
        <w:t xml:space="preserve"> where they are particularly vulne</w:t>
      </w:r>
      <w:r w:rsidR="00D814D9" w:rsidRPr="0076473C">
        <w:rPr>
          <w:lang w:val="en-CA"/>
        </w:rPr>
        <w:t xml:space="preserve">rable and </w:t>
      </w:r>
      <w:r w:rsidR="0054240A">
        <w:rPr>
          <w:lang w:val="en-CA"/>
        </w:rPr>
        <w:t>unsupervised</w:t>
      </w:r>
      <w:r w:rsidR="00D814D9" w:rsidRPr="0076473C">
        <w:rPr>
          <w:lang w:val="en-CA"/>
        </w:rPr>
        <w:t xml:space="preserve"> –</w:t>
      </w:r>
      <w:r w:rsidRPr="0076473C">
        <w:rPr>
          <w:lang w:val="en-CA"/>
        </w:rPr>
        <w:t xml:space="preserve"> than </w:t>
      </w:r>
      <w:r w:rsidR="00EC420B">
        <w:rPr>
          <w:lang w:val="en-CA"/>
        </w:rPr>
        <w:t>the</w:t>
      </w:r>
      <w:r w:rsidR="00644B51">
        <w:rPr>
          <w:lang w:val="en-CA"/>
        </w:rPr>
        <w:t xml:space="preserve"> interests</w:t>
      </w:r>
      <w:r w:rsidRPr="0076473C">
        <w:rPr>
          <w:lang w:val="en-CA"/>
        </w:rPr>
        <w:t xml:space="preserve"> </w:t>
      </w:r>
      <w:r w:rsidR="00EC420B">
        <w:rPr>
          <w:lang w:val="en-CA"/>
        </w:rPr>
        <w:t xml:space="preserve">that are </w:t>
      </w:r>
      <w:r w:rsidRPr="0076473C">
        <w:rPr>
          <w:lang w:val="en-CA"/>
        </w:rPr>
        <w:t>protected by the related offences.</w:t>
      </w:r>
      <w:r w:rsidR="00D814D9" w:rsidRPr="0076473C">
        <w:rPr>
          <w:lang w:val="en-CA"/>
        </w:rPr>
        <w:t xml:space="preserve"> </w:t>
      </w:r>
      <w:r w:rsidRPr="0076473C">
        <w:rPr>
          <w:lang w:val="en-CA"/>
        </w:rPr>
        <w:t>That being the case, imposing consecutive sentences is generally justified.</w:t>
      </w:r>
      <w:r w:rsidR="00562F60" w:rsidRPr="0076473C">
        <w:rPr>
          <w:rStyle w:val="Appelnotedebasdep"/>
          <w:lang w:val="en-CA"/>
        </w:rPr>
        <w:footnoteReference w:id="40"/>
      </w:r>
      <w:r w:rsidRPr="0076473C">
        <w:rPr>
          <w:lang w:val="en-CA"/>
        </w:rPr>
        <w:t xml:space="preserve"> </w:t>
      </w:r>
      <w:r w:rsidR="00562F60" w:rsidRPr="0076473C">
        <w:rPr>
          <w:lang w:val="en-CA"/>
        </w:rPr>
        <w:t xml:space="preserve"> </w:t>
      </w:r>
    </w:p>
    <w:p w14:paraId="65CD6B77" w14:textId="4348E79A" w:rsidR="00562F60" w:rsidRPr="0076473C" w:rsidRDefault="0066306A" w:rsidP="00562F60">
      <w:pPr>
        <w:pStyle w:val="Paragraphe"/>
        <w:spacing w:line="280" w:lineRule="exact"/>
        <w:rPr>
          <w:lang w:val="en-CA"/>
        </w:rPr>
      </w:pPr>
      <w:r w:rsidRPr="0076473C">
        <w:rPr>
          <w:lang w:val="en-CA"/>
        </w:rPr>
        <w:t xml:space="preserve">In the judge’s opinion, the luring conducted by the respondent was not a period of preparatory grooming, but repeated communications for the purpose of convincing the victim to have sexual </w:t>
      </w:r>
      <w:r w:rsidR="00D814D9" w:rsidRPr="0076473C">
        <w:rPr>
          <w:lang w:val="en-CA"/>
        </w:rPr>
        <w:t>intercourse</w:t>
      </w:r>
      <w:r w:rsidRPr="0076473C">
        <w:rPr>
          <w:lang w:val="en-CA"/>
        </w:rPr>
        <w:t xml:space="preserve"> with him again.</w:t>
      </w:r>
      <w:r w:rsidR="00562F60" w:rsidRPr="0076473C">
        <w:rPr>
          <w:rStyle w:val="Appelnotedebasdep"/>
          <w:lang w:val="en-CA"/>
        </w:rPr>
        <w:footnoteReference w:id="41"/>
      </w:r>
      <w:r w:rsidRPr="0076473C">
        <w:rPr>
          <w:lang w:val="en-CA"/>
        </w:rPr>
        <w:t xml:space="preserve"> </w:t>
      </w:r>
      <w:r w:rsidR="00562F60" w:rsidRPr="0076473C">
        <w:rPr>
          <w:lang w:val="en-CA"/>
        </w:rPr>
        <w:t xml:space="preserve"> </w:t>
      </w:r>
    </w:p>
    <w:p w14:paraId="14A0AA52" w14:textId="4B290E66" w:rsidR="00562F60" w:rsidRPr="0076473C" w:rsidRDefault="0066306A" w:rsidP="00562F60">
      <w:pPr>
        <w:pStyle w:val="Paragraphe"/>
        <w:spacing w:line="280" w:lineRule="exact"/>
        <w:rPr>
          <w:lang w:val="en-CA"/>
        </w:rPr>
      </w:pPr>
      <w:r w:rsidRPr="006C0449">
        <w:rPr>
          <w:lang w:val="en-CA"/>
        </w:rPr>
        <w:t>With respect, I find this reasoning erroneous.</w:t>
      </w:r>
      <w:r w:rsidR="00562F60" w:rsidRPr="0076473C">
        <w:rPr>
          <w:lang w:val="en-CA"/>
        </w:rPr>
        <w:t xml:space="preserve"> </w:t>
      </w:r>
      <w:r w:rsidRPr="0076473C">
        <w:rPr>
          <w:lang w:val="en-CA"/>
        </w:rPr>
        <w:t xml:space="preserve">Certainly, the indictment includes </w:t>
      </w:r>
      <w:r w:rsidR="00EC420B">
        <w:rPr>
          <w:lang w:val="en-CA"/>
        </w:rPr>
        <w:t xml:space="preserve">only </w:t>
      </w:r>
      <w:r w:rsidRPr="0076473C">
        <w:rPr>
          <w:lang w:val="en-CA"/>
        </w:rPr>
        <w:t>the period from February to September 2015, which coincides with the numerous conversations on Facebook.</w:t>
      </w:r>
      <w:r w:rsidR="00562F60" w:rsidRPr="0076473C">
        <w:rPr>
          <w:lang w:val="en-CA"/>
        </w:rPr>
        <w:t xml:space="preserve"> </w:t>
      </w:r>
      <w:r w:rsidR="00B97E55">
        <w:rPr>
          <w:lang w:val="en-CA"/>
        </w:rPr>
        <w:t>G</w:t>
      </w:r>
      <w:r w:rsidR="00B97E55" w:rsidRPr="0076473C">
        <w:rPr>
          <w:lang w:val="en-CA"/>
        </w:rPr>
        <w:t xml:space="preserve">iven the particular context of this case, </w:t>
      </w:r>
      <w:r w:rsidRPr="0076473C">
        <w:rPr>
          <w:lang w:val="en-CA"/>
        </w:rPr>
        <w:t>the judge should have</w:t>
      </w:r>
      <w:r w:rsidR="00B97E55">
        <w:rPr>
          <w:lang w:val="en-CA"/>
        </w:rPr>
        <w:t xml:space="preserve"> nevertheless</w:t>
      </w:r>
      <w:r w:rsidRPr="0076473C">
        <w:rPr>
          <w:lang w:val="en-CA"/>
        </w:rPr>
        <w:t xml:space="preserve"> consider</w:t>
      </w:r>
      <w:r w:rsidR="00D814D9" w:rsidRPr="0076473C">
        <w:rPr>
          <w:lang w:val="en-CA"/>
        </w:rPr>
        <w:t>ed</w:t>
      </w:r>
      <w:r w:rsidRPr="0076473C">
        <w:rPr>
          <w:lang w:val="en-CA"/>
        </w:rPr>
        <w:t xml:space="preserve"> the events that took place be</w:t>
      </w:r>
      <w:r w:rsidR="001358F9">
        <w:rPr>
          <w:lang w:val="en-CA"/>
        </w:rPr>
        <w:t xml:space="preserve">fore the period covered by the </w:t>
      </w:r>
      <w:r w:rsidRPr="0076473C">
        <w:rPr>
          <w:lang w:val="en-CA"/>
        </w:rPr>
        <w:t xml:space="preserve">indictment to establish the exact nature </w:t>
      </w:r>
      <w:r w:rsidR="00A839F1">
        <w:rPr>
          <w:lang w:val="en-CA"/>
        </w:rPr>
        <w:t xml:space="preserve">and planning </w:t>
      </w:r>
      <w:r w:rsidRPr="0076473C">
        <w:rPr>
          <w:lang w:val="en-CA"/>
        </w:rPr>
        <w:t>of the luring.</w:t>
      </w:r>
      <w:r w:rsidR="00562F60" w:rsidRPr="0076473C">
        <w:rPr>
          <w:rStyle w:val="Appelnotedebasdep"/>
          <w:lang w:val="en-CA"/>
        </w:rPr>
        <w:footnoteReference w:id="42"/>
      </w:r>
      <w:r w:rsidR="00562F60" w:rsidRPr="0076473C">
        <w:rPr>
          <w:lang w:val="en-CA"/>
        </w:rPr>
        <w:t xml:space="preserve"> </w:t>
      </w:r>
      <w:r w:rsidR="00A839F1">
        <w:rPr>
          <w:lang w:val="en-CA"/>
        </w:rPr>
        <w:t xml:space="preserve">The grooming was continuous, and the victim was </w:t>
      </w:r>
      <w:r w:rsidRPr="0076473C">
        <w:rPr>
          <w:lang w:val="en-CA"/>
        </w:rPr>
        <w:t xml:space="preserve">even </w:t>
      </w:r>
      <w:r w:rsidR="00A839F1">
        <w:rPr>
          <w:lang w:val="en-CA"/>
        </w:rPr>
        <w:t xml:space="preserve">incited </w:t>
      </w:r>
      <w:r w:rsidRPr="0076473C">
        <w:rPr>
          <w:lang w:val="en-CA"/>
        </w:rPr>
        <w:t xml:space="preserve">to have </w:t>
      </w:r>
      <w:r w:rsidR="00A839F1">
        <w:rPr>
          <w:lang w:val="en-CA"/>
        </w:rPr>
        <w:t>sexual relations</w:t>
      </w:r>
      <w:r w:rsidRPr="0076473C">
        <w:rPr>
          <w:lang w:val="en-CA"/>
        </w:rPr>
        <w:t xml:space="preserve"> with the respondent in July 2015.</w:t>
      </w:r>
      <w:r w:rsidR="00562F60" w:rsidRPr="0076473C">
        <w:rPr>
          <w:lang w:val="en-CA"/>
        </w:rPr>
        <w:t xml:space="preserve"> </w:t>
      </w:r>
      <w:r w:rsidRPr="0076473C">
        <w:rPr>
          <w:lang w:val="en-CA"/>
        </w:rPr>
        <w:t>The judge even noted that this was a [</w:t>
      </w:r>
      <w:r w:rsidRPr="0076473C">
        <w:rPr>
          <w:smallCaps/>
          <w:lang w:val="en-CA"/>
        </w:rPr>
        <w:t>translation</w:t>
      </w:r>
      <w:r w:rsidRPr="0076473C">
        <w:rPr>
          <w:lang w:val="en-CA"/>
        </w:rPr>
        <w:t xml:space="preserve">] “situation of sexual exploitation”, which </w:t>
      </w:r>
      <w:r w:rsidR="006A3409" w:rsidRPr="0076473C">
        <w:rPr>
          <w:lang w:val="en-CA"/>
        </w:rPr>
        <w:t>reinforce</w:t>
      </w:r>
      <w:r w:rsidR="00B97E55">
        <w:rPr>
          <w:lang w:val="en-CA"/>
        </w:rPr>
        <w:t>s</w:t>
      </w:r>
      <w:r w:rsidRPr="0076473C">
        <w:rPr>
          <w:lang w:val="en-CA"/>
        </w:rPr>
        <w:t xml:space="preserve"> the idea that th</w:t>
      </w:r>
      <w:r w:rsidR="006A3409" w:rsidRPr="0076473C">
        <w:rPr>
          <w:lang w:val="en-CA"/>
        </w:rPr>
        <w:t>e</w:t>
      </w:r>
      <w:r w:rsidRPr="0076473C">
        <w:rPr>
          <w:lang w:val="en-CA"/>
        </w:rPr>
        <w:t xml:space="preserve"> sentences should have been consecutive.</w:t>
      </w:r>
      <w:r w:rsidR="00562F60" w:rsidRPr="0076473C">
        <w:rPr>
          <w:rStyle w:val="Appelnotedebasdep"/>
          <w:lang w:val="en-CA"/>
        </w:rPr>
        <w:footnoteReference w:id="43"/>
      </w:r>
      <w:r w:rsidRPr="0076473C">
        <w:rPr>
          <w:lang w:val="en-CA"/>
        </w:rPr>
        <w:t xml:space="preserve"> </w:t>
      </w:r>
    </w:p>
    <w:p w14:paraId="72B2C974" w14:textId="04C2645F" w:rsidR="00562F60" w:rsidRPr="0076473C" w:rsidRDefault="0066306A" w:rsidP="00562F60">
      <w:pPr>
        <w:pStyle w:val="Paragraphe"/>
        <w:spacing w:line="280" w:lineRule="exact"/>
        <w:rPr>
          <w:lang w:val="en-CA"/>
        </w:rPr>
      </w:pPr>
      <w:r w:rsidRPr="0076473C">
        <w:rPr>
          <w:lang w:val="en-CA"/>
        </w:rPr>
        <w:t xml:space="preserve">I am, however, of the opinion that a term of </w:t>
      </w:r>
      <w:r w:rsidR="006A3409" w:rsidRPr="0076473C">
        <w:rPr>
          <w:lang w:val="en-CA"/>
        </w:rPr>
        <w:t>imprisonment of</w:t>
      </w:r>
      <w:r w:rsidRPr="0076473C">
        <w:rPr>
          <w:lang w:val="en-CA"/>
        </w:rPr>
        <w:t xml:space="preserve"> 12 months served </w:t>
      </w:r>
      <w:r w:rsidR="006A3409" w:rsidRPr="0076473C">
        <w:rPr>
          <w:lang w:val="en-CA"/>
        </w:rPr>
        <w:t>consecutive</w:t>
      </w:r>
      <w:r w:rsidR="005863CE">
        <w:rPr>
          <w:lang w:val="en-CA"/>
        </w:rPr>
        <w:t>ly</w:t>
      </w:r>
      <w:r w:rsidRPr="0076473C">
        <w:rPr>
          <w:lang w:val="en-CA"/>
        </w:rPr>
        <w:t xml:space="preserve"> to the sentence of 10 months imposed </w:t>
      </w:r>
      <w:r w:rsidR="00A839F1">
        <w:rPr>
          <w:lang w:val="en-CA"/>
        </w:rPr>
        <w:t>for</w:t>
      </w:r>
      <w:r w:rsidRPr="0076473C">
        <w:rPr>
          <w:lang w:val="en-CA"/>
        </w:rPr>
        <w:t xml:space="preserve"> sexual interference would be </w:t>
      </w:r>
      <w:r w:rsidRPr="0076473C">
        <w:rPr>
          <w:lang w:val="en-CA"/>
        </w:rPr>
        <w:lastRenderedPageBreak/>
        <w:t>excessive</w:t>
      </w:r>
      <w:r w:rsidR="00A839F1">
        <w:rPr>
          <w:lang w:val="en-CA"/>
        </w:rPr>
        <w:t>,</w:t>
      </w:r>
      <w:r w:rsidRPr="0076473C">
        <w:rPr>
          <w:lang w:val="en-CA"/>
        </w:rPr>
        <w:t xml:space="preserve"> considering the particular circumstances of this case, the specific characteristics of the respondent</w:t>
      </w:r>
      <w:r w:rsidR="005863CE">
        <w:rPr>
          <w:lang w:val="en-CA"/>
        </w:rPr>
        <w:t>,</w:t>
      </w:r>
      <w:r w:rsidRPr="0076473C">
        <w:rPr>
          <w:lang w:val="en-CA"/>
        </w:rPr>
        <w:t xml:space="preserve"> </w:t>
      </w:r>
      <w:r w:rsidR="00A839F1">
        <w:rPr>
          <w:lang w:val="en-CA"/>
        </w:rPr>
        <w:t>and</w:t>
      </w:r>
      <w:r w:rsidRPr="0076473C">
        <w:rPr>
          <w:lang w:val="en-CA"/>
        </w:rPr>
        <w:t xml:space="preserve"> his </w:t>
      </w:r>
      <w:r w:rsidR="007C6846">
        <w:rPr>
          <w:lang w:val="en-CA"/>
        </w:rPr>
        <w:t>moral blameworthiness</w:t>
      </w:r>
      <w:r w:rsidRPr="0076473C">
        <w:rPr>
          <w:lang w:val="en-CA"/>
        </w:rPr>
        <w:t>.</w:t>
      </w:r>
    </w:p>
    <w:p w14:paraId="4FE753C9" w14:textId="7C7D20F5" w:rsidR="00562F60" w:rsidRPr="0076473C" w:rsidRDefault="00A839F1" w:rsidP="00562F60">
      <w:pPr>
        <w:pStyle w:val="Paragraphe"/>
        <w:spacing w:line="280" w:lineRule="exact"/>
        <w:rPr>
          <w:lang w:val="en-CA"/>
        </w:rPr>
      </w:pPr>
      <w:r>
        <w:rPr>
          <w:lang w:val="en-CA"/>
        </w:rPr>
        <w:t xml:space="preserve">In light of </w:t>
      </w:r>
      <w:r w:rsidR="0066306A" w:rsidRPr="0076473C">
        <w:rPr>
          <w:lang w:val="en-CA"/>
        </w:rPr>
        <w:t xml:space="preserve">the </w:t>
      </w:r>
      <w:r>
        <w:rPr>
          <w:lang w:val="en-CA"/>
        </w:rPr>
        <w:t xml:space="preserve">totality </w:t>
      </w:r>
      <w:r w:rsidR="0066306A" w:rsidRPr="0076473C">
        <w:rPr>
          <w:lang w:val="en-CA"/>
        </w:rPr>
        <w:t>principle in sentencing,</w:t>
      </w:r>
      <w:r w:rsidRPr="00A839F1">
        <w:rPr>
          <w:rStyle w:val="Appelnotedebasdep"/>
          <w:lang w:val="en-CA"/>
        </w:rPr>
        <w:t xml:space="preserve"> </w:t>
      </w:r>
      <w:r w:rsidRPr="0076473C">
        <w:rPr>
          <w:rStyle w:val="Appelnotedebasdep"/>
          <w:lang w:val="en-CA"/>
        </w:rPr>
        <w:footnoteReference w:id="44"/>
      </w:r>
      <w:r w:rsidRPr="0076473C">
        <w:rPr>
          <w:lang w:val="en-CA"/>
        </w:rPr>
        <w:t xml:space="preserve"> </w:t>
      </w:r>
      <w:r>
        <w:rPr>
          <w:lang w:val="en-CA"/>
        </w:rPr>
        <w:t xml:space="preserve">therefore, I propose </w:t>
      </w:r>
      <w:r w:rsidR="0066306A" w:rsidRPr="0076473C">
        <w:rPr>
          <w:lang w:val="en-CA"/>
        </w:rPr>
        <w:t>that th</w:t>
      </w:r>
      <w:r w:rsidR="00EE15FD" w:rsidRPr="0076473C">
        <w:rPr>
          <w:lang w:val="en-CA"/>
        </w:rPr>
        <w:t>e</w:t>
      </w:r>
      <w:r w:rsidR="0066306A" w:rsidRPr="0076473C">
        <w:rPr>
          <w:lang w:val="en-CA"/>
        </w:rPr>
        <w:t xml:space="preserve"> just and appropriate sentence in the circumstances is 12 months’ imprisonment, </w:t>
      </w:r>
      <w:r>
        <w:rPr>
          <w:lang w:val="en-CA"/>
        </w:rPr>
        <w:t>to</w:t>
      </w:r>
      <w:r w:rsidR="0066306A" w:rsidRPr="0076473C">
        <w:rPr>
          <w:lang w:val="en-CA"/>
        </w:rPr>
        <w:t xml:space="preserve"> be served concurrently </w:t>
      </w:r>
      <w:r>
        <w:rPr>
          <w:lang w:val="en-CA"/>
        </w:rPr>
        <w:t>with</w:t>
      </w:r>
      <w:r w:rsidR="0066306A" w:rsidRPr="0076473C">
        <w:rPr>
          <w:lang w:val="en-CA"/>
        </w:rPr>
        <w:t xml:space="preserve"> the sentence imposed </w:t>
      </w:r>
      <w:r w:rsidR="005863CE">
        <w:rPr>
          <w:lang w:val="en-CA"/>
        </w:rPr>
        <w:t>for</w:t>
      </w:r>
      <w:r w:rsidR="0066306A" w:rsidRPr="0076473C">
        <w:rPr>
          <w:lang w:val="en-CA"/>
        </w:rPr>
        <w:t xml:space="preserve"> the count of sexual interference, </w:t>
      </w:r>
      <w:r>
        <w:rPr>
          <w:lang w:val="en-CA"/>
        </w:rPr>
        <w:t xml:space="preserve">also </w:t>
      </w:r>
      <w:r w:rsidR="0066306A" w:rsidRPr="0076473C">
        <w:rPr>
          <w:lang w:val="en-CA"/>
        </w:rPr>
        <w:t xml:space="preserve">considering in particular that these two offences are, on the facts of this case, closely related. </w:t>
      </w:r>
    </w:p>
    <w:p w14:paraId="78862E8B" w14:textId="5C98D479" w:rsidR="00562F60" w:rsidRPr="006C0449" w:rsidRDefault="0066306A" w:rsidP="00562F60">
      <w:pPr>
        <w:pStyle w:val="Titre1"/>
        <w:numPr>
          <w:ilvl w:val="0"/>
          <w:numId w:val="21"/>
        </w:numPr>
        <w:spacing w:after="120" w:line="280" w:lineRule="exact"/>
        <w:ind w:left="709" w:hanging="709"/>
        <w:rPr>
          <w:lang w:val="en-CA"/>
        </w:rPr>
      </w:pPr>
      <w:r w:rsidRPr="006C0449">
        <w:rPr>
          <w:lang w:val="en-CA"/>
        </w:rPr>
        <w:t>A suspended sentence</w:t>
      </w:r>
    </w:p>
    <w:p w14:paraId="4EB4733F" w14:textId="238689AD" w:rsidR="00562F60" w:rsidRPr="0076473C" w:rsidRDefault="002F1453" w:rsidP="00562F60">
      <w:pPr>
        <w:pStyle w:val="Paragraphe"/>
        <w:spacing w:line="280" w:lineRule="exact"/>
        <w:rPr>
          <w:szCs w:val="24"/>
          <w:lang w:val="en-CA" w:eastAsia="fr-CA"/>
        </w:rPr>
      </w:pPr>
      <w:r>
        <w:rPr>
          <w:szCs w:val="24"/>
          <w:lang w:val="en-CA" w:eastAsia="fr-CA"/>
        </w:rPr>
        <w:t xml:space="preserve">At the hearing, this </w:t>
      </w:r>
      <w:r w:rsidR="006A3409" w:rsidRPr="0076473C">
        <w:rPr>
          <w:szCs w:val="24"/>
          <w:lang w:val="en-CA" w:eastAsia="fr-CA"/>
        </w:rPr>
        <w:t>Court was informed that the respondent ha</w:t>
      </w:r>
      <w:r w:rsidR="00880DDD" w:rsidRPr="0076473C">
        <w:rPr>
          <w:szCs w:val="24"/>
          <w:lang w:val="en-CA" w:eastAsia="fr-CA"/>
        </w:rPr>
        <w:t>s</w:t>
      </w:r>
      <w:r w:rsidR="005863CE">
        <w:rPr>
          <w:szCs w:val="24"/>
          <w:lang w:val="en-CA" w:eastAsia="fr-CA"/>
        </w:rPr>
        <w:t xml:space="preserve"> served his 10</w:t>
      </w:r>
      <w:r w:rsidR="00A839F1">
        <w:rPr>
          <w:szCs w:val="24"/>
          <w:lang w:val="en-CA" w:eastAsia="fr-CA"/>
        </w:rPr>
        <w:noBreakHyphen/>
      </w:r>
      <w:r w:rsidR="005863CE">
        <w:rPr>
          <w:szCs w:val="24"/>
          <w:lang w:val="en-CA" w:eastAsia="fr-CA"/>
        </w:rPr>
        <w:t xml:space="preserve">month </w:t>
      </w:r>
      <w:r w:rsidR="006A3409" w:rsidRPr="0076473C">
        <w:rPr>
          <w:szCs w:val="24"/>
          <w:lang w:val="en-CA" w:eastAsia="fr-CA"/>
        </w:rPr>
        <w:t>sentence in full on the count of sexual touching.</w:t>
      </w:r>
      <w:r w:rsidR="00562F60" w:rsidRPr="0076473C">
        <w:rPr>
          <w:szCs w:val="24"/>
          <w:lang w:val="en-CA" w:eastAsia="fr-CA"/>
        </w:rPr>
        <w:t xml:space="preserve"> </w:t>
      </w:r>
      <w:r w:rsidR="006A3409" w:rsidRPr="0076473C">
        <w:rPr>
          <w:szCs w:val="24"/>
          <w:lang w:val="en-CA" w:eastAsia="fr-CA"/>
        </w:rPr>
        <w:t xml:space="preserve">The attorneys also confirmed that he was </w:t>
      </w:r>
      <w:r w:rsidR="0095520E">
        <w:rPr>
          <w:szCs w:val="24"/>
          <w:lang w:val="en-CA" w:eastAsia="fr-CA"/>
        </w:rPr>
        <w:t>paroled</w:t>
      </w:r>
      <w:r w:rsidR="006A3409" w:rsidRPr="0076473C">
        <w:rPr>
          <w:szCs w:val="24"/>
          <w:lang w:val="en-CA" w:eastAsia="fr-CA"/>
        </w:rPr>
        <w:t xml:space="preserve"> on July 30, 2020.</w:t>
      </w:r>
    </w:p>
    <w:p w14:paraId="7BB60F53" w14:textId="05904499" w:rsidR="00562F60" w:rsidRPr="0076473C" w:rsidRDefault="006A3409" w:rsidP="00562F60">
      <w:pPr>
        <w:pStyle w:val="Paragraphe"/>
        <w:spacing w:line="280" w:lineRule="exact"/>
        <w:rPr>
          <w:szCs w:val="24"/>
          <w:lang w:val="en-CA" w:eastAsia="fr-CA"/>
        </w:rPr>
      </w:pPr>
      <w:r w:rsidRPr="0076473C">
        <w:rPr>
          <w:szCs w:val="24"/>
          <w:lang w:val="en-CA" w:eastAsia="fr-CA"/>
        </w:rPr>
        <w:t xml:space="preserve">It must therefore be </w:t>
      </w:r>
      <w:r w:rsidR="009E1476">
        <w:rPr>
          <w:szCs w:val="24"/>
          <w:lang w:val="en-CA" w:eastAsia="fr-CA"/>
        </w:rPr>
        <w:t>recognized</w:t>
      </w:r>
      <w:r w:rsidRPr="0076473C">
        <w:rPr>
          <w:szCs w:val="24"/>
          <w:lang w:val="en-CA" w:eastAsia="fr-CA"/>
        </w:rPr>
        <w:t xml:space="preserve"> that</w:t>
      </w:r>
      <w:r w:rsidR="002F1453">
        <w:rPr>
          <w:szCs w:val="24"/>
          <w:lang w:val="en-CA" w:eastAsia="fr-CA"/>
        </w:rPr>
        <w:t>,</w:t>
      </w:r>
      <w:r w:rsidRPr="0076473C">
        <w:rPr>
          <w:szCs w:val="24"/>
          <w:lang w:val="en-CA" w:eastAsia="fr-CA"/>
        </w:rPr>
        <w:t xml:space="preserve"> </w:t>
      </w:r>
      <w:r w:rsidR="002F1453">
        <w:rPr>
          <w:szCs w:val="24"/>
          <w:lang w:val="en-CA" w:eastAsia="fr-CA"/>
        </w:rPr>
        <w:t>because</w:t>
      </w:r>
      <w:r w:rsidR="002F1453" w:rsidRPr="0076473C">
        <w:rPr>
          <w:szCs w:val="24"/>
          <w:lang w:val="en-CA" w:eastAsia="fr-CA"/>
        </w:rPr>
        <w:t xml:space="preserve"> the sentence </w:t>
      </w:r>
      <w:r w:rsidR="002F1453">
        <w:rPr>
          <w:szCs w:val="24"/>
          <w:lang w:val="en-CA" w:eastAsia="fr-CA"/>
        </w:rPr>
        <w:t>for</w:t>
      </w:r>
      <w:r w:rsidR="002F1453" w:rsidRPr="0076473C">
        <w:rPr>
          <w:szCs w:val="24"/>
          <w:lang w:val="en-CA" w:eastAsia="fr-CA"/>
        </w:rPr>
        <w:t xml:space="preserve"> luring was concurrent, </w:t>
      </w:r>
      <w:r w:rsidRPr="0076473C">
        <w:rPr>
          <w:szCs w:val="24"/>
          <w:lang w:val="en-CA" w:eastAsia="fr-CA"/>
        </w:rPr>
        <w:t xml:space="preserve">the respondent has served the </w:t>
      </w:r>
      <w:r w:rsidR="009E1476">
        <w:rPr>
          <w:szCs w:val="24"/>
          <w:lang w:val="en-CA" w:eastAsia="fr-CA"/>
        </w:rPr>
        <w:t>5</w:t>
      </w:r>
      <w:r w:rsidRPr="0076473C">
        <w:rPr>
          <w:szCs w:val="24"/>
          <w:lang w:val="en-CA" w:eastAsia="fr-CA"/>
        </w:rPr>
        <w:t xml:space="preserve"> months’ of imprisonment </w:t>
      </w:r>
      <w:r w:rsidR="002F1453">
        <w:rPr>
          <w:szCs w:val="24"/>
          <w:lang w:val="en-CA" w:eastAsia="fr-CA"/>
        </w:rPr>
        <w:t>imposed</w:t>
      </w:r>
      <w:r w:rsidRPr="0076473C">
        <w:rPr>
          <w:szCs w:val="24"/>
          <w:lang w:val="en-CA" w:eastAsia="fr-CA"/>
        </w:rPr>
        <w:t xml:space="preserve"> by the </w:t>
      </w:r>
      <w:r w:rsidR="002F1453">
        <w:rPr>
          <w:szCs w:val="24"/>
          <w:lang w:val="en-CA" w:eastAsia="fr-CA"/>
        </w:rPr>
        <w:t xml:space="preserve">trial </w:t>
      </w:r>
      <w:r w:rsidRPr="0076473C">
        <w:rPr>
          <w:szCs w:val="24"/>
          <w:lang w:val="en-CA" w:eastAsia="fr-CA"/>
        </w:rPr>
        <w:t xml:space="preserve">judgment, as well as 10/12 of the sentence that I believe is appropriate. The respondent </w:t>
      </w:r>
      <w:r w:rsidR="002F1453">
        <w:rPr>
          <w:szCs w:val="24"/>
          <w:lang w:val="en-CA" w:eastAsia="fr-CA"/>
        </w:rPr>
        <w:t>should</w:t>
      </w:r>
      <w:r w:rsidR="002F1453" w:rsidRPr="0076473C">
        <w:rPr>
          <w:szCs w:val="24"/>
          <w:lang w:val="en-CA" w:eastAsia="fr-CA"/>
        </w:rPr>
        <w:t xml:space="preserve"> </w:t>
      </w:r>
      <w:r w:rsidRPr="0076473C">
        <w:rPr>
          <w:szCs w:val="24"/>
          <w:lang w:val="en-CA" w:eastAsia="fr-CA"/>
        </w:rPr>
        <w:t xml:space="preserve">therefore serve </w:t>
      </w:r>
      <w:r w:rsidR="009E1476">
        <w:rPr>
          <w:szCs w:val="24"/>
          <w:lang w:val="en-CA" w:eastAsia="fr-CA"/>
        </w:rPr>
        <w:t>2</w:t>
      </w:r>
      <w:r w:rsidRPr="0076473C">
        <w:rPr>
          <w:szCs w:val="24"/>
          <w:lang w:val="en-CA" w:eastAsia="fr-CA"/>
        </w:rPr>
        <w:t xml:space="preserve"> additional months’ detention. </w:t>
      </w:r>
      <w:r w:rsidR="00562F60" w:rsidRPr="0076473C">
        <w:rPr>
          <w:szCs w:val="24"/>
          <w:lang w:val="en-CA" w:eastAsia="fr-CA"/>
        </w:rPr>
        <w:t xml:space="preserve"> </w:t>
      </w:r>
    </w:p>
    <w:p w14:paraId="1276E262" w14:textId="0FA8C791" w:rsidR="00562F60" w:rsidRPr="0076473C" w:rsidRDefault="006A3409" w:rsidP="00562F60">
      <w:pPr>
        <w:pStyle w:val="Paragraphe"/>
        <w:spacing w:line="280" w:lineRule="exact"/>
        <w:rPr>
          <w:szCs w:val="24"/>
          <w:lang w:val="en-CA" w:eastAsia="fr-CA"/>
        </w:rPr>
      </w:pPr>
      <w:r w:rsidRPr="0076473C">
        <w:rPr>
          <w:szCs w:val="24"/>
          <w:lang w:val="en-CA" w:eastAsia="fr-CA"/>
        </w:rPr>
        <w:t>I</w:t>
      </w:r>
      <w:r w:rsidR="009E1476">
        <w:rPr>
          <w:szCs w:val="24"/>
          <w:lang w:val="en-CA" w:eastAsia="fr-CA"/>
        </w:rPr>
        <w:t xml:space="preserve"> am </w:t>
      </w:r>
      <w:r w:rsidRPr="0076473C">
        <w:rPr>
          <w:szCs w:val="24"/>
          <w:lang w:val="en-CA" w:eastAsia="fr-CA"/>
        </w:rPr>
        <w:t>of the opinion</w:t>
      </w:r>
      <w:r w:rsidR="009E1476">
        <w:rPr>
          <w:szCs w:val="24"/>
          <w:lang w:val="en-CA" w:eastAsia="fr-CA"/>
        </w:rPr>
        <w:t>, however,</w:t>
      </w:r>
      <w:r w:rsidRPr="0076473C">
        <w:rPr>
          <w:szCs w:val="24"/>
          <w:lang w:val="en-CA" w:eastAsia="fr-CA"/>
        </w:rPr>
        <w:t xml:space="preserve"> that it would be unjust and abusive for the respondent to submit to such an obligation.</w:t>
      </w:r>
      <w:r w:rsidR="00562F60" w:rsidRPr="0076473C">
        <w:rPr>
          <w:rStyle w:val="Appelnotedebasdep"/>
          <w:szCs w:val="24"/>
          <w:lang w:val="en-CA" w:eastAsia="fr-CA"/>
        </w:rPr>
        <w:footnoteReference w:id="45"/>
      </w:r>
      <w:r w:rsidR="00562F60" w:rsidRPr="0076473C">
        <w:rPr>
          <w:szCs w:val="24"/>
          <w:lang w:val="en-CA" w:eastAsia="fr-CA"/>
        </w:rPr>
        <w:t xml:space="preserve"> </w:t>
      </w:r>
      <w:r w:rsidRPr="0076473C">
        <w:rPr>
          <w:szCs w:val="24"/>
          <w:lang w:val="en-CA" w:eastAsia="fr-CA"/>
        </w:rPr>
        <w:t>Indeed, the applicant</w:t>
      </w:r>
      <w:r w:rsidR="00880DDD" w:rsidRPr="0076473C">
        <w:rPr>
          <w:szCs w:val="24"/>
          <w:lang w:val="en-CA" w:eastAsia="fr-CA"/>
        </w:rPr>
        <w:t>s</w:t>
      </w:r>
      <w:r w:rsidRPr="0076473C">
        <w:rPr>
          <w:szCs w:val="24"/>
          <w:lang w:val="en-CA" w:eastAsia="fr-CA"/>
        </w:rPr>
        <w:t xml:space="preserve"> astonishingly</w:t>
      </w:r>
      <w:r w:rsidR="009E1476">
        <w:rPr>
          <w:szCs w:val="24"/>
          <w:lang w:val="en-CA" w:eastAsia="fr-CA"/>
        </w:rPr>
        <w:t xml:space="preserve"> decided</w:t>
      </w:r>
      <w:r w:rsidRPr="0076473C">
        <w:rPr>
          <w:szCs w:val="24"/>
          <w:lang w:val="en-CA" w:eastAsia="fr-CA"/>
        </w:rPr>
        <w:t xml:space="preserve"> not to appeal the sentence of 10 months’ imprisonment that had already be</w:t>
      </w:r>
      <w:r w:rsidR="00880DDD" w:rsidRPr="0076473C">
        <w:rPr>
          <w:szCs w:val="24"/>
          <w:lang w:val="en-CA" w:eastAsia="fr-CA"/>
        </w:rPr>
        <w:t>en</w:t>
      </w:r>
      <w:r w:rsidRPr="0076473C">
        <w:rPr>
          <w:szCs w:val="24"/>
          <w:lang w:val="en-CA" w:eastAsia="fr-CA"/>
        </w:rPr>
        <w:t xml:space="preserve"> served.</w:t>
      </w:r>
      <w:r w:rsidR="00562F60" w:rsidRPr="0076473C">
        <w:rPr>
          <w:szCs w:val="24"/>
          <w:lang w:val="en-CA" w:eastAsia="fr-CA"/>
        </w:rPr>
        <w:t xml:space="preserve"> </w:t>
      </w:r>
      <w:r w:rsidRPr="0076473C">
        <w:rPr>
          <w:szCs w:val="24"/>
          <w:lang w:val="en-CA" w:eastAsia="fr-CA"/>
        </w:rPr>
        <w:t>They therefore acknowledge that it was a just and appropriate sentence.</w:t>
      </w:r>
    </w:p>
    <w:p w14:paraId="75D78D8F" w14:textId="36473101" w:rsidR="00562F60" w:rsidRPr="0076473C" w:rsidRDefault="006A3409" w:rsidP="00562F60">
      <w:pPr>
        <w:pStyle w:val="Paragraphe"/>
        <w:spacing w:line="280" w:lineRule="exact"/>
        <w:rPr>
          <w:szCs w:val="24"/>
          <w:lang w:val="en-CA" w:eastAsia="fr-CA"/>
        </w:rPr>
      </w:pPr>
      <w:r w:rsidRPr="0076473C">
        <w:rPr>
          <w:szCs w:val="24"/>
          <w:lang w:val="en-CA" w:eastAsia="fr-CA"/>
        </w:rPr>
        <w:t>This Court recently had the opportunity to consider a similar situation.</w:t>
      </w:r>
      <w:r w:rsidR="00562F60" w:rsidRPr="0076473C">
        <w:rPr>
          <w:rStyle w:val="Appelnotedebasdep"/>
          <w:szCs w:val="24"/>
          <w:lang w:val="en-CA" w:eastAsia="fr-CA"/>
        </w:rPr>
        <w:footnoteReference w:id="46"/>
      </w:r>
      <w:r w:rsidRPr="0076473C">
        <w:rPr>
          <w:szCs w:val="24"/>
          <w:lang w:val="en-CA" w:eastAsia="fr-CA"/>
        </w:rPr>
        <w:t xml:space="preserve"> </w:t>
      </w:r>
    </w:p>
    <w:p w14:paraId="695E9D7C" w14:textId="2C52DF2C" w:rsidR="00562F60" w:rsidRPr="0076473C" w:rsidRDefault="00D23E4E" w:rsidP="00562F60">
      <w:pPr>
        <w:pStyle w:val="Paragraphe"/>
        <w:spacing w:line="280" w:lineRule="exact"/>
        <w:rPr>
          <w:szCs w:val="24"/>
          <w:lang w:val="en-CA" w:eastAsia="fr-CA"/>
        </w:rPr>
      </w:pPr>
      <w:r>
        <w:rPr>
          <w:szCs w:val="24"/>
          <w:lang w:val="en-CA" w:eastAsia="fr-CA"/>
        </w:rPr>
        <w:t xml:space="preserve">Ultimately, the issue </w:t>
      </w:r>
      <w:r w:rsidR="006A3409" w:rsidRPr="0076473C">
        <w:rPr>
          <w:szCs w:val="24"/>
          <w:lang w:val="en-CA" w:eastAsia="fr-CA"/>
        </w:rPr>
        <w:t>is whether the ends of justice would be properly served by re</w:t>
      </w:r>
      <w:r w:rsidR="009E1476">
        <w:rPr>
          <w:szCs w:val="24"/>
          <w:lang w:val="en-CA" w:eastAsia="fr-CA"/>
        </w:rPr>
        <w:noBreakHyphen/>
      </w:r>
      <w:r w:rsidR="006A3409" w:rsidRPr="0076473C">
        <w:rPr>
          <w:szCs w:val="24"/>
          <w:lang w:val="en-CA" w:eastAsia="fr-CA"/>
        </w:rPr>
        <w:t>incarcerati</w:t>
      </w:r>
      <w:r w:rsidR="005863CE">
        <w:rPr>
          <w:szCs w:val="24"/>
          <w:lang w:val="en-CA" w:eastAsia="fr-CA"/>
        </w:rPr>
        <w:t>ng</w:t>
      </w:r>
      <w:r w:rsidR="006A3409" w:rsidRPr="0076473C">
        <w:rPr>
          <w:szCs w:val="24"/>
          <w:lang w:val="en-CA" w:eastAsia="fr-CA"/>
        </w:rPr>
        <w:t xml:space="preserve"> the offender.</w:t>
      </w:r>
      <w:r w:rsidR="00562F60" w:rsidRPr="0076473C">
        <w:rPr>
          <w:szCs w:val="24"/>
          <w:lang w:val="en-CA" w:eastAsia="fr-CA"/>
        </w:rPr>
        <w:t xml:space="preserve"> </w:t>
      </w:r>
      <w:r w:rsidR="006A3409" w:rsidRPr="0076473C">
        <w:rPr>
          <w:szCs w:val="24"/>
          <w:lang w:val="en-CA" w:eastAsia="fr-CA"/>
        </w:rPr>
        <w:t xml:space="preserve">In </w:t>
      </w:r>
      <w:r w:rsidR="006A3409" w:rsidRPr="0076473C">
        <w:rPr>
          <w:i/>
          <w:szCs w:val="24"/>
          <w:lang w:val="en-CA" w:eastAsia="fr-CA"/>
        </w:rPr>
        <w:t>Davidson</w:t>
      </w:r>
      <w:r w:rsidR="006A3409" w:rsidRPr="0076473C">
        <w:rPr>
          <w:szCs w:val="24"/>
          <w:lang w:val="en-CA" w:eastAsia="fr-CA"/>
        </w:rPr>
        <w:t xml:space="preserve">, the Court thought it appropriate to suspend the sentence for </w:t>
      </w:r>
      <w:r w:rsidR="00880DDD" w:rsidRPr="0076473C">
        <w:rPr>
          <w:szCs w:val="24"/>
          <w:lang w:val="en-CA" w:eastAsia="fr-CA"/>
        </w:rPr>
        <w:t>its</w:t>
      </w:r>
      <w:r w:rsidR="006A3409" w:rsidRPr="0076473C">
        <w:rPr>
          <w:szCs w:val="24"/>
          <w:lang w:val="en-CA" w:eastAsia="fr-CA"/>
        </w:rPr>
        <w:t xml:space="preserve"> remainder and increase the length of the probation order.</w:t>
      </w:r>
    </w:p>
    <w:p w14:paraId="6DCC85AC" w14:textId="6B0DF792" w:rsidR="00562F60" w:rsidRPr="0076473C" w:rsidRDefault="00880DDD" w:rsidP="00562F60">
      <w:pPr>
        <w:pStyle w:val="Paragraphe"/>
        <w:spacing w:line="280" w:lineRule="exact"/>
        <w:rPr>
          <w:szCs w:val="24"/>
          <w:lang w:val="en-CA" w:eastAsia="fr-CA"/>
        </w:rPr>
      </w:pPr>
      <w:r w:rsidRPr="0076473C">
        <w:rPr>
          <w:szCs w:val="24"/>
          <w:lang w:val="en-CA" w:eastAsia="fr-CA"/>
        </w:rPr>
        <w:t xml:space="preserve">It </w:t>
      </w:r>
      <w:r w:rsidR="00D23E4E">
        <w:rPr>
          <w:szCs w:val="24"/>
          <w:lang w:val="en-CA" w:eastAsia="fr-CA"/>
        </w:rPr>
        <w:t>is worth recalling</w:t>
      </w:r>
      <w:r w:rsidR="006A3409" w:rsidRPr="0076473C">
        <w:rPr>
          <w:szCs w:val="24"/>
          <w:lang w:val="en-CA" w:eastAsia="fr-CA"/>
        </w:rPr>
        <w:t xml:space="preserve"> that the sentence</w:t>
      </w:r>
      <w:r w:rsidRPr="0076473C">
        <w:rPr>
          <w:szCs w:val="24"/>
          <w:lang w:val="en-CA" w:eastAsia="fr-CA"/>
        </w:rPr>
        <w:t>s</w:t>
      </w:r>
      <w:r w:rsidR="006A3409" w:rsidRPr="0076473C">
        <w:rPr>
          <w:szCs w:val="24"/>
          <w:lang w:val="en-CA" w:eastAsia="fr-CA"/>
        </w:rPr>
        <w:t xml:space="preserve"> </w:t>
      </w:r>
      <w:r w:rsidR="005863CE">
        <w:rPr>
          <w:szCs w:val="24"/>
          <w:lang w:val="en-CA" w:eastAsia="fr-CA"/>
        </w:rPr>
        <w:t>for</w:t>
      </w:r>
      <w:r w:rsidR="006A3409" w:rsidRPr="0076473C">
        <w:rPr>
          <w:szCs w:val="24"/>
          <w:lang w:val="en-CA" w:eastAsia="fr-CA"/>
        </w:rPr>
        <w:t xml:space="preserve"> sexual interference and luring were imposed on March 11, 2020.</w:t>
      </w:r>
      <w:r w:rsidR="00562F60" w:rsidRPr="0076473C">
        <w:rPr>
          <w:szCs w:val="24"/>
          <w:lang w:val="en-CA" w:eastAsia="fr-CA"/>
        </w:rPr>
        <w:t xml:space="preserve"> </w:t>
      </w:r>
      <w:r w:rsidR="006A3409" w:rsidRPr="006C0449">
        <w:rPr>
          <w:szCs w:val="24"/>
          <w:lang w:val="en-CA" w:eastAsia="fr-CA"/>
        </w:rPr>
        <w:t xml:space="preserve">The probation order imposed extended over a period of </w:t>
      </w:r>
      <w:r w:rsidR="009E1476">
        <w:rPr>
          <w:szCs w:val="24"/>
          <w:lang w:val="en-CA" w:eastAsia="fr-CA"/>
        </w:rPr>
        <w:t>2</w:t>
      </w:r>
      <w:r w:rsidR="006A3409" w:rsidRPr="006C0449">
        <w:rPr>
          <w:szCs w:val="24"/>
          <w:lang w:val="en-CA" w:eastAsia="fr-CA"/>
        </w:rPr>
        <w:t xml:space="preserve"> years.</w:t>
      </w:r>
    </w:p>
    <w:p w14:paraId="5A30F957" w14:textId="0A47D872" w:rsidR="00562F60" w:rsidRPr="0076473C" w:rsidRDefault="006A3409" w:rsidP="00562F60">
      <w:pPr>
        <w:pStyle w:val="Paragraphe"/>
        <w:spacing w:line="280" w:lineRule="exact"/>
        <w:rPr>
          <w:szCs w:val="24"/>
          <w:lang w:val="en-CA" w:eastAsia="fr-CA"/>
        </w:rPr>
      </w:pPr>
      <w:r w:rsidRPr="0076473C">
        <w:rPr>
          <w:szCs w:val="24"/>
          <w:lang w:val="en-CA" w:eastAsia="fr-CA"/>
        </w:rPr>
        <w:t xml:space="preserve">I believe it is </w:t>
      </w:r>
      <w:r w:rsidR="00D23E4E" w:rsidRPr="0076473C">
        <w:rPr>
          <w:szCs w:val="24"/>
          <w:lang w:val="en-CA" w:eastAsia="fr-CA"/>
        </w:rPr>
        <w:t>therefore</w:t>
      </w:r>
      <w:r w:rsidR="00D23E4E">
        <w:rPr>
          <w:szCs w:val="24"/>
          <w:lang w:val="en-CA" w:eastAsia="fr-CA"/>
        </w:rPr>
        <w:t xml:space="preserve"> </w:t>
      </w:r>
      <w:r w:rsidRPr="0076473C">
        <w:rPr>
          <w:szCs w:val="24"/>
          <w:lang w:val="en-CA" w:eastAsia="fr-CA"/>
        </w:rPr>
        <w:t>appropriate to suspend the sentence of 12 months</w:t>
      </w:r>
      <w:r w:rsidR="009E1476">
        <w:rPr>
          <w:szCs w:val="24"/>
          <w:lang w:val="en-CA" w:eastAsia="fr-CA"/>
        </w:rPr>
        <w:t xml:space="preserve"> for the </w:t>
      </w:r>
      <w:r w:rsidRPr="0076473C">
        <w:rPr>
          <w:szCs w:val="24"/>
          <w:lang w:val="en-CA" w:eastAsia="fr-CA"/>
        </w:rPr>
        <w:t xml:space="preserve">offence of luring a child and to modify paragraph 87 of the judgment under appeal solely </w:t>
      </w:r>
      <w:r w:rsidRPr="0076473C">
        <w:rPr>
          <w:szCs w:val="24"/>
          <w:lang w:val="en-CA" w:eastAsia="fr-CA"/>
        </w:rPr>
        <w:lastRenderedPageBreak/>
        <w:t xml:space="preserve">so that the probation order specified therein be for a period of </w:t>
      </w:r>
      <w:r w:rsidR="009E1476">
        <w:rPr>
          <w:szCs w:val="24"/>
          <w:lang w:val="en-CA" w:eastAsia="fr-CA"/>
        </w:rPr>
        <w:t xml:space="preserve">3 </w:t>
      </w:r>
      <w:r w:rsidRPr="0076473C">
        <w:rPr>
          <w:szCs w:val="24"/>
          <w:lang w:val="en-CA" w:eastAsia="fr-CA"/>
        </w:rPr>
        <w:t xml:space="preserve">years instead of </w:t>
      </w:r>
      <w:r w:rsidR="009E1476">
        <w:rPr>
          <w:szCs w:val="24"/>
          <w:lang w:val="en-CA" w:eastAsia="fr-CA"/>
        </w:rPr>
        <w:t xml:space="preserve">2 years, </w:t>
      </w:r>
      <w:r w:rsidRPr="0076473C">
        <w:rPr>
          <w:szCs w:val="24"/>
          <w:lang w:val="en-CA" w:eastAsia="fr-CA"/>
        </w:rPr>
        <w:t>starting on the date of sentencing, that is, March 11, 2020.</w:t>
      </w:r>
    </w:p>
    <w:p w14:paraId="23DA6123" w14:textId="120BBD1B" w:rsidR="00562F60" w:rsidRPr="0076473C" w:rsidRDefault="006A3409" w:rsidP="00562F60">
      <w:pPr>
        <w:pStyle w:val="Titre2"/>
        <w:numPr>
          <w:ilvl w:val="1"/>
          <w:numId w:val="20"/>
        </w:numPr>
        <w:spacing w:after="120"/>
        <w:ind w:left="788" w:hanging="431"/>
        <w:jc w:val="both"/>
        <w:rPr>
          <w:spacing w:val="-2"/>
          <w:lang w:val="en-CA"/>
        </w:rPr>
      </w:pPr>
      <w:r w:rsidRPr="0076473C">
        <w:rPr>
          <w:spacing w:val="-2"/>
          <w:lang w:val="en-CA"/>
        </w:rPr>
        <w:t xml:space="preserve">Did the judge err in </w:t>
      </w:r>
      <w:r w:rsidR="009E1476">
        <w:rPr>
          <w:spacing w:val="-2"/>
          <w:lang w:val="en-CA"/>
        </w:rPr>
        <w:t>her</w:t>
      </w:r>
      <w:r w:rsidRPr="0076473C">
        <w:rPr>
          <w:spacing w:val="-2"/>
          <w:lang w:val="en-CA"/>
        </w:rPr>
        <w:t xml:space="preserve"> assessment and application of the test under s. 12 of the Charter and, incidentally, in declaring inoperative the mandatory minimum sentence of one year set out in s. 172.1(2)(a) Cr. C.</w:t>
      </w:r>
      <w:r w:rsidR="00003C8B" w:rsidRPr="0076473C">
        <w:rPr>
          <w:spacing w:val="-2"/>
          <w:lang w:val="en-CA"/>
        </w:rPr>
        <w:t>?</w:t>
      </w:r>
    </w:p>
    <w:p w14:paraId="0BCD5016" w14:textId="26FA9D86" w:rsidR="00562F60" w:rsidRPr="0076473C" w:rsidRDefault="00452304" w:rsidP="00562F60">
      <w:pPr>
        <w:pStyle w:val="Paragraphe"/>
        <w:spacing w:line="280" w:lineRule="exact"/>
        <w:rPr>
          <w:lang w:val="en-CA"/>
        </w:rPr>
      </w:pPr>
      <w:r w:rsidRPr="0076473C">
        <w:rPr>
          <w:lang w:val="en-CA"/>
        </w:rPr>
        <w:t>Having</w:t>
      </w:r>
      <w:r w:rsidR="006A3409" w:rsidRPr="0076473C">
        <w:rPr>
          <w:lang w:val="en-CA"/>
        </w:rPr>
        <w:t xml:space="preserve"> arriv</w:t>
      </w:r>
      <w:r w:rsidRPr="0076473C">
        <w:rPr>
          <w:lang w:val="en-CA"/>
        </w:rPr>
        <w:t>ed</w:t>
      </w:r>
      <w:r w:rsidR="006A3409" w:rsidRPr="0076473C">
        <w:rPr>
          <w:lang w:val="en-CA"/>
        </w:rPr>
        <w:t xml:space="preserve"> at the conclusion that the appropriate sentence</w:t>
      </w:r>
      <w:r w:rsidR="009E1476">
        <w:rPr>
          <w:lang w:val="en-CA"/>
        </w:rPr>
        <w:t xml:space="preserve"> that is</w:t>
      </w:r>
      <w:r w:rsidR="006A3409" w:rsidRPr="0076473C">
        <w:rPr>
          <w:lang w:val="en-CA"/>
        </w:rPr>
        <w:t xml:space="preserve"> proportionate to the respondent’s moral </w:t>
      </w:r>
      <w:r w:rsidR="00895F4F">
        <w:rPr>
          <w:lang w:val="en-CA"/>
        </w:rPr>
        <w:t>blameworthiness</w:t>
      </w:r>
      <w:r w:rsidR="006A3409" w:rsidRPr="0076473C">
        <w:rPr>
          <w:lang w:val="en-CA"/>
        </w:rPr>
        <w:t xml:space="preserve">, </w:t>
      </w:r>
      <w:r w:rsidR="00D0060C">
        <w:rPr>
          <w:lang w:val="en-CA"/>
        </w:rPr>
        <w:t>in light of</w:t>
      </w:r>
      <w:r w:rsidR="006A3409" w:rsidRPr="0076473C">
        <w:rPr>
          <w:lang w:val="en-CA"/>
        </w:rPr>
        <w:t xml:space="preserve"> the circumstances of the case and the offender’s characteristics, </w:t>
      </w:r>
      <w:r w:rsidRPr="0076473C">
        <w:rPr>
          <w:lang w:val="en-CA"/>
        </w:rPr>
        <w:t xml:space="preserve">is </w:t>
      </w:r>
      <w:r w:rsidR="006A3409" w:rsidRPr="0076473C">
        <w:rPr>
          <w:lang w:val="en-CA"/>
        </w:rPr>
        <w:t xml:space="preserve">a period of 12 months’ imprisonment to be served concurrently </w:t>
      </w:r>
      <w:r w:rsidR="009E1476">
        <w:rPr>
          <w:lang w:val="en-CA"/>
        </w:rPr>
        <w:t>with</w:t>
      </w:r>
      <w:r w:rsidR="006A3409" w:rsidRPr="0076473C">
        <w:rPr>
          <w:lang w:val="en-CA"/>
        </w:rPr>
        <w:t xml:space="preserve"> all other sentences, it must be concluded that this term of imprisonment cannot be </w:t>
      </w:r>
      <w:r w:rsidR="006A6877" w:rsidRPr="0076473C">
        <w:rPr>
          <w:lang w:val="en-CA"/>
        </w:rPr>
        <w:t>characterized</w:t>
      </w:r>
      <w:r w:rsidR="006A3409" w:rsidRPr="0076473C">
        <w:rPr>
          <w:lang w:val="en-CA"/>
        </w:rPr>
        <w:t xml:space="preserve"> as “grossly disproportionate” and as “so excessive as to outrage standards of decency and abhorrent or intolerable to society”.</w:t>
      </w:r>
      <w:r w:rsidR="00562F60" w:rsidRPr="0076473C">
        <w:rPr>
          <w:rStyle w:val="Appelnotedebasdep"/>
          <w:lang w:val="en-CA"/>
        </w:rPr>
        <w:footnoteReference w:id="47"/>
      </w:r>
      <w:r w:rsidR="006A3409" w:rsidRPr="0076473C">
        <w:rPr>
          <w:lang w:val="en-CA"/>
        </w:rPr>
        <w:t xml:space="preserve"> </w:t>
      </w:r>
    </w:p>
    <w:p w14:paraId="5E8623B2" w14:textId="726D0C38" w:rsidR="00562F60" w:rsidRPr="0076473C" w:rsidRDefault="00BB3D33" w:rsidP="00562F60">
      <w:pPr>
        <w:pStyle w:val="Paragraphe"/>
        <w:spacing w:line="280" w:lineRule="exact"/>
        <w:rPr>
          <w:lang w:val="en-CA"/>
        </w:rPr>
      </w:pPr>
      <w:r>
        <w:rPr>
          <w:lang w:val="en-CA"/>
        </w:rPr>
        <w:t>Because</w:t>
      </w:r>
      <w:r w:rsidR="006A3409" w:rsidRPr="0076473C">
        <w:rPr>
          <w:lang w:val="en-CA"/>
        </w:rPr>
        <w:t xml:space="preserve"> the first step of the test proposed by the Supreme Court in </w:t>
      </w:r>
      <w:r w:rsidR="006A3409" w:rsidRPr="0076473C">
        <w:rPr>
          <w:i/>
          <w:lang w:val="en-CA"/>
        </w:rPr>
        <w:t>Nur</w:t>
      </w:r>
      <w:r w:rsidR="006A3409" w:rsidRPr="0076473C">
        <w:rPr>
          <w:lang w:val="en-CA"/>
        </w:rPr>
        <w:t xml:space="preserve"> has be</w:t>
      </w:r>
      <w:r w:rsidR="006A6877" w:rsidRPr="0076473C">
        <w:rPr>
          <w:lang w:val="en-CA"/>
        </w:rPr>
        <w:t>en completed, it is appropriate</w:t>
      </w:r>
      <w:r w:rsidR="006A3409" w:rsidRPr="0076473C">
        <w:rPr>
          <w:i/>
          <w:lang w:val="en-CA"/>
        </w:rPr>
        <w:t xml:space="preserve"> </w:t>
      </w:r>
      <w:r w:rsidR="006A3409" w:rsidRPr="0076473C">
        <w:rPr>
          <w:lang w:val="en-CA"/>
        </w:rPr>
        <w:t>to move on to the second step and ask “whether the provision’s reasonably foreseeable applications will impose grossly disproportionate sentences on others?</w:t>
      </w:r>
      <w:r w:rsidR="00452304" w:rsidRPr="0076473C">
        <w:rPr>
          <w:lang w:val="en-CA"/>
        </w:rPr>
        <w:t>”</w:t>
      </w:r>
      <w:r w:rsidR="00562F60" w:rsidRPr="0076473C">
        <w:rPr>
          <w:rStyle w:val="Appelnotedebasdep"/>
          <w:lang w:val="en-CA"/>
        </w:rPr>
        <w:footnoteReference w:id="48"/>
      </w:r>
    </w:p>
    <w:p w14:paraId="5B145D59" w14:textId="038BCF4B" w:rsidR="00562F60" w:rsidRPr="0076473C" w:rsidRDefault="001D4411" w:rsidP="00562F60">
      <w:pPr>
        <w:pStyle w:val="Paragraphe"/>
        <w:spacing w:line="280" w:lineRule="exact"/>
        <w:rPr>
          <w:lang w:val="en-CA"/>
        </w:rPr>
      </w:pPr>
      <w:r>
        <w:rPr>
          <w:lang w:val="en-CA"/>
        </w:rPr>
        <w:t>I</w:t>
      </w:r>
      <w:r w:rsidRPr="0076473C">
        <w:rPr>
          <w:lang w:val="en-CA"/>
        </w:rPr>
        <w:t xml:space="preserve">n </w:t>
      </w:r>
      <w:r w:rsidRPr="0076473C">
        <w:rPr>
          <w:i/>
          <w:lang w:val="en-CA"/>
        </w:rPr>
        <w:t>Caron Barrette</w:t>
      </w:r>
      <w:r w:rsidRPr="0076473C">
        <w:rPr>
          <w:lang w:val="en-CA"/>
        </w:rPr>
        <w:t xml:space="preserve">, </w:t>
      </w:r>
      <w:r>
        <w:rPr>
          <w:lang w:val="en-CA"/>
        </w:rPr>
        <w:t>t</w:t>
      </w:r>
      <w:r w:rsidR="006A3409" w:rsidRPr="0076473C">
        <w:rPr>
          <w:lang w:val="en-CA"/>
        </w:rPr>
        <w:t>his Court described the task to be completed as follows:</w:t>
      </w:r>
    </w:p>
    <w:p w14:paraId="4D165AFD" w14:textId="740C416F" w:rsidR="00272EA9" w:rsidRPr="0076473C" w:rsidRDefault="00272EA9" w:rsidP="00272EA9">
      <w:pPr>
        <w:pStyle w:val="Paragraphe"/>
        <w:numPr>
          <w:ilvl w:val="0"/>
          <w:numId w:val="0"/>
        </w:numPr>
        <w:spacing w:line="280" w:lineRule="exact"/>
        <w:rPr>
          <w:lang w:val="en-CA"/>
        </w:rPr>
      </w:pPr>
      <w:r w:rsidRPr="0076473C">
        <w:rPr>
          <w:lang w:val="en-CA"/>
        </w:rPr>
        <w:tab/>
        <w:t>[</w:t>
      </w:r>
      <w:r w:rsidRPr="0076473C">
        <w:rPr>
          <w:smallCaps/>
          <w:lang w:val="en-CA"/>
        </w:rPr>
        <w:t>translation</w:t>
      </w:r>
      <w:r w:rsidRPr="0076473C">
        <w:rPr>
          <w:lang w:val="en-CA"/>
        </w:rPr>
        <w:t>]</w:t>
      </w:r>
    </w:p>
    <w:p w14:paraId="374DF893" w14:textId="09282A6F" w:rsidR="00562F60" w:rsidRPr="0076473C" w:rsidRDefault="00562F60" w:rsidP="00562F60">
      <w:pPr>
        <w:pStyle w:val="Citationenretrait"/>
        <w:rPr>
          <w:rFonts w:cs="Arial"/>
          <w:szCs w:val="24"/>
          <w:lang w:val="en-CA"/>
        </w:rPr>
      </w:pPr>
      <w:r w:rsidRPr="0076473C">
        <w:rPr>
          <w:lang w:val="en-CA"/>
        </w:rPr>
        <w:t>[73]</w:t>
      </w:r>
      <w:r w:rsidRPr="0076473C">
        <w:rPr>
          <w:lang w:val="en-CA"/>
        </w:rPr>
        <w:tab/>
      </w:r>
      <w:r w:rsidR="00272EA9" w:rsidRPr="0076473C">
        <w:rPr>
          <w:lang w:val="en-CA"/>
        </w:rPr>
        <w:t xml:space="preserve">   </w:t>
      </w:r>
      <w:r w:rsidR="00E40C42" w:rsidRPr="00E40C42">
        <w:rPr>
          <w:lang w:val="en-CA"/>
        </w:rPr>
        <w:t>If that is not the case, reasonably foreseeable app</w:t>
      </w:r>
      <w:r w:rsidR="00E40C42">
        <w:rPr>
          <w:lang w:val="en-CA"/>
        </w:rPr>
        <w:t>lications should be examined.</w:t>
      </w:r>
      <w:r w:rsidR="00E40C42" w:rsidRPr="00E40C42">
        <w:rPr>
          <w:lang w:val="en-CA"/>
        </w:rPr>
        <w:t xml:space="preserve"> In </w:t>
      </w:r>
      <w:r w:rsidR="00E40C42" w:rsidRPr="00E40C42">
        <w:rPr>
          <w:i/>
          <w:lang w:val="en-CA"/>
        </w:rPr>
        <w:t>Nur</w:t>
      </w:r>
      <w:r w:rsidR="00E40C42" w:rsidRPr="00E40C42">
        <w:rPr>
          <w:lang w:val="en-CA"/>
        </w:rPr>
        <w:t>, McLachlin C.J. reconsidered this concept and stated that a reasonable hypothetical must be based on “a situation that may reasonably be expected to arise”, and not on situations that are marginally imaginable or that have little resemblance to the case before the court nor on fancifu</w:t>
      </w:r>
      <w:r w:rsidR="00E40C42">
        <w:rPr>
          <w:lang w:val="en-CA"/>
        </w:rPr>
        <w:t>l or speculative situations.</w:t>
      </w:r>
      <w:r w:rsidR="00E40C42" w:rsidRPr="00E40C42">
        <w:rPr>
          <w:lang w:val="en-CA"/>
        </w:rPr>
        <w:t xml:space="preserve"> The question is therefore whether it is reasonably foreseeable that the minimum sentence could be grossly disproportionate for certain persons.</w:t>
      </w:r>
      <w:r w:rsidRPr="0076473C">
        <w:rPr>
          <w:rFonts w:cs="Arial"/>
          <w:szCs w:val="24"/>
          <w:lang w:val="en-CA"/>
        </w:rPr>
        <w:t xml:space="preserve">. </w:t>
      </w:r>
    </w:p>
    <w:p w14:paraId="4545DFB1" w14:textId="343E5EE8" w:rsidR="00562F60" w:rsidRPr="0076473C" w:rsidRDefault="00562F60" w:rsidP="00562F60">
      <w:pPr>
        <w:pStyle w:val="Citationenretrait"/>
        <w:rPr>
          <w:lang w:val="en-CA"/>
        </w:rPr>
      </w:pPr>
      <w:r w:rsidRPr="0076473C">
        <w:rPr>
          <w:lang w:val="en-CA"/>
        </w:rPr>
        <w:t>[74]</w:t>
      </w:r>
      <w:r w:rsidRPr="0076473C">
        <w:rPr>
          <w:lang w:val="en-CA"/>
        </w:rPr>
        <w:tab/>
      </w:r>
      <w:r w:rsidR="00E40C42" w:rsidRPr="00E40C42">
        <w:rPr>
          <w:rFonts w:cs="Arial"/>
          <w:color w:val="000000"/>
          <w:kern w:val="0"/>
          <w:sz w:val="24"/>
          <w:lang w:val="en-CA"/>
        </w:rPr>
        <w:t>In the context of this analysis, it is relevant to refer to the case law, which illustrates the range of real-life conduct captured by the offence. The hypothetical offender’s characteristics are also relevant to the debate. However, the Supreme Court warns us not to confer on the offender personal features that would construct the most sympathetic case imaginable.</w:t>
      </w:r>
      <w:r w:rsidRPr="0076473C">
        <w:rPr>
          <w:lang w:val="en-CA"/>
        </w:rPr>
        <w:t xml:space="preserve"> </w:t>
      </w:r>
    </w:p>
    <w:p w14:paraId="24A35D4C" w14:textId="066D387C" w:rsidR="00562F60" w:rsidRPr="0076473C" w:rsidRDefault="00562F60" w:rsidP="00562F60">
      <w:pPr>
        <w:pStyle w:val="Citationenretrait"/>
        <w:rPr>
          <w:lang w:val="en-CA"/>
        </w:rPr>
      </w:pPr>
      <w:r w:rsidRPr="0076473C">
        <w:rPr>
          <w:lang w:val="en-CA"/>
        </w:rPr>
        <w:lastRenderedPageBreak/>
        <w:t>[75]</w:t>
      </w:r>
      <w:r w:rsidRPr="0076473C">
        <w:rPr>
          <w:lang w:val="en-CA"/>
        </w:rPr>
        <w:tab/>
      </w:r>
      <w:r w:rsidR="002001F3" w:rsidRPr="002001F3">
        <w:rPr>
          <w:lang w:val="en-CA"/>
        </w:rPr>
        <w:t>If, after having examined the reasonably foreseeable situations, the judge concludes that they will impose grossly disproportionate sentences on other persons, this means that the minimum sentence violates s. 12 of the </w:t>
      </w:r>
      <w:r w:rsidR="002001F3" w:rsidRPr="002001F3">
        <w:rPr>
          <w:i/>
          <w:iCs/>
          <w:lang w:val="en-CA"/>
        </w:rPr>
        <w:t>Charter</w:t>
      </w:r>
      <w:r w:rsidRPr="0076473C">
        <w:rPr>
          <w:lang w:val="en-CA"/>
        </w:rPr>
        <w:t>.</w:t>
      </w:r>
      <w:r w:rsidRPr="0076473C">
        <w:rPr>
          <w:rStyle w:val="Appelnotedebasdep"/>
          <w:lang w:val="en-CA"/>
        </w:rPr>
        <w:footnoteReference w:id="49"/>
      </w:r>
    </w:p>
    <w:p w14:paraId="2A3EF7D7" w14:textId="3FA7DE63" w:rsidR="00562F60" w:rsidRPr="0076473C" w:rsidRDefault="00200585" w:rsidP="00562F60">
      <w:pPr>
        <w:pStyle w:val="Paragraphe"/>
        <w:spacing w:line="280" w:lineRule="exact"/>
        <w:rPr>
          <w:lang w:val="en-CA"/>
        </w:rPr>
      </w:pPr>
      <w:r w:rsidRPr="0076473C">
        <w:rPr>
          <w:lang w:val="en-CA"/>
        </w:rPr>
        <w:t>McLachlin</w:t>
      </w:r>
      <w:r w:rsidR="002001F3">
        <w:rPr>
          <w:lang w:val="en-CA"/>
        </w:rPr>
        <w:t>, C.J.,</w:t>
      </w:r>
      <w:r w:rsidRPr="0076473C">
        <w:rPr>
          <w:lang w:val="en-CA"/>
        </w:rPr>
        <w:t xml:space="preserve"> recalled the principle of judicial deference </w:t>
      </w:r>
      <w:r w:rsidR="00BB3D33">
        <w:rPr>
          <w:lang w:val="en-CA"/>
        </w:rPr>
        <w:t>respecting</w:t>
      </w:r>
      <w:r w:rsidRPr="0076473C">
        <w:rPr>
          <w:lang w:val="en-CA"/>
        </w:rPr>
        <w:t xml:space="preserve"> the constitutionality of a minimum sentence, when she wrote in </w:t>
      </w:r>
      <w:r w:rsidRPr="0076473C">
        <w:rPr>
          <w:i/>
          <w:lang w:val="en-CA"/>
        </w:rPr>
        <w:t>R. v. Lloyd</w:t>
      </w:r>
      <w:r w:rsidRPr="0076473C">
        <w:rPr>
          <w:lang w:val="en-CA"/>
        </w:rPr>
        <w:t>:</w:t>
      </w:r>
      <w:r w:rsidR="00562F60" w:rsidRPr="0076473C">
        <w:rPr>
          <w:rStyle w:val="Appelnotedebasdep"/>
          <w:lang w:val="en-CA"/>
        </w:rPr>
        <w:footnoteReference w:id="50"/>
      </w:r>
      <w:r w:rsidRPr="0076473C">
        <w:rPr>
          <w:i/>
          <w:lang w:val="en-CA"/>
        </w:rPr>
        <w:t xml:space="preserve"> </w:t>
      </w:r>
    </w:p>
    <w:p w14:paraId="4CB6B4AB" w14:textId="4D8FE105" w:rsidR="00562F60" w:rsidRPr="0076473C" w:rsidRDefault="00562F60" w:rsidP="00562F60">
      <w:pPr>
        <w:pStyle w:val="Citationenretrait"/>
        <w:rPr>
          <w:sz w:val="21"/>
          <w:szCs w:val="21"/>
          <w:lang w:val="en-CA"/>
        </w:rPr>
      </w:pPr>
      <w:r w:rsidRPr="0076473C">
        <w:rPr>
          <w:lang w:val="en-CA"/>
        </w:rPr>
        <w:t>[18]</w:t>
      </w:r>
      <w:r w:rsidRPr="0076473C">
        <w:rPr>
          <w:lang w:val="en-CA"/>
        </w:rPr>
        <w:tab/>
      </w:r>
      <w:r w:rsidR="00200585" w:rsidRPr="0076473C">
        <w:rPr>
          <w:lang w:val="en-CA"/>
        </w:rPr>
        <w:t>To be sure, it does not follow that a provincial court judge is obligated to consider the constitutionality of a mandatory minimum provision where it can have no impact on the sentence in the case at issue. Judicial economy dictates that judges should not squander time and resources on matters they need not decide</w:t>
      </w:r>
      <w:r w:rsidR="00BB3D33">
        <w:rPr>
          <w:lang w:val="en-CA"/>
        </w:rPr>
        <w:t>.</w:t>
      </w:r>
      <w:r w:rsidRPr="0076473C">
        <w:rPr>
          <w:lang w:val="en-CA"/>
        </w:rPr>
        <w:t xml:space="preserve"> </w:t>
      </w:r>
    </w:p>
    <w:p w14:paraId="183DDB7E" w14:textId="4D8E6347" w:rsidR="00562F60" w:rsidRPr="0076473C" w:rsidRDefault="00200585" w:rsidP="00562F60">
      <w:pPr>
        <w:pStyle w:val="Paragraphe"/>
        <w:spacing w:line="280" w:lineRule="exact"/>
        <w:rPr>
          <w:lang w:val="en-CA"/>
        </w:rPr>
      </w:pPr>
      <w:r w:rsidRPr="006C0449">
        <w:rPr>
          <w:lang w:val="en-CA"/>
        </w:rPr>
        <w:t xml:space="preserve">At trial, the respondent submitted </w:t>
      </w:r>
      <w:r w:rsidR="002001F3">
        <w:rPr>
          <w:lang w:val="en-CA"/>
        </w:rPr>
        <w:t>a few</w:t>
      </w:r>
      <w:r w:rsidRPr="006C0449">
        <w:rPr>
          <w:lang w:val="en-CA"/>
        </w:rPr>
        <w:t xml:space="preserve"> hypothetical situation</w:t>
      </w:r>
      <w:r w:rsidR="00452304" w:rsidRPr="006C0449">
        <w:rPr>
          <w:lang w:val="en-CA"/>
        </w:rPr>
        <w:t>s</w:t>
      </w:r>
      <w:r w:rsidR="002001F3">
        <w:rPr>
          <w:lang w:val="en-CA"/>
        </w:rPr>
        <w:t xml:space="preserve"> that were</w:t>
      </w:r>
      <w:r w:rsidRPr="006C0449">
        <w:rPr>
          <w:lang w:val="en-CA"/>
        </w:rPr>
        <w:t xml:space="preserve"> useful to his arguments, </w:t>
      </w:r>
      <w:r w:rsidR="002001F3">
        <w:rPr>
          <w:lang w:val="en-CA"/>
        </w:rPr>
        <w:t>including</w:t>
      </w:r>
      <w:r w:rsidRPr="006C0449">
        <w:rPr>
          <w:lang w:val="en-CA"/>
        </w:rPr>
        <w:t xml:space="preserve"> those arising from </w:t>
      </w:r>
      <w:r w:rsidRPr="006C0449">
        <w:rPr>
          <w:i/>
          <w:lang w:val="en-CA"/>
        </w:rPr>
        <w:t xml:space="preserve">R. </w:t>
      </w:r>
      <w:r w:rsidR="002001F3">
        <w:rPr>
          <w:i/>
          <w:lang w:val="en-CA"/>
        </w:rPr>
        <w:t>v</w:t>
      </w:r>
      <w:r w:rsidRPr="006C0449">
        <w:rPr>
          <w:i/>
          <w:lang w:val="en-CA"/>
        </w:rPr>
        <w:t>. Morrison</w:t>
      </w:r>
      <w:r w:rsidRPr="0076473C">
        <w:rPr>
          <w:rStyle w:val="Appelnotedebasdep"/>
          <w:lang w:val="en-CA"/>
        </w:rPr>
        <w:footnoteReference w:id="51"/>
      </w:r>
      <w:r w:rsidRPr="006C0449">
        <w:rPr>
          <w:lang w:val="en-CA"/>
        </w:rPr>
        <w:t xml:space="preserve"> and </w:t>
      </w:r>
      <w:r w:rsidRPr="006C0449">
        <w:rPr>
          <w:i/>
          <w:lang w:val="en-CA"/>
        </w:rPr>
        <w:t>R. v. Hood</w:t>
      </w:r>
      <w:r w:rsidRPr="006C0449">
        <w:rPr>
          <w:lang w:val="en-CA"/>
        </w:rPr>
        <w:t>,</w:t>
      </w:r>
      <w:r w:rsidRPr="0076473C">
        <w:rPr>
          <w:rStyle w:val="Appelnotedebasdep"/>
          <w:lang w:val="en-CA"/>
        </w:rPr>
        <w:footnoteReference w:id="52"/>
      </w:r>
      <w:r w:rsidRPr="0076473C">
        <w:rPr>
          <w:i/>
          <w:lang w:val="en-CA"/>
        </w:rPr>
        <w:t xml:space="preserve"> </w:t>
      </w:r>
      <w:r w:rsidRPr="0076473C">
        <w:rPr>
          <w:lang w:val="en-CA"/>
        </w:rPr>
        <w:t>to which he add</w:t>
      </w:r>
      <w:r w:rsidR="004014DF">
        <w:rPr>
          <w:lang w:val="en-CA"/>
        </w:rPr>
        <w:t>ed</w:t>
      </w:r>
      <w:r w:rsidRPr="0076473C">
        <w:rPr>
          <w:lang w:val="en-CA"/>
        </w:rPr>
        <w:t xml:space="preserve"> </w:t>
      </w:r>
      <w:r w:rsidRPr="0076473C">
        <w:rPr>
          <w:i/>
          <w:lang w:val="en-CA"/>
        </w:rPr>
        <w:t>Caron Barrette</w:t>
      </w:r>
      <w:r w:rsidRPr="0076473C">
        <w:rPr>
          <w:lang w:val="en-CA"/>
        </w:rPr>
        <w:t>, just discussed above.</w:t>
      </w:r>
      <w:r w:rsidRPr="0076473C">
        <w:rPr>
          <w:rStyle w:val="Appelnotedebasdep"/>
          <w:lang w:val="en-CA"/>
        </w:rPr>
        <w:t xml:space="preserve"> </w:t>
      </w:r>
    </w:p>
    <w:p w14:paraId="181A1C4F" w14:textId="7240E59B" w:rsidR="00562F60" w:rsidRPr="0076473C" w:rsidRDefault="00200585" w:rsidP="00562F60">
      <w:pPr>
        <w:pStyle w:val="Paragraphe"/>
        <w:spacing w:line="280" w:lineRule="exact"/>
        <w:rPr>
          <w:lang w:val="en-CA"/>
        </w:rPr>
      </w:pPr>
      <w:r w:rsidRPr="0076473C">
        <w:rPr>
          <w:lang w:val="en-CA"/>
        </w:rPr>
        <w:t xml:space="preserve">The applicants invite this Court to exercise judicial deference with respect to these hypothetical situations </w:t>
      </w:r>
      <w:r w:rsidR="002001F3">
        <w:rPr>
          <w:lang w:val="en-CA"/>
        </w:rPr>
        <w:t xml:space="preserve">raised </w:t>
      </w:r>
      <w:r w:rsidRPr="0076473C">
        <w:rPr>
          <w:lang w:val="en-CA"/>
        </w:rPr>
        <w:t>by the respondent.</w:t>
      </w:r>
    </w:p>
    <w:p w14:paraId="3CBCCAA2" w14:textId="4B706CBA" w:rsidR="00562F60" w:rsidRPr="0076473C" w:rsidRDefault="00200585" w:rsidP="00562F60">
      <w:pPr>
        <w:pStyle w:val="Paragraphe"/>
        <w:spacing w:line="280" w:lineRule="exact"/>
        <w:rPr>
          <w:lang w:val="en-CA"/>
        </w:rPr>
      </w:pPr>
      <w:r w:rsidRPr="006C0449">
        <w:rPr>
          <w:lang w:val="en-CA"/>
        </w:rPr>
        <w:t>I share this opinion.</w:t>
      </w:r>
      <w:r w:rsidR="00562F60" w:rsidRPr="0076473C">
        <w:rPr>
          <w:lang w:val="en-CA"/>
        </w:rPr>
        <w:t xml:space="preserve"> </w:t>
      </w:r>
      <w:r w:rsidRPr="0076473C">
        <w:rPr>
          <w:lang w:val="en-CA"/>
        </w:rPr>
        <w:t xml:space="preserve">The reasonable hypothetical </w:t>
      </w:r>
      <w:r w:rsidR="006A6877" w:rsidRPr="0076473C">
        <w:rPr>
          <w:lang w:val="en-CA"/>
        </w:rPr>
        <w:t>applications</w:t>
      </w:r>
      <w:r w:rsidRPr="0076473C">
        <w:rPr>
          <w:lang w:val="en-CA"/>
        </w:rPr>
        <w:t xml:space="preserve"> alleged </w:t>
      </w:r>
      <w:r w:rsidR="00452304" w:rsidRPr="0076473C">
        <w:rPr>
          <w:lang w:val="en-CA"/>
        </w:rPr>
        <w:t>based</w:t>
      </w:r>
      <w:r w:rsidRPr="0076473C">
        <w:rPr>
          <w:lang w:val="en-CA"/>
        </w:rPr>
        <w:t xml:space="preserve"> </w:t>
      </w:r>
      <w:r w:rsidR="004A51A6">
        <w:rPr>
          <w:lang w:val="en-CA"/>
        </w:rPr>
        <w:t xml:space="preserve">on </w:t>
      </w:r>
      <w:r w:rsidRPr="0076473C">
        <w:rPr>
          <w:lang w:val="en-CA"/>
        </w:rPr>
        <w:t xml:space="preserve">these </w:t>
      </w:r>
      <w:r w:rsidR="006A6877" w:rsidRPr="0076473C">
        <w:rPr>
          <w:lang w:val="en-CA"/>
        </w:rPr>
        <w:t>judgments</w:t>
      </w:r>
      <w:r w:rsidRPr="0076473C">
        <w:rPr>
          <w:lang w:val="en-CA"/>
        </w:rPr>
        <w:t xml:space="preserve"> are of very little assistance </w:t>
      </w:r>
      <w:r w:rsidR="001D4411">
        <w:rPr>
          <w:lang w:val="en-CA"/>
        </w:rPr>
        <w:t>to</w:t>
      </w:r>
      <w:r w:rsidRPr="0076473C">
        <w:rPr>
          <w:lang w:val="en-CA"/>
        </w:rPr>
        <w:t xml:space="preserve"> the constitutional </w:t>
      </w:r>
      <w:r w:rsidR="006A6877" w:rsidRPr="0076473C">
        <w:rPr>
          <w:lang w:val="en-CA"/>
        </w:rPr>
        <w:t>debate</w:t>
      </w:r>
      <w:r w:rsidRPr="0076473C">
        <w:rPr>
          <w:lang w:val="en-CA"/>
        </w:rPr>
        <w:t xml:space="preserve"> before this Court. </w:t>
      </w:r>
    </w:p>
    <w:p w14:paraId="31B66AB7" w14:textId="520F95EF" w:rsidR="00562F60" w:rsidRPr="0076473C" w:rsidRDefault="00200585" w:rsidP="00562F60">
      <w:pPr>
        <w:pStyle w:val="Paragraphe"/>
        <w:spacing w:line="280" w:lineRule="exact"/>
        <w:rPr>
          <w:lang w:val="en-CA"/>
        </w:rPr>
      </w:pPr>
      <w:r w:rsidRPr="006C0449">
        <w:rPr>
          <w:lang w:val="en-CA"/>
        </w:rPr>
        <w:t>The Supreme Court did not rule on the issue of sentenc</w:t>
      </w:r>
      <w:r w:rsidR="004014DF">
        <w:rPr>
          <w:lang w:val="en-CA"/>
        </w:rPr>
        <w:t>ing</w:t>
      </w:r>
      <w:r w:rsidRPr="006C0449">
        <w:rPr>
          <w:lang w:val="en-CA"/>
        </w:rPr>
        <w:t xml:space="preserve"> in </w:t>
      </w:r>
      <w:r w:rsidRPr="006C0449">
        <w:rPr>
          <w:i/>
          <w:lang w:val="en-CA"/>
        </w:rPr>
        <w:t>Morrison</w:t>
      </w:r>
      <w:r w:rsidRPr="006C0449">
        <w:rPr>
          <w:lang w:val="en-CA"/>
        </w:rPr>
        <w:t xml:space="preserve"> and it ordered a new trial.</w:t>
      </w:r>
      <w:r w:rsidRPr="006C0449">
        <w:rPr>
          <w:i/>
          <w:lang w:val="en-CA"/>
        </w:rPr>
        <w:t xml:space="preserve"> </w:t>
      </w:r>
      <w:r w:rsidRPr="006C0449">
        <w:rPr>
          <w:lang w:val="en-CA"/>
        </w:rPr>
        <w:t xml:space="preserve">In the case of Ms. Hood, the Nova Scotia Court of Appeal overturned the </w:t>
      </w:r>
      <w:r w:rsidR="004014DF">
        <w:rPr>
          <w:lang w:val="en-CA"/>
        </w:rPr>
        <w:t xml:space="preserve">trial </w:t>
      </w:r>
      <w:r w:rsidRPr="006C0449">
        <w:rPr>
          <w:lang w:val="en-CA"/>
        </w:rPr>
        <w:t>judgment.</w:t>
      </w:r>
      <w:r w:rsidR="00562F60" w:rsidRPr="0076473C">
        <w:rPr>
          <w:lang w:val="en-CA"/>
        </w:rPr>
        <w:t xml:space="preserve"> </w:t>
      </w:r>
      <w:r w:rsidR="004A51A6">
        <w:rPr>
          <w:lang w:val="en-CA"/>
        </w:rPr>
        <w:t>T</w:t>
      </w:r>
      <w:r w:rsidRPr="0076473C">
        <w:rPr>
          <w:lang w:val="en-CA"/>
        </w:rPr>
        <w:t>he judgment of this Court</w:t>
      </w:r>
      <w:r w:rsidR="004A51A6">
        <w:rPr>
          <w:lang w:val="en-CA"/>
        </w:rPr>
        <w:t xml:space="preserve"> in</w:t>
      </w:r>
      <w:r w:rsidRPr="0076473C">
        <w:rPr>
          <w:lang w:val="en-CA"/>
        </w:rPr>
        <w:t xml:space="preserve"> </w:t>
      </w:r>
      <w:r w:rsidRPr="0076473C">
        <w:rPr>
          <w:i/>
          <w:lang w:val="en-CA"/>
        </w:rPr>
        <w:t>Caron Barrette</w:t>
      </w:r>
      <w:r w:rsidRPr="0076473C">
        <w:rPr>
          <w:lang w:val="en-CA"/>
        </w:rPr>
        <w:t xml:space="preserve"> was connected to a specific situation relat</w:t>
      </w:r>
      <w:r w:rsidR="00452304" w:rsidRPr="0076473C">
        <w:rPr>
          <w:lang w:val="en-CA"/>
        </w:rPr>
        <w:t>ed</w:t>
      </w:r>
      <w:r w:rsidRPr="0076473C">
        <w:rPr>
          <w:lang w:val="en-CA"/>
        </w:rPr>
        <w:t xml:space="preserve"> to s. 151 </w:t>
      </w:r>
      <w:r w:rsidRPr="0076473C">
        <w:rPr>
          <w:i/>
          <w:lang w:val="en-CA"/>
        </w:rPr>
        <w:t>Cr. C</w:t>
      </w:r>
      <w:r w:rsidRPr="0076473C">
        <w:rPr>
          <w:lang w:val="en-CA"/>
        </w:rPr>
        <w:t>.</w:t>
      </w:r>
    </w:p>
    <w:p w14:paraId="3E28BB5B" w14:textId="2D551BE4" w:rsidR="00562F60" w:rsidRPr="0076473C" w:rsidRDefault="00200585" w:rsidP="00562F60">
      <w:pPr>
        <w:pStyle w:val="Paragraphe"/>
        <w:spacing w:line="280" w:lineRule="exact"/>
        <w:rPr>
          <w:lang w:val="en-CA"/>
        </w:rPr>
      </w:pPr>
      <w:r w:rsidRPr="0076473C">
        <w:rPr>
          <w:lang w:val="en-CA"/>
        </w:rPr>
        <w:t xml:space="preserve">In this context, I believe it is preferable </w:t>
      </w:r>
      <w:r w:rsidR="004A51A6">
        <w:rPr>
          <w:lang w:val="en-CA"/>
        </w:rPr>
        <w:t xml:space="preserve">that I not </w:t>
      </w:r>
      <w:r w:rsidRPr="0076473C">
        <w:rPr>
          <w:lang w:val="en-CA"/>
        </w:rPr>
        <w:t>rule on the issue, as this Court suggest</w:t>
      </w:r>
      <w:r w:rsidR="004A51A6">
        <w:rPr>
          <w:lang w:val="en-CA"/>
        </w:rPr>
        <w:t>ed</w:t>
      </w:r>
      <w:r w:rsidRPr="0076473C">
        <w:rPr>
          <w:lang w:val="en-CA"/>
        </w:rPr>
        <w:t xml:space="preserve"> in </w:t>
      </w:r>
      <w:r w:rsidRPr="0076473C">
        <w:rPr>
          <w:i/>
          <w:lang w:val="en-CA"/>
        </w:rPr>
        <w:t>Ibrahim</w:t>
      </w:r>
      <w:r w:rsidRPr="0076473C">
        <w:rPr>
          <w:lang w:val="en-CA"/>
        </w:rPr>
        <w:t>.</w:t>
      </w:r>
      <w:r w:rsidR="00562F60" w:rsidRPr="0076473C">
        <w:rPr>
          <w:rStyle w:val="Appelnotedebasdep"/>
          <w:lang w:val="en-CA"/>
        </w:rPr>
        <w:footnoteReference w:id="53"/>
      </w:r>
      <w:r w:rsidRPr="0076473C">
        <w:rPr>
          <w:lang w:val="en-CA"/>
        </w:rPr>
        <w:t xml:space="preserve"> </w:t>
      </w:r>
    </w:p>
    <w:p w14:paraId="3BA879D6" w14:textId="0361BE22" w:rsidR="00562F60" w:rsidRPr="0076473C" w:rsidRDefault="00200585" w:rsidP="00562F60">
      <w:pPr>
        <w:pStyle w:val="Paragraphe"/>
        <w:spacing w:line="280" w:lineRule="exact"/>
        <w:rPr>
          <w:lang w:val="en-CA"/>
        </w:rPr>
      </w:pPr>
      <w:r w:rsidRPr="0076473C">
        <w:rPr>
          <w:lang w:val="en-CA"/>
        </w:rPr>
        <w:t>All this being said, I propose to:</w:t>
      </w:r>
    </w:p>
    <w:p w14:paraId="4956D02C" w14:textId="470FFF9A" w:rsidR="00562F60" w:rsidRPr="006C0449" w:rsidRDefault="00200585" w:rsidP="00562F60">
      <w:pPr>
        <w:pStyle w:val="Paragraphe"/>
        <w:numPr>
          <w:ilvl w:val="0"/>
          <w:numId w:val="19"/>
        </w:numPr>
        <w:spacing w:line="280" w:lineRule="exact"/>
        <w:rPr>
          <w:lang w:val="en-CA"/>
        </w:rPr>
      </w:pPr>
      <w:r w:rsidRPr="006C0449">
        <w:rPr>
          <w:lang w:val="en-CA"/>
        </w:rPr>
        <w:t>grant the application for leave to appeal;</w:t>
      </w:r>
      <w:r w:rsidR="00562F60" w:rsidRPr="006C0449">
        <w:rPr>
          <w:lang w:val="en-CA"/>
        </w:rPr>
        <w:t xml:space="preserve"> </w:t>
      </w:r>
    </w:p>
    <w:p w14:paraId="227D0220" w14:textId="17377F2E" w:rsidR="00562F60" w:rsidRPr="006C0449" w:rsidRDefault="00200585" w:rsidP="00562F60">
      <w:pPr>
        <w:pStyle w:val="Paragraphe"/>
        <w:numPr>
          <w:ilvl w:val="0"/>
          <w:numId w:val="19"/>
        </w:numPr>
        <w:spacing w:line="280" w:lineRule="exact"/>
        <w:rPr>
          <w:lang w:val="en-CA"/>
        </w:rPr>
      </w:pPr>
      <w:r w:rsidRPr="006C0449">
        <w:rPr>
          <w:lang w:val="en-CA"/>
        </w:rPr>
        <w:t>allow the appeal;</w:t>
      </w:r>
    </w:p>
    <w:p w14:paraId="30C74CCF" w14:textId="7F6155A6" w:rsidR="00562F60" w:rsidRPr="0076473C" w:rsidRDefault="00200585" w:rsidP="00562F60">
      <w:pPr>
        <w:pStyle w:val="Paragraphe"/>
        <w:numPr>
          <w:ilvl w:val="0"/>
          <w:numId w:val="19"/>
        </w:numPr>
        <w:spacing w:line="280" w:lineRule="exact"/>
        <w:rPr>
          <w:lang w:val="en-CA"/>
        </w:rPr>
      </w:pPr>
      <w:r w:rsidRPr="0076473C">
        <w:rPr>
          <w:lang w:val="en-CA"/>
        </w:rPr>
        <w:t>set aside the sentence of fiv</w:t>
      </w:r>
      <w:r w:rsidR="00452304" w:rsidRPr="0076473C">
        <w:rPr>
          <w:lang w:val="en-CA"/>
        </w:rPr>
        <w:t>e months’ imprisonment imposed o</w:t>
      </w:r>
      <w:r w:rsidRPr="0076473C">
        <w:rPr>
          <w:lang w:val="en-CA"/>
        </w:rPr>
        <w:t xml:space="preserve">n March 11, 2020, </w:t>
      </w:r>
      <w:r w:rsidR="009F6FD7">
        <w:rPr>
          <w:lang w:val="en-CA"/>
        </w:rPr>
        <w:t>on</w:t>
      </w:r>
      <w:r w:rsidRPr="0076473C">
        <w:rPr>
          <w:lang w:val="en-CA"/>
        </w:rPr>
        <w:t xml:space="preserve"> count 4;</w:t>
      </w:r>
    </w:p>
    <w:p w14:paraId="68DA6A1A" w14:textId="5686A52C" w:rsidR="00562F60" w:rsidRPr="006C0449" w:rsidRDefault="00200585" w:rsidP="00562F60">
      <w:pPr>
        <w:pStyle w:val="Paragraphe"/>
        <w:numPr>
          <w:ilvl w:val="0"/>
          <w:numId w:val="19"/>
        </w:numPr>
        <w:spacing w:line="280" w:lineRule="exact"/>
        <w:rPr>
          <w:lang w:val="en-CA"/>
        </w:rPr>
      </w:pPr>
      <w:r w:rsidRPr="006C0449">
        <w:rPr>
          <w:lang w:val="en-CA"/>
        </w:rPr>
        <w:t>set aside the trial judge’s declaration of inoperability;</w:t>
      </w:r>
      <w:r w:rsidR="00562F60" w:rsidRPr="006C0449">
        <w:rPr>
          <w:lang w:val="en-CA"/>
        </w:rPr>
        <w:t xml:space="preserve"> </w:t>
      </w:r>
    </w:p>
    <w:p w14:paraId="1E255D89" w14:textId="65DBF287" w:rsidR="00562F60" w:rsidRPr="0076473C" w:rsidRDefault="00200585" w:rsidP="00562F60">
      <w:pPr>
        <w:pStyle w:val="Paragraphe"/>
        <w:numPr>
          <w:ilvl w:val="0"/>
          <w:numId w:val="19"/>
        </w:numPr>
        <w:spacing w:line="280" w:lineRule="exact"/>
        <w:rPr>
          <w:lang w:val="en-CA"/>
        </w:rPr>
      </w:pPr>
      <w:r w:rsidRPr="0076473C">
        <w:rPr>
          <w:lang w:val="en-CA"/>
        </w:rPr>
        <w:lastRenderedPageBreak/>
        <w:t>sentence Maxime Bertrand Marchand to 12 months’ impris</w:t>
      </w:r>
      <w:r w:rsidR="00452304" w:rsidRPr="0076473C">
        <w:rPr>
          <w:lang w:val="en-CA"/>
        </w:rPr>
        <w:t xml:space="preserve">onment </w:t>
      </w:r>
      <w:r w:rsidR="009F6FD7">
        <w:rPr>
          <w:lang w:val="en-CA"/>
        </w:rPr>
        <w:t>on</w:t>
      </w:r>
      <w:r w:rsidR="00452304" w:rsidRPr="0076473C">
        <w:rPr>
          <w:lang w:val="en-CA"/>
        </w:rPr>
        <w:t xml:space="preserve"> count 4,</w:t>
      </w:r>
      <w:r w:rsidRPr="0076473C">
        <w:rPr>
          <w:lang w:val="en-CA"/>
        </w:rPr>
        <w:t xml:space="preserve"> to be served concurrently with the sentence of </w:t>
      </w:r>
      <w:r w:rsidR="004A51A6">
        <w:rPr>
          <w:lang w:val="en-CA"/>
        </w:rPr>
        <w:t>10</w:t>
      </w:r>
      <w:r w:rsidRPr="0076473C">
        <w:rPr>
          <w:lang w:val="en-CA"/>
        </w:rPr>
        <w:t xml:space="preserve"> months’ imprisonment established </w:t>
      </w:r>
      <w:r w:rsidR="004A51A6">
        <w:rPr>
          <w:lang w:val="en-CA"/>
        </w:rPr>
        <w:t>on</w:t>
      </w:r>
      <w:r w:rsidRPr="0076473C">
        <w:rPr>
          <w:lang w:val="en-CA"/>
        </w:rPr>
        <w:t xml:space="preserve"> count 1;</w:t>
      </w:r>
      <w:r w:rsidR="00562F60" w:rsidRPr="0076473C">
        <w:rPr>
          <w:lang w:val="en-CA"/>
        </w:rPr>
        <w:t xml:space="preserve"> </w:t>
      </w:r>
    </w:p>
    <w:p w14:paraId="1A820E70" w14:textId="4DB6430E" w:rsidR="00562F60" w:rsidRPr="0076473C" w:rsidRDefault="006A6877" w:rsidP="00562F60">
      <w:pPr>
        <w:pStyle w:val="Paragraphe"/>
        <w:numPr>
          <w:ilvl w:val="0"/>
          <w:numId w:val="19"/>
        </w:numPr>
        <w:spacing w:line="280" w:lineRule="exact"/>
        <w:rPr>
          <w:lang w:val="en-CA"/>
        </w:rPr>
      </w:pPr>
      <w:r w:rsidRPr="0076473C">
        <w:rPr>
          <w:lang w:val="en-CA"/>
        </w:rPr>
        <w:t>permanently</w:t>
      </w:r>
      <w:r w:rsidR="00200585" w:rsidRPr="0076473C">
        <w:rPr>
          <w:lang w:val="en-CA"/>
        </w:rPr>
        <w:t xml:space="preserve"> suspend the sentence thus impose</w:t>
      </w:r>
      <w:r w:rsidR="004A51A6">
        <w:rPr>
          <w:lang w:val="en-CA"/>
        </w:rPr>
        <w:t>d</w:t>
      </w:r>
      <w:r w:rsidR="00200585" w:rsidRPr="0076473C">
        <w:rPr>
          <w:lang w:val="en-CA"/>
        </w:rPr>
        <w:t xml:space="preserve"> on the respondent;</w:t>
      </w:r>
    </w:p>
    <w:p w14:paraId="0A70A4F9" w14:textId="57C99167" w:rsidR="00562F60" w:rsidRPr="0076473C" w:rsidRDefault="00200585" w:rsidP="00562F60">
      <w:pPr>
        <w:pStyle w:val="Paragraphe"/>
        <w:numPr>
          <w:ilvl w:val="0"/>
          <w:numId w:val="19"/>
        </w:numPr>
        <w:spacing w:line="280" w:lineRule="exact"/>
        <w:rPr>
          <w:lang w:val="en-CA"/>
        </w:rPr>
      </w:pPr>
      <w:r w:rsidRPr="0076473C">
        <w:rPr>
          <w:lang w:val="en-CA"/>
        </w:rPr>
        <w:t xml:space="preserve">modify paragraph 87 of the judgment under appeal so that the probation order described therein </w:t>
      </w:r>
      <w:r w:rsidR="00E5213D">
        <w:rPr>
          <w:lang w:val="en-CA"/>
        </w:rPr>
        <w:t>is</w:t>
      </w:r>
      <w:r w:rsidRPr="0076473C">
        <w:rPr>
          <w:lang w:val="en-CA"/>
        </w:rPr>
        <w:t xml:space="preserve"> for a </w:t>
      </w:r>
      <w:r w:rsidR="00452304" w:rsidRPr="0076473C">
        <w:rPr>
          <w:lang w:val="en-CA"/>
        </w:rPr>
        <w:t xml:space="preserve">period of </w:t>
      </w:r>
      <w:r w:rsidR="004A51A6">
        <w:rPr>
          <w:lang w:val="en-CA"/>
        </w:rPr>
        <w:t>3</w:t>
      </w:r>
      <w:r w:rsidR="00452304" w:rsidRPr="0076473C">
        <w:rPr>
          <w:lang w:val="en-CA"/>
        </w:rPr>
        <w:t xml:space="preserve"> years</w:t>
      </w:r>
      <w:r w:rsidR="004A51A6">
        <w:rPr>
          <w:lang w:val="en-CA"/>
        </w:rPr>
        <w:t>,</w:t>
      </w:r>
      <w:r w:rsidR="00452304" w:rsidRPr="0076473C">
        <w:rPr>
          <w:lang w:val="en-CA"/>
        </w:rPr>
        <w:t xml:space="preserve"> starting o</w:t>
      </w:r>
      <w:r w:rsidRPr="0076473C">
        <w:rPr>
          <w:lang w:val="en-CA"/>
        </w:rPr>
        <w:t>n March 11, 2020.</w:t>
      </w:r>
      <w:r w:rsidR="00562F60" w:rsidRPr="0076473C">
        <w:rPr>
          <w:lang w:val="en-CA"/>
        </w:rPr>
        <w:t xml:space="preserve"> </w:t>
      </w:r>
    </w:p>
    <w:tbl>
      <w:tblPr>
        <w:tblW w:w="0" w:type="auto"/>
        <w:tblInd w:w="70" w:type="dxa"/>
        <w:tblLayout w:type="fixed"/>
        <w:tblCellMar>
          <w:left w:w="70" w:type="dxa"/>
          <w:right w:w="70" w:type="dxa"/>
        </w:tblCellMar>
        <w:tblLook w:val="0000" w:firstRow="0" w:lastRow="0" w:firstColumn="0" w:lastColumn="0" w:noHBand="0" w:noVBand="0"/>
      </w:tblPr>
      <w:tblGrid>
        <w:gridCol w:w="4735"/>
        <w:gridCol w:w="4625"/>
      </w:tblGrid>
      <w:tr w:rsidR="00CC3BDA" w:rsidRPr="002A73C8" w14:paraId="22802469" w14:textId="77777777" w:rsidTr="00562F60">
        <w:trPr>
          <w:cantSplit/>
          <w:trHeight w:val="513"/>
        </w:trPr>
        <w:tc>
          <w:tcPr>
            <w:tcW w:w="9360" w:type="dxa"/>
            <w:gridSpan w:val="2"/>
          </w:tcPr>
          <w:p w14:paraId="1E75A679" w14:textId="77777777" w:rsidR="00562F60" w:rsidRPr="0076473C" w:rsidRDefault="00562F60" w:rsidP="00562F60">
            <w:pPr>
              <w:rPr>
                <w:lang w:val="en-CA"/>
              </w:rPr>
            </w:pPr>
          </w:p>
        </w:tc>
      </w:tr>
      <w:tr w:rsidR="00CC3BDA" w:rsidRPr="002A73C8" w14:paraId="31B9B768" w14:textId="77777777" w:rsidTr="00562F60">
        <w:tblPrEx>
          <w:tblCellMar>
            <w:left w:w="0" w:type="dxa"/>
            <w:right w:w="0" w:type="dxa"/>
          </w:tblCellMar>
        </w:tblPrEx>
        <w:trPr>
          <w:cantSplit/>
          <w:trHeight w:val="277"/>
        </w:trPr>
        <w:tc>
          <w:tcPr>
            <w:tcW w:w="4735" w:type="dxa"/>
            <w:vMerge w:val="restart"/>
          </w:tcPr>
          <w:p w14:paraId="29018951" w14:textId="77777777" w:rsidR="00562F60" w:rsidRPr="0076473C" w:rsidRDefault="00562F60" w:rsidP="00562F60">
            <w:pPr>
              <w:rPr>
                <w:lang w:val="en-CA"/>
              </w:rPr>
            </w:pPr>
          </w:p>
        </w:tc>
        <w:tc>
          <w:tcPr>
            <w:tcW w:w="4625" w:type="dxa"/>
            <w:tcBorders>
              <w:bottom w:val="single" w:sz="8" w:space="0" w:color="auto"/>
            </w:tcBorders>
          </w:tcPr>
          <w:p w14:paraId="3AFDB29B" w14:textId="77777777" w:rsidR="00562F60" w:rsidRPr="0076473C" w:rsidRDefault="00562F60" w:rsidP="00562F60">
            <w:pPr>
              <w:rPr>
                <w:lang w:val="en-CA"/>
              </w:rPr>
            </w:pPr>
          </w:p>
        </w:tc>
      </w:tr>
      <w:tr w:rsidR="00CC3BDA" w:rsidRPr="0076473C" w14:paraId="43D97018" w14:textId="77777777" w:rsidTr="00562F60">
        <w:tblPrEx>
          <w:tblCellMar>
            <w:left w:w="0" w:type="dxa"/>
            <w:right w:w="0" w:type="dxa"/>
          </w:tblCellMar>
        </w:tblPrEx>
        <w:trPr>
          <w:cantSplit/>
          <w:trHeight w:val="276"/>
        </w:trPr>
        <w:tc>
          <w:tcPr>
            <w:tcW w:w="4735" w:type="dxa"/>
            <w:vMerge/>
          </w:tcPr>
          <w:p w14:paraId="3CBDD51E" w14:textId="77777777" w:rsidR="00562F60" w:rsidRPr="0076473C" w:rsidRDefault="00562F60" w:rsidP="00562F60">
            <w:pPr>
              <w:rPr>
                <w:lang w:val="en-CA"/>
              </w:rPr>
            </w:pPr>
          </w:p>
        </w:tc>
        <w:tc>
          <w:tcPr>
            <w:tcW w:w="4625" w:type="dxa"/>
          </w:tcPr>
          <w:p w14:paraId="59A5AC8D" w14:textId="35F6E21D" w:rsidR="00562F60" w:rsidRPr="00BF5DBC" w:rsidRDefault="00200585" w:rsidP="00562F60">
            <w:r w:rsidRPr="00BF5DBC">
              <w:t>JACQUES J. LEVESQUE, J.A.</w:t>
            </w:r>
          </w:p>
        </w:tc>
      </w:tr>
      <w:bookmarkEnd w:id="5"/>
    </w:tbl>
    <w:p w14:paraId="07AE1E84" w14:textId="77777777" w:rsidR="00562F60" w:rsidRPr="00BF5DBC" w:rsidRDefault="00562F60" w:rsidP="00562F60">
      <w:pPr>
        <w:sectPr w:rsidR="00562F60" w:rsidRPr="00BF5DBC" w:rsidSect="00562F60">
          <w:headerReference w:type="default" r:id="rId14"/>
          <w:pgSz w:w="12242" w:h="15842" w:code="1"/>
          <w:pgMar w:top="1440" w:right="1008" w:bottom="1440" w:left="1872" w:header="1440" w:footer="792" w:gutter="0"/>
          <w:cols w:space="720"/>
          <w:formProt w:val="0"/>
          <w:docGrid w:linePitch="326"/>
        </w:sectPr>
      </w:pPr>
    </w:p>
    <w:tbl>
      <w:tblPr>
        <w:tblW w:w="0" w:type="auto"/>
        <w:tblLayout w:type="fixed"/>
        <w:tblCellMar>
          <w:left w:w="0" w:type="dxa"/>
          <w:right w:w="0" w:type="dxa"/>
        </w:tblCellMar>
        <w:tblLook w:val="0000" w:firstRow="0" w:lastRow="0" w:firstColumn="0" w:lastColumn="0" w:noHBand="0" w:noVBand="0"/>
      </w:tblPr>
      <w:tblGrid>
        <w:gridCol w:w="9360"/>
      </w:tblGrid>
      <w:tr w:rsidR="00CC3BDA" w:rsidRPr="0076473C" w14:paraId="0557B573" w14:textId="77777777" w:rsidTr="00562F60">
        <w:tc>
          <w:tcPr>
            <w:tcW w:w="9360" w:type="dxa"/>
            <w:tcBorders>
              <w:bottom w:val="single" w:sz="8" w:space="0" w:color="auto"/>
            </w:tcBorders>
          </w:tcPr>
          <w:p w14:paraId="3DD5609B" w14:textId="77777777" w:rsidR="00562F60" w:rsidRPr="00BF5DBC" w:rsidRDefault="00562F60" w:rsidP="00562F60"/>
          <w:p w14:paraId="3DE7EC0E" w14:textId="77777777" w:rsidR="00562F60" w:rsidRPr="00BF5DBC" w:rsidRDefault="00562F60" w:rsidP="00562F60"/>
        </w:tc>
      </w:tr>
      <w:tr w:rsidR="00CC3BDA" w:rsidRPr="0076473C" w14:paraId="6192DA71" w14:textId="77777777" w:rsidTr="00562F60">
        <w:tc>
          <w:tcPr>
            <w:tcW w:w="9360" w:type="dxa"/>
            <w:tcBorders>
              <w:top w:val="single" w:sz="8" w:space="0" w:color="auto"/>
            </w:tcBorders>
          </w:tcPr>
          <w:p w14:paraId="10D8A085" w14:textId="77777777" w:rsidR="00562F60" w:rsidRPr="00BF5DBC" w:rsidRDefault="00562F60" w:rsidP="00562F60"/>
        </w:tc>
      </w:tr>
      <w:tr w:rsidR="00CC3BDA" w:rsidRPr="002A73C8" w14:paraId="1114AA4B" w14:textId="77777777" w:rsidTr="00562F60">
        <w:tc>
          <w:tcPr>
            <w:tcW w:w="9360" w:type="dxa"/>
          </w:tcPr>
          <w:p w14:paraId="59D30FDE" w14:textId="02D58497" w:rsidR="00562F60" w:rsidRPr="006C0449" w:rsidRDefault="00A8147E" w:rsidP="00562F60">
            <w:pPr>
              <w:pStyle w:val="zSoquijlblOpinionJuge"/>
              <w:rPr>
                <w:lang w:val="en-CA"/>
              </w:rPr>
            </w:pPr>
            <w:r w:rsidRPr="006C0449">
              <w:rPr>
                <w:lang w:val="en-CA"/>
              </w:rPr>
              <w:t>REASONS OF COTNAM AND BEAUPRÉ</w:t>
            </w:r>
            <w:r w:rsidR="00D973D2">
              <w:rPr>
                <w:lang w:val="en-CA"/>
              </w:rPr>
              <w:t>,</w:t>
            </w:r>
            <w:r w:rsidRPr="006C0449">
              <w:rPr>
                <w:lang w:val="en-CA"/>
              </w:rPr>
              <w:t xml:space="preserve"> JJ.A.</w:t>
            </w:r>
          </w:p>
        </w:tc>
      </w:tr>
      <w:tr w:rsidR="00CC3BDA" w:rsidRPr="002A73C8" w14:paraId="00B1FAD5" w14:textId="77777777" w:rsidTr="00562F60">
        <w:tc>
          <w:tcPr>
            <w:tcW w:w="9360" w:type="dxa"/>
            <w:tcBorders>
              <w:bottom w:val="single" w:sz="8" w:space="0" w:color="auto"/>
            </w:tcBorders>
          </w:tcPr>
          <w:p w14:paraId="60D5AF46" w14:textId="77777777" w:rsidR="00562F60" w:rsidRPr="0076473C" w:rsidRDefault="00562F60" w:rsidP="00562F60">
            <w:pPr>
              <w:rPr>
                <w:lang w:val="en-CA"/>
              </w:rPr>
            </w:pPr>
          </w:p>
        </w:tc>
      </w:tr>
      <w:tr w:rsidR="00CC3BDA" w:rsidRPr="002A73C8" w14:paraId="10BED7E4" w14:textId="77777777" w:rsidTr="00562F60">
        <w:tc>
          <w:tcPr>
            <w:tcW w:w="9360" w:type="dxa"/>
            <w:tcBorders>
              <w:top w:val="single" w:sz="8" w:space="0" w:color="auto"/>
            </w:tcBorders>
          </w:tcPr>
          <w:p w14:paraId="46F06E28" w14:textId="77777777" w:rsidR="00562F60" w:rsidRPr="0076473C" w:rsidRDefault="00562F60" w:rsidP="00562F60">
            <w:pPr>
              <w:rPr>
                <w:lang w:val="en-CA"/>
              </w:rPr>
            </w:pPr>
          </w:p>
        </w:tc>
      </w:tr>
    </w:tbl>
    <w:p w14:paraId="046CFF3A" w14:textId="52142B63" w:rsidR="00562F60" w:rsidRPr="0076473C" w:rsidRDefault="00A8147E" w:rsidP="00562F60">
      <w:pPr>
        <w:pStyle w:val="Paragraphe"/>
        <w:spacing w:line="280" w:lineRule="exact"/>
        <w:rPr>
          <w:lang w:val="en-CA"/>
        </w:rPr>
      </w:pPr>
      <w:r w:rsidRPr="0076473C">
        <w:rPr>
          <w:lang w:val="en-CA"/>
        </w:rPr>
        <w:t xml:space="preserve">On </w:t>
      </w:r>
      <w:r w:rsidR="006A6877" w:rsidRPr="0076473C">
        <w:rPr>
          <w:lang w:val="en-CA"/>
        </w:rPr>
        <w:t>August</w:t>
      </w:r>
      <w:r w:rsidRPr="0076473C">
        <w:rPr>
          <w:lang w:val="en-CA"/>
        </w:rPr>
        <w:t xml:space="preserve"> 28, 2017, the </w:t>
      </w:r>
      <w:r w:rsidR="006A6877" w:rsidRPr="0076473C">
        <w:rPr>
          <w:lang w:val="en-CA"/>
        </w:rPr>
        <w:t>respondent</w:t>
      </w:r>
      <w:r w:rsidRPr="0076473C">
        <w:rPr>
          <w:lang w:val="en-CA"/>
        </w:rPr>
        <w:t xml:space="preserve"> pleaded guilty to one count of sexual touching committed against a person under the age of 16 years</w:t>
      </w:r>
      <w:r w:rsidR="00F33126" w:rsidRPr="0076473C">
        <w:rPr>
          <w:rStyle w:val="Appelnotedebasdep"/>
          <w:lang w:val="en-CA"/>
        </w:rPr>
        <w:footnoteReference w:id="54"/>
      </w:r>
      <w:r w:rsidRPr="0076473C">
        <w:rPr>
          <w:lang w:val="en-CA"/>
        </w:rPr>
        <w:t xml:space="preserve"> between August 1, 2013, and July 19, 2015.</w:t>
      </w:r>
      <w:r w:rsidR="00562F60" w:rsidRPr="0076473C">
        <w:rPr>
          <w:lang w:val="en-CA"/>
        </w:rPr>
        <w:t xml:space="preserve"> </w:t>
      </w:r>
      <w:r w:rsidRPr="0076473C">
        <w:rPr>
          <w:lang w:val="en-CA"/>
        </w:rPr>
        <w:t xml:space="preserve">Over </w:t>
      </w:r>
      <w:r w:rsidR="006A6877" w:rsidRPr="0076473C">
        <w:rPr>
          <w:lang w:val="en-CA"/>
        </w:rPr>
        <w:t>the</w:t>
      </w:r>
      <w:r w:rsidRPr="0076473C">
        <w:rPr>
          <w:lang w:val="en-CA"/>
        </w:rPr>
        <w:t xml:space="preserve"> </w:t>
      </w:r>
      <w:r w:rsidR="006A6877" w:rsidRPr="0076473C">
        <w:rPr>
          <w:lang w:val="en-CA"/>
        </w:rPr>
        <w:t>course</w:t>
      </w:r>
      <w:r w:rsidRPr="0076473C">
        <w:rPr>
          <w:lang w:val="en-CA"/>
        </w:rPr>
        <w:t xml:space="preserve"> of that period, he and the complainant had </w:t>
      </w:r>
      <w:r w:rsidR="00036FE7">
        <w:rPr>
          <w:lang w:val="en-CA"/>
        </w:rPr>
        <w:t>full</w:t>
      </w:r>
      <w:r w:rsidR="00036FE7" w:rsidRPr="0076473C">
        <w:rPr>
          <w:lang w:val="en-CA"/>
        </w:rPr>
        <w:t xml:space="preserve"> </w:t>
      </w:r>
      <w:r w:rsidRPr="0076473C">
        <w:rPr>
          <w:lang w:val="en-CA"/>
        </w:rPr>
        <w:t xml:space="preserve">sexual </w:t>
      </w:r>
      <w:r w:rsidR="00F33126" w:rsidRPr="0076473C">
        <w:rPr>
          <w:lang w:val="en-CA"/>
        </w:rPr>
        <w:t xml:space="preserve">intercourse </w:t>
      </w:r>
      <w:r w:rsidR="00036FE7">
        <w:rPr>
          <w:lang w:val="en-CA"/>
        </w:rPr>
        <w:t xml:space="preserve">on </w:t>
      </w:r>
      <w:r w:rsidR="00F33126" w:rsidRPr="0076473C">
        <w:rPr>
          <w:lang w:val="en-CA"/>
        </w:rPr>
        <w:t xml:space="preserve">four </w:t>
      </w:r>
      <w:r w:rsidR="00036FE7">
        <w:rPr>
          <w:lang w:val="en-CA"/>
        </w:rPr>
        <w:t>occasions</w:t>
      </w:r>
      <w:r w:rsidRPr="0076473C">
        <w:rPr>
          <w:lang w:val="en-CA"/>
        </w:rPr>
        <w:t>.</w:t>
      </w:r>
      <w:r w:rsidR="00562F60" w:rsidRPr="0076473C">
        <w:rPr>
          <w:lang w:val="en-CA"/>
        </w:rPr>
        <w:t xml:space="preserve"> </w:t>
      </w:r>
      <w:r w:rsidRPr="0076473C">
        <w:rPr>
          <w:lang w:val="en-CA"/>
        </w:rPr>
        <w:t>He also pleade</w:t>
      </w:r>
      <w:r w:rsidR="00F33126" w:rsidRPr="0076473C">
        <w:rPr>
          <w:lang w:val="en-CA"/>
        </w:rPr>
        <w:t>d guilty to one count of luring</w:t>
      </w:r>
      <w:r w:rsidRPr="0076473C">
        <w:rPr>
          <w:lang w:val="en-CA"/>
        </w:rPr>
        <w:t xml:space="preserve"> in connection </w:t>
      </w:r>
      <w:r w:rsidR="00036FE7">
        <w:rPr>
          <w:lang w:val="en-CA"/>
        </w:rPr>
        <w:t>to</w:t>
      </w:r>
      <w:r w:rsidR="00036FE7" w:rsidRPr="0076473C">
        <w:rPr>
          <w:lang w:val="en-CA"/>
        </w:rPr>
        <w:t xml:space="preserve"> </w:t>
      </w:r>
      <w:r w:rsidRPr="0076473C">
        <w:rPr>
          <w:lang w:val="en-CA"/>
        </w:rPr>
        <w:t>conversations</w:t>
      </w:r>
      <w:r w:rsidR="00036FE7">
        <w:rPr>
          <w:lang w:val="en-CA"/>
        </w:rPr>
        <w:t xml:space="preserve"> he had</w:t>
      </w:r>
      <w:r w:rsidRPr="0076473C">
        <w:rPr>
          <w:lang w:val="en-CA"/>
        </w:rPr>
        <w:t xml:space="preserve"> with the complainant </w:t>
      </w:r>
      <w:r w:rsidR="00036FE7">
        <w:rPr>
          <w:lang w:val="en-CA"/>
        </w:rPr>
        <w:t>through</w:t>
      </w:r>
      <w:r w:rsidR="00036FE7" w:rsidRPr="0076473C">
        <w:rPr>
          <w:lang w:val="en-CA"/>
        </w:rPr>
        <w:t xml:space="preserve"> </w:t>
      </w:r>
      <w:r w:rsidRPr="0076473C">
        <w:rPr>
          <w:lang w:val="en-CA"/>
        </w:rPr>
        <w:t xml:space="preserve">social </w:t>
      </w:r>
      <w:r w:rsidR="00036FE7">
        <w:rPr>
          <w:lang w:val="en-CA"/>
        </w:rPr>
        <w:t>networks</w:t>
      </w:r>
      <w:r w:rsidRPr="0076473C">
        <w:rPr>
          <w:lang w:val="en-CA"/>
        </w:rPr>
        <w:t xml:space="preserve"> between February 25, 2015, and September 13, 2015.</w:t>
      </w:r>
      <w:r w:rsidR="00562F60" w:rsidRPr="0076473C">
        <w:rPr>
          <w:rStyle w:val="Appelnotedebasdep"/>
          <w:lang w:val="en-CA"/>
        </w:rPr>
        <w:footnoteReference w:id="55"/>
      </w:r>
      <w:r w:rsidRPr="0076473C">
        <w:rPr>
          <w:lang w:val="en-CA"/>
        </w:rPr>
        <w:t xml:space="preserve"> </w:t>
      </w:r>
    </w:p>
    <w:p w14:paraId="64880CCA" w14:textId="5A2A4E8F" w:rsidR="00562F60" w:rsidRPr="0076473C" w:rsidRDefault="00A8147E" w:rsidP="00562F60">
      <w:pPr>
        <w:pStyle w:val="Paragraphe"/>
        <w:spacing w:line="280" w:lineRule="exact"/>
        <w:rPr>
          <w:lang w:val="en-CA"/>
        </w:rPr>
      </w:pPr>
      <w:r w:rsidRPr="0076473C">
        <w:rPr>
          <w:lang w:val="en-CA"/>
        </w:rPr>
        <w:t xml:space="preserve">On March 11, 2020, the Court of Québec, Criminal and Penal Division, District of Témiscamingue (the Honourable Marie-Claude Bélanger), sentenced the respondent to 10 months’ imprisonment on the count of sexual touching and </w:t>
      </w:r>
      <w:r w:rsidR="00D973D2">
        <w:rPr>
          <w:lang w:val="en-CA"/>
        </w:rPr>
        <w:t>5</w:t>
      </w:r>
      <w:r w:rsidRPr="0076473C">
        <w:rPr>
          <w:lang w:val="en-CA"/>
        </w:rPr>
        <w:t xml:space="preserve"> months’ impr</w:t>
      </w:r>
      <w:r w:rsidR="00772A7C" w:rsidRPr="0076473C">
        <w:rPr>
          <w:lang w:val="en-CA"/>
        </w:rPr>
        <w:t xml:space="preserve">isonment </w:t>
      </w:r>
      <w:r w:rsidR="00AD0672">
        <w:rPr>
          <w:lang w:val="en-CA"/>
        </w:rPr>
        <w:t xml:space="preserve">to be served </w:t>
      </w:r>
      <w:r w:rsidR="00772A7C" w:rsidRPr="0076473C">
        <w:rPr>
          <w:lang w:val="en-CA"/>
        </w:rPr>
        <w:t>concurrent</w:t>
      </w:r>
      <w:r w:rsidR="00AD0672">
        <w:rPr>
          <w:lang w:val="en-CA"/>
        </w:rPr>
        <w:t>ly</w:t>
      </w:r>
      <w:r w:rsidR="00772A7C" w:rsidRPr="0076473C">
        <w:rPr>
          <w:lang w:val="en-CA"/>
        </w:rPr>
        <w:t xml:space="preserve"> </w:t>
      </w:r>
      <w:r w:rsidR="00AD0672">
        <w:rPr>
          <w:lang w:val="en-CA"/>
        </w:rPr>
        <w:t>on</w:t>
      </w:r>
      <w:r w:rsidRPr="0076473C">
        <w:rPr>
          <w:lang w:val="en-CA"/>
        </w:rPr>
        <w:t xml:space="preserve"> the count of luring.</w:t>
      </w:r>
      <w:r w:rsidR="00562F60" w:rsidRPr="0076473C">
        <w:rPr>
          <w:lang w:val="en-CA"/>
        </w:rPr>
        <w:t xml:space="preserve"> </w:t>
      </w:r>
      <w:r w:rsidRPr="0076473C">
        <w:rPr>
          <w:lang w:val="en-CA"/>
        </w:rPr>
        <w:t>The judge concluded moreover that the mandatory minimum sentence</w:t>
      </w:r>
      <w:r w:rsidR="006A6877" w:rsidRPr="0076473C">
        <w:rPr>
          <w:lang w:val="en-CA"/>
        </w:rPr>
        <w:t xml:space="preserve"> </w:t>
      </w:r>
      <w:r w:rsidRPr="0076473C">
        <w:rPr>
          <w:lang w:val="en-CA"/>
        </w:rPr>
        <w:t xml:space="preserve">of </w:t>
      </w:r>
      <w:r w:rsidR="00D973D2">
        <w:rPr>
          <w:lang w:val="en-CA"/>
        </w:rPr>
        <w:t>1</w:t>
      </w:r>
      <w:r w:rsidRPr="0076473C">
        <w:rPr>
          <w:lang w:val="en-CA"/>
        </w:rPr>
        <w:t xml:space="preserve"> year of imprisonment </w:t>
      </w:r>
      <w:r w:rsidR="00D973D2">
        <w:rPr>
          <w:lang w:val="en-CA"/>
        </w:rPr>
        <w:t>under</w:t>
      </w:r>
      <w:r w:rsidRPr="0076473C">
        <w:rPr>
          <w:lang w:val="en-CA"/>
        </w:rPr>
        <w:t xml:space="preserve"> s. 172.1(2)(</w:t>
      </w:r>
      <w:r w:rsidRPr="009B7B69">
        <w:rPr>
          <w:i/>
          <w:lang w:val="en-CA"/>
        </w:rPr>
        <w:t>a</w:t>
      </w:r>
      <w:r w:rsidRPr="0076473C">
        <w:rPr>
          <w:lang w:val="en-CA"/>
        </w:rPr>
        <w:t xml:space="preserve">) </w:t>
      </w:r>
      <w:r w:rsidRPr="0076473C">
        <w:rPr>
          <w:i/>
          <w:lang w:val="en-CA"/>
        </w:rPr>
        <w:t>Cr. C.</w:t>
      </w:r>
      <w:r w:rsidRPr="0076473C">
        <w:rPr>
          <w:lang w:val="en-CA"/>
        </w:rPr>
        <w:t xml:space="preserve"> for the offence of luring is disproportionate, given the circumstances of its commission in this case and the personal circumstances of the respondent, and that it therefore violated s.</w:t>
      </w:r>
      <w:r w:rsidR="00D973D2">
        <w:rPr>
          <w:lang w:val="en-CA"/>
        </w:rPr>
        <w:t> </w:t>
      </w:r>
      <w:r w:rsidRPr="0076473C">
        <w:rPr>
          <w:lang w:val="en-CA"/>
        </w:rPr>
        <w:t xml:space="preserve">12 of the </w:t>
      </w:r>
      <w:r w:rsidRPr="0076473C">
        <w:rPr>
          <w:i/>
          <w:lang w:val="en-CA"/>
        </w:rPr>
        <w:t>Charter</w:t>
      </w:r>
      <w:r w:rsidRPr="0076473C">
        <w:rPr>
          <w:lang w:val="en-CA"/>
        </w:rPr>
        <w:t xml:space="preserve">. </w:t>
      </w:r>
      <w:r w:rsidR="00091A8B">
        <w:rPr>
          <w:lang w:val="en-CA"/>
        </w:rPr>
        <w:t>A</w:t>
      </w:r>
      <w:r w:rsidR="00091A8B" w:rsidRPr="0076473C">
        <w:rPr>
          <w:lang w:val="en-CA"/>
        </w:rPr>
        <w:t>ccordingly</w:t>
      </w:r>
      <w:r w:rsidR="00091A8B">
        <w:rPr>
          <w:lang w:val="en-CA"/>
        </w:rPr>
        <w:t>,</w:t>
      </w:r>
      <w:r w:rsidR="00091A8B" w:rsidRPr="0076473C">
        <w:rPr>
          <w:lang w:val="en-CA"/>
        </w:rPr>
        <w:t xml:space="preserve"> </w:t>
      </w:r>
      <w:r w:rsidR="00091A8B">
        <w:rPr>
          <w:lang w:val="en-CA"/>
        </w:rPr>
        <w:t>s</w:t>
      </w:r>
      <w:r w:rsidRPr="0076473C">
        <w:rPr>
          <w:lang w:val="en-CA"/>
        </w:rPr>
        <w:t>he declared it inoperative with respect to the respondent.</w:t>
      </w:r>
      <w:r w:rsidR="00562F60" w:rsidRPr="0076473C">
        <w:rPr>
          <w:rStyle w:val="Appelnotedebasdep"/>
          <w:lang w:val="en-CA"/>
        </w:rPr>
        <w:footnoteReference w:id="56"/>
      </w:r>
      <w:r w:rsidRPr="0076473C">
        <w:rPr>
          <w:lang w:val="en-CA"/>
        </w:rPr>
        <w:t xml:space="preserve"> </w:t>
      </w:r>
      <w:r w:rsidR="00562F60" w:rsidRPr="0076473C">
        <w:rPr>
          <w:lang w:val="en-CA"/>
        </w:rPr>
        <w:t xml:space="preserve"> </w:t>
      </w:r>
    </w:p>
    <w:p w14:paraId="6D23B8BF" w14:textId="7BC0A0C3" w:rsidR="00A8147E" w:rsidRPr="0076473C" w:rsidRDefault="00A8147E" w:rsidP="00772A7C">
      <w:pPr>
        <w:pStyle w:val="Paragraphe"/>
        <w:spacing w:line="280" w:lineRule="exact"/>
        <w:rPr>
          <w:lang w:val="en-CA"/>
        </w:rPr>
      </w:pPr>
      <w:r w:rsidRPr="0076473C">
        <w:rPr>
          <w:lang w:val="en-CA"/>
        </w:rPr>
        <w:t>The Crown and the Attorney General of Qu</w:t>
      </w:r>
      <w:r w:rsidR="00772A7C" w:rsidRPr="0076473C">
        <w:rPr>
          <w:lang w:val="en-CA"/>
        </w:rPr>
        <w:t>e</w:t>
      </w:r>
      <w:r w:rsidRPr="0076473C">
        <w:rPr>
          <w:lang w:val="en-CA"/>
        </w:rPr>
        <w:t>bec’s application for leave to appeal solely from the sentence of 5 months</w:t>
      </w:r>
      <w:r w:rsidR="00772A7C" w:rsidRPr="0076473C">
        <w:rPr>
          <w:lang w:val="en-CA"/>
        </w:rPr>
        <w:t>’</w:t>
      </w:r>
      <w:r w:rsidRPr="0076473C">
        <w:rPr>
          <w:lang w:val="en-CA"/>
        </w:rPr>
        <w:t xml:space="preserve"> imprisonment for the offence of luring and from the declaration that the minimu</w:t>
      </w:r>
      <w:r w:rsidR="0030673E">
        <w:rPr>
          <w:lang w:val="en-CA"/>
        </w:rPr>
        <w:t>m sentence was inoperative was r</w:t>
      </w:r>
      <w:r w:rsidRPr="0076473C">
        <w:rPr>
          <w:lang w:val="en-CA"/>
        </w:rPr>
        <w:t>eferred to the panel.</w:t>
      </w:r>
      <w:r w:rsidR="00562F60" w:rsidRPr="0076473C">
        <w:rPr>
          <w:lang w:val="en-CA"/>
        </w:rPr>
        <w:t xml:space="preserve"> </w:t>
      </w:r>
      <w:r w:rsidRPr="0076473C">
        <w:rPr>
          <w:lang w:val="en-CA"/>
        </w:rPr>
        <w:t xml:space="preserve">The applicants essentially argue that the judge </w:t>
      </w:r>
      <w:r w:rsidR="006A6877" w:rsidRPr="0076473C">
        <w:rPr>
          <w:lang w:val="en-CA"/>
        </w:rPr>
        <w:t>erred</w:t>
      </w:r>
      <w:r w:rsidRPr="0076473C">
        <w:rPr>
          <w:lang w:val="en-CA"/>
        </w:rPr>
        <w:t xml:space="preserve"> in fact and in law, as well as on questions of principle:</w:t>
      </w:r>
    </w:p>
    <w:p w14:paraId="36E9CA25" w14:textId="24C2C551" w:rsidR="00562F60" w:rsidRPr="0076473C" w:rsidRDefault="00A8147E" w:rsidP="00562F60">
      <w:pPr>
        <w:pStyle w:val="Paragraphe"/>
        <w:numPr>
          <w:ilvl w:val="0"/>
          <w:numId w:val="24"/>
        </w:numPr>
        <w:spacing w:line="280" w:lineRule="exact"/>
        <w:rPr>
          <w:lang w:val="en-CA"/>
        </w:rPr>
      </w:pPr>
      <w:r w:rsidRPr="0076473C">
        <w:rPr>
          <w:lang w:val="en-CA"/>
        </w:rPr>
        <w:t xml:space="preserve">in determining the quantum of the sentence for the offence of luring, </w:t>
      </w:r>
      <w:r w:rsidR="0030673E">
        <w:rPr>
          <w:lang w:val="en-CA"/>
        </w:rPr>
        <w:t xml:space="preserve">because </w:t>
      </w:r>
      <w:r w:rsidRPr="0076473C">
        <w:rPr>
          <w:lang w:val="en-CA"/>
        </w:rPr>
        <w:t xml:space="preserve">a sentence of </w:t>
      </w:r>
      <w:r w:rsidR="0030673E">
        <w:rPr>
          <w:lang w:val="en-CA"/>
        </w:rPr>
        <w:t>5</w:t>
      </w:r>
      <w:r w:rsidRPr="0076473C">
        <w:rPr>
          <w:lang w:val="en-CA"/>
        </w:rPr>
        <w:t xml:space="preserve"> months </w:t>
      </w:r>
      <w:r w:rsidR="0030673E">
        <w:rPr>
          <w:lang w:val="en-CA"/>
        </w:rPr>
        <w:t xml:space="preserve">is </w:t>
      </w:r>
      <w:r w:rsidRPr="0076473C">
        <w:rPr>
          <w:lang w:val="en-CA"/>
        </w:rPr>
        <w:t>demonstrably unfit in the circumstances;</w:t>
      </w:r>
    </w:p>
    <w:p w14:paraId="41FCAF87" w14:textId="720FABBF" w:rsidR="00562F60" w:rsidRPr="0076473C" w:rsidRDefault="00A8147E" w:rsidP="00562F60">
      <w:pPr>
        <w:pStyle w:val="Paragraphe"/>
        <w:numPr>
          <w:ilvl w:val="0"/>
          <w:numId w:val="24"/>
        </w:numPr>
        <w:spacing w:line="280" w:lineRule="exact"/>
        <w:rPr>
          <w:lang w:val="en-CA"/>
        </w:rPr>
      </w:pPr>
      <w:r w:rsidRPr="0076473C">
        <w:rPr>
          <w:lang w:val="en-CA"/>
        </w:rPr>
        <w:t>in not ordering that the sentence on the count of luring be served consecutively to that of 10 months for sexual touching;</w:t>
      </w:r>
    </w:p>
    <w:p w14:paraId="15E6AFD4" w14:textId="3629ECCB" w:rsidR="00562F60" w:rsidRPr="0076473C" w:rsidRDefault="00A8147E" w:rsidP="00562F60">
      <w:pPr>
        <w:pStyle w:val="Paragraphe"/>
        <w:numPr>
          <w:ilvl w:val="0"/>
          <w:numId w:val="24"/>
        </w:numPr>
        <w:spacing w:line="280" w:lineRule="exact"/>
        <w:rPr>
          <w:lang w:val="en-CA"/>
        </w:rPr>
      </w:pPr>
      <w:r w:rsidRPr="0076473C">
        <w:rPr>
          <w:lang w:val="en-CA"/>
        </w:rPr>
        <w:t>in concluding that the mandatory minimum sentence</w:t>
      </w:r>
      <w:r w:rsidR="006A6877" w:rsidRPr="0076473C">
        <w:rPr>
          <w:lang w:val="en-CA"/>
        </w:rPr>
        <w:t xml:space="preserve"> </w:t>
      </w:r>
      <w:r w:rsidRPr="0076473C">
        <w:rPr>
          <w:lang w:val="en-CA"/>
        </w:rPr>
        <w:t xml:space="preserve">of </w:t>
      </w:r>
      <w:r w:rsidR="0030673E">
        <w:rPr>
          <w:lang w:val="en-CA"/>
        </w:rPr>
        <w:t>1</w:t>
      </w:r>
      <w:r w:rsidRPr="0076473C">
        <w:rPr>
          <w:lang w:val="en-CA"/>
        </w:rPr>
        <w:t xml:space="preserve"> year of imprisonment </w:t>
      </w:r>
      <w:r w:rsidR="0030673E">
        <w:rPr>
          <w:lang w:val="en-CA"/>
        </w:rPr>
        <w:t>under</w:t>
      </w:r>
      <w:r w:rsidRPr="0076473C">
        <w:rPr>
          <w:lang w:val="en-CA"/>
        </w:rPr>
        <w:t xml:space="preserve"> s. 172.1(2)(</w:t>
      </w:r>
      <w:r w:rsidRPr="009B7B69">
        <w:rPr>
          <w:i/>
          <w:lang w:val="en-CA"/>
        </w:rPr>
        <w:t>a</w:t>
      </w:r>
      <w:r w:rsidRPr="0076473C">
        <w:rPr>
          <w:lang w:val="en-CA"/>
        </w:rPr>
        <w:t xml:space="preserve">) </w:t>
      </w:r>
      <w:r w:rsidRPr="0076473C">
        <w:rPr>
          <w:i/>
          <w:lang w:val="en-CA"/>
        </w:rPr>
        <w:t>Cr. C.</w:t>
      </w:r>
      <w:r w:rsidRPr="0076473C">
        <w:rPr>
          <w:lang w:val="en-CA"/>
        </w:rPr>
        <w:t xml:space="preserve"> for the offence of luring is grossly disproportionate in the circumstances, and in declaring that </w:t>
      </w:r>
      <w:r w:rsidR="006A6877" w:rsidRPr="0076473C">
        <w:rPr>
          <w:lang w:val="en-CA"/>
        </w:rPr>
        <w:t>provision</w:t>
      </w:r>
      <w:r w:rsidRPr="0076473C">
        <w:rPr>
          <w:lang w:val="en-CA"/>
        </w:rPr>
        <w:t xml:space="preserve"> inoperative with respect to the respondent under s. 12 of the </w:t>
      </w:r>
      <w:r w:rsidRPr="0076473C">
        <w:rPr>
          <w:i/>
          <w:lang w:val="en-CA"/>
        </w:rPr>
        <w:t>Charter</w:t>
      </w:r>
      <w:r w:rsidRPr="0076473C">
        <w:rPr>
          <w:lang w:val="en-CA"/>
        </w:rPr>
        <w:t>.</w:t>
      </w:r>
    </w:p>
    <w:p w14:paraId="4DF40D10" w14:textId="5E3CC063" w:rsidR="00562F60" w:rsidRPr="0076473C" w:rsidRDefault="00A8147E" w:rsidP="00562F60">
      <w:pPr>
        <w:pStyle w:val="Paragraphe"/>
        <w:spacing w:line="280" w:lineRule="exact"/>
        <w:rPr>
          <w:lang w:val="en-CA"/>
        </w:rPr>
      </w:pPr>
      <w:r w:rsidRPr="0076473C">
        <w:rPr>
          <w:lang w:val="en-CA"/>
        </w:rPr>
        <w:lastRenderedPageBreak/>
        <w:t xml:space="preserve">We </w:t>
      </w:r>
      <w:r w:rsidR="009058B5">
        <w:rPr>
          <w:lang w:val="en-CA"/>
        </w:rPr>
        <w:t>would</w:t>
      </w:r>
      <w:r w:rsidRPr="0076473C">
        <w:rPr>
          <w:lang w:val="en-CA"/>
        </w:rPr>
        <w:t xml:space="preserve"> grant the application for leave to appeal, on the one hand, and dismiss the appeal, on the other.</w:t>
      </w:r>
    </w:p>
    <w:p w14:paraId="26A60FBB" w14:textId="2A86283A" w:rsidR="00562F60" w:rsidRPr="0076473C" w:rsidRDefault="00A8147E" w:rsidP="00562F60">
      <w:pPr>
        <w:pStyle w:val="Paragraphe"/>
        <w:spacing w:line="280" w:lineRule="exact"/>
        <w:rPr>
          <w:lang w:val="en-CA"/>
        </w:rPr>
      </w:pPr>
      <w:r w:rsidRPr="0076473C">
        <w:rPr>
          <w:lang w:val="en-CA"/>
        </w:rPr>
        <w:t xml:space="preserve">During the hearing, </w:t>
      </w:r>
      <w:r w:rsidR="009058B5">
        <w:rPr>
          <w:lang w:val="en-CA"/>
        </w:rPr>
        <w:t>counsel</w:t>
      </w:r>
      <w:r w:rsidRPr="0076473C">
        <w:rPr>
          <w:lang w:val="en-CA"/>
        </w:rPr>
        <w:t xml:space="preserve"> confirmed that the respondent started serving his sentence the day it was rendered and that he has been </w:t>
      </w:r>
      <w:r w:rsidR="009B11A8">
        <w:rPr>
          <w:lang w:val="en-CA"/>
        </w:rPr>
        <w:t xml:space="preserve">on parole </w:t>
      </w:r>
      <w:r w:rsidRPr="0076473C">
        <w:rPr>
          <w:lang w:val="en-CA"/>
        </w:rPr>
        <w:t>since July 30, 2020.</w:t>
      </w:r>
    </w:p>
    <w:p w14:paraId="4BB64882" w14:textId="77777777" w:rsidR="00562F60" w:rsidRPr="0076473C" w:rsidRDefault="00562F60" w:rsidP="00562F60">
      <w:pPr>
        <w:pStyle w:val="Paragraphe"/>
        <w:numPr>
          <w:ilvl w:val="0"/>
          <w:numId w:val="0"/>
        </w:numPr>
        <w:spacing w:line="280" w:lineRule="exact"/>
        <w:ind w:left="3960"/>
        <w:rPr>
          <w:lang w:val="en-CA"/>
        </w:rPr>
      </w:pPr>
      <w:r w:rsidRPr="0076473C">
        <w:rPr>
          <w:lang w:val="en-CA"/>
        </w:rPr>
        <w:t>* * * * *</w:t>
      </w:r>
    </w:p>
    <w:p w14:paraId="2B087952" w14:textId="111A7455" w:rsidR="00562F60" w:rsidRPr="0076473C" w:rsidRDefault="0070087D" w:rsidP="00562F60">
      <w:pPr>
        <w:pStyle w:val="Paragraphe"/>
        <w:spacing w:line="280" w:lineRule="exact"/>
        <w:rPr>
          <w:lang w:val="en-CA"/>
        </w:rPr>
      </w:pPr>
      <w:r>
        <w:rPr>
          <w:lang w:val="en-CA"/>
        </w:rPr>
        <w:t>I</w:t>
      </w:r>
      <w:r w:rsidRPr="0076473C">
        <w:rPr>
          <w:lang w:val="en-CA"/>
        </w:rPr>
        <w:t xml:space="preserve">n his reasons, </w:t>
      </w:r>
      <w:r>
        <w:rPr>
          <w:lang w:val="en-CA"/>
        </w:rPr>
        <w:t>o</w:t>
      </w:r>
      <w:r w:rsidR="00A8147E" w:rsidRPr="0076473C">
        <w:rPr>
          <w:lang w:val="en-CA"/>
        </w:rPr>
        <w:t xml:space="preserve">ur colleague </w:t>
      </w:r>
      <w:r w:rsidR="0030673E">
        <w:rPr>
          <w:lang w:val="en-CA"/>
        </w:rPr>
        <w:t xml:space="preserve">has provided a detailed outline of the context </w:t>
      </w:r>
      <w:r w:rsidR="00A8147E" w:rsidRPr="0076473C">
        <w:rPr>
          <w:lang w:val="en-CA"/>
        </w:rPr>
        <w:t>described by the trial judge</w:t>
      </w:r>
      <w:r>
        <w:rPr>
          <w:lang w:val="en-CA"/>
        </w:rPr>
        <w:t xml:space="preserve"> and</w:t>
      </w:r>
      <w:r w:rsidR="00A8147E" w:rsidRPr="0076473C">
        <w:rPr>
          <w:lang w:val="en-CA"/>
        </w:rPr>
        <w:t xml:space="preserve"> </w:t>
      </w:r>
      <w:r w:rsidR="006A6877" w:rsidRPr="0076473C">
        <w:rPr>
          <w:lang w:val="en-CA"/>
        </w:rPr>
        <w:t>the</w:t>
      </w:r>
      <w:r w:rsidR="00A8147E" w:rsidRPr="0076473C">
        <w:rPr>
          <w:lang w:val="en-CA"/>
        </w:rPr>
        <w:t xml:space="preserve"> conclusions she drew </w:t>
      </w:r>
      <w:r>
        <w:rPr>
          <w:lang w:val="en-CA"/>
        </w:rPr>
        <w:t>therefrom</w:t>
      </w:r>
      <w:r w:rsidR="00A8147E" w:rsidRPr="0076473C">
        <w:rPr>
          <w:lang w:val="en-CA"/>
        </w:rPr>
        <w:t>.</w:t>
      </w:r>
      <w:r w:rsidR="00562F60" w:rsidRPr="0076473C">
        <w:rPr>
          <w:lang w:val="en-CA"/>
        </w:rPr>
        <w:t xml:space="preserve"> </w:t>
      </w:r>
      <w:r w:rsidR="00A8147E" w:rsidRPr="0076473C">
        <w:rPr>
          <w:lang w:val="en-CA"/>
        </w:rPr>
        <w:t>There is no need to revisit it, subject to certain elements that will be discussed further below in the analysis section.</w:t>
      </w:r>
      <w:r w:rsidR="00562F60" w:rsidRPr="0076473C">
        <w:rPr>
          <w:lang w:val="en-CA"/>
        </w:rPr>
        <w:t xml:space="preserve"> </w:t>
      </w:r>
      <w:r w:rsidR="00A8147E" w:rsidRPr="0076473C">
        <w:rPr>
          <w:lang w:val="en-CA"/>
        </w:rPr>
        <w:t xml:space="preserve">Considering the object of </w:t>
      </w:r>
      <w:r w:rsidR="006A6877" w:rsidRPr="0076473C">
        <w:rPr>
          <w:lang w:val="en-CA"/>
        </w:rPr>
        <w:t>the</w:t>
      </w:r>
      <w:r w:rsidR="00772A7C" w:rsidRPr="0076473C">
        <w:rPr>
          <w:lang w:val="en-CA"/>
        </w:rPr>
        <w:t xml:space="preserve"> appeal, </w:t>
      </w:r>
      <w:r w:rsidR="0030673E">
        <w:rPr>
          <w:lang w:val="en-CA"/>
        </w:rPr>
        <w:t xml:space="preserve">however, </w:t>
      </w:r>
      <w:r w:rsidR="00772A7C" w:rsidRPr="0076473C">
        <w:rPr>
          <w:lang w:val="en-CA"/>
        </w:rPr>
        <w:t>it</w:t>
      </w:r>
      <w:r w:rsidR="00A8147E" w:rsidRPr="0076473C">
        <w:rPr>
          <w:lang w:val="en-CA"/>
        </w:rPr>
        <w:t xml:space="preserve"> </w:t>
      </w:r>
      <w:r w:rsidR="0030673E">
        <w:rPr>
          <w:lang w:val="en-CA"/>
        </w:rPr>
        <w:t xml:space="preserve">will be </w:t>
      </w:r>
      <w:r w:rsidR="00A8147E" w:rsidRPr="0076473C">
        <w:rPr>
          <w:lang w:val="en-CA"/>
        </w:rPr>
        <w:t>useful to discuss the judge</w:t>
      </w:r>
      <w:r w:rsidR="00772A7C" w:rsidRPr="0076473C">
        <w:rPr>
          <w:lang w:val="en-CA"/>
        </w:rPr>
        <w:t>’s</w:t>
      </w:r>
      <w:r w:rsidR="00A8147E" w:rsidRPr="0076473C">
        <w:rPr>
          <w:lang w:val="en-CA"/>
        </w:rPr>
        <w:t xml:space="preserve"> </w:t>
      </w:r>
      <w:r w:rsidR="00772A7C" w:rsidRPr="0076473C">
        <w:rPr>
          <w:lang w:val="en-CA"/>
        </w:rPr>
        <w:t xml:space="preserve">reasons </w:t>
      </w:r>
      <w:r w:rsidR="0030673E">
        <w:rPr>
          <w:lang w:val="en-CA"/>
        </w:rPr>
        <w:t xml:space="preserve">further, specifically those </w:t>
      </w:r>
      <w:r w:rsidR="00A8147E" w:rsidRPr="0076473C">
        <w:rPr>
          <w:lang w:val="en-CA"/>
        </w:rPr>
        <w:t>concerning the offence of luring.</w:t>
      </w:r>
    </w:p>
    <w:p w14:paraId="7F230D4F" w14:textId="3F709CB4" w:rsidR="00562F60" w:rsidRPr="006C0449" w:rsidRDefault="00A8147E" w:rsidP="00562F60">
      <w:pPr>
        <w:pStyle w:val="Paragraphe"/>
        <w:keepNext/>
        <w:numPr>
          <w:ilvl w:val="0"/>
          <w:numId w:val="25"/>
        </w:numPr>
        <w:spacing w:line="280" w:lineRule="exact"/>
        <w:rPr>
          <w:b/>
          <w:sz w:val="28"/>
          <w:szCs w:val="28"/>
          <w:lang w:val="en-CA"/>
        </w:rPr>
      </w:pPr>
      <w:r w:rsidRPr="006C0449">
        <w:rPr>
          <w:b/>
          <w:sz w:val="28"/>
          <w:szCs w:val="28"/>
          <w:lang w:val="en-CA"/>
        </w:rPr>
        <w:t>The judgment under appeal</w:t>
      </w:r>
    </w:p>
    <w:p w14:paraId="7EC29DAF" w14:textId="29BA184F" w:rsidR="00562F60" w:rsidRPr="0076473C" w:rsidRDefault="00A8147E" w:rsidP="00562F60">
      <w:pPr>
        <w:pStyle w:val="Paragraphe"/>
        <w:spacing w:line="280" w:lineRule="exact"/>
        <w:rPr>
          <w:lang w:val="en-CA"/>
        </w:rPr>
      </w:pPr>
      <w:bookmarkStart w:id="11" w:name="_Ref76651362"/>
      <w:r w:rsidRPr="0076473C">
        <w:rPr>
          <w:lang w:val="en-CA"/>
        </w:rPr>
        <w:t xml:space="preserve">Because the respondent contested the mandatory minimum sentence of </w:t>
      </w:r>
      <w:r w:rsidR="0030673E">
        <w:rPr>
          <w:lang w:val="en-CA"/>
        </w:rPr>
        <w:t>1</w:t>
      </w:r>
      <w:r w:rsidRPr="0076473C">
        <w:rPr>
          <w:lang w:val="en-CA"/>
        </w:rPr>
        <w:t xml:space="preserve"> year for this offence, the judge</w:t>
      </w:r>
      <w:r w:rsidR="00E919E6">
        <w:rPr>
          <w:lang w:val="en-CA"/>
        </w:rPr>
        <w:t xml:space="preserve">, as </w:t>
      </w:r>
      <w:r w:rsidR="00CD0E25">
        <w:rPr>
          <w:lang w:val="en-CA"/>
        </w:rPr>
        <w:t>was right</w:t>
      </w:r>
      <w:r w:rsidR="00E919E6">
        <w:rPr>
          <w:lang w:val="en-CA"/>
        </w:rPr>
        <w:t>,</w:t>
      </w:r>
      <w:r w:rsidRPr="0076473C">
        <w:rPr>
          <w:lang w:val="en-CA"/>
        </w:rPr>
        <w:t xml:space="preserve"> </w:t>
      </w:r>
      <w:r w:rsidR="00E919E6" w:rsidRPr="0076473C">
        <w:rPr>
          <w:lang w:val="en-CA"/>
        </w:rPr>
        <w:t xml:space="preserve">first </w:t>
      </w:r>
      <w:r w:rsidRPr="0076473C">
        <w:rPr>
          <w:lang w:val="en-CA"/>
        </w:rPr>
        <w:t>determin</w:t>
      </w:r>
      <w:r w:rsidR="00E919E6">
        <w:rPr>
          <w:lang w:val="en-CA"/>
        </w:rPr>
        <w:t>ed</w:t>
      </w:r>
      <w:r w:rsidRPr="0076473C">
        <w:rPr>
          <w:lang w:val="en-CA"/>
        </w:rPr>
        <w:t xml:space="preserve"> what would be the just and appropriate sentence, taking into consideration the purposes and principles of sentencing.</w:t>
      </w:r>
      <w:r w:rsidR="00562F60" w:rsidRPr="0076473C">
        <w:rPr>
          <w:rStyle w:val="Appelnotedebasdep"/>
          <w:lang w:val="en-CA"/>
        </w:rPr>
        <w:footnoteReference w:id="57"/>
      </w:r>
      <w:bookmarkEnd w:id="11"/>
      <w:r w:rsidR="00562F60" w:rsidRPr="0076473C">
        <w:rPr>
          <w:lang w:val="en-CA"/>
        </w:rPr>
        <w:t xml:space="preserve"> </w:t>
      </w:r>
      <w:r w:rsidRPr="0076473C">
        <w:rPr>
          <w:lang w:val="en-CA"/>
        </w:rPr>
        <w:t xml:space="preserve">Relying on ss. 718 </w:t>
      </w:r>
      <w:r w:rsidRPr="0076473C">
        <w:rPr>
          <w:i/>
          <w:lang w:val="en-CA"/>
        </w:rPr>
        <w:t>et seq</w:t>
      </w:r>
      <w:r w:rsidRPr="0076473C">
        <w:rPr>
          <w:lang w:val="en-CA"/>
        </w:rPr>
        <w:t xml:space="preserve">. </w:t>
      </w:r>
      <w:r w:rsidRPr="0076473C">
        <w:rPr>
          <w:i/>
          <w:lang w:val="en-CA"/>
        </w:rPr>
        <w:t>Cr. C</w:t>
      </w:r>
      <w:r w:rsidRPr="0076473C">
        <w:rPr>
          <w:lang w:val="en-CA"/>
        </w:rPr>
        <w:t xml:space="preserve">., she recalled that the total sentence must be proportionate to the gravity of the offences and the respondent’s degree of responsibility, </w:t>
      </w:r>
      <w:r w:rsidR="0030673E">
        <w:rPr>
          <w:lang w:val="en-CA"/>
        </w:rPr>
        <w:t xml:space="preserve">while also </w:t>
      </w:r>
      <w:r w:rsidRPr="0076473C">
        <w:rPr>
          <w:lang w:val="en-CA"/>
        </w:rPr>
        <w:t xml:space="preserve">noting the importance of denouncing and </w:t>
      </w:r>
      <w:r w:rsidR="006A6877" w:rsidRPr="0076473C">
        <w:rPr>
          <w:lang w:val="en-CA"/>
        </w:rPr>
        <w:t>deterring</w:t>
      </w:r>
      <w:r w:rsidRPr="0076473C">
        <w:rPr>
          <w:lang w:val="en-CA"/>
        </w:rPr>
        <w:t xml:space="preserve"> sexual offences committed against children or adolescents.</w:t>
      </w:r>
      <w:r w:rsidR="00562F60" w:rsidRPr="0076473C">
        <w:rPr>
          <w:rStyle w:val="Appelnotedebasdep"/>
          <w:lang w:val="en-CA"/>
        </w:rPr>
        <w:footnoteReference w:id="58"/>
      </w:r>
      <w:r w:rsidRPr="0076473C">
        <w:rPr>
          <w:lang w:val="en-CA"/>
        </w:rPr>
        <w:t xml:space="preserve"> </w:t>
      </w:r>
    </w:p>
    <w:p w14:paraId="0B284ADF" w14:textId="78DAB5C7" w:rsidR="00562F60" w:rsidRPr="006C0449" w:rsidRDefault="0030673E" w:rsidP="00562F60">
      <w:pPr>
        <w:pStyle w:val="Paragraphe"/>
        <w:spacing w:line="280" w:lineRule="exact"/>
        <w:rPr>
          <w:lang w:val="en-CA"/>
        </w:rPr>
      </w:pPr>
      <w:r>
        <w:rPr>
          <w:lang w:val="en-CA"/>
        </w:rPr>
        <w:t>S</w:t>
      </w:r>
      <w:r w:rsidR="00A8147E" w:rsidRPr="006C0449">
        <w:rPr>
          <w:lang w:val="en-CA"/>
        </w:rPr>
        <w:t xml:space="preserve">he </w:t>
      </w:r>
      <w:r>
        <w:rPr>
          <w:lang w:val="en-CA"/>
        </w:rPr>
        <w:t xml:space="preserve">then </w:t>
      </w:r>
      <w:r w:rsidR="00A8147E" w:rsidRPr="006C0449">
        <w:rPr>
          <w:lang w:val="en-CA"/>
        </w:rPr>
        <w:t>wrote:</w:t>
      </w:r>
    </w:p>
    <w:p w14:paraId="51366834" w14:textId="6DC9249D" w:rsidR="00772A7C" w:rsidRPr="0076473C" w:rsidRDefault="00772A7C" w:rsidP="00772A7C">
      <w:pPr>
        <w:pStyle w:val="Paragraphe"/>
        <w:numPr>
          <w:ilvl w:val="0"/>
          <w:numId w:val="0"/>
        </w:numPr>
        <w:spacing w:line="280" w:lineRule="exact"/>
        <w:rPr>
          <w:lang w:val="en-CA"/>
        </w:rPr>
      </w:pPr>
      <w:r w:rsidRPr="0076473C">
        <w:rPr>
          <w:lang w:val="en-CA"/>
        </w:rPr>
        <w:tab/>
        <w:t>[</w:t>
      </w:r>
      <w:r w:rsidRPr="0076473C">
        <w:rPr>
          <w:smallCaps/>
          <w:lang w:val="en-CA"/>
        </w:rPr>
        <w:t>translation</w:t>
      </w:r>
      <w:r w:rsidRPr="0076473C">
        <w:rPr>
          <w:lang w:val="en-CA"/>
        </w:rPr>
        <w:t>]</w:t>
      </w:r>
    </w:p>
    <w:p w14:paraId="23CD1013" w14:textId="780B92DB" w:rsidR="00562F60" w:rsidRPr="006C0449" w:rsidRDefault="00A8147E" w:rsidP="00562F60">
      <w:pPr>
        <w:pStyle w:val="Citationenretrait"/>
        <w:rPr>
          <w:b/>
          <w:lang w:val="en-CA"/>
        </w:rPr>
      </w:pPr>
      <w:r w:rsidRPr="006C0449">
        <w:rPr>
          <w:b/>
          <w:lang w:val="en-CA"/>
        </w:rPr>
        <w:t>Luring</w:t>
      </w:r>
    </w:p>
    <w:p w14:paraId="0CEE7230" w14:textId="5D6DCFD7" w:rsidR="00562F60" w:rsidRPr="0076473C" w:rsidRDefault="00562F60" w:rsidP="00562F60">
      <w:pPr>
        <w:pStyle w:val="Citationenretrait"/>
        <w:rPr>
          <w:lang w:val="en-CA"/>
        </w:rPr>
      </w:pPr>
      <w:r w:rsidRPr="0076473C">
        <w:rPr>
          <w:lang w:val="en-CA"/>
        </w:rPr>
        <w:t>[62]</w:t>
      </w:r>
      <w:r w:rsidRPr="0076473C">
        <w:rPr>
          <w:sz w:val="14"/>
          <w:szCs w:val="14"/>
          <w:lang w:val="en-CA"/>
        </w:rPr>
        <w:t xml:space="preserve"> </w:t>
      </w:r>
      <w:r w:rsidRPr="0076473C">
        <w:rPr>
          <w:sz w:val="14"/>
          <w:szCs w:val="14"/>
          <w:lang w:val="en-CA"/>
        </w:rPr>
        <w:tab/>
      </w:r>
      <w:r w:rsidR="00A8147E" w:rsidRPr="0076473C">
        <w:rPr>
          <w:lang w:val="en-CA"/>
        </w:rPr>
        <w:t xml:space="preserve">It is useful here to recall that the </w:t>
      </w:r>
      <w:r w:rsidR="006A6877" w:rsidRPr="0076473C">
        <w:rPr>
          <w:lang w:val="en-CA"/>
        </w:rPr>
        <w:t>offender</w:t>
      </w:r>
      <w:r w:rsidR="00A8147E" w:rsidRPr="0076473C">
        <w:rPr>
          <w:lang w:val="en-CA"/>
        </w:rPr>
        <w:t xml:space="preserve"> admitted to </w:t>
      </w:r>
      <w:r w:rsidR="00E84E84">
        <w:rPr>
          <w:lang w:val="en-CA"/>
        </w:rPr>
        <w:t>committing</w:t>
      </w:r>
      <w:r w:rsidR="00A8147E" w:rsidRPr="0076473C">
        <w:rPr>
          <w:lang w:val="en-CA"/>
        </w:rPr>
        <w:t xml:space="preserve"> luring with respect to the adolescent between February 25, 2015, and September 13, 2015.</w:t>
      </w:r>
      <w:r w:rsidRPr="0076473C">
        <w:rPr>
          <w:lang w:val="en-CA"/>
        </w:rPr>
        <w:t xml:space="preserve"> </w:t>
      </w:r>
      <w:r w:rsidR="00A8147E" w:rsidRPr="0076473C">
        <w:rPr>
          <w:u w:val="single"/>
          <w:lang w:val="en-CA"/>
        </w:rPr>
        <w:t xml:space="preserve">The charge therefore does not cover the period when the </w:t>
      </w:r>
      <w:r w:rsidR="00EB26CD" w:rsidRPr="0076473C">
        <w:rPr>
          <w:u w:val="single"/>
          <w:lang w:val="en-CA"/>
        </w:rPr>
        <w:t>acts of a sexual nature began (A</w:t>
      </w:r>
      <w:r w:rsidR="00915D34">
        <w:rPr>
          <w:u w:val="single"/>
          <w:lang w:val="en-CA"/>
        </w:rPr>
        <w:t xml:space="preserve">ugust 2013) </w:t>
      </w:r>
      <w:r w:rsidR="00A8147E" w:rsidRPr="0076473C">
        <w:rPr>
          <w:u w:val="single"/>
          <w:lang w:val="en-CA"/>
        </w:rPr>
        <w:t xml:space="preserve">or the period during which the two subsequent sexual episodes </w:t>
      </w:r>
      <w:r w:rsidR="006A6877" w:rsidRPr="0076473C">
        <w:rPr>
          <w:u w:val="single"/>
          <w:lang w:val="en-CA"/>
        </w:rPr>
        <w:t>occurred</w:t>
      </w:r>
      <w:r w:rsidR="00A8147E" w:rsidRPr="0076473C">
        <w:rPr>
          <w:u w:val="single"/>
          <w:lang w:val="en-CA"/>
        </w:rPr>
        <w:t xml:space="preserve"> (between August 2013 and November 2014).</w:t>
      </w:r>
    </w:p>
    <w:p w14:paraId="329F4147" w14:textId="3EA9D286" w:rsidR="00562F60" w:rsidRPr="0076473C" w:rsidRDefault="00562F60" w:rsidP="00562F60">
      <w:pPr>
        <w:pStyle w:val="Citationenretrait"/>
        <w:rPr>
          <w:lang w:val="en-CA"/>
        </w:rPr>
      </w:pPr>
      <w:r w:rsidRPr="0076473C">
        <w:rPr>
          <w:lang w:val="en-CA"/>
        </w:rPr>
        <w:t>…</w:t>
      </w:r>
      <w:r w:rsidRPr="0076473C">
        <w:rPr>
          <w:sz w:val="14"/>
          <w:szCs w:val="14"/>
          <w:lang w:val="en-CA"/>
        </w:rPr>
        <w:t> </w:t>
      </w:r>
    </w:p>
    <w:p w14:paraId="22981038" w14:textId="5B98734A" w:rsidR="00562F60" w:rsidRPr="0076473C" w:rsidRDefault="00562F60" w:rsidP="00562F60">
      <w:pPr>
        <w:pStyle w:val="Citationenretrait"/>
        <w:rPr>
          <w:lang w:val="en-CA"/>
        </w:rPr>
      </w:pPr>
      <w:r w:rsidRPr="0076473C">
        <w:rPr>
          <w:lang w:val="en-CA"/>
        </w:rPr>
        <w:t>[64]</w:t>
      </w:r>
      <w:r w:rsidRPr="0076473C">
        <w:rPr>
          <w:lang w:val="en-CA"/>
        </w:rPr>
        <w:tab/>
      </w:r>
      <w:r w:rsidR="0064254A" w:rsidRPr="009B7B69">
        <w:rPr>
          <w:u w:val="single"/>
          <w:lang w:val="en-CA"/>
        </w:rPr>
        <w:t>This is not a classic case of a sexual predator who goes on the Internet to find a young victim and facilitate the commission of sexual offences</w:t>
      </w:r>
      <w:r w:rsidR="0064254A" w:rsidRPr="006C0449">
        <w:rPr>
          <w:lang w:val="en-CA"/>
        </w:rPr>
        <w:t>.</w:t>
      </w:r>
      <w:r w:rsidR="0064254A" w:rsidRPr="0076473C">
        <w:rPr>
          <w:lang w:val="en-CA"/>
        </w:rPr>
        <w:t xml:space="preserve"> </w:t>
      </w:r>
      <w:r w:rsidR="00D47CDD" w:rsidRPr="00D47CDD">
        <w:rPr>
          <w:u w:val="single"/>
          <w:lang w:val="en-CA"/>
        </w:rPr>
        <w:t>Given the dates stated in the charge</w:t>
      </w:r>
      <w:r w:rsidR="00D47CDD">
        <w:rPr>
          <w:lang w:val="en-CA"/>
        </w:rPr>
        <w:t>, w</w:t>
      </w:r>
      <w:r w:rsidR="0064254A" w:rsidRPr="006C0449">
        <w:rPr>
          <w:lang w:val="en-CA"/>
        </w:rPr>
        <w:t xml:space="preserve">hat the offender is specifically being </w:t>
      </w:r>
      <w:r w:rsidR="0064254A">
        <w:rPr>
          <w:lang w:val="en-CA"/>
        </w:rPr>
        <w:t>accused of</w:t>
      </w:r>
      <w:r w:rsidR="0064254A" w:rsidRPr="006C0449">
        <w:rPr>
          <w:lang w:val="en-CA"/>
        </w:rPr>
        <w:t xml:space="preserve"> is </w:t>
      </w:r>
      <w:r w:rsidR="0064254A" w:rsidRPr="006C0449">
        <w:rPr>
          <w:lang w:val="en-CA"/>
        </w:rPr>
        <w:lastRenderedPageBreak/>
        <w:t xml:space="preserve">having used a means of telecommunication to organize and facilitate sexual </w:t>
      </w:r>
      <w:r w:rsidR="00D47CDD">
        <w:rPr>
          <w:lang w:val="en-CA"/>
        </w:rPr>
        <w:t>encounters</w:t>
      </w:r>
      <w:r w:rsidR="0064254A" w:rsidRPr="006C0449">
        <w:rPr>
          <w:lang w:val="en-CA"/>
        </w:rPr>
        <w:t xml:space="preserve"> with her</w:t>
      </w:r>
      <w:r w:rsidR="00D47CDD">
        <w:rPr>
          <w:lang w:val="en-CA"/>
        </w:rPr>
        <w:t>, which</w:t>
      </w:r>
      <w:r w:rsidR="0064254A" w:rsidRPr="006C0449">
        <w:rPr>
          <w:lang w:val="en-CA"/>
        </w:rPr>
        <w:t xml:space="preserve"> had already </w:t>
      </w:r>
      <w:r w:rsidR="0064254A">
        <w:rPr>
          <w:lang w:val="en-CA"/>
        </w:rPr>
        <w:t>been ongoing for</w:t>
      </w:r>
      <w:r w:rsidR="0064254A" w:rsidRPr="006C0449">
        <w:rPr>
          <w:lang w:val="en-CA"/>
        </w:rPr>
        <w:t xml:space="preserve"> a year and a half.</w:t>
      </w:r>
    </w:p>
    <w:p w14:paraId="3EB2FC80" w14:textId="794A5BDE" w:rsidR="00562F60" w:rsidRPr="0076473C" w:rsidRDefault="00562F60" w:rsidP="00562F60">
      <w:pPr>
        <w:pStyle w:val="Citationenretrait"/>
        <w:rPr>
          <w:lang w:val="en-CA"/>
        </w:rPr>
      </w:pPr>
      <w:r w:rsidRPr="0076473C">
        <w:rPr>
          <w:lang w:val="en-CA"/>
        </w:rPr>
        <w:t>[65]</w:t>
      </w:r>
      <w:r w:rsidRPr="0076473C">
        <w:rPr>
          <w:sz w:val="14"/>
          <w:szCs w:val="14"/>
          <w:lang w:val="en-CA"/>
        </w:rPr>
        <w:t xml:space="preserve"> </w:t>
      </w:r>
      <w:r w:rsidRPr="0076473C">
        <w:rPr>
          <w:sz w:val="14"/>
          <w:szCs w:val="14"/>
          <w:lang w:val="en-CA"/>
        </w:rPr>
        <w:tab/>
      </w:r>
      <w:r w:rsidR="00A8147E" w:rsidRPr="0076473C">
        <w:rPr>
          <w:lang w:val="en-CA"/>
        </w:rPr>
        <w:t xml:space="preserve">Most of the contact between the offender and the complainant took place </w:t>
      </w:r>
      <w:r w:rsidR="00D47CDD">
        <w:rPr>
          <w:lang w:val="en-CA"/>
        </w:rPr>
        <w:t>on</w:t>
      </w:r>
      <w:r w:rsidR="00A8147E" w:rsidRPr="0076473C">
        <w:rPr>
          <w:lang w:val="en-CA"/>
        </w:rPr>
        <w:t xml:space="preserve"> social</w:t>
      </w:r>
      <w:r w:rsidR="00D47CDD">
        <w:rPr>
          <w:lang w:val="en-CA"/>
        </w:rPr>
        <w:t xml:space="preserve"> media networks</w:t>
      </w:r>
      <w:r w:rsidR="00A8147E" w:rsidRPr="0076473C">
        <w:rPr>
          <w:lang w:val="en-CA"/>
        </w:rPr>
        <w:t>.</w:t>
      </w:r>
      <w:r w:rsidRPr="0076473C">
        <w:rPr>
          <w:lang w:val="en-CA"/>
        </w:rPr>
        <w:t xml:space="preserve"> </w:t>
      </w:r>
      <w:r w:rsidR="00EB26CD" w:rsidRPr="0076473C">
        <w:rPr>
          <w:lang w:val="en-CA"/>
        </w:rPr>
        <w:t>W</w:t>
      </w:r>
      <w:r w:rsidR="00A8147E" w:rsidRPr="0076473C">
        <w:rPr>
          <w:lang w:val="en-CA"/>
        </w:rPr>
        <w:t>ere it not for the</w:t>
      </w:r>
      <w:r w:rsidR="00E84E84">
        <w:rPr>
          <w:lang w:val="en-CA"/>
        </w:rPr>
        <w:t xml:space="preserve"> adolescent’s</w:t>
      </w:r>
      <w:r w:rsidR="00A8147E" w:rsidRPr="0076473C">
        <w:rPr>
          <w:lang w:val="en-CA"/>
        </w:rPr>
        <w:t xml:space="preserve"> access to this type of media, the offender never would have succeeded in maintaining the conversations that enable</w:t>
      </w:r>
      <w:r w:rsidR="00CD0E25">
        <w:rPr>
          <w:lang w:val="en-CA"/>
        </w:rPr>
        <w:t>d</w:t>
      </w:r>
      <w:r w:rsidR="00A8147E" w:rsidRPr="0076473C">
        <w:rPr>
          <w:lang w:val="en-CA"/>
        </w:rPr>
        <w:t xml:space="preserve"> them to have their repeated rendezvous.</w:t>
      </w:r>
    </w:p>
    <w:p w14:paraId="738D9144" w14:textId="43E5AB9A" w:rsidR="00562F60" w:rsidRPr="0076473C" w:rsidRDefault="00562F60" w:rsidP="00562F60">
      <w:pPr>
        <w:pStyle w:val="Citationenretrait"/>
        <w:rPr>
          <w:lang w:val="en-CA"/>
        </w:rPr>
      </w:pPr>
      <w:r w:rsidRPr="003333F6">
        <w:rPr>
          <w:lang w:val="en-CA"/>
        </w:rPr>
        <w:t>[66]</w:t>
      </w:r>
      <w:r w:rsidRPr="003333F6">
        <w:rPr>
          <w:sz w:val="14"/>
          <w:szCs w:val="14"/>
          <w:lang w:val="en-CA"/>
        </w:rPr>
        <w:t xml:space="preserve"> </w:t>
      </w:r>
      <w:r w:rsidRPr="003333F6">
        <w:rPr>
          <w:sz w:val="14"/>
          <w:szCs w:val="14"/>
          <w:lang w:val="en-CA"/>
        </w:rPr>
        <w:tab/>
      </w:r>
      <w:r w:rsidR="00A8147E" w:rsidRPr="003333F6">
        <w:rPr>
          <w:lang w:val="en-CA"/>
        </w:rPr>
        <w:t xml:space="preserve">This young </w:t>
      </w:r>
      <w:r w:rsidR="006A6877" w:rsidRPr="003333F6">
        <w:rPr>
          <w:lang w:val="en-CA"/>
        </w:rPr>
        <w:t>girl</w:t>
      </w:r>
      <w:r w:rsidR="00A8147E" w:rsidRPr="003333F6">
        <w:rPr>
          <w:lang w:val="en-CA"/>
        </w:rPr>
        <w:t xml:space="preserve"> was under the responsibility of the Director of Youth Protection: her outings were controlled and her travel was organized to protect her.</w:t>
      </w:r>
      <w:r w:rsidRPr="003333F6">
        <w:rPr>
          <w:lang w:val="en-CA"/>
        </w:rPr>
        <w:t xml:space="preserve"> </w:t>
      </w:r>
      <w:r w:rsidR="00A8147E" w:rsidRPr="003333F6">
        <w:rPr>
          <w:lang w:val="en-CA"/>
        </w:rPr>
        <w:t>Mr. Bertrand Marchand</w:t>
      </w:r>
      <w:r w:rsidR="00EB26CD" w:rsidRPr="003333F6">
        <w:rPr>
          <w:lang w:val="en-CA"/>
        </w:rPr>
        <w:t>’s</w:t>
      </w:r>
      <w:r w:rsidR="00A8147E" w:rsidRPr="003333F6">
        <w:rPr>
          <w:lang w:val="en-CA"/>
        </w:rPr>
        <w:t xml:space="preserve"> conduct with respect to the </w:t>
      </w:r>
      <w:r w:rsidR="006A6877" w:rsidRPr="003333F6">
        <w:rPr>
          <w:lang w:val="en-CA"/>
        </w:rPr>
        <w:t>adolescent</w:t>
      </w:r>
      <w:r w:rsidR="00A8147E" w:rsidRPr="003333F6">
        <w:rPr>
          <w:lang w:val="en-CA"/>
        </w:rPr>
        <w:t xml:space="preserve"> contributed to encouraging her to </w:t>
      </w:r>
      <w:r w:rsidR="006A6877" w:rsidRPr="003333F6">
        <w:rPr>
          <w:lang w:val="en-CA"/>
        </w:rPr>
        <w:t>ignore</w:t>
      </w:r>
      <w:r w:rsidR="00A8147E" w:rsidRPr="003333F6">
        <w:rPr>
          <w:lang w:val="en-CA"/>
        </w:rPr>
        <w:t xml:space="preserve"> the rules </w:t>
      </w:r>
      <w:r w:rsidR="006A6877" w:rsidRPr="003333F6">
        <w:rPr>
          <w:lang w:val="en-CA"/>
        </w:rPr>
        <w:t>imposed</w:t>
      </w:r>
      <w:r w:rsidR="00A8147E" w:rsidRPr="003333F6">
        <w:rPr>
          <w:lang w:val="en-CA"/>
        </w:rPr>
        <w:t xml:space="preserve"> </w:t>
      </w:r>
      <w:r w:rsidR="006A6877" w:rsidRPr="003333F6">
        <w:rPr>
          <w:lang w:val="en-CA"/>
        </w:rPr>
        <w:t>by</w:t>
      </w:r>
      <w:r w:rsidR="00A8147E" w:rsidRPr="003333F6">
        <w:rPr>
          <w:lang w:val="en-CA"/>
        </w:rPr>
        <w:t xml:space="preserve"> the workers or </w:t>
      </w:r>
      <w:r w:rsidR="00D47CDD" w:rsidRPr="003333F6">
        <w:rPr>
          <w:lang w:val="en-CA"/>
        </w:rPr>
        <w:t xml:space="preserve">the </w:t>
      </w:r>
      <w:r w:rsidR="00A8147E" w:rsidRPr="003333F6">
        <w:rPr>
          <w:lang w:val="en-CA"/>
        </w:rPr>
        <w:t xml:space="preserve">people </w:t>
      </w:r>
      <w:r w:rsidR="00D47CDD" w:rsidRPr="003333F6">
        <w:rPr>
          <w:lang w:val="en-CA"/>
        </w:rPr>
        <w:t>responsible for her</w:t>
      </w:r>
      <w:r w:rsidR="00CD0E25" w:rsidRPr="003333F6">
        <w:rPr>
          <w:lang w:val="en-CA"/>
        </w:rPr>
        <w:t>. It</w:t>
      </w:r>
      <w:r w:rsidR="00A8147E" w:rsidRPr="003333F6">
        <w:rPr>
          <w:lang w:val="en-CA"/>
        </w:rPr>
        <w:t xml:space="preserve"> put her in danger.</w:t>
      </w:r>
      <w:r w:rsidRPr="003333F6">
        <w:rPr>
          <w:lang w:val="en-CA"/>
        </w:rPr>
        <w:t xml:space="preserve"> </w:t>
      </w:r>
      <w:r w:rsidR="00A8147E" w:rsidRPr="003333F6">
        <w:rPr>
          <w:lang w:val="en-CA"/>
        </w:rPr>
        <w:t xml:space="preserve">The use of social media in secret allowed the encounters to take </w:t>
      </w:r>
      <w:r w:rsidR="00EB26CD" w:rsidRPr="003333F6">
        <w:rPr>
          <w:lang w:val="en-CA"/>
        </w:rPr>
        <w:t>place, which</w:t>
      </w:r>
      <w:r w:rsidR="00A8147E" w:rsidRPr="003333F6">
        <w:rPr>
          <w:lang w:val="en-CA"/>
        </w:rPr>
        <w:t xml:space="preserve"> would have been much more difficult to achieve </w:t>
      </w:r>
      <w:r w:rsidR="00EB26CD" w:rsidRPr="003333F6">
        <w:rPr>
          <w:lang w:val="en-CA"/>
        </w:rPr>
        <w:t>through</w:t>
      </w:r>
      <w:r w:rsidR="00A8147E" w:rsidRPr="003333F6">
        <w:rPr>
          <w:lang w:val="en-CA"/>
        </w:rPr>
        <w:t xml:space="preserve"> in-person or telephone contact.</w:t>
      </w:r>
      <w:r w:rsidR="00A8147E" w:rsidRPr="0076473C">
        <w:rPr>
          <w:lang w:val="en-CA"/>
        </w:rPr>
        <w:t xml:space="preserve"> </w:t>
      </w:r>
    </w:p>
    <w:p w14:paraId="190AC495" w14:textId="4FF19FE2" w:rsidR="00562F60" w:rsidRPr="0076473C" w:rsidRDefault="00562F60" w:rsidP="00562F60">
      <w:pPr>
        <w:pStyle w:val="Citationenretrait"/>
        <w:rPr>
          <w:lang w:val="en-CA"/>
        </w:rPr>
      </w:pPr>
      <w:r w:rsidRPr="0076473C">
        <w:rPr>
          <w:lang w:val="en-CA"/>
        </w:rPr>
        <w:t>[67]</w:t>
      </w:r>
      <w:r w:rsidRPr="0076473C">
        <w:rPr>
          <w:sz w:val="14"/>
          <w:szCs w:val="14"/>
          <w:lang w:val="en-CA"/>
        </w:rPr>
        <w:t xml:space="preserve"> </w:t>
      </w:r>
      <w:r w:rsidRPr="0076473C">
        <w:rPr>
          <w:sz w:val="14"/>
          <w:szCs w:val="14"/>
          <w:lang w:val="en-CA"/>
        </w:rPr>
        <w:tab/>
      </w:r>
      <w:r w:rsidR="00A8147E" w:rsidRPr="0076473C">
        <w:rPr>
          <w:lang w:val="en-CA"/>
        </w:rPr>
        <w:t>That being said, the Court also recognizes that today’s young people, both adolescent</w:t>
      </w:r>
      <w:r w:rsidR="001A56A8" w:rsidRPr="0076473C">
        <w:rPr>
          <w:lang w:val="en-CA"/>
        </w:rPr>
        <w:t>s</w:t>
      </w:r>
      <w:r w:rsidR="00A8147E" w:rsidRPr="0076473C">
        <w:rPr>
          <w:lang w:val="en-CA"/>
        </w:rPr>
        <w:t xml:space="preserve"> and young adults, frequently use social media as the usual means of communication.</w:t>
      </w:r>
      <w:r w:rsidRPr="0076473C">
        <w:rPr>
          <w:lang w:val="en-CA"/>
        </w:rPr>
        <w:t xml:space="preserve"> </w:t>
      </w:r>
      <w:r w:rsidR="00A8147E" w:rsidRPr="0076473C">
        <w:rPr>
          <w:u w:val="single"/>
          <w:lang w:val="en-CA"/>
        </w:rPr>
        <w:t>In the Court’s opinion, the means used by the offender to communicate with X reveal a generational choice rather than a means specifically chosen to anonymously browse various websites searching for a young victim or to enter into contact with a young person for the purpose of eventually obtaining sexual favours.</w:t>
      </w:r>
    </w:p>
    <w:p w14:paraId="4D244ABD" w14:textId="572F5480" w:rsidR="00562F60" w:rsidRPr="0076473C" w:rsidRDefault="001A56A8" w:rsidP="00562F60">
      <w:pPr>
        <w:pStyle w:val="Citationenretrait"/>
        <w:rPr>
          <w:lang w:val="en-CA"/>
        </w:rPr>
      </w:pPr>
      <w:r w:rsidRPr="0076473C">
        <w:rPr>
          <w:lang w:val="en-CA"/>
        </w:rPr>
        <w:t>…</w:t>
      </w:r>
      <w:r w:rsidR="00562F60" w:rsidRPr="0076473C">
        <w:rPr>
          <w:sz w:val="14"/>
          <w:szCs w:val="14"/>
          <w:lang w:val="en-CA"/>
        </w:rPr>
        <w:t xml:space="preserve"> </w:t>
      </w:r>
    </w:p>
    <w:p w14:paraId="045420DC" w14:textId="3BA00D88" w:rsidR="00562F60" w:rsidRPr="0076473C" w:rsidRDefault="00562F60" w:rsidP="00562F60">
      <w:pPr>
        <w:pStyle w:val="Citationenretrait"/>
        <w:rPr>
          <w:lang w:val="en-CA"/>
        </w:rPr>
      </w:pPr>
      <w:r w:rsidRPr="0076473C">
        <w:rPr>
          <w:lang w:val="en-CA"/>
        </w:rPr>
        <w:t>[69]</w:t>
      </w:r>
      <w:r w:rsidRPr="0076473C">
        <w:rPr>
          <w:sz w:val="14"/>
          <w:szCs w:val="14"/>
          <w:lang w:val="en-CA"/>
        </w:rPr>
        <w:t xml:space="preserve"> </w:t>
      </w:r>
      <w:r w:rsidRPr="0076473C">
        <w:rPr>
          <w:sz w:val="14"/>
          <w:szCs w:val="14"/>
          <w:lang w:val="en-CA"/>
        </w:rPr>
        <w:tab/>
      </w:r>
      <w:r w:rsidR="00A8147E" w:rsidRPr="0076473C">
        <w:rPr>
          <w:lang w:val="en-CA"/>
        </w:rPr>
        <w:t xml:space="preserve">A single encounter </w:t>
      </w:r>
      <w:r w:rsidR="00DC2AB8" w:rsidRPr="0076473C">
        <w:rPr>
          <w:lang w:val="en-CA"/>
        </w:rPr>
        <w:t>occurred</w:t>
      </w:r>
      <w:r w:rsidR="00A8147E" w:rsidRPr="0076473C">
        <w:rPr>
          <w:lang w:val="en-CA"/>
        </w:rPr>
        <w:t xml:space="preserve"> during the period covered, that of July 19, 2015.</w:t>
      </w:r>
    </w:p>
    <w:p w14:paraId="2A7D567D" w14:textId="44D25520" w:rsidR="00562F60" w:rsidRPr="0076473C" w:rsidRDefault="00562F60" w:rsidP="00562F60">
      <w:pPr>
        <w:pStyle w:val="Citationenretrait"/>
        <w:rPr>
          <w:lang w:val="en-CA"/>
        </w:rPr>
      </w:pPr>
      <w:r w:rsidRPr="0076473C">
        <w:rPr>
          <w:lang w:val="en-CA"/>
        </w:rPr>
        <w:t>[70]</w:t>
      </w:r>
      <w:r w:rsidRPr="0076473C">
        <w:rPr>
          <w:sz w:val="14"/>
          <w:szCs w:val="14"/>
          <w:lang w:val="en-CA"/>
        </w:rPr>
        <w:t xml:space="preserve"> </w:t>
      </w:r>
      <w:r w:rsidRPr="0076473C">
        <w:rPr>
          <w:sz w:val="14"/>
          <w:szCs w:val="14"/>
          <w:lang w:val="en-CA"/>
        </w:rPr>
        <w:tab/>
      </w:r>
      <w:r w:rsidR="00CC6E10" w:rsidRPr="0076473C">
        <w:rPr>
          <w:lang w:val="en-CA"/>
        </w:rPr>
        <w:t>Although the</w:t>
      </w:r>
      <w:r w:rsidR="00CC6E10">
        <w:rPr>
          <w:lang w:val="en-CA"/>
        </w:rPr>
        <w:t>se</w:t>
      </w:r>
      <w:r w:rsidR="00CC6E10" w:rsidRPr="0076473C">
        <w:rPr>
          <w:lang w:val="en-CA"/>
        </w:rPr>
        <w:t xml:space="preserve"> communications</w:t>
      </w:r>
      <w:r w:rsidR="00CC6E10">
        <w:rPr>
          <w:lang w:val="en-CA"/>
        </w:rPr>
        <w:t xml:space="preserve"> were</w:t>
      </w:r>
      <w:r w:rsidR="00CC6E10" w:rsidRPr="0076473C">
        <w:rPr>
          <w:lang w:val="en-CA"/>
        </w:rPr>
        <w:t xml:space="preserve"> made for the purpose of facilitating the commission of sexual offences against a person under the age of 16 years, </w:t>
      </w:r>
      <w:r w:rsidR="00CC6E10" w:rsidRPr="007857E4">
        <w:rPr>
          <w:u w:val="single"/>
          <w:lang w:val="en-CA"/>
        </w:rPr>
        <w:t>the acts committed by the offender do not constitute preparatory grooming of the adolescent for the purpose of lowering her inhibitions and convincing her to participate in sexual activities</w:t>
      </w:r>
      <w:r w:rsidR="00CC6E10" w:rsidRPr="0076473C">
        <w:rPr>
          <w:lang w:val="en-CA"/>
        </w:rPr>
        <w:t xml:space="preserve">. </w:t>
      </w:r>
      <w:r w:rsidR="00CC6E10" w:rsidRPr="006C0449">
        <w:rPr>
          <w:lang w:val="en-CA"/>
        </w:rPr>
        <w:t>She had already consented to such activities three times.</w:t>
      </w:r>
      <w:r w:rsidR="00CC6E10" w:rsidRPr="0076473C">
        <w:rPr>
          <w:lang w:val="en-CA"/>
        </w:rPr>
        <w:t xml:space="preserve"> </w:t>
      </w:r>
      <w:r w:rsidR="00CC6E10" w:rsidRPr="006C0449">
        <w:rPr>
          <w:lang w:val="en-CA"/>
        </w:rPr>
        <w:t xml:space="preserve">They are instead repeated attempts, through the use of electronic conversations, to have sexual intercourse with her again, made in the specific context of a young vulnerable girl who was </w:t>
      </w:r>
      <w:r w:rsidR="007857E4">
        <w:rPr>
          <w:lang w:val="en-CA"/>
        </w:rPr>
        <w:t>under</w:t>
      </w:r>
      <w:r w:rsidR="00CC6E10" w:rsidRPr="006C0449">
        <w:rPr>
          <w:lang w:val="en-CA"/>
        </w:rPr>
        <w:t xml:space="preserve"> the Director of Youth Protection</w:t>
      </w:r>
      <w:r w:rsidR="007857E4">
        <w:rPr>
          <w:lang w:val="en-CA"/>
        </w:rPr>
        <w:t>’s care</w:t>
      </w:r>
      <w:r w:rsidR="00CC6E10" w:rsidRPr="006C0449">
        <w:rPr>
          <w:lang w:val="en-CA"/>
        </w:rPr>
        <w:t>.</w:t>
      </w:r>
    </w:p>
    <w:p w14:paraId="256BC697" w14:textId="37E4E6F0" w:rsidR="00562F60" w:rsidRPr="0076473C" w:rsidRDefault="00562F60" w:rsidP="00562F60">
      <w:pPr>
        <w:pStyle w:val="Citationenretrait"/>
        <w:rPr>
          <w:lang w:val="en-CA"/>
        </w:rPr>
      </w:pPr>
      <w:r w:rsidRPr="0076473C">
        <w:rPr>
          <w:lang w:val="en-CA"/>
        </w:rPr>
        <w:t>…</w:t>
      </w:r>
    </w:p>
    <w:p w14:paraId="32AE45C7" w14:textId="0A46EA12" w:rsidR="00562F60" w:rsidRPr="0076473C" w:rsidRDefault="00562F60" w:rsidP="00562F60">
      <w:pPr>
        <w:pStyle w:val="Citationenretrait"/>
        <w:spacing w:after="0"/>
        <w:rPr>
          <w:lang w:val="en-CA"/>
        </w:rPr>
      </w:pPr>
      <w:r w:rsidRPr="0076473C">
        <w:rPr>
          <w:lang w:val="en-CA"/>
        </w:rPr>
        <w:t>[72]</w:t>
      </w:r>
      <w:r w:rsidRPr="0076473C">
        <w:rPr>
          <w:lang w:val="en-CA"/>
        </w:rPr>
        <w:tab/>
      </w:r>
      <w:r w:rsidR="00DC2AB8" w:rsidRPr="0076473C">
        <w:rPr>
          <w:lang w:val="en-CA"/>
        </w:rPr>
        <w:t>I</w:t>
      </w:r>
      <w:r w:rsidR="00A8147E" w:rsidRPr="0076473C">
        <w:rPr>
          <w:lang w:val="en-CA"/>
        </w:rPr>
        <w:t>t is relevant to add that the sentence would have been different had the offen</w:t>
      </w:r>
      <w:r w:rsidR="001A56A8" w:rsidRPr="0076473C">
        <w:rPr>
          <w:lang w:val="en-CA"/>
        </w:rPr>
        <w:t>der</w:t>
      </w:r>
      <w:r w:rsidR="00A8147E" w:rsidRPr="0076473C">
        <w:rPr>
          <w:lang w:val="en-CA"/>
        </w:rPr>
        <w:t xml:space="preserve"> pleaded guilty to having committed luring </w:t>
      </w:r>
      <w:r w:rsidR="00A8147E" w:rsidRPr="009B7B69">
        <w:rPr>
          <w:u w:val="single"/>
          <w:lang w:val="en-CA"/>
        </w:rPr>
        <w:t>before</w:t>
      </w:r>
      <w:r w:rsidR="00A8147E" w:rsidRPr="0076473C">
        <w:rPr>
          <w:lang w:val="en-CA"/>
        </w:rPr>
        <w:t xml:space="preserve"> the commission of the first incident of sexual interference.</w:t>
      </w:r>
    </w:p>
    <w:p w14:paraId="62B7C29A" w14:textId="35B3CEF1" w:rsidR="00562F60" w:rsidRPr="006C0449" w:rsidRDefault="00A8147E" w:rsidP="00562F60">
      <w:pPr>
        <w:pStyle w:val="Citationenretrait"/>
        <w:spacing w:before="0"/>
        <w:jc w:val="right"/>
        <w:rPr>
          <w:lang w:val="en-CA"/>
        </w:rPr>
      </w:pPr>
      <w:r w:rsidRPr="006C0449">
        <w:rPr>
          <w:lang w:val="en-CA"/>
        </w:rPr>
        <w:lastRenderedPageBreak/>
        <w:t>[Emphasis added.]</w:t>
      </w:r>
    </w:p>
    <w:p w14:paraId="3EB16995" w14:textId="7531BCA9" w:rsidR="00562F60" w:rsidRPr="0076473C" w:rsidRDefault="00A8147E" w:rsidP="00562F60">
      <w:pPr>
        <w:pStyle w:val="Paragraphe"/>
        <w:spacing w:line="280" w:lineRule="exact"/>
        <w:rPr>
          <w:lang w:val="en-CA"/>
        </w:rPr>
      </w:pPr>
      <w:r w:rsidRPr="0076473C">
        <w:rPr>
          <w:lang w:val="en-CA"/>
        </w:rPr>
        <w:t>The judge then determined that the term</w:t>
      </w:r>
      <w:r w:rsidR="001A56A8" w:rsidRPr="0076473C">
        <w:rPr>
          <w:lang w:val="en-CA"/>
        </w:rPr>
        <w:t>s</w:t>
      </w:r>
      <w:r w:rsidRPr="0076473C">
        <w:rPr>
          <w:lang w:val="en-CA"/>
        </w:rPr>
        <w:t xml:space="preserve"> of imprisonment for sexual touching and luring should be served concurrently, not consecutively.</w:t>
      </w:r>
      <w:r w:rsidR="00562F60" w:rsidRPr="0076473C">
        <w:rPr>
          <w:lang w:val="en-CA"/>
        </w:rPr>
        <w:t xml:space="preserve"> </w:t>
      </w:r>
      <w:r w:rsidRPr="0076473C">
        <w:rPr>
          <w:lang w:val="en-CA"/>
        </w:rPr>
        <w:t>First, she set aside the application of s. 718.3(4)(</w:t>
      </w:r>
      <w:r w:rsidRPr="009B7B69">
        <w:rPr>
          <w:i/>
          <w:lang w:val="en-CA"/>
        </w:rPr>
        <w:t>b</w:t>
      </w:r>
      <w:r w:rsidRPr="0076473C">
        <w:rPr>
          <w:lang w:val="en-CA"/>
        </w:rPr>
        <w:t xml:space="preserve">) </w:t>
      </w:r>
      <w:r w:rsidRPr="0076473C">
        <w:rPr>
          <w:i/>
          <w:lang w:val="en-CA"/>
        </w:rPr>
        <w:t>C. Cr</w:t>
      </w:r>
      <w:r w:rsidRPr="0076473C">
        <w:rPr>
          <w:lang w:val="en-CA"/>
        </w:rPr>
        <w:t xml:space="preserve">., since the </w:t>
      </w:r>
      <w:r w:rsidR="00DC2AB8" w:rsidRPr="0076473C">
        <w:rPr>
          <w:lang w:val="en-CA"/>
        </w:rPr>
        <w:t>criteria</w:t>
      </w:r>
      <w:r w:rsidRPr="0076473C">
        <w:rPr>
          <w:lang w:val="en-CA"/>
        </w:rPr>
        <w:t xml:space="preserve"> set out in that provision were not met, and </w:t>
      </w:r>
      <w:r w:rsidR="00915D34">
        <w:rPr>
          <w:lang w:val="en-CA"/>
        </w:rPr>
        <w:t xml:space="preserve">of </w:t>
      </w:r>
      <w:r w:rsidRPr="0076473C">
        <w:rPr>
          <w:lang w:val="en-CA"/>
        </w:rPr>
        <w:t xml:space="preserve">s. 163.1 </w:t>
      </w:r>
      <w:r w:rsidRPr="0076473C">
        <w:rPr>
          <w:i/>
          <w:lang w:val="en-CA"/>
        </w:rPr>
        <w:t>Cr. C</w:t>
      </w:r>
      <w:r w:rsidRPr="0076473C">
        <w:rPr>
          <w:lang w:val="en-CA"/>
        </w:rPr>
        <w:t>. since it concerns solely offences related to child pornography.</w:t>
      </w:r>
      <w:r w:rsidR="00562F60" w:rsidRPr="0076473C">
        <w:rPr>
          <w:rStyle w:val="Appelnotedebasdep"/>
          <w:lang w:val="en-CA"/>
        </w:rPr>
        <w:footnoteReference w:id="59"/>
      </w:r>
      <w:r w:rsidRPr="0076473C">
        <w:rPr>
          <w:lang w:val="en-CA"/>
        </w:rPr>
        <w:t xml:space="preserve"> </w:t>
      </w:r>
      <w:bookmarkStart w:id="12" w:name="_Ref76650531"/>
      <w:r w:rsidRPr="0076473C">
        <w:rPr>
          <w:lang w:val="en-CA"/>
        </w:rPr>
        <w:t xml:space="preserve">Second, she distinguished the case from </w:t>
      </w:r>
      <w:r w:rsidRPr="0076473C">
        <w:rPr>
          <w:i/>
          <w:lang w:val="en-CA"/>
        </w:rPr>
        <w:t>Rayo</w:t>
      </w:r>
      <w:r w:rsidRPr="0076473C">
        <w:rPr>
          <w:lang w:val="en-CA"/>
        </w:rPr>
        <w:t>,</w:t>
      </w:r>
      <w:r w:rsidR="001A56A8" w:rsidRPr="0076473C">
        <w:rPr>
          <w:rStyle w:val="Appelnotedebasdep"/>
          <w:lang w:val="en-CA"/>
        </w:rPr>
        <w:footnoteReference w:id="60"/>
      </w:r>
      <w:r w:rsidRPr="0076473C">
        <w:rPr>
          <w:lang w:val="en-CA"/>
        </w:rPr>
        <w:t xml:space="preserve"> </w:t>
      </w:r>
      <w:r w:rsidR="009C7954">
        <w:rPr>
          <w:lang w:val="en-CA"/>
        </w:rPr>
        <w:t>giving her reasons for doing so</w:t>
      </w:r>
      <w:r w:rsidRPr="0076473C">
        <w:rPr>
          <w:lang w:val="en-CA"/>
        </w:rPr>
        <w:t xml:space="preserve"> in paragraphs 77 and 79.</w:t>
      </w:r>
      <w:bookmarkEnd w:id="12"/>
      <w:r w:rsidRPr="0076473C">
        <w:rPr>
          <w:lang w:val="en-CA"/>
        </w:rPr>
        <w:t xml:space="preserve"> </w:t>
      </w:r>
    </w:p>
    <w:p w14:paraId="372C5897" w14:textId="235E0569" w:rsidR="00562F60" w:rsidRPr="0076473C" w:rsidRDefault="00A8147E" w:rsidP="00562F60">
      <w:pPr>
        <w:pStyle w:val="Paragraphe"/>
        <w:spacing w:line="280" w:lineRule="exact"/>
        <w:rPr>
          <w:lang w:val="en-CA"/>
        </w:rPr>
      </w:pPr>
      <w:r w:rsidRPr="0076473C">
        <w:rPr>
          <w:lang w:val="en-CA"/>
        </w:rPr>
        <w:t>The judge then question</w:t>
      </w:r>
      <w:r w:rsidR="001A56A8" w:rsidRPr="0076473C">
        <w:rPr>
          <w:lang w:val="en-CA"/>
        </w:rPr>
        <w:t>ed</w:t>
      </w:r>
      <w:r w:rsidRPr="0076473C">
        <w:rPr>
          <w:lang w:val="en-CA"/>
        </w:rPr>
        <w:t xml:space="preserve"> whether the mandatory minimum sentence of </w:t>
      </w:r>
      <w:r w:rsidR="000E3433">
        <w:rPr>
          <w:lang w:val="en-CA"/>
        </w:rPr>
        <w:t>1</w:t>
      </w:r>
      <w:r w:rsidRPr="0076473C">
        <w:rPr>
          <w:lang w:val="en-CA"/>
        </w:rPr>
        <w:t xml:space="preserve"> year</w:t>
      </w:r>
      <w:r w:rsidR="000E3433">
        <w:rPr>
          <w:lang w:val="en-CA"/>
        </w:rPr>
        <w:t xml:space="preserve"> of</w:t>
      </w:r>
      <w:r w:rsidR="009C7954">
        <w:rPr>
          <w:lang w:val="en-CA"/>
        </w:rPr>
        <w:t xml:space="preserve"> imprisonment</w:t>
      </w:r>
      <w:r w:rsidRPr="0076473C">
        <w:rPr>
          <w:lang w:val="en-CA"/>
        </w:rPr>
        <w:t xml:space="preserve"> in </w:t>
      </w:r>
      <w:r w:rsidR="000E3433">
        <w:rPr>
          <w:lang w:val="en-CA"/>
        </w:rPr>
        <w:t>cases</w:t>
      </w:r>
      <w:r w:rsidRPr="0076473C">
        <w:rPr>
          <w:lang w:val="en-CA"/>
        </w:rPr>
        <w:t xml:space="preserve"> of luring was grossly disproportionate to the sentence of </w:t>
      </w:r>
      <w:r w:rsidR="000E3433">
        <w:rPr>
          <w:lang w:val="en-CA"/>
        </w:rPr>
        <w:t>5</w:t>
      </w:r>
      <w:r w:rsidRPr="0076473C">
        <w:rPr>
          <w:lang w:val="en-CA"/>
        </w:rPr>
        <w:t xml:space="preserve"> months she had </w:t>
      </w:r>
      <w:r w:rsidR="009C7954">
        <w:rPr>
          <w:lang w:val="en-CA"/>
        </w:rPr>
        <w:t>first</w:t>
      </w:r>
      <w:r w:rsidR="009C7954" w:rsidRPr="0076473C">
        <w:rPr>
          <w:lang w:val="en-CA"/>
        </w:rPr>
        <w:t xml:space="preserve"> </w:t>
      </w:r>
      <w:r w:rsidR="000E3433">
        <w:rPr>
          <w:lang w:val="en-CA"/>
        </w:rPr>
        <w:t>found</w:t>
      </w:r>
      <w:r w:rsidR="009C7954" w:rsidRPr="0076473C">
        <w:rPr>
          <w:lang w:val="en-CA"/>
        </w:rPr>
        <w:t xml:space="preserve"> </w:t>
      </w:r>
      <w:r w:rsidRPr="0076473C">
        <w:rPr>
          <w:lang w:val="en-CA"/>
        </w:rPr>
        <w:t>just and appropriate in the circumstances.</w:t>
      </w:r>
      <w:r w:rsidR="00562F60" w:rsidRPr="0076473C">
        <w:rPr>
          <w:lang w:val="en-CA"/>
        </w:rPr>
        <w:t xml:space="preserve"> </w:t>
      </w:r>
      <w:r w:rsidRPr="0076473C">
        <w:rPr>
          <w:lang w:val="en-CA"/>
        </w:rPr>
        <w:t xml:space="preserve">She answered this question in the affirmative, considering that a well informed </w:t>
      </w:r>
      <w:r w:rsidR="00744086" w:rsidRPr="0076473C">
        <w:rPr>
          <w:lang w:val="en-CA"/>
        </w:rPr>
        <w:t xml:space="preserve">public </w:t>
      </w:r>
      <w:r w:rsidRPr="0076473C">
        <w:rPr>
          <w:lang w:val="en-CA"/>
        </w:rPr>
        <w:t xml:space="preserve">would be outraged to see </w:t>
      </w:r>
      <w:r w:rsidR="009C7954" w:rsidRPr="0076473C">
        <w:rPr>
          <w:lang w:val="en-CA"/>
        </w:rPr>
        <w:t xml:space="preserve">a sentence as harsh as the minimum sentence of </w:t>
      </w:r>
      <w:r w:rsidR="000E3433">
        <w:rPr>
          <w:lang w:val="en-CA"/>
        </w:rPr>
        <w:t>1</w:t>
      </w:r>
      <w:r w:rsidR="009C7954" w:rsidRPr="0076473C">
        <w:rPr>
          <w:lang w:val="en-CA"/>
        </w:rPr>
        <w:t xml:space="preserve"> year </w:t>
      </w:r>
      <w:r w:rsidR="000E3433">
        <w:rPr>
          <w:lang w:val="en-CA"/>
        </w:rPr>
        <w:t xml:space="preserve">required in principle by </w:t>
      </w:r>
      <w:r w:rsidR="009C7954" w:rsidRPr="0076473C">
        <w:rPr>
          <w:lang w:val="en-CA"/>
        </w:rPr>
        <w:t>s. 172.1(2)(</w:t>
      </w:r>
      <w:r w:rsidR="009C7954" w:rsidRPr="00A3658F">
        <w:rPr>
          <w:i/>
          <w:lang w:val="en-CA"/>
        </w:rPr>
        <w:t>a</w:t>
      </w:r>
      <w:r w:rsidR="009C7954" w:rsidRPr="0076473C">
        <w:rPr>
          <w:lang w:val="en-CA"/>
        </w:rPr>
        <w:t>) </w:t>
      </w:r>
      <w:r w:rsidR="009C7954" w:rsidRPr="0076473C">
        <w:rPr>
          <w:i/>
          <w:lang w:val="en-CA"/>
        </w:rPr>
        <w:t>Cr. C.</w:t>
      </w:r>
      <w:r w:rsidR="009C7954" w:rsidRPr="0076473C">
        <w:rPr>
          <w:lang w:val="en-CA"/>
        </w:rPr>
        <w:t xml:space="preserve"> </w:t>
      </w:r>
      <w:r w:rsidRPr="0076473C">
        <w:rPr>
          <w:lang w:val="en-CA"/>
        </w:rPr>
        <w:t xml:space="preserve">imposed </w:t>
      </w:r>
      <w:r w:rsidR="000E3433">
        <w:rPr>
          <w:lang w:val="en-CA"/>
        </w:rPr>
        <w:t>on the respondent</w:t>
      </w:r>
      <w:r w:rsidRPr="0076473C">
        <w:rPr>
          <w:lang w:val="en-CA"/>
        </w:rPr>
        <w:t xml:space="preserve"> in the particular circumstances of this case.</w:t>
      </w:r>
      <w:r w:rsidR="00562F60" w:rsidRPr="0076473C">
        <w:rPr>
          <w:lang w:val="en-CA"/>
        </w:rPr>
        <w:t xml:space="preserve"> </w:t>
      </w:r>
      <w:r w:rsidR="009C7954">
        <w:rPr>
          <w:lang w:val="en-CA"/>
        </w:rPr>
        <w:t>Accordingly, t</w:t>
      </w:r>
      <w:r w:rsidRPr="0076473C">
        <w:rPr>
          <w:lang w:val="en-CA"/>
        </w:rPr>
        <w:t xml:space="preserve">he judge declared that </w:t>
      </w:r>
      <w:r w:rsidR="000E3433">
        <w:rPr>
          <w:lang w:val="en-CA"/>
        </w:rPr>
        <w:t>the</w:t>
      </w:r>
      <w:r w:rsidRPr="0076473C">
        <w:rPr>
          <w:lang w:val="en-CA"/>
        </w:rPr>
        <w:t xml:space="preserve"> minimum sentence violated s. 12 the </w:t>
      </w:r>
      <w:r w:rsidRPr="0076473C">
        <w:rPr>
          <w:i/>
          <w:lang w:val="en-CA"/>
        </w:rPr>
        <w:t>Charter</w:t>
      </w:r>
      <w:r w:rsidRPr="0076473C">
        <w:rPr>
          <w:lang w:val="en-CA"/>
        </w:rPr>
        <w:t xml:space="preserve"> and declared it inoperative with respect to the respondent.</w:t>
      </w:r>
      <w:r w:rsidRPr="006C0449">
        <w:rPr>
          <w:spacing w:val="-4"/>
          <w:lang w:val="en-CA"/>
        </w:rPr>
        <w:t xml:space="preserve"> </w:t>
      </w:r>
      <w:r w:rsidR="00562F60" w:rsidRPr="0076473C">
        <w:rPr>
          <w:rStyle w:val="Appelnotedebasdep"/>
          <w:spacing w:val="-4"/>
          <w:lang w:val="en-CA"/>
        </w:rPr>
        <w:footnoteReference w:id="61"/>
      </w:r>
      <w:r w:rsidRPr="0076473C">
        <w:rPr>
          <w:spacing w:val="-4"/>
          <w:lang w:val="en-CA"/>
        </w:rPr>
        <w:t xml:space="preserve"> </w:t>
      </w:r>
      <w:r w:rsidR="00562F60" w:rsidRPr="0076473C">
        <w:rPr>
          <w:spacing w:val="-4"/>
          <w:lang w:val="en-CA"/>
        </w:rPr>
        <w:t xml:space="preserve"> </w:t>
      </w:r>
    </w:p>
    <w:p w14:paraId="3B4F5C11" w14:textId="17A65250" w:rsidR="00562F60" w:rsidRPr="006C0449" w:rsidRDefault="00DC2AB8" w:rsidP="00562F60">
      <w:pPr>
        <w:pStyle w:val="Paragraphe"/>
        <w:keepNext/>
        <w:numPr>
          <w:ilvl w:val="0"/>
          <w:numId w:val="25"/>
        </w:numPr>
        <w:spacing w:line="280" w:lineRule="exact"/>
        <w:rPr>
          <w:b/>
          <w:sz w:val="28"/>
          <w:szCs w:val="28"/>
          <w:lang w:val="en-CA"/>
        </w:rPr>
      </w:pPr>
      <w:r w:rsidRPr="006C0449">
        <w:rPr>
          <w:b/>
          <w:sz w:val="28"/>
          <w:szCs w:val="28"/>
          <w:lang w:val="en-CA"/>
        </w:rPr>
        <w:t>Analysis</w:t>
      </w:r>
    </w:p>
    <w:p w14:paraId="6E8BCF64" w14:textId="5511F902" w:rsidR="00562F60" w:rsidRPr="006C0449" w:rsidRDefault="00DC2AB8" w:rsidP="00562F60">
      <w:pPr>
        <w:pStyle w:val="Paragraphe"/>
        <w:keepNext/>
        <w:numPr>
          <w:ilvl w:val="0"/>
          <w:numId w:val="26"/>
        </w:numPr>
        <w:spacing w:line="280" w:lineRule="exact"/>
        <w:ind w:left="1498"/>
        <w:rPr>
          <w:b/>
          <w:lang w:val="en-CA"/>
        </w:rPr>
      </w:pPr>
      <w:r w:rsidRPr="006C0449">
        <w:rPr>
          <w:b/>
          <w:lang w:val="en-CA"/>
        </w:rPr>
        <w:t>Standard of review</w:t>
      </w:r>
    </w:p>
    <w:p w14:paraId="1DA30AD9" w14:textId="53A83334" w:rsidR="00DC2AB8" w:rsidRPr="0076473C" w:rsidRDefault="00DC2AB8" w:rsidP="00DC2AB8">
      <w:pPr>
        <w:pStyle w:val="Paragraphe"/>
        <w:spacing w:line="280" w:lineRule="exact"/>
        <w:rPr>
          <w:lang w:val="en-CA" w:eastAsia="fr-CA"/>
        </w:rPr>
      </w:pPr>
      <w:r w:rsidRPr="0076473C">
        <w:rPr>
          <w:lang w:val="en-CA" w:eastAsia="fr-CA"/>
        </w:rPr>
        <w:t xml:space="preserve">As this Court has frequently </w:t>
      </w:r>
      <w:r w:rsidR="000E3433">
        <w:rPr>
          <w:lang w:val="en-CA" w:eastAsia="fr-CA"/>
        </w:rPr>
        <w:t>noted</w:t>
      </w:r>
      <w:r w:rsidRPr="0076473C">
        <w:rPr>
          <w:lang w:val="en-CA" w:eastAsia="fr-CA"/>
        </w:rPr>
        <w:t xml:space="preserve">, sentencing is </w:t>
      </w:r>
      <w:r w:rsidR="000E3433">
        <w:rPr>
          <w:lang w:val="en-CA" w:eastAsia="fr-CA"/>
        </w:rPr>
        <w:t xml:space="preserve">profoundly related to context and therefore </w:t>
      </w:r>
      <w:r w:rsidRPr="0076473C">
        <w:rPr>
          <w:lang w:val="en-CA" w:eastAsia="fr-CA"/>
        </w:rPr>
        <w:t xml:space="preserve">a difficult task </w:t>
      </w:r>
      <w:r w:rsidR="000E3433">
        <w:rPr>
          <w:lang w:val="en-CA" w:eastAsia="fr-CA"/>
        </w:rPr>
        <w:t xml:space="preserve">regarding which </w:t>
      </w:r>
      <w:r w:rsidRPr="0076473C">
        <w:rPr>
          <w:lang w:val="en-CA" w:eastAsia="fr-CA"/>
        </w:rPr>
        <w:t>trial judges have broad discretionary power.</w:t>
      </w:r>
      <w:r w:rsidR="00562F60" w:rsidRPr="0076473C">
        <w:rPr>
          <w:rStyle w:val="Appelnotedebasdep"/>
          <w:lang w:val="en-CA"/>
        </w:rPr>
        <w:footnoteReference w:id="62"/>
      </w:r>
      <w:r w:rsidRPr="0076473C">
        <w:rPr>
          <w:lang w:val="en-CA"/>
        </w:rPr>
        <w:t xml:space="preserve"> </w:t>
      </w:r>
      <w:r w:rsidRPr="0076473C">
        <w:rPr>
          <w:lang w:val="en-CA" w:eastAsia="fr-CA"/>
        </w:rPr>
        <w:t>Because they have the advantage of seeing and hearing the witnesses</w:t>
      </w:r>
      <w:r w:rsidR="000E3433">
        <w:rPr>
          <w:lang w:val="en-CA" w:eastAsia="fr-CA"/>
        </w:rPr>
        <w:t xml:space="preserve"> and </w:t>
      </w:r>
      <w:r w:rsidR="00E050A8">
        <w:rPr>
          <w:lang w:val="en-CA" w:eastAsia="fr-CA"/>
        </w:rPr>
        <w:t>assessing</w:t>
      </w:r>
      <w:r w:rsidR="00E050A8" w:rsidRPr="0076473C">
        <w:rPr>
          <w:lang w:val="en-CA" w:eastAsia="fr-CA"/>
        </w:rPr>
        <w:t xml:space="preserve"> </w:t>
      </w:r>
      <w:r w:rsidRPr="0076473C">
        <w:rPr>
          <w:lang w:val="en-CA" w:eastAsia="fr-CA"/>
        </w:rPr>
        <w:t xml:space="preserve">the evidence, they are better placed to impose </w:t>
      </w:r>
      <w:r w:rsidR="000E3433">
        <w:rPr>
          <w:lang w:val="en-CA" w:eastAsia="fr-CA"/>
        </w:rPr>
        <w:t xml:space="preserve">a </w:t>
      </w:r>
      <w:r w:rsidRPr="0076473C">
        <w:rPr>
          <w:lang w:val="en-CA" w:eastAsia="fr-CA"/>
        </w:rPr>
        <w:t>just and appropriate sentence in a given case.</w:t>
      </w:r>
    </w:p>
    <w:p w14:paraId="4C3A5D86" w14:textId="3EA5F1B7" w:rsidR="00DC2AB8" w:rsidRPr="0076473C" w:rsidRDefault="00DC2AB8" w:rsidP="00DC2AB8">
      <w:pPr>
        <w:pStyle w:val="Paragraphe"/>
        <w:spacing w:line="280" w:lineRule="exact"/>
        <w:rPr>
          <w:lang w:val="en-CA" w:eastAsia="fr-CA"/>
        </w:rPr>
      </w:pPr>
      <w:r w:rsidRPr="0076473C">
        <w:rPr>
          <w:lang w:val="en-CA"/>
        </w:rPr>
        <w:t>The standard of review in sentencing therefore requires deference from appellate courts</w:t>
      </w:r>
      <w:r w:rsidR="000E3433">
        <w:rPr>
          <w:lang w:val="en-CA"/>
        </w:rPr>
        <w:t>,</w:t>
      </w:r>
      <w:r w:rsidRPr="0076473C">
        <w:rPr>
          <w:lang w:val="en-CA"/>
        </w:rPr>
        <w:t xml:space="preserve"> and</w:t>
      </w:r>
      <w:r w:rsidR="00474C4B" w:rsidRPr="0076473C">
        <w:rPr>
          <w:lang w:val="en-CA"/>
        </w:rPr>
        <w:t xml:space="preserve"> it</w:t>
      </w:r>
      <w:r w:rsidRPr="0076473C">
        <w:rPr>
          <w:lang w:val="en-CA"/>
        </w:rPr>
        <w:t xml:space="preserve"> is high.</w:t>
      </w:r>
      <w:r w:rsidR="00562F60" w:rsidRPr="0076473C">
        <w:rPr>
          <w:lang w:val="en-CA"/>
        </w:rPr>
        <w:t xml:space="preserve"> </w:t>
      </w:r>
      <w:bookmarkStart w:id="13" w:name="_Ref76650765"/>
      <w:r w:rsidRPr="0076473C">
        <w:rPr>
          <w:lang w:val="en-CA"/>
        </w:rPr>
        <w:t xml:space="preserve">In </w:t>
      </w:r>
      <w:r w:rsidRPr="0076473C">
        <w:rPr>
          <w:i/>
          <w:lang w:val="en-CA"/>
        </w:rPr>
        <w:t>Friesen</w:t>
      </w:r>
      <w:r w:rsidRPr="0076473C">
        <w:rPr>
          <w:lang w:val="en-CA"/>
        </w:rPr>
        <w:t>,</w:t>
      </w:r>
      <w:r w:rsidRPr="0076473C">
        <w:rPr>
          <w:rStyle w:val="Appelnotedebasdep"/>
          <w:lang w:val="en-CA"/>
        </w:rPr>
        <w:footnoteReference w:id="63"/>
      </w:r>
      <w:r w:rsidRPr="0076473C">
        <w:rPr>
          <w:lang w:val="en-CA"/>
        </w:rPr>
        <w:t xml:space="preserve"> the Supreme Court </w:t>
      </w:r>
      <w:r w:rsidR="000D51C2">
        <w:rPr>
          <w:lang w:val="en-CA"/>
        </w:rPr>
        <w:t>confirmed</w:t>
      </w:r>
      <w:r w:rsidR="000D51C2" w:rsidRPr="0076473C">
        <w:rPr>
          <w:lang w:val="en-CA"/>
        </w:rPr>
        <w:t xml:space="preserve"> </w:t>
      </w:r>
      <w:r w:rsidRPr="0076473C">
        <w:rPr>
          <w:lang w:val="en-CA"/>
        </w:rPr>
        <w:t xml:space="preserve">the standard of review for sentencing set out in </w:t>
      </w:r>
      <w:r w:rsidRPr="0076473C">
        <w:rPr>
          <w:i/>
          <w:lang w:val="en-CA"/>
        </w:rPr>
        <w:t>R. v. Lacasse</w:t>
      </w:r>
      <w:r w:rsidRPr="0076473C">
        <w:rPr>
          <w:lang w:val="en-CA"/>
        </w:rPr>
        <w:t>,</w:t>
      </w:r>
      <w:r w:rsidRPr="0076473C">
        <w:rPr>
          <w:rStyle w:val="Appelnotedebasdep"/>
          <w:lang w:val="en-CA"/>
        </w:rPr>
        <w:footnoteReference w:id="64"/>
      </w:r>
      <w:r w:rsidRPr="0076473C">
        <w:rPr>
          <w:lang w:val="en-CA"/>
        </w:rPr>
        <w:t xml:space="preserve"> and </w:t>
      </w:r>
      <w:r w:rsidR="00066937" w:rsidRPr="0076473C">
        <w:rPr>
          <w:lang w:val="en-CA"/>
        </w:rPr>
        <w:t>reiterated</w:t>
      </w:r>
      <w:r w:rsidRPr="0076473C">
        <w:rPr>
          <w:lang w:val="en-CA"/>
        </w:rPr>
        <w:t xml:space="preserve"> its teaching on the subject:</w:t>
      </w:r>
      <w:bookmarkEnd w:id="13"/>
      <w:r w:rsidRPr="006C0449">
        <w:rPr>
          <w:i/>
          <w:lang w:val="en-CA"/>
        </w:rPr>
        <w:t xml:space="preserve"> </w:t>
      </w:r>
    </w:p>
    <w:p w14:paraId="10DB5E75" w14:textId="020CCED1" w:rsidR="00562F60" w:rsidRPr="0076473C" w:rsidRDefault="00DC2AB8" w:rsidP="00DC2AB8">
      <w:pPr>
        <w:pStyle w:val="Paragraphe"/>
        <w:numPr>
          <w:ilvl w:val="0"/>
          <w:numId w:val="0"/>
        </w:numPr>
        <w:spacing w:line="280" w:lineRule="exact"/>
        <w:ind w:left="720"/>
        <w:rPr>
          <w:sz w:val="22"/>
          <w:szCs w:val="22"/>
          <w:lang w:val="en-CA"/>
        </w:rPr>
      </w:pPr>
      <w:r w:rsidRPr="0076473C">
        <w:rPr>
          <w:sz w:val="22"/>
          <w:szCs w:val="22"/>
          <w:lang w:val="en-CA"/>
        </w:rPr>
        <w:t>[26]</w:t>
      </w:r>
      <w:r w:rsidRPr="0076473C">
        <w:rPr>
          <w:sz w:val="22"/>
          <w:szCs w:val="22"/>
          <w:lang w:val="en-CA"/>
        </w:rPr>
        <w:tab/>
        <w:t xml:space="preserve">As this Court confirmed in </w:t>
      </w:r>
      <w:r w:rsidRPr="0076473C">
        <w:rPr>
          <w:i/>
          <w:sz w:val="22"/>
          <w:szCs w:val="22"/>
          <w:lang w:val="en-CA"/>
        </w:rPr>
        <w:t>Lacasse</w:t>
      </w:r>
      <w:r w:rsidRPr="0076473C">
        <w:rPr>
          <w:sz w:val="22"/>
          <w:szCs w:val="22"/>
          <w:lang w:val="en-CA"/>
        </w:rPr>
        <w:t>, an appellate court can only intervene to vary a sentence if (1) the sentence is demonstrably unfit (para. 41), or (2) the sentencing judge made an error in principle that had an impact on the sentence.</w:t>
      </w:r>
      <w:r w:rsidR="00562F60" w:rsidRPr="0076473C">
        <w:rPr>
          <w:sz w:val="22"/>
          <w:szCs w:val="22"/>
          <w:lang w:val="en-CA"/>
        </w:rPr>
        <w:t xml:space="preserve"> </w:t>
      </w:r>
      <w:r w:rsidRPr="0076473C">
        <w:rPr>
          <w:sz w:val="22"/>
          <w:szCs w:val="22"/>
          <w:lang w:val="en-CA"/>
        </w:rPr>
        <w:t xml:space="preserve">Errors in principle include an error of law, a failure to consider a relevant factor, or erroneous consideration of an aggravating or mitigating factor. The weighing or balancing of factors can form an error in principle “[o]nly if by emphasizing one factor or by not giving enough weight to another, </w:t>
      </w:r>
      <w:r w:rsidRPr="0076473C">
        <w:rPr>
          <w:sz w:val="22"/>
          <w:szCs w:val="22"/>
          <w:lang w:val="en-CA"/>
        </w:rPr>
        <w:lastRenderedPageBreak/>
        <w:t>the trial judge exercises his or her discretion unreasonably”.</w:t>
      </w:r>
      <w:r w:rsidR="00562F60" w:rsidRPr="0076473C">
        <w:rPr>
          <w:sz w:val="22"/>
          <w:szCs w:val="22"/>
          <w:lang w:val="en-CA"/>
        </w:rPr>
        <w:t xml:space="preserve"> </w:t>
      </w:r>
      <w:r w:rsidRPr="0076473C">
        <w:rPr>
          <w:sz w:val="22"/>
          <w:szCs w:val="22"/>
          <w:lang w:val="en-CA"/>
        </w:rPr>
        <w:t>Not every error in principle is material: an appellate court can only intervene if it is apparent from the trial judge’s reasons that the error had an impact on the sentence. If an error in principle had no impact on the sentence, that is the end of the error in principle analysis and appellate intervention is justified only if the sentence is demonstrably unfit.</w:t>
      </w:r>
      <w:r w:rsidR="00562F60" w:rsidRPr="0076473C">
        <w:rPr>
          <w:sz w:val="22"/>
          <w:szCs w:val="22"/>
          <w:lang w:val="en-CA"/>
        </w:rPr>
        <w:t xml:space="preserve"> </w:t>
      </w:r>
    </w:p>
    <w:p w14:paraId="4AC357F0" w14:textId="2F85A9DA" w:rsidR="00562F60" w:rsidRPr="006C0449" w:rsidRDefault="00DC2AB8" w:rsidP="00562F60">
      <w:pPr>
        <w:pStyle w:val="Paragraphe"/>
        <w:numPr>
          <w:ilvl w:val="0"/>
          <w:numId w:val="0"/>
        </w:numPr>
        <w:spacing w:before="0" w:line="280" w:lineRule="exact"/>
        <w:ind w:left="567" w:right="567"/>
        <w:jc w:val="right"/>
        <w:rPr>
          <w:sz w:val="22"/>
          <w:szCs w:val="22"/>
          <w:lang w:val="en-CA"/>
        </w:rPr>
      </w:pPr>
      <w:r w:rsidRPr="006C0449">
        <w:rPr>
          <w:sz w:val="22"/>
          <w:szCs w:val="22"/>
          <w:lang w:val="en-CA"/>
        </w:rPr>
        <w:t>[Citations omitted</w:t>
      </w:r>
      <w:r w:rsidR="00474C4B" w:rsidRPr="006C0449">
        <w:rPr>
          <w:sz w:val="22"/>
          <w:szCs w:val="22"/>
          <w:lang w:val="en-CA"/>
        </w:rPr>
        <w:t>.</w:t>
      </w:r>
      <w:r w:rsidRPr="006C0449">
        <w:rPr>
          <w:sz w:val="22"/>
          <w:szCs w:val="22"/>
          <w:lang w:val="en-CA"/>
        </w:rPr>
        <w:t>]</w:t>
      </w:r>
    </w:p>
    <w:p w14:paraId="43117D2F" w14:textId="5D6AC285" w:rsidR="00562F60" w:rsidRPr="0076473C" w:rsidRDefault="00DC2AB8" w:rsidP="00562F60">
      <w:pPr>
        <w:pStyle w:val="Paragraphe"/>
        <w:spacing w:line="280" w:lineRule="exact"/>
        <w:rPr>
          <w:lang w:val="en-CA"/>
        </w:rPr>
      </w:pPr>
      <w:bookmarkStart w:id="14" w:name="_Ref76651009"/>
      <w:r w:rsidRPr="0076473C">
        <w:rPr>
          <w:lang w:val="en-CA"/>
        </w:rPr>
        <w:t xml:space="preserve">In reviewing </w:t>
      </w:r>
      <w:r w:rsidR="000E3433">
        <w:rPr>
          <w:lang w:val="en-CA"/>
        </w:rPr>
        <w:t xml:space="preserve">the fitness of </w:t>
      </w:r>
      <w:r w:rsidR="00474C4B" w:rsidRPr="0076473C">
        <w:rPr>
          <w:lang w:val="en-CA"/>
        </w:rPr>
        <w:t xml:space="preserve">a </w:t>
      </w:r>
      <w:r w:rsidRPr="0076473C">
        <w:rPr>
          <w:lang w:val="en-CA"/>
        </w:rPr>
        <w:t xml:space="preserve">sentence, </w:t>
      </w:r>
      <w:r w:rsidR="000E3433">
        <w:rPr>
          <w:lang w:val="en-CA"/>
        </w:rPr>
        <w:t xml:space="preserve">therefore, </w:t>
      </w:r>
      <w:r w:rsidRPr="0076473C">
        <w:rPr>
          <w:lang w:val="en-CA"/>
        </w:rPr>
        <w:t>the Court must avoid substituting its opinion for that of the trial judge simply because it would have imposed a different sentence or because it would have weighed the relevant factors differently.</w:t>
      </w:r>
      <w:r w:rsidR="00562F60" w:rsidRPr="0076473C">
        <w:rPr>
          <w:rStyle w:val="Appelnotedebasdep"/>
          <w:lang w:val="en-CA"/>
        </w:rPr>
        <w:footnoteReference w:id="65"/>
      </w:r>
      <w:bookmarkEnd w:id="14"/>
      <w:r w:rsidRPr="0076473C">
        <w:rPr>
          <w:lang w:val="en-CA"/>
        </w:rPr>
        <w:t xml:space="preserve"> </w:t>
      </w:r>
    </w:p>
    <w:p w14:paraId="10FC5C9A" w14:textId="7554E04E" w:rsidR="00562F60" w:rsidRPr="0076473C" w:rsidRDefault="00DC2AB8" w:rsidP="00562F60">
      <w:pPr>
        <w:pStyle w:val="Paragraphe"/>
        <w:spacing w:line="280" w:lineRule="exact"/>
        <w:rPr>
          <w:lang w:val="en-CA"/>
        </w:rPr>
      </w:pPr>
      <w:r w:rsidRPr="0076473C">
        <w:rPr>
          <w:lang w:val="en-CA"/>
        </w:rPr>
        <w:t xml:space="preserve">The </w:t>
      </w:r>
      <w:r w:rsidR="003D5CD1" w:rsidRPr="0076473C">
        <w:rPr>
          <w:lang w:val="en-CA"/>
        </w:rPr>
        <w:t>standard</w:t>
      </w:r>
      <w:r w:rsidRPr="0076473C">
        <w:rPr>
          <w:lang w:val="en-CA"/>
        </w:rPr>
        <w:t xml:space="preserve"> of review and these principles remain relevant</w:t>
      </w:r>
      <w:r w:rsidR="00BE0E53">
        <w:rPr>
          <w:lang w:val="en-CA"/>
        </w:rPr>
        <w:t>,</w:t>
      </w:r>
      <w:r w:rsidRPr="0076473C">
        <w:rPr>
          <w:lang w:val="en-CA"/>
        </w:rPr>
        <w:t xml:space="preserve"> and the </w:t>
      </w:r>
      <w:r w:rsidR="003D5CD1" w:rsidRPr="0076473C">
        <w:rPr>
          <w:lang w:val="en-CA"/>
        </w:rPr>
        <w:t>limits</w:t>
      </w:r>
      <w:r w:rsidRPr="0076473C">
        <w:rPr>
          <w:lang w:val="en-CA"/>
        </w:rPr>
        <w:t xml:space="preserve"> they place on review by an appellate court do not change when the sentence is the subject of a constitutional challenge.</w:t>
      </w:r>
      <w:r w:rsidR="00562F60" w:rsidRPr="0076473C">
        <w:rPr>
          <w:rStyle w:val="Appelnotedebasdep"/>
          <w:lang w:val="en-CA"/>
        </w:rPr>
        <w:footnoteReference w:id="66"/>
      </w:r>
      <w:r w:rsidRPr="0076473C">
        <w:rPr>
          <w:lang w:val="en-CA"/>
        </w:rPr>
        <w:t xml:space="preserve"> </w:t>
      </w:r>
      <w:r w:rsidR="00562F60" w:rsidRPr="0076473C">
        <w:rPr>
          <w:lang w:val="en-CA"/>
        </w:rPr>
        <w:t xml:space="preserve"> </w:t>
      </w:r>
    </w:p>
    <w:p w14:paraId="3C794255" w14:textId="41E553A8" w:rsidR="00562F60" w:rsidRPr="0076473C" w:rsidRDefault="00474C4B" w:rsidP="00562F60">
      <w:pPr>
        <w:pStyle w:val="Paragraphe"/>
        <w:spacing w:line="280" w:lineRule="exact"/>
        <w:rPr>
          <w:lang w:val="en-CA"/>
        </w:rPr>
      </w:pPr>
      <w:r w:rsidRPr="006C0449">
        <w:rPr>
          <w:lang w:val="en-CA"/>
        </w:rPr>
        <w:t>In addition</w:t>
      </w:r>
      <w:r w:rsidR="00DC2AB8" w:rsidRPr="006C0449">
        <w:rPr>
          <w:lang w:val="en-CA"/>
        </w:rPr>
        <w:t xml:space="preserve">, the judge’s conclusion that the mandatory minimum sentence of one year for luring violates s. 12 of the </w:t>
      </w:r>
      <w:r w:rsidR="00DC2AB8" w:rsidRPr="006C0449">
        <w:rPr>
          <w:i/>
          <w:lang w:val="en-CA"/>
        </w:rPr>
        <w:t>Charter</w:t>
      </w:r>
      <w:r w:rsidR="00DC2AB8" w:rsidRPr="006C0449">
        <w:rPr>
          <w:lang w:val="en-CA"/>
        </w:rPr>
        <w:t xml:space="preserve"> and must be declared inoperative with respect to the respondent is subject to the standard</w:t>
      </w:r>
      <w:r w:rsidR="00666678">
        <w:rPr>
          <w:lang w:val="en-CA"/>
        </w:rPr>
        <w:t xml:space="preserve"> of correctness</w:t>
      </w:r>
      <w:r w:rsidR="00DC2AB8" w:rsidRPr="006C0449">
        <w:rPr>
          <w:lang w:val="en-CA"/>
        </w:rPr>
        <w:t>.</w:t>
      </w:r>
      <w:r w:rsidR="00562F60" w:rsidRPr="0076473C">
        <w:rPr>
          <w:rStyle w:val="Appelnotedebasdep"/>
          <w:lang w:val="en-CA"/>
        </w:rPr>
        <w:footnoteReference w:id="67"/>
      </w:r>
      <w:r w:rsidR="00DC2AB8" w:rsidRPr="0076473C">
        <w:rPr>
          <w:lang w:val="en-CA"/>
        </w:rPr>
        <w:t xml:space="preserve"> </w:t>
      </w:r>
    </w:p>
    <w:p w14:paraId="12F28E2C" w14:textId="586CB72C" w:rsidR="00562F60" w:rsidRPr="0076473C" w:rsidRDefault="00DC2AB8" w:rsidP="00562F60">
      <w:pPr>
        <w:pStyle w:val="Paragraphe"/>
        <w:spacing w:line="280" w:lineRule="exact"/>
        <w:rPr>
          <w:lang w:val="en-CA"/>
        </w:rPr>
      </w:pPr>
      <w:r w:rsidRPr="0076473C">
        <w:rPr>
          <w:lang w:val="en-CA"/>
        </w:rPr>
        <w:t>These principles being set out, how do they apply to the issues raised by the appeal?</w:t>
      </w:r>
    </w:p>
    <w:p w14:paraId="7E44F8E9" w14:textId="07BBD592" w:rsidR="00562F60" w:rsidRPr="0076473C" w:rsidRDefault="00DC2AB8" w:rsidP="00562F60">
      <w:pPr>
        <w:pStyle w:val="Paragraphe"/>
        <w:keepNext/>
        <w:numPr>
          <w:ilvl w:val="0"/>
          <w:numId w:val="26"/>
        </w:numPr>
        <w:spacing w:line="280" w:lineRule="exact"/>
        <w:ind w:left="1498"/>
        <w:rPr>
          <w:b/>
          <w:lang w:val="en-CA"/>
        </w:rPr>
      </w:pPr>
      <w:r w:rsidRPr="0076473C">
        <w:rPr>
          <w:b/>
          <w:lang w:val="en-CA"/>
        </w:rPr>
        <w:t>Is the sentence</w:t>
      </w:r>
      <w:r w:rsidR="003D5CD1" w:rsidRPr="0076473C">
        <w:rPr>
          <w:b/>
          <w:lang w:val="en-CA"/>
        </w:rPr>
        <w:t xml:space="preserve"> </w:t>
      </w:r>
      <w:r w:rsidRPr="0076473C">
        <w:rPr>
          <w:b/>
          <w:lang w:val="en-CA"/>
        </w:rPr>
        <w:t xml:space="preserve">of </w:t>
      </w:r>
      <w:r w:rsidR="00BE0E53">
        <w:rPr>
          <w:b/>
          <w:lang w:val="en-CA"/>
        </w:rPr>
        <w:t>5</w:t>
      </w:r>
      <w:r w:rsidRPr="0076473C">
        <w:rPr>
          <w:b/>
          <w:lang w:val="en-CA"/>
        </w:rPr>
        <w:t xml:space="preserve"> months’ imprisonment imposed by the judge for the offence of luring demonstrably unfit in the circumstances?</w:t>
      </w:r>
      <w:r w:rsidR="00562F60" w:rsidRPr="0076473C">
        <w:rPr>
          <w:b/>
          <w:lang w:val="en-CA"/>
        </w:rPr>
        <w:t xml:space="preserve"> </w:t>
      </w:r>
    </w:p>
    <w:p w14:paraId="370DF510" w14:textId="72AF85E3" w:rsidR="00562F60" w:rsidRPr="0076473C" w:rsidRDefault="00DC2AB8" w:rsidP="00562F60">
      <w:pPr>
        <w:pStyle w:val="Paragraphe"/>
        <w:spacing w:line="280" w:lineRule="exact"/>
        <w:rPr>
          <w:lang w:val="en-CA"/>
        </w:rPr>
      </w:pPr>
      <w:r w:rsidRPr="0076473C">
        <w:rPr>
          <w:lang w:val="en-CA"/>
        </w:rPr>
        <w:t xml:space="preserve">It is important to specify at the outset that we are </w:t>
      </w:r>
      <w:r w:rsidR="00BE0E53">
        <w:rPr>
          <w:lang w:val="en-CA"/>
        </w:rPr>
        <w:t xml:space="preserve">obviously </w:t>
      </w:r>
      <w:r w:rsidRPr="0076473C">
        <w:rPr>
          <w:lang w:val="en-CA"/>
        </w:rPr>
        <w:t>not questioning the intrinsic gr</w:t>
      </w:r>
      <w:r w:rsidR="00BE0E53">
        <w:rPr>
          <w:lang w:val="en-CA"/>
        </w:rPr>
        <w:t xml:space="preserve">avity of the offence of luring in a world </w:t>
      </w:r>
      <w:r w:rsidRPr="0076473C">
        <w:rPr>
          <w:lang w:val="en-CA"/>
        </w:rPr>
        <w:t xml:space="preserve">where technological means allow for easy, </w:t>
      </w:r>
      <w:r w:rsidR="00BE0E53">
        <w:rPr>
          <w:lang w:val="en-CA"/>
        </w:rPr>
        <w:t xml:space="preserve">indeed </w:t>
      </w:r>
      <w:r w:rsidR="004B7F6C">
        <w:rPr>
          <w:lang w:val="en-CA"/>
        </w:rPr>
        <w:t>deceitful</w:t>
      </w:r>
      <w:r w:rsidRPr="0076473C">
        <w:rPr>
          <w:lang w:val="en-CA"/>
        </w:rPr>
        <w:t xml:space="preserve">, access to children and </w:t>
      </w:r>
      <w:r w:rsidR="003D5CD1" w:rsidRPr="0076473C">
        <w:rPr>
          <w:lang w:val="en-CA"/>
        </w:rPr>
        <w:t>adolescents</w:t>
      </w:r>
      <w:r w:rsidRPr="0076473C">
        <w:rPr>
          <w:lang w:val="en-CA"/>
        </w:rPr>
        <w:t xml:space="preserve">, in a virtual environment where they are often unsupervised and </w:t>
      </w:r>
      <w:r w:rsidR="0046015E">
        <w:rPr>
          <w:lang w:val="en-CA"/>
        </w:rPr>
        <w:t>where they may therefore be more vulnerable</w:t>
      </w:r>
      <w:r w:rsidRPr="0076473C">
        <w:rPr>
          <w:lang w:val="en-CA"/>
        </w:rPr>
        <w:t>.</w:t>
      </w:r>
      <w:r w:rsidR="00562F60" w:rsidRPr="0076473C">
        <w:rPr>
          <w:rStyle w:val="Appelnotedebasdep"/>
          <w:lang w:val="en-CA"/>
        </w:rPr>
        <w:footnoteReference w:id="68"/>
      </w:r>
      <w:r w:rsidRPr="0076473C">
        <w:rPr>
          <w:lang w:val="en-CA"/>
        </w:rPr>
        <w:t xml:space="preserve"> </w:t>
      </w:r>
    </w:p>
    <w:p w14:paraId="2D7F2860" w14:textId="2976CAA5" w:rsidR="00562F60" w:rsidRPr="0076473C" w:rsidRDefault="00DC2AB8" w:rsidP="00562F60">
      <w:pPr>
        <w:pStyle w:val="Paragraphe"/>
        <w:spacing w:line="280" w:lineRule="exact"/>
        <w:rPr>
          <w:lang w:val="en-CA"/>
        </w:rPr>
      </w:pPr>
      <w:r w:rsidRPr="006C0449">
        <w:rPr>
          <w:lang w:val="en-CA"/>
        </w:rPr>
        <w:t xml:space="preserve">In </w:t>
      </w:r>
      <w:r w:rsidRPr="006C0449">
        <w:rPr>
          <w:i/>
          <w:lang w:val="en-CA"/>
        </w:rPr>
        <w:t>Legare</w:t>
      </w:r>
      <w:r w:rsidRPr="006C0449">
        <w:rPr>
          <w:lang w:val="en-CA"/>
        </w:rPr>
        <w:t>,</w:t>
      </w:r>
      <w:r w:rsidR="00621C3D" w:rsidRPr="0076473C">
        <w:rPr>
          <w:rStyle w:val="Appelnotedebasdep"/>
          <w:lang w:val="en-CA"/>
        </w:rPr>
        <w:footnoteReference w:id="69"/>
      </w:r>
      <w:r w:rsidRPr="006C0449">
        <w:rPr>
          <w:lang w:val="en-CA"/>
        </w:rPr>
        <w:t xml:space="preserve"> the Supreme Court defined the offence of luring in these terms:</w:t>
      </w:r>
      <w:r w:rsidRPr="0076473C">
        <w:rPr>
          <w:i/>
          <w:lang w:val="en-CA"/>
        </w:rPr>
        <w:t xml:space="preserve"> </w:t>
      </w:r>
    </w:p>
    <w:p w14:paraId="023CC23F" w14:textId="7CB5C86F" w:rsidR="00562F60" w:rsidRPr="0076473C" w:rsidRDefault="00562F60" w:rsidP="00562F60">
      <w:pPr>
        <w:pStyle w:val="Citationenretrait"/>
        <w:rPr>
          <w:lang w:val="en-CA"/>
        </w:rPr>
      </w:pPr>
      <w:r w:rsidRPr="0076473C">
        <w:rPr>
          <w:lang w:val="en-CA"/>
        </w:rPr>
        <w:t xml:space="preserve">[26] </w:t>
      </w:r>
      <w:r w:rsidRPr="0076473C">
        <w:rPr>
          <w:lang w:val="en-CA"/>
        </w:rPr>
        <w:tab/>
      </w:r>
      <w:r w:rsidR="00DC2AB8" w:rsidRPr="0076473C">
        <w:rPr>
          <w:lang w:val="en-CA"/>
        </w:rPr>
        <w:t xml:space="preserve">Section 172.1(1) makes it a crime to communicate by computer with underage children or adolescents for the purpose of facilitating the commission of the offences mentioned in its constituent paragraphs.  In this context, “facilitating” includes helping to bring about and making easier or more probable — for </w:t>
      </w:r>
      <w:r w:rsidR="00DC2AB8" w:rsidRPr="0076473C">
        <w:rPr>
          <w:lang w:val="en-CA"/>
        </w:rPr>
        <w:lastRenderedPageBreak/>
        <w:t>example, by “luring” or “grooming” young persons to commit or participate in the prohibited conduct; by reducing their inhibitions; or by prurient discourse that exploits a young person’s curiosity, immaturity or precocious sexuality</w:t>
      </w:r>
      <w:r w:rsidRPr="0076473C">
        <w:rPr>
          <w:lang w:val="en-CA"/>
        </w:rPr>
        <w:t>.</w:t>
      </w:r>
    </w:p>
    <w:p w14:paraId="6FF4966B" w14:textId="7CF521BA" w:rsidR="00562F60" w:rsidRPr="0076473C" w:rsidRDefault="00C2635A" w:rsidP="00562F60">
      <w:pPr>
        <w:pStyle w:val="Paragraphe"/>
        <w:spacing w:line="280" w:lineRule="exact"/>
        <w:rPr>
          <w:lang w:val="en-CA"/>
        </w:rPr>
      </w:pPr>
      <w:bookmarkStart w:id="15" w:name="_Ref76651428"/>
      <w:r>
        <w:rPr>
          <w:lang w:val="en-CA"/>
        </w:rPr>
        <w:t>I</w:t>
      </w:r>
      <w:r w:rsidR="00FE1856" w:rsidRPr="006C0449">
        <w:rPr>
          <w:lang w:val="en-CA"/>
        </w:rPr>
        <w:t xml:space="preserve">n </w:t>
      </w:r>
      <w:r w:rsidR="00FE1856" w:rsidRPr="006C0449">
        <w:rPr>
          <w:i/>
          <w:lang w:val="en-CA"/>
        </w:rPr>
        <w:t>Morrison</w:t>
      </w:r>
      <w:r w:rsidR="00FE1856" w:rsidRPr="006C0449">
        <w:rPr>
          <w:lang w:val="en-CA"/>
        </w:rPr>
        <w:t>,</w:t>
      </w:r>
      <w:r w:rsidR="00FE1856" w:rsidRPr="0076473C">
        <w:rPr>
          <w:rStyle w:val="Appelnotedebasdep"/>
          <w:lang w:val="en-CA"/>
        </w:rPr>
        <w:footnoteReference w:id="70"/>
      </w:r>
      <w:r w:rsidR="00FE1856" w:rsidRPr="006C0449">
        <w:rPr>
          <w:lang w:val="en-CA"/>
        </w:rPr>
        <w:t xml:space="preserve"> rendered 10 years later, and </w:t>
      </w:r>
      <w:r>
        <w:rPr>
          <w:lang w:val="en-CA"/>
        </w:rPr>
        <w:t>a</w:t>
      </w:r>
      <w:r w:rsidR="00FE1856" w:rsidRPr="006C0449">
        <w:rPr>
          <w:lang w:val="en-CA"/>
        </w:rPr>
        <w:t xml:space="preserve"> year after this Court’s judgment in </w:t>
      </w:r>
      <w:r w:rsidR="00FE1856" w:rsidRPr="006C0449">
        <w:rPr>
          <w:i/>
          <w:lang w:val="en-CA"/>
        </w:rPr>
        <w:t>Rayo</w:t>
      </w:r>
      <w:r w:rsidR="00FE1856" w:rsidRPr="006C0449">
        <w:rPr>
          <w:lang w:val="en-CA"/>
        </w:rPr>
        <w:t>,</w:t>
      </w:r>
      <w:r w:rsidR="00FE1856" w:rsidRPr="0076473C">
        <w:rPr>
          <w:rStyle w:val="Appelnotedebasdep"/>
          <w:lang w:val="en-CA"/>
        </w:rPr>
        <w:footnoteReference w:id="71"/>
      </w:r>
      <w:r w:rsidR="00FE1856" w:rsidRPr="006C0449">
        <w:rPr>
          <w:lang w:val="en-CA"/>
        </w:rPr>
        <w:t xml:space="preserve"> the Supreme Court had the opportunity to </w:t>
      </w:r>
      <w:r w:rsidR="003D5CD1" w:rsidRPr="006C0449">
        <w:rPr>
          <w:lang w:val="en-CA"/>
        </w:rPr>
        <w:t>revisit</w:t>
      </w:r>
      <w:r w:rsidR="00FE1856" w:rsidRPr="006C0449">
        <w:rPr>
          <w:lang w:val="en-CA"/>
        </w:rPr>
        <w:t xml:space="preserve"> this </w:t>
      </w:r>
      <w:r w:rsidR="003D5CD1" w:rsidRPr="006C0449">
        <w:rPr>
          <w:lang w:val="en-CA"/>
        </w:rPr>
        <w:t>offence</w:t>
      </w:r>
      <w:r w:rsidR="00FE1856" w:rsidRPr="006C0449">
        <w:rPr>
          <w:lang w:val="en-CA"/>
        </w:rPr>
        <w:t>.</w:t>
      </w:r>
      <w:r w:rsidR="00FE1856" w:rsidRPr="0076473C">
        <w:rPr>
          <w:i/>
          <w:lang w:val="en-CA"/>
        </w:rPr>
        <w:t xml:space="preserve"> </w:t>
      </w:r>
      <w:bookmarkEnd w:id="15"/>
      <w:r w:rsidR="00FE1856" w:rsidRPr="0076473C">
        <w:rPr>
          <w:lang w:val="en-CA"/>
        </w:rPr>
        <w:t>In the majority reasons of seven judges, Moldaver</w:t>
      </w:r>
      <w:r>
        <w:rPr>
          <w:lang w:val="en-CA"/>
        </w:rPr>
        <w:t>,</w:t>
      </w:r>
      <w:r w:rsidR="00FE1856" w:rsidRPr="0076473C">
        <w:rPr>
          <w:lang w:val="en-CA"/>
        </w:rPr>
        <w:t xml:space="preserve"> J. referred to this “new and distressing phenomenon of predators lurking in cyberspace, </w:t>
      </w:r>
      <w:r w:rsidR="00FE1856" w:rsidRPr="009B7B69">
        <w:rPr>
          <w:u w:val="single"/>
          <w:lang w:val="en-CA"/>
        </w:rPr>
        <w:t>cloaked in anonymity</w:t>
      </w:r>
      <w:r w:rsidR="00FE1856" w:rsidRPr="0076473C">
        <w:rPr>
          <w:lang w:val="en-CA"/>
        </w:rPr>
        <w:t>, using online communications as a tool for meeting and grooming children with a view to sexually exploiting them”</w:t>
      </w:r>
      <w:r w:rsidR="00621C3D" w:rsidRPr="0076473C">
        <w:rPr>
          <w:lang w:val="en-CA"/>
        </w:rPr>
        <w:t>.</w:t>
      </w:r>
      <w:r w:rsidR="00562F60" w:rsidRPr="0076473C">
        <w:rPr>
          <w:rStyle w:val="Appelnotedebasdep"/>
          <w:lang w:val="en-CA"/>
        </w:rPr>
        <w:footnoteReference w:id="72"/>
      </w:r>
      <w:r w:rsidR="00562F60" w:rsidRPr="0076473C">
        <w:rPr>
          <w:lang w:val="en-CA"/>
        </w:rPr>
        <w:t xml:space="preserve"> </w:t>
      </w:r>
      <w:r>
        <w:rPr>
          <w:lang w:val="en-CA"/>
        </w:rPr>
        <w:t>I</w:t>
      </w:r>
      <w:r w:rsidR="00FE1856" w:rsidRPr="0076473C">
        <w:rPr>
          <w:lang w:val="en-CA"/>
        </w:rPr>
        <w:t xml:space="preserve">n a </w:t>
      </w:r>
      <w:r>
        <w:rPr>
          <w:lang w:val="en-CA"/>
        </w:rPr>
        <w:t>comment</w:t>
      </w:r>
      <w:r w:rsidR="00FE1856" w:rsidRPr="0076473C">
        <w:rPr>
          <w:lang w:val="en-CA"/>
        </w:rPr>
        <w:t xml:space="preserve"> the aptness of which </w:t>
      </w:r>
      <w:r>
        <w:rPr>
          <w:lang w:val="en-CA"/>
        </w:rPr>
        <w:t>must</w:t>
      </w:r>
      <w:r w:rsidR="00FE1856" w:rsidRPr="0076473C">
        <w:rPr>
          <w:lang w:val="en-CA"/>
        </w:rPr>
        <w:t xml:space="preserve"> not be</w:t>
      </w:r>
      <w:r>
        <w:rPr>
          <w:lang w:val="en-CA"/>
        </w:rPr>
        <w:t xml:space="preserve"> diminished</w:t>
      </w:r>
      <w:r w:rsidR="00FE1856" w:rsidRPr="0076473C">
        <w:rPr>
          <w:lang w:val="en-CA"/>
        </w:rPr>
        <w:t xml:space="preserve">, </w:t>
      </w:r>
      <w:r>
        <w:rPr>
          <w:lang w:val="en-CA"/>
        </w:rPr>
        <w:t xml:space="preserve">Moldaver, J. added </w:t>
      </w:r>
      <w:r w:rsidR="00FE1856" w:rsidRPr="0076473C">
        <w:rPr>
          <w:lang w:val="en-CA"/>
        </w:rPr>
        <w:t>that “</w:t>
      </w:r>
      <w:r w:rsidR="00FE1856" w:rsidRPr="0076473C">
        <w:rPr>
          <w:u w:val="single"/>
          <w:lang w:val="en-CA"/>
        </w:rPr>
        <w:t>[i]n response</w:t>
      </w:r>
      <w:r w:rsidR="00FE1856" w:rsidRPr="0076473C">
        <w:rPr>
          <w:lang w:val="en-CA"/>
        </w:rPr>
        <w:t xml:space="preserve">, Parliament has enacted provisions in the </w:t>
      </w:r>
      <w:r w:rsidR="00FE1856" w:rsidRPr="0076473C">
        <w:rPr>
          <w:i/>
          <w:lang w:val="en-CA"/>
        </w:rPr>
        <w:t>Criminal Code</w:t>
      </w:r>
      <w:r w:rsidR="00FE1856" w:rsidRPr="0076473C">
        <w:rPr>
          <w:lang w:val="en-CA"/>
        </w:rPr>
        <w:t>, ... aimed at prohibiting child luring through telecommunications ...</w:t>
      </w:r>
      <w:r w:rsidR="00621C3D" w:rsidRPr="0076473C">
        <w:rPr>
          <w:lang w:val="en-CA"/>
        </w:rPr>
        <w:t>”</w:t>
      </w:r>
      <w:r w:rsidR="00562F60" w:rsidRPr="0076473C">
        <w:rPr>
          <w:rStyle w:val="Appelnotedebasdep"/>
          <w:lang w:val="en-CA"/>
        </w:rPr>
        <w:footnoteReference w:id="73"/>
      </w:r>
    </w:p>
    <w:p w14:paraId="153B752C" w14:textId="01CBB435" w:rsidR="00562F60" w:rsidRPr="0076473C" w:rsidRDefault="00FE1856" w:rsidP="00562F60">
      <w:pPr>
        <w:pStyle w:val="Paragraphe"/>
        <w:spacing w:line="280" w:lineRule="exact"/>
        <w:rPr>
          <w:lang w:val="en-CA"/>
        </w:rPr>
      </w:pPr>
      <w:r w:rsidRPr="0076473C">
        <w:rPr>
          <w:lang w:val="en-CA"/>
        </w:rPr>
        <w:t>Abella</w:t>
      </w:r>
      <w:r w:rsidR="00C2635A">
        <w:rPr>
          <w:lang w:val="en-CA"/>
        </w:rPr>
        <w:t>,</w:t>
      </w:r>
      <w:r w:rsidRPr="0076473C">
        <w:rPr>
          <w:lang w:val="en-CA"/>
        </w:rPr>
        <w:t xml:space="preserve"> J., dissenting in part, stated that luring “refers to the deliberate and methodical </w:t>
      </w:r>
      <w:r w:rsidRPr="0076473C">
        <w:rPr>
          <w:u w:val="single"/>
          <w:lang w:val="en-CA"/>
        </w:rPr>
        <w:t>process</w:t>
      </w:r>
      <w:r w:rsidRPr="009B7B69">
        <w:rPr>
          <w:lang w:val="en-CA"/>
        </w:rPr>
        <w:t xml:space="preserve"> </w:t>
      </w:r>
      <w:r w:rsidRPr="0076473C">
        <w:rPr>
          <w:lang w:val="en-CA"/>
        </w:rPr>
        <w:t xml:space="preserve">in which a </w:t>
      </w:r>
      <w:r w:rsidRPr="0076473C">
        <w:rPr>
          <w:u w:val="single"/>
          <w:lang w:val="en-CA"/>
        </w:rPr>
        <w:t>predator</w:t>
      </w:r>
      <w:r w:rsidRPr="0076473C">
        <w:rPr>
          <w:lang w:val="en-CA"/>
        </w:rPr>
        <w:t xml:space="preserve"> ...will use private messaging to establish a degree of familiarity with the child before gradually sexualizing the relationship through the use of pornography, sexual conversation online, phone conversations, and, in some cases, the arrangement of a physical encounter”.</w:t>
      </w:r>
      <w:r w:rsidR="00562F60" w:rsidRPr="0076473C">
        <w:rPr>
          <w:rStyle w:val="Appelnotedebasdep"/>
          <w:lang w:val="en-CA"/>
        </w:rPr>
        <w:footnoteReference w:id="74"/>
      </w:r>
      <w:r w:rsidRPr="0076473C">
        <w:rPr>
          <w:lang w:val="en-CA"/>
        </w:rPr>
        <w:t xml:space="preserve"> </w:t>
      </w:r>
    </w:p>
    <w:p w14:paraId="250ACB90" w14:textId="4D15AFDC" w:rsidR="00562F60" w:rsidRPr="0076473C" w:rsidRDefault="00FE1856" w:rsidP="00562F60">
      <w:pPr>
        <w:pStyle w:val="Paragraphe"/>
        <w:spacing w:line="280" w:lineRule="exact"/>
        <w:rPr>
          <w:lang w:val="en-CA"/>
        </w:rPr>
      </w:pPr>
      <w:r w:rsidRPr="0076473C">
        <w:rPr>
          <w:lang w:val="en-CA"/>
        </w:rPr>
        <w:t>As Karakatsanis</w:t>
      </w:r>
      <w:r w:rsidR="00C2635A">
        <w:rPr>
          <w:lang w:val="en-CA"/>
        </w:rPr>
        <w:t>,</w:t>
      </w:r>
      <w:r w:rsidRPr="0076473C">
        <w:rPr>
          <w:lang w:val="en-CA"/>
        </w:rPr>
        <w:t xml:space="preserve"> J. noted in c</w:t>
      </w:r>
      <w:r w:rsidR="003D5CD1" w:rsidRPr="0076473C">
        <w:rPr>
          <w:lang w:val="en-CA"/>
        </w:rPr>
        <w:t>o</w:t>
      </w:r>
      <w:r w:rsidRPr="0076473C">
        <w:rPr>
          <w:lang w:val="en-CA"/>
        </w:rPr>
        <w:t xml:space="preserve">ncurring reasons, the offence of luring, as worded in s. 172.1(1) </w:t>
      </w:r>
      <w:r w:rsidRPr="0076473C">
        <w:rPr>
          <w:i/>
          <w:lang w:val="en-CA"/>
        </w:rPr>
        <w:t>Cr. C</w:t>
      </w:r>
      <w:r w:rsidRPr="0076473C">
        <w:rPr>
          <w:lang w:val="en-CA"/>
        </w:rPr>
        <w:t>.</w:t>
      </w:r>
      <w:r w:rsidR="00C2635A">
        <w:rPr>
          <w:lang w:val="en-CA"/>
        </w:rPr>
        <w:t>,</w:t>
      </w:r>
      <w:r w:rsidRPr="0076473C">
        <w:rPr>
          <w:lang w:val="en-CA"/>
        </w:rPr>
        <w:t xml:space="preserve"> covers many situations and can be committed in various ways, under a broad array of circumstances and by individuals with a wide range of moral </w:t>
      </w:r>
      <w:r w:rsidR="00895F4F">
        <w:rPr>
          <w:lang w:val="en-CA"/>
        </w:rPr>
        <w:t>blameworthiness</w:t>
      </w:r>
      <w:r w:rsidRPr="0076473C">
        <w:rPr>
          <w:lang w:val="en-CA"/>
        </w:rPr>
        <w:t>.</w:t>
      </w:r>
      <w:r w:rsidR="00562F60" w:rsidRPr="0076473C">
        <w:rPr>
          <w:rStyle w:val="Appelnotedebasdep"/>
          <w:lang w:val="en-CA"/>
        </w:rPr>
        <w:footnoteReference w:id="75"/>
      </w:r>
      <w:r w:rsidRPr="0076473C">
        <w:rPr>
          <w:lang w:val="en-CA"/>
        </w:rPr>
        <w:t xml:space="preserve"> </w:t>
      </w:r>
    </w:p>
    <w:p w14:paraId="2A301E18" w14:textId="1E6BE2BF" w:rsidR="00562F60" w:rsidRPr="0076473C" w:rsidRDefault="00FE1856" w:rsidP="00562F60">
      <w:pPr>
        <w:pStyle w:val="Paragraphe"/>
        <w:spacing w:line="280" w:lineRule="exact"/>
        <w:rPr>
          <w:lang w:val="en-CA"/>
        </w:rPr>
      </w:pPr>
      <w:r w:rsidRPr="006C0449">
        <w:rPr>
          <w:lang w:val="en-CA"/>
        </w:rPr>
        <w:t xml:space="preserve">In this case, even though the trial judge did not have </w:t>
      </w:r>
      <w:r w:rsidRPr="006C0449">
        <w:rPr>
          <w:i/>
          <w:lang w:val="en-CA"/>
        </w:rPr>
        <w:t>Friesen</w:t>
      </w:r>
      <w:r w:rsidRPr="0076473C">
        <w:rPr>
          <w:rStyle w:val="Appelnotedebasdep"/>
          <w:lang w:val="en-CA"/>
        </w:rPr>
        <w:footnoteReference w:id="76"/>
      </w:r>
      <w:r w:rsidRPr="006C0449">
        <w:rPr>
          <w:lang w:val="en-CA"/>
        </w:rPr>
        <w:t xml:space="preserve"> to guide her when she rendered her </w:t>
      </w:r>
      <w:r w:rsidR="003D5CD1" w:rsidRPr="006C0449">
        <w:rPr>
          <w:lang w:val="en-CA"/>
        </w:rPr>
        <w:t>judgment</w:t>
      </w:r>
      <w:r w:rsidRPr="006C0449">
        <w:rPr>
          <w:lang w:val="en-CA"/>
        </w:rPr>
        <w:t xml:space="preserve">, the judge was fully aware of the gravity of the offence of luring and the importance of the objectives of deterrence and denunciation </w:t>
      </w:r>
      <w:r w:rsidR="00C2635A">
        <w:rPr>
          <w:lang w:val="en-CA"/>
        </w:rPr>
        <w:t xml:space="preserve">such an offence </w:t>
      </w:r>
      <w:r w:rsidR="003D5CD1" w:rsidRPr="006C0449">
        <w:rPr>
          <w:lang w:val="en-CA"/>
        </w:rPr>
        <w:t>required</w:t>
      </w:r>
      <w:r w:rsidRPr="006C0449">
        <w:rPr>
          <w:lang w:val="en-CA"/>
        </w:rPr>
        <w:t xml:space="preserve"> </w:t>
      </w:r>
      <w:r w:rsidR="00C2635A">
        <w:rPr>
          <w:lang w:val="en-CA"/>
        </w:rPr>
        <w:t xml:space="preserve">in </w:t>
      </w:r>
      <w:r w:rsidRPr="006C0449">
        <w:rPr>
          <w:lang w:val="en-CA"/>
        </w:rPr>
        <w:t>sentencing.</w:t>
      </w:r>
      <w:r w:rsidRPr="0076473C">
        <w:rPr>
          <w:i/>
          <w:lang w:val="en-CA"/>
        </w:rPr>
        <w:t xml:space="preserve"> </w:t>
      </w:r>
      <w:r w:rsidR="00C2635A">
        <w:rPr>
          <w:lang w:val="en-CA"/>
        </w:rPr>
        <w:t xml:space="preserve">She was nevertheless dealing with </w:t>
      </w:r>
      <w:r w:rsidRPr="0076473C">
        <w:rPr>
          <w:lang w:val="en-CA"/>
        </w:rPr>
        <w:t xml:space="preserve">a </w:t>
      </w:r>
      <w:r w:rsidR="00C2635A">
        <w:rPr>
          <w:lang w:val="en-CA"/>
        </w:rPr>
        <w:t>specific situation</w:t>
      </w:r>
      <w:r w:rsidR="00BD3BED">
        <w:rPr>
          <w:lang w:val="en-CA"/>
        </w:rPr>
        <w:t xml:space="preserve"> given </w:t>
      </w:r>
      <w:r w:rsidRPr="0076473C">
        <w:rPr>
          <w:lang w:val="en-CA"/>
        </w:rPr>
        <w:t>the particular circumstance</w:t>
      </w:r>
      <w:r w:rsidR="00BC4BCD" w:rsidRPr="0076473C">
        <w:rPr>
          <w:lang w:val="en-CA"/>
        </w:rPr>
        <w:t>s</w:t>
      </w:r>
      <w:r w:rsidRPr="0076473C">
        <w:rPr>
          <w:lang w:val="en-CA"/>
        </w:rPr>
        <w:t xml:space="preserve"> of the case </w:t>
      </w:r>
      <w:r w:rsidR="007F3715">
        <w:rPr>
          <w:lang w:val="en-CA"/>
        </w:rPr>
        <w:t>before her</w:t>
      </w:r>
      <w:r w:rsidRPr="0076473C">
        <w:rPr>
          <w:lang w:val="en-CA"/>
        </w:rPr>
        <w:t>, which differed from classic cases of luring as described by Moldaver and Abella</w:t>
      </w:r>
      <w:r w:rsidR="00BD3BED">
        <w:rPr>
          <w:lang w:val="en-CA"/>
        </w:rPr>
        <w:t>,</w:t>
      </w:r>
      <w:r w:rsidRPr="0076473C">
        <w:rPr>
          <w:lang w:val="en-CA"/>
        </w:rPr>
        <w:t xml:space="preserve"> JJ. in </w:t>
      </w:r>
      <w:r w:rsidRPr="0076473C">
        <w:rPr>
          <w:i/>
          <w:lang w:val="en-CA"/>
        </w:rPr>
        <w:t>Morrison</w:t>
      </w:r>
      <w:r w:rsidRPr="0076473C">
        <w:rPr>
          <w:lang w:val="en-CA"/>
        </w:rPr>
        <w:t xml:space="preserve">, </w:t>
      </w:r>
      <w:r w:rsidR="00BD3BED">
        <w:rPr>
          <w:lang w:val="en-CA"/>
        </w:rPr>
        <w:t xml:space="preserve">as well as with </w:t>
      </w:r>
      <w:r w:rsidR="00BC4BCD" w:rsidRPr="0076473C">
        <w:rPr>
          <w:lang w:val="en-CA"/>
        </w:rPr>
        <w:t>the wording of the period</w:t>
      </w:r>
      <w:r w:rsidRPr="0076473C">
        <w:rPr>
          <w:lang w:val="en-CA"/>
        </w:rPr>
        <w:t xml:space="preserve"> covered by the offence of luring </w:t>
      </w:r>
      <w:r w:rsidR="00BD3BED">
        <w:rPr>
          <w:lang w:val="en-CA"/>
        </w:rPr>
        <w:t xml:space="preserve"> charged against </w:t>
      </w:r>
      <w:r w:rsidRPr="0076473C">
        <w:rPr>
          <w:lang w:val="en-CA"/>
        </w:rPr>
        <w:t>the respondent.</w:t>
      </w:r>
      <w:r w:rsidR="00BD3BED">
        <w:rPr>
          <w:lang w:val="en-CA"/>
        </w:rPr>
        <w:t xml:space="preserve"> That</w:t>
      </w:r>
      <w:r w:rsidRPr="0076473C">
        <w:rPr>
          <w:lang w:val="en-CA"/>
        </w:rPr>
        <w:t xml:space="preserve"> period started on February 25, 2015, well after the first </w:t>
      </w:r>
      <w:r w:rsidR="007F3715">
        <w:rPr>
          <w:lang w:val="en-CA"/>
        </w:rPr>
        <w:t>time the respondent and complainant met</w:t>
      </w:r>
      <w:r w:rsidR="007F3715" w:rsidRPr="0076473C">
        <w:rPr>
          <w:lang w:val="en-CA"/>
        </w:rPr>
        <w:t xml:space="preserve"> </w:t>
      </w:r>
      <w:r w:rsidRPr="0076473C">
        <w:rPr>
          <w:lang w:val="en-CA"/>
        </w:rPr>
        <w:t xml:space="preserve">in person in early August 2013, </w:t>
      </w:r>
      <w:r w:rsidR="00BD3BED">
        <w:rPr>
          <w:lang w:val="en-CA"/>
        </w:rPr>
        <w:t xml:space="preserve">and </w:t>
      </w:r>
      <w:r w:rsidRPr="0076473C">
        <w:rPr>
          <w:lang w:val="en-CA"/>
        </w:rPr>
        <w:t xml:space="preserve">well after their conversations on social media </w:t>
      </w:r>
      <w:r w:rsidR="007F3715">
        <w:rPr>
          <w:lang w:val="en-CA"/>
        </w:rPr>
        <w:t>had begun</w:t>
      </w:r>
      <w:r w:rsidR="007F3715" w:rsidRPr="0076473C">
        <w:rPr>
          <w:lang w:val="en-CA"/>
        </w:rPr>
        <w:t xml:space="preserve"> </w:t>
      </w:r>
      <w:r w:rsidRPr="0076473C">
        <w:rPr>
          <w:lang w:val="en-CA"/>
        </w:rPr>
        <w:t xml:space="preserve">and the first three </w:t>
      </w:r>
      <w:r w:rsidR="00BC4BCD" w:rsidRPr="0076473C">
        <w:rPr>
          <w:lang w:val="en-CA"/>
        </w:rPr>
        <w:t>instances of sexual interference</w:t>
      </w:r>
      <w:r w:rsidR="007F3715">
        <w:rPr>
          <w:lang w:val="en-CA"/>
        </w:rPr>
        <w:t xml:space="preserve"> had taken place</w:t>
      </w:r>
      <w:r w:rsidR="00BC4BCD" w:rsidRPr="0076473C">
        <w:rPr>
          <w:lang w:val="en-CA"/>
        </w:rPr>
        <w:t xml:space="preserve"> </w:t>
      </w:r>
      <w:r w:rsidR="007F3715">
        <w:rPr>
          <w:lang w:val="en-CA"/>
        </w:rPr>
        <w:t xml:space="preserve">in late </w:t>
      </w:r>
      <w:r w:rsidRPr="0076473C">
        <w:rPr>
          <w:lang w:val="en-CA"/>
        </w:rPr>
        <w:t>summer 2013 and November 2014.</w:t>
      </w:r>
    </w:p>
    <w:p w14:paraId="6EA3B150" w14:textId="07D214A3" w:rsidR="00FE1856" w:rsidRPr="0076473C" w:rsidRDefault="00FE1856" w:rsidP="00562F60">
      <w:pPr>
        <w:pStyle w:val="Paragraphe"/>
        <w:spacing w:line="280" w:lineRule="exact"/>
        <w:rPr>
          <w:lang w:val="en-CA"/>
        </w:rPr>
      </w:pPr>
      <w:r w:rsidRPr="00B26160">
        <w:rPr>
          <w:lang w:val="en-CA"/>
        </w:rPr>
        <w:lastRenderedPageBreak/>
        <w:t>It should be recalled that the respondent, who was 22 years old</w:t>
      </w:r>
      <w:r w:rsidR="001D51A7">
        <w:rPr>
          <w:lang w:val="en-CA"/>
        </w:rPr>
        <w:t xml:space="preserve"> at the time</w:t>
      </w:r>
      <w:r w:rsidRPr="00B26160">
        <w:rPr>
          <w:lang w:val="en-CA"/>
        </w:rPr>
        <w:t>, met the complainant in person in early August 2013</w:t>
      </w:r>
      <w:r w:rsidR="00BD3BED">
        <w:rPr>
          <w:lang w:val="en-CA"/>
        </w:rPr>
        <w:t xml:space="preserve"> at</w:t>
      </w:r>
      <w:r w:rsidRPr="00B26160">
        <w:rPr>
          <w:lang w:val="en-CA"/>
        </w:rPr>
        <w:t xml:space="preserve"> a rodeo </w:t>
      </w:r>
      <w:r w:rsidR="003D5CD1" w:rsidRPr="00B26160">
        <w:rPr>
          <w:lang w:val="en-CA"/>
        </w:rPr>
        <w:t>through</w:t>
      </w:r>
      <w:r w:rsidRPr="00B26160">
        <w:rPr>
          <w:lang w:val="en-CA"/>
        </w:rPr>
        <w:t xml:space="preserve"> </w:t>
      </w:r>
      <w:r w:rsidR="00BD3BED">
        <w:rPr>
          <w:lang w:val="en-CA"/>
        </w:rPr>
        <w:t xml:space="preserve">mutual </w:t>
      </w:r>
      <w:r w:rsidRPr="00B26160">
        <w:rPr>
          <w:lang w:val="en-CA"/>
        </w:rPr>
        <w:t>friends.</w:t>
      </w:r>
      <w:r w:rsidR="00562F60" w:rsidRPr="00B26160">
        <w:rPr>
          <w:lang w:val="en-CA"/>
        </w:rPr>
        <w:t xml:space="preserve"> </w:t>
      </w:r>
      <w:r w:rsidR="00BD3BED">
        <w:rPr>
          <w:lang w:val="en-CA"/>
        </w:rPr>
        <w:t xml:space="preserve">The evidence also supports that, over </w:t>
      </w:r>
      <w:r w:rsidRPr="00B26160">
        <w:rPr>
          <w:lang w:val="en-CA"/>
        </w:rPr>
        <w:t>the following weeks, he contacted her through Faceboo</w:t>
      </w:r>
      <w:r w:rsidR="003D5CD1" w:rsidRPr="00B26160">
        <w:rPr>
          <w:lang w:val="en-CA"/>
        </w:rPr>
        <w:t>k</w:t>
      </w:r>
      <w:r w:rsidRPr="00B26160">
        <w:rPr>
          <w:lang w:val="en-CA"/>
        </w:rPr>
        <w:t>, without hiding or</w:t>
      </w:r>
      <w:r w:rsidRPr="0076473C">
        <w:rPr>
          <w:lang w:val="en-CA"/>
        </w:rPr>
        <w:t xml:space="preserve"> changing his identity, or </w:t>
      </w:r>
      <w:r w:rsidR="00BD3BED">
        <w:rPr>
          <w:lang w:val="en-CA"/>
        </w:rPr>
        <w:t xml:space="preserve">concealing </w:t>
      </w:r>
      <w:r w:rsidRPr="0076473C">
        <w:rPr>
          <w:lang w:val="en-CA"/>
        </w:rPr>
        <w:t>or otherwise altering his profile picture.</w:t>
      </w:r>
      <w:r w:rsidR="00562F60" w:rsidRPr="0076473C">
        <w:rPr>
          <w:rStyle w:val="Appelnotedebasdep"/>
          <w:lang w:val="en-CA"/>
        </w:rPr>
        <w:footnoteReference w:id="77"/>
      </w:r>
      <w:r w:rsidR="00562F60" w:rsidRPr="0076473C">
        <w:rPr>
          <w:lang w:val="en-CA"/>
        </w:rPr>
        <w:t xml:space="preserve"> </w:t>
      </w:r>
      <w:r w:rsidRPr="0076473C">
        <w:rPr>
          <w:lang w:val="en-CA"/>
        </w:rPr>
        <w:t xml:space="preserve">The </w:t>
      </w:r>
      <w:r w:rsidR="003D5CD1" w:rsidRPr="0076473C">
        <w:rPr>
          <w:lang w:val="en-CA"/>
        </w:rPr>
        <w:t>victim</w:t>
      </w:r>
      <w:r w:rsidRPr="0076473C">
        <w:rPr>
          <w:lang w:val="en-CA"/>
        </w:rPr>
        <w:t>, who incidentally told the police that she had two Facebook accounts at the time,</w:t>
      </w:r>
      <w:r w:rsidRPr="0076473C">
        <w:rPr>
          <w:rStyle w:val="Appelnotedebasdep"/>
          <w:lang w:val="en-CA"/>
        </w:rPr>
        <w:footnoteReference w:id="78"/>
      </w:r>
      <w:r w:rsidRPr="0076473C">
        <w:rPr>
          <w:lang w:val="en-CA"/>
        </w:rPr>
        <w:t xml:space="preserve"> accepted his friend request and the parties </w:t>
      </w:r>
      <w:r w:rsidR="003D5CD1" w:rsidRPr="0076473C">
        <w:rPr>
          <w:lang w:val="en-CA"/>
        </w:rPr>
        <w:t>subsequently</w:t>
      </w:r>
      <w:r w:rsidR="003D449C" w:rsidRPr="0076473C">
        <w:rPr>
          <w:lang w:val="en-CA"/>
        </w:rPr>
        <w:t xml:space="preserve"> talked almost every</w:t>
      </w:r>
      <w:r w:rsidR="00B901D5">
        <w:rPr>
          <w:lang w:val="en-CA"/>
        </w:rPr>
        <w:t xml:space="preserve"> </w:t>
      </w:r>
      <w:r w:rsidRPr="0076473C">
        <w:rPr>
          <w:lang w:val="en-CA"/>
        </w:rPr>
        <w:t xml:space="preserve">day </w:t>
      </w:r>
      <w:r w:rsidR="003D449C" w:rsidRPr="0076473C">
        <w:rPr>
          <w:lang w:val="en-CA"/>
        </w:rPr>
        <w:t>through</w:t>
      </w:r>
      <w:r w:rsidRPr="0076473C">
        <w:rPr>
          <w:lang w:val="en-CA"/>
        </w:rPr>
        <w:t xml:space="preserve"> this means of communication.</w:t>
      </w:r>
      <w:r w:rsidR="00562F60" w:rsidRPr="0076473C">
        <w:rPr>
          <w:rStyle w:val="Appelnotedebasdep"/>
          <w:lang w:val="en-CA"/>
        </w:rPr>
        <w:footnoteReference w:id="79"/>
      </w:r>
      <w:r w:rsidRPr="0076473C">
        <w:rPr>
          <w:lang w:val="en-CA"/>
        </w:rPr>
        <w:t xml:space="preserve"> The respondent </w:t>
      </w:r>
      <w:r w:rsidR="001D51A7">
        <w:rPr>
          <w:lang w:val="en-CA"/>
        </w:rPr>
        <w:t>was aware</w:t>
      </w:r>
      <w:r w:rsidR="001D51A7" w:rsidRPr="0076473C">
        <w:rPr>
          <w:lang w:val="en-CA"/>
        </w:rPr>
        <w:t xml:space="preserve"> </w:t>
      </w:r>
      <w:r w:rsidRPr="0076473C">
        <w:rPr>
          <w:lang w:val="en-CA"/>
        </w:rPr>
        <w:t xml:space="preserve">that the victim was 13 years old at the time.  </w:t>
      </w:r>
    </w:p>
    <w:p w14:paraId="64CDA778" w14:textId="25750417" w:rsidR="00562F60" w:rsidRPr="0076473C" w:rsidRDefault="00FE1856" w:rsidP="00562F60">
      <w:pPr>
        <w:pStyle w:val="Paragraphe"/>
        <w:spacing w:line="280" w:lineRule="exact"/>
        <w:rPr>
          <w:lang w:val="en-CA"/>
        </w:rPr>
      </w:pPr>
      <w:r w:rsidRPr="0076473C">
        <w:rPr>
          <w:lang w:val="en-CA"/>
        </w:rPr>
        <w:t xml:space="preserve">Over the course of the next two years, they continued having conversations on social media, usually on Facebook, but also </w:t>
      </w:r>
      <w:r w:rsidR="00BD3BED">
        <w:rPr>
          <w:lang w:val="en-CA"/>
        </w:rPr>
        <w:t>on</w:t>
      </w:r>
      <w:r w:rsidRPr="0076473C">
        <w:rPr>
          <w:lang w:val="en-CA"/>
        </w:rPr>
        <w:t xml:space="preserve"> Messenger or Snapchat.</w:t>
      </w:r>
      <w:r w:rsidR="00562F60" w:rsidRPr="0076473C">
        <w:rPr>
          <w:lang w:val="en-CA"/>
        </w:rPr>
        <w:t xml:space="preserve"> </w:t>
      </w:r>
      <w:r w:rsidRPr="0076473C">
        <w:rPr>
          <w:lang w:val="en-CA"/>
        </w:rPr>
        <w:t xml:space="preserve">They had </w:t>
      </w:r>
      <w:r w:rsidR="00556450">
        <w:rPr>
          <w:lang w:val="en-CA"/>
        </w:rPr>
        <w:t>full sexual</w:t>
      </w:r>
      <w:r w:rsidRPr="0076473C">
        <w:rPr>
          <w:lang w:val="en-CA"/>
        </w:rPr>
        <w:t xml:space="preserve"> </w:t>
      </w:r>
      <w:r w:rsidR="003D449C" w:rsidRPr="0076473C">
        <w:rPr>
          <w:lang w:val="en-CA"/>
        </w:rPr>
        <w:t>intercourse twice</w:t>
      </w:r>
      <w:r w:rsidRPr="0076473C">
        <w:rPr>
          <w:lang w:val="en-CA"/>
        </w:rPr>
        <w:t xml:space="preserve"> in late summer 2013.</w:t>
      </w:r>
      <w:r w:rsidR="00562F60" w:rsidRPr="0076473C">
        <w:rPr>
          <w:lang w:val="en-CA"/>
        </w:rPr>
        <w:t xml:space="preserve"> </w:t>
      </w:r>
      <w:r w:rsidRPr="0076473C">
        <w:rPr>
          <w:lang w:val="en-CA"/>
        </w:rPr>
        <w:t xml:space="preserve">In fall 2014, the complainant, who was 14 </w:t>
      </w:r>
      <w:r w:rsidR="001D51A7">
        <w:rPr>
          <w:lang w:val="en-CA"/>
        </w:rPr>
        <w:t xml:space="preserve">years old </w:t>
      </w:r>
      <w:r w:rsidRPr="0076473C">
        <w:rPr>
          <w:lang w:val="en-CA"/>
        </w:rPr>
        <w:t>at the time, was placed in a rehabilitation centre.</w:t>
      </w:r>
      <w:r w:rsidR="00562F60" w:rsidRPr="0076473C">
        <w:rPr>
          <w:lang w:val="en-CA"/>
        </w:rPr>
        <w:t xml:space="preserve"> </w:t>
      </w:r>
      <w:r w:rsidRPr="0076473C">
        <w:rPr>
          <w:lang w:val="en-CA"/>
        </w:rPr>
        <w:t xml:space="preserve">Despite this fact, they stayed in contact through social media, apparently with the same regularity, and had </w:t>
      </w:r>
      <w:r w:rsidR="00556450">
        <w:rPr>
          <w:lang w:val="en-CA"/>
        </w:rPr>
        <w:t>full sexual</w:t>
      </w:r>
      <w:r w:rsidRPr="0076473C">
        <w:rPr>
          <w:lang w:val="en-CA"/>
        </w:rPr>
        <w:t xml:space="preserve"> </w:t>
      </w:r>
      <w:r w:rsidR="003D449C" w:rsidRPr="0076473C">
        <w:rPr>
          <w:lang w:val="en-CA"/>
        </w:rPr>
        <w:t>intercourse</w:t>
      </w:r>
      <w:r w:rsidRPr="0076473C">
        <w:rPr>
          <w:lang w:val="en-CA"/>
        </w:rPr>
        <w:t xml:space="preserve"> again in November 2014, </w:t>
      </w:r>
      <w:r w:rsidR="001D51A7">
        <w:rPr>
          <w:lang w:val="en-CA"/>
        </w:rPr>
        <w:t xml:space="preserve">once again </w:t>
      </w:r>
      <w:r w:rsidRPr="0076473C">
        <w:rPr>
          <w:lang w:val="en-CA"/>
        </w:rPr>
        <w:t xml:space="preserve">before the period covered </w:t>
      </w:r>
      <w:r w:rsidR="001D51A7">
        <w:rPr>
          <w:lang w:val="en-CA"/>
        </w:rPr>
        <w:t>in</w:t>
      </w:r>
      <w:r w:rsidR="001D51A7" w:rsidRPr="0076473C">
        <w:rPr>
          <w:lang w:val="en-CA"/>
        </w:rPr>
        <w:t xml:space="preserve"> </w:t>
      </w:r>
      <w:r w:rsidRPr="0076473C">
        <w:rPr>
          <w:lang w:val="en-CA"/>
        </w:rPr>
        <w:t xml:space="preserve">the </w:t>
      </w:r>
      <w:r w:rsidR="001D51A7">
        <w:rPr>
          <w:lang w:val="en-CA"/>
        </w:rPr>
        <w:t>charge</w:t>
      </w:r>
      <w:r w:rsidR="001D51A7" w:rsidRPr="0076473C">
        <w:rPr>
          <w:lang w:val="en-CA"/>
        </w:rPr>
        <w:t xml:space="preserve"> </w:t>
      </w:r>
      <w:r w:rsidR="00BD3BED">
        <w:rPr>
          <w:lang w:val="en-CA"/>
        </w:rPr>
        <w:t>of</w:t>
      </w:r>
      <w:r w:rsidRPr="0076473C">
        <w:rPr>
          <w:lang w:val="en-CA"/>
        </w:rPr>
        <w:t xml:space="preserve"> luring.</w:t>
      </w:r>
      <w:r w:rsidR="00562F60" w:rsidRPr="0076473C">
        <w:rPr>
          <w:lang w:val="en-CA"/>
        </w:rPr>
        <w:t xml:space="preserve"> </w:t>
      </w:r>
    </w:p>
    <w:p w14:paraId="409E9C9B" w14:textId="6F970ECE" w:rsidR="00562F60" w:rsidRPr="0076473C" w:rsidRDefault="00FE1856" w:rsidP="00562F60">
      <w:pPr>
        <w:pStyle w:val="Paragraphe"/>
        <w:spacing w:line="280" w:lineRule="exact"/>
        <w:rPr>
          <w:lang w:val="en-CA"/>
        </w:rPr>
      </w:pPr>
      <w:r w:rsidRPr="0076473C">
        <w:rPr>
          <w:lang w:val="en-CA"/>
        </w:rPr>
        <w:t xml:space="preserve">The respondent had sexual </w:t>
      </w:r>
      <w:r w:rsidR="00676A22">
        <w:rPr>
          <w:lang w:val="en-CA"/>
        </w:rPr>
        <w:t xml:space="preserve">intercourse </w:t>
      </w:r>
      <w:r w:rsidRPr="0076473C">
        <w:rPr>
          <w:lang w:val="en-CA"/>
        </w:rPr>
        <w:t xml:space="preserve">with the complainant </w:t>
      </w:r>
      <w:r w:rsidR="00BD3BED">
        <w:rPr>
          <w:lang w:val="en-CA"/>
        </w:rPr>
        <w:t xml:space="preserve">one last time </w:t>
      </w:r>
      <w:r w:rsidR="00676A22">
        <w:rPr>
          <w:lang w:val="en-CA"/>
        </w:rPr>
        <w:t>o</w:t>
      </w:r>
      <w:r w:rsidRPr="0076473C">
        <w:rPr>
          <w:lang w:val="en-CA"/>
        </w:rPr>
        <w:t>n July</w:t>
      </w:r>
      <w:r w:rsidR="00BD3BED">
        <w:rPr>
          <w:lang w:val="en-CA"/>
        </w:rPr>
        <w:t> </w:t>
      </w:r>
      <w:r w:rsidRPr="0076473C">
        <w:rPr>
          <w:lang w:val="en-CA"/>
        </w:rPr>
        <w:t>19, 2015.</w:t>
      </w:r>
      <w:r w:rsidR="00562F60" w:rsidRPr="0076473C">
        <w:rPr>
          <w:lang w:val="en-CA"/>
        </w:rPr>
        <w:t xml:space="preserve"> </w:t>
      </w:r>
      <w:r w:rsidRPr="0076473C">
        <w:rPr>
          <w:lang w:val="en-CA"/>
        </w:rPr>
        <w:t xml:space="preserve">Their conversations on social </w:t>
      </w:r>
      <w:r w:rsidR="00676A22">
        <w:rPr>
          <w:lang w:val="en-CA"/>
        </w:rPr>
        <w:t>networks</w:t>
      </w:r>
      <w:r w:rsidR="00676A22" w:rsidRPr="0076473C">
        <w:rPr>
          <w:lang w:val="en-CA"/>
        </w:rPr>
        <w:t xml:space="preserve"> </w:t>
      </w:r>
      <w:r w:rsidRPr="0076473C">
        <w:rPr>
          <w:lang w:val="en-CA"/>
        </w:rPr>
        <w:t xml:space="preserve">gradually </w:t>
      </w:r>
      <w:r w:rsidR="00BD3BED">
        <w:rPr>
          <w:lang w:val="en-CA"/>
        </w:rPr>
        <w:t>decreased in frequency</w:t>
      </w:r>
      <w:r w:rsidR="003D449C" w:rsidRPr="0076473C">
        <w:rPr>
          <w:lang w:val="en-CA"/>
        </w:rPr>
        <w:t xml:space="preserve"> </w:t>
      </w:r>
      <w:r w:rsidR="00BD3BED">
        <w:rPr>
          <w:lang w:val="en-CA"/>
        </w:rPr>
        <w:t>starting in August 2015</w:t>
      </w:r>
      <w:r w:rsidRPr="0076473C">
        <w:rPr>
          <w:lang w:val="en-CA"/>
        </w:rPr>
        <w:t xml:space="preserve"> and stopped on </w:t>
      </w:r>
      <w:r w:rsidR="003D5CD1" w:rsidRPr="0076473C">
        <w:rPr>
          <w:lang w:val="en-CA"/>
        </w:rPr>
        <w:t>September</w:t>
      </w:r>
      <w:r w:rsidRPr="0076473C">
        <w:rPr>
          <w:lang w:val="en-CA"/>
        </w:rPr>
        <w:t xml:space="preserve"> 11, 2015, </w:t>
      </w:r>
      <w:r w:rsidR="00723A70">
        <w:rPr>
          <w:lang w:val="en-CA"/>
        </w:rPr>
        <w:t xml:space="preserve">the day </w:t>
      </w:r>
      <w:r w:rsidRPr="0076473C">
        <w:rPr>
          <w:lang w:val="en-CA"/>
        </w:rPr>
        <w:t xml:space="preserve">after the </w:t>
      </w:r>
      <w:r w:rsidR="003D5CD1" w:rsidRPr="0076473C">
        <w:rPr>
          <w:lang w:val="en-CA"/>
        </w:rPr>
        <w:t>victim</w:t>
      </w:r>
      <w:r w:rsidRPr="0076473C">
        <w:rPr>
          <w:lang w:val="en-CA"/>
        </w:rPr>
        <w:t xml:space="preserve"> </w:t>
      </w:r>
      <w:r w:rsidR="00676A22">
        <w:rPr>
          <w:lang w:val="en-CA"/>
        </w:rPr>
        <w:t>had given</w:t>
      </w:r>
      <w:r w:rsidR="00676A22" w:rsidRPr="0076473C">
        <w:rPr>
          <w:lang w:val="en-CA"/>
        </w:rPr>
        <w:t xml:space="preserve"> </w:t>
      </w:r>
      <w:r w:rsidRPr="0076473C">
        <w:rPr>
          <w:lang w:val="en-CA"/>
        </w:rPr>
        <w:t>her statement to the police and filed a complaint.</w:t>
      </w:r>
      <w:r w:rsidR="00562F60" w:rsidRPr="0076473C">
        <w:rPr>
          <w:lang w:val="en-CA"/>
        </w:rPr>
        <w:t xml:space="preserve"> </w:t>
      </w:r>
    </w:p>
    <w:p w14:paraId="1FEAC35F" w14:textId="70FB61CE" w:rsidR="00562F60" w:rsidRPr="0076473C" w:rsidRDefault="00FE1856" w:rsidP="00562F60">
      <w:pPr>
        <w:pStyle w:val="Paragraphe"/>
        <w:spacing w:line="280" w:lineRule="exact"/>
        <w:rPr>
          <w:lang w:val="en-CA"/>
        </w:rPr>
      </w:pPr>
      <w:r w:rsidRPr="0076473C">
        <w:rPr>
          <w:lang w:val="en-CA"/>
        </w:rPr>
        <w:t xml:space="preserve">The evidence also reveals that the police officers </w:t>
      </w:r>
      <w:r w:rsidR="00723A70">
        <w:rPr>
          <w:lang w:val="en-CA"/>
        </w:rPr>
        <w:t>subsequently</w:t>
      </w:r>
      <w:r w:rsidR="00CC48A0" w:rsidRPr="0076473C">
        <w:rPr>
          <w:lang w:val="en-CA"/>
        </w:rPr>
        <w:t xml:space="preserve"> </w:t>
      </w:r>
      <w:r w:rsidRPr="0076473C">
        <w:rPr>
          <w:lang w:val="en-CA"/>
        </w:rPr>
        <w:t>discovered the Facebook conversations between the parties covering the period from December 7, 2014, two mo</w:t>
      </w:r>
      <w:r w:rsidR="003D449C" w:rsidRPr="0076473C">
        <w:rPr>
          <w:lang w:val="en-CA"/>
        </w:rPr>
        <w:t>n</w:t>
      </w:r>
      <w:r w:rsidRPr="0076473C">
        <w:rPr>
          <w:lang w:val="en-CA"/>
        </w:rPr>
        <w:t>ths before the start of the period covered by the offence of luring, until September 13, 2015.</w:t>
      </w:r>
      <w:r w:rsidR="00562F60" w:rsidRPr="0076473C">
        <w:rPr>
          <w:lang w:val="en-CA"/>
        </w:rPr>
        <w:t xml:space="preserve"> </w:t>
      </w:r>
      <w:r w:rsidRPr="0076473C">
        <w:rPr>
          <w:lang w:val="en-CA"/>
        </w:rPr>
        <w:t>A copy of the</w:t>
      </w:r>
      <w:r w:rsidR="00CC48A0">
        <w:rPr>
          <w:lang w:val="en-CA"/>
        </w:rPr>
        <w:t>se</w:t>
      </w:r>
      <w:r w:rsidRPr="0076473C">
        <w:rPr>
          <w:lang w:val="en-CA"/>
        </w:rPr>
        <w:t xml:space="preserve"> conversations, file</w:t>
      </w:r>
      <w:r w:rsidR="003D449C" w:rsidRPr="0076473C">
        <w:rPr>
          <w:lang w:val="en-CA"/>
        </w:rPr>
        <w:t>d</w:t>
      </w:r>
      <w:r w:rsidRPr="0076473C">
        <w:rPr>
          <w:lang w:val="en-CA"/>
        </w:rPr>
        <w:t xml:space="preserve"> as exhibit S-4 </w:t>
      </w:r>
      <w:r w:rsidR="00CC48A0">
        <w:rPr>
          <w:lang w:val="en-CA"/>
        </w:rPr>
        <w:t>at trial</w:t>
      </w:r>
      <w:r w:rsidRPr="0076473C">
        <w:rPr>
          <w:lang w:val="en-CA"/>
        </w:rPr>
        <w:t xml:space="preserve">, </w:t>
      </w:r>
      <w:r w:rsidR="003D449C" w:rsidRPr="0076473C">
        <w:rPr>
          <w:lang w:val="en-CA"/>
        </w:rPr>
        <w:t>is</w:t>
      </w:r>
      <w:r w:rsidRPr="0076473C">
        <w:rPr>
          <w:lang w:val="en-CA"/>
        </w:rPr>
        <w:t xml:space="preserve"> 65</w:t>
      </w:r>
      <w:r w:rsidR="003D449C" w:rsidRPr="0076473C">
        <w:rPr>
          <w:lang w:val="en-CA"/>
        </w:rPr>
        <w:t xml:space="preserve"> pages</w:t>
      </w:r>
      <w:r w:rsidRPr="0076473C">
        <w:rPr>
          <w:lang w:val="en-CA"/>
        </w:rPr>
        <w:t xml:space="preserve"> </w:t>
      </w:r>
      <w:r w:rsidR="003D449C" w:rsidRPr="0076473C">
        <w:rPr>
          <w:lang w:val="en-CA"/>
        </w:rPr>
        <w:t>long</w:t>
      </w:r>
      <w:r w:rsidR="00723A70">
        <w:rPr>
          <w:lang w:val="en-CA"/>
        </w:rPr>
        <w:t>,</w:t>
      </w:r>
      <w:r w:rsidR="003D449C" w:rsidRPr="0076473C">
        <w:rPr>
          <w:lang w:val="en-CA"/>
        </w:rPr>
        <w:t xml:space="preserve"> </w:t>
      </w:r>
      <w:r w:rsidRPr="0076473C">
        <w:rPr>
          <w:lang w:val="en-CA"/>
        </w:rPr>
        <w:t xml:space="preserve">but the applicants did not </w:t>
      </w:r>
      <w:r w:rsidR="00CC48A0">
        <w:rPr>
          <w:lang w:val="en-CA"/>
        </w:rPr>
        <w:t>see</w:t>
      </w:r>
      <w:r w:rsidRPr="0076473C">
        <w:rPr>
          <w:lang w:val="en-CA"/>
        </w:rPr>
        <w:t xml:space="preserve"> fit to </w:t>
      </w:r>
      <w:r w:rsidR="00CC48A0">
        <w:rPr>
          <w:lang w:val="en-CA"/>
        </w:rPr>
        <w:t>file it again on appeal</w:t>
      </w:r>
      <w:r w:rsidRPr="0076473C">
        <w:rPr>
          <w:lang w:val="en-CA"/>
        </w:rPr>
        <w:t>. It is therefore impossible for this Court to asses</w:t>
      </w:r>
      <w:r w:rsidR="003D449C" w:rsidRPr="0076473C">
        <w:rPr>
          <w:lang w:val="en-CA"/>
        </w:rPr>
        <w:t>s its content and tone</w:t>
      </w:r>
      <w:r w:rsidR="00CC48A0">
        <w:rPr>
          <w:lang w:val="en-CA"/>
        </w:rPr>
        <w:t xml:space="preserve"> as a whole</w:t>
      </w:r>
      <w:r w:rsidR="00723A70">
        <w:rPr>
          <w:lang w:val="en-CA"/>
        </w:rPr>
        <w:t>,</w:t>
      </w:r>
      <w:r w:rsidR="003D449C" w:rsidRPr="0076473C">
        <w:rPr>
          <w:lang w:val="en-CA"/>
        </w:rPr>
        <w:t xml:space="preserve"> other</w:t>
      </w:r>
      <w:r w:rsidRPr="0076473C">
        <w:rPr>
          <w:lang w:val="en-CA"/>
        </w:rPr>
        <w:t xml:space="preserve"> than by referring to the trial judge’s summary.</w:t>
      </w:r>
      <w:r w:rsidR="00562F60" w:rsidRPr="0076473C">
        <w:rPr>
          <w:rStyle w:val="Appelnotedebasdep"/>
          <w:lang w:val="en-CA"/>
        </w:rPr>
        <w:footnoteReference w:id="80"/>
      </w:r>
      <w:r w:rsidRPr="0076473C">
        <w:rPr>
          <w:lang w:val="en-CA"/>
        </w:rPr>
        <w:t xml:space="preserve"> </w:t>
      </w:r>
    </w:p>
    <w:p w14:paraId="0C55DDEB" w14:textId="2DC6A7B7" w:rsidR="00562F60" w:rsidRPr="0076473C" w:rsidRDefault="00FE1856" w:rsidP="00562F60">
      <w:pPr>
        <w:pStyle w:val="Paragraphe"/>
        <w:spacing w:line="280" w:lineRule="exact"/>
        <w:rPr>
          <w:lang w:val="en-CA"/>
        </w:rPr>
      </w:pPr>
      <w:r w:rsidRPr="0076473C">
        <w:rPr>
          <w:lang w:val="en-CA"/>
        </w:rPr>
        <w:t xml:space="preserve">After setting out the </w:t>
      </w:r>
      <w:r w:rsidR="003D5CD1" w:rsidRPr="0076473C">
        <w:rPr>
          <w:lang w:val="en-CA"/>
        </w:rPr>
        <w:t>principles</w:t>
      </w:r>
      <w:r w:rsidRPr="0076473C">
        <w:rPr>
          <w:lang w:val="en-CA"/>
        </w:rPr>
        <w:t xml:space="preserve"> applicable to challenging a mandatory minimum sentence, the judge first considered the just and appropriate sente</w:t>
      </w:r>
      <w:r w:rsidR="00723A70">
        <w:rPr>
          <w:lang w:val="en-CA"/>
        </w:rPr>
        <w:t>nce</w:t>
      </w:r>
      <w:r w:rsidRPr="0076473C">
        <w:rPr>
          <w:lang w:val="en-CA"/>
        </w:rPr>
        <w:t xml:space="preserve"> for the offence of sexual touching and for </w:t>
      </w:r>
      <w:r w:rsidR="00723A70">
        <w:rPr>
          <w:lang w:val="en-CA"/>
        </w:rPr>
        <w:t xml:space="preserve">the offence </w:t>
      </w:r>
      <w:r w:rsidRPr="0076473C">
        <w:rPr>
          <w:lang w:val="en-CA"/>
        </w:rPr>
        <w:t xml:space="preserve">of luring, </w:t>
      </w:r>
      <w:r w:rsidR="00723A70">
        <w:rPr>
          <w:lang w:val="en-CA"/>
        </w:rPr>
        <w:t xml:space="preserve">but </w:t>
      </w:r>
      <w:r w:rsidRPr="0076473C">
        <w:rPr>
          <w:lang w:val="en-CA"/>
        </w:rPr>
        <w:t>without taking into account</w:t>
      </w:r>
      <w:r w:rsidR="00723A70">
        <w:rPr>
          <w:lang w:val="en-CA"/>
        </w:rPr>
        <w:t xml:space="preserve"> </w:t>
      </w:r>
      <w:r w:rsidRPr="0076473C">
        <w:rPr>
          <w:lang w:val="en-CA"/>
        </w:rPr>
        <w:t xml:space="preserve">the mandatory minimum sentence of </w:t>
      </w:r>
      <w:r w:rsidR="00723A70">
        <w:rPr>
          <w:lang w:val="en-CA"/>
        </w:rPr>
        <w:t xml:space="preserve">1 </w:t>
      </w:r>
      <w:r w:rsidRPr="0076473C">
        <w:rPr>
          <w:lang w:val="en-CA"/>
        </w:rPr>
        <w:t xml:space="preserve">year prescribed by </w:t>
      </w:r>
      <w:r w:rsidR="005A4269">
        <w:rPr>
          <w:lang w:val="en-CA"/>
        </w:rPr>
        <w:t>Parliament</w:t>
      </w:r>
      <w:r w:rsidR="00723A70">
        <w:rPr>
          <w:lang w:val="en-CA"/>
        </w:rPr>
        <w:t xml:space="preserve"> in the latter case</w:t>
      </w:r>
      <w:r w:rsidRPr="0076473C">
        <w:rPr>
          <w:lang w:val="en-CA"/>
        </w:rPr>
        <w:t>.</w:t>
      </w:r>
      <w:r w:rsidR="00562F60" w:rsidRPr="0076473C">
        <w:rPr>
          <w:lang w:val="en-CA"/>
        </w:rPr>
        <w:t xml:space="preserve"> </w:t>
      </w:r>
      <w:r w:rsidR="005A4269">
        <w:rPr>
          <w:lang w:val="en-CA"/>
        </w:rPr>
        <w:t>Al</w:t>
      </w:r>
      <w:r w:rsidRPr="0076473C">
        <w:rPr>
          <w:lang w:val="en-CA"/>
        </w:rPr>
        <w:t xml:space="preserve">though she conducted a separate </w:t>
      </w:r>
      <w:r w:rsidR="003D5CD1" w:rsidRPr="0076473C">
        <w:rPr>
          <w:lang w:val="en-CA"/>
        </w:rPr>
        <w:t>analysis</w:t>
      </w:r>
      <w:r w:rsidRPr="0076473C">
        <w:rPr>
          <w:lang w:val="en-CA"/>
        </w:rPr>
        <w:t xml:space="preserve"> of the appropriate sentence for each offence, her reasons must be examined as a whole. </w:t>
      </w:r>
      <w:r w:rsidR="00562F60" w:rsidRPr="0076473C">
        <w:rPr>
          <w:lang w:val="en-CA"/>
        </w:rPr>
        <w:t xml:space="preserve"> </w:t>
      </w:r>
    </w:p>
    <w:p w14:paraId="552F4202" w14:textId="35AABF46" w:rsidR="00562F60" w:rsidRPr="0076473C" w:rsidRDefault="00D77507" w:rsidP="00562F60">
      <w:pPr>
        <w:pStyle w:val="Paragraphe"/>
        <w:spacing w:line="280" w:lineRule="exact"/>
        <w:rPr>
          <w:lang w:val="en-CA"/>
        </w:rPr>
      </w:pPr>
      <w:r w:rsidRPr="0076473C">
        <w:rPr>
          <w:lang w:val="en-CA"/>
        </w:rPr>
        <w:t xml:space="preserve">The judge first accepted that the respondent, who </w:t>
      </w:r>
      <w:r w:rsidR="005A4269">
        <w:rPr>
          <w:lang w:val="en-CA"/>
        </w:rPr>
        <w:t>is</w:t>
      </w:r>
      <w:r w:rsidR="005A4269" w:rsidRPr="0076473C">
        <w:rPr>
          <w:lang w:val="en-CA"/>
        </w:rPr>
        <w:t xml:space="preserve"> </w:t>
      </w:r>
      <w:r w:rsidRPr="0076473C">
        <w:rPr>
          <w:lang w:val="en-CA"/>
        </w:rPr>
        <w:t xml:space="preserve">nine years older than the </w:t>
      </w:r>
      <w:r w:rsidR="008B4832" w:rsidRPr="0076473C">
        <w:rPr>
          <w:lang w:val="en-CA"/>
        </w:rPr>
        <w:t>complainant</w:t>
      </w:r>
      <w:r w:rsidRPr="0076473C">
        <w:rPr>
          <w:lang w:val="en-CA"/>
        </w:rPr>
        <w:t xml:space="preserve">, had </w:t>
      </w:r>
      <w:r w:rsidR="00556450">
        <w:rPr>
          <w:lang w:val="en-CA"/>
        </w:rPr>
        <w:t>full sexual</w:t>
      </w:r>
      <w:r w:rsidRPr="0076473C">
        <w:rPr>
          <w:lang w:val="en-CA"/>
        </w:rPr>
        <w:t xml:space="preserve"> </w:t>
      </w:r>
      <w:r w:rsidR="00332D84" w:rsidRPr="0076473C">
        <w:rPr>
          <w:lang w:val="en-CA"/>
        </w:rPr>
        <w:t>intercourse</w:t>
      </w:r>
      <w:r w:rsidRPr="0076473C">
        <w:rPr>
          <w:lang w:val="en-CA"/>
        </w:rPr>
        <w:t xml:space="preserve"> with her</w:t>
      </w:r>
      <w:r w:rsidR="00332D84" w:rsidRPr="0076473C">
        <w:rPr>
          <w:lang w:val="en-CA"/>
        </w:rPr>
        <w:t xml:space="preserve"> four times</w:t>
      </w:r>
      <w:r w:rsidRPr="0076473C">
        <w:rPr>
          <w:lang w:val="en-CA"/>
        </w:rPr>
        <w:t xml:space="preserve"> over the course of two years and that they maintained their relationship th</w:t>
      </w:r>
      <w:r w:rsidR="003D449C" w:rsidRPr="0076473C">
        <w:rPr>
          <w:lang w:val="en-CA"/>
        </w:rPr>
        <w:t>r</w:t>
      </w:r>
      <w:r w:rsidRPr="0076473C">
        <w:rPr>
          <w:lang w:val="en-CA"/>
        </w:rPr>
        <w:t xml:space="preserve">ough social </w:t>
      </w:r>
      <w:r w:rsidR="00EC0981">
        <w:rPr>
          <w:lang w:val="en-CA"/>
        </w:rPr>
        <w:t>media</w:t>
      </w:r>
      <w:r w:rsidRPr="0076473C">
        <w:rPr>
          <w:lang w:val="en-CA"/>
        </w:rPr>
        <w:t>.</w:t>
      </w:r>
      <w:r w:rsidR="00562F60" w:rsidRPr="0076473C">
        <w:rPr>
          <w:lang w:val="en-CA"/>
        </w:rPr>
        <w:t xml:space="preserve"> </w:t>
      </w:r>
      <w:r w:rsidRPr="0076473C">
        <w:rPr>
          <w:lang w:val="en-CA"/>
        </w:rPr>
        <w:t xml:space="preserve">She noted that </w:t>
      </w:r>
      <w:r w:rsidR="00723A70">
        <w:rPr>
          <w:lang w:val="en-CA"/>
        </w:rPr>
        <w:t>this is</w:t>
      </w:r>
      <w:r w:rsidRPr="0076473C">
        <w:rPr>
          <w:lang w:val="en-CA"/>
        </w:rPr>
        <w:t xml:space="preserve"> an </w:t>
      </w:r>
      <w:r w:rsidR="005A4269">
        <w:rPr>
          <w:lang w:val="en-CA"/>
        </w:rPr>
        <w:lastRenderedPageBreak/>
        <w:t>ordinary</w:t>
      </w:r>
      <w:r w:rsidR="005A4269" w:rsidRPr="0076473C">
        <w:rPr>
          <w:lang w:val="en-CA"/>
        </w:rPr>
        <w:t xml:space="preserve"> </w:t>
      </w:r>
      <w:r w:rsidRPr="0076473C">
        <w:rPr>
          <w:lang w:val="en-CA"/>
        </w:rPr>
        <w:t>means of communication for th</w:t>
      </w:r>
      <w:r w:rsidR="003D449C" w:rsidRPr="0076473C">
        <w:rPr>
          <w:lang w:val="en-CA"/>
        </w:rPr>
        <w:t>is</w:t>
      </w:r>
      <w:r w:rsidRPr="0076473C">
        <w:rPr>
          <w:lang w:val="en-CA"/>
        </w:rPr>
        <w:t xml:space="preserve"> generation.</w:t>
      </w:r>
      <w:r w:rsidR="00562F60" w:rsidRPr="0076473C">
        <w:rPr>
          <w:lang w:val="en-CA"/>
        </w:rPr>
        <w:t xml:space="preserve"> </w:t>
      </w:r>
      <w:r w:rsidRPr="0076473C">
        <w:rPr>
          <w:lang w:val="en-CA"/>
        </w:rPr>
        <w:t xml:space="preserve">In our opinion, it </w:t>
      </w:r>
      <w:r w:rsidR="00CE7B32">
        <w:rPr>
          <w:lang w:val="en-CA"/>
        </w:rPr>
        <w:t>should be</w:t>
      </w:r>
      <w:r w:rsidRPr="0076473C">
        <w:rPr>
          <w:lang w:val="en-CA"/>
        </w:rPr>
        <w:t xml:space="preserve"> understo</w:t>
      </w:r>
      <w:r w:rsidR="00723A70">
        <w:rPr>
          <w:lang w:val="en-CA"/>
        </w:rPr>
        <w:t>od that this was an observation</w:t>
      </w:r>
      <w:r w:rsidRPr="0076473C">
        <w:rPr>
          <w:lang w:val="en-CA"/>
        </w:rPr>
        <w:t xml:space="preserve"> and not, as the applicants argue, a comment seeking to trivialize</w:t>
      </w:r>
      <w:r w:rsidR="003D449C" w:rsidRPr="0076473C">
        <w:rPr>
          <w:lang w:val="en-CA"/>
        </w:rPr>
        <w:t xml:space="preserve"> the use of social media and thu</w:t>
      </w:r>
      <w:r w:rsidRPr="0076473C">
        <w:rPr>
          <w:lang w:val="en-CA"/>
        </w:rPr>
        <w:t>s mitigate the objective gravity of the offence of luring.</w:t>
      </w:r>
      <w:r w:rsidR="00DA2B0D" w:rsidRPr="0076473C">
        <w:rPr>
          <w:lang w:val="en-CA"/>
        </w:rPr>
        <w:t xml:space="preserve"> </w:t>
      </w:r>
    </w:p>
    <w:p w14:paraId="11042511" w14:textId="040BC283" w:rsidR="00562F60" w:rsidRPr="0076473C" w:rsidRDefault="00D77507" w:rsidP="00562F60">
      <w:pPr>
        <w:pStyle w:val="Paragraphe"/>
        <w:spacing w:line="280" w:lineRule="exact"/>
        <w:rPr>
          <w:lang w:val="en-CA"/>
        </w:rPr>
      </w:pPr>
      <w:r w:rsidRPr="006C0449">
        <w:rPr>
          <w:lang w:val="en-CA"/>
        </w:rPr>
        <w:t>The judge also considered the pre-sentence report.</w:t>
      </w:r>
      <w:r w:rsidR="00562F60" w:rsidRPr="0076473C">
        <w:rPr>
          <w:lang w:val="en-CA"/>
        </w:rPr>
        <w:t xml:space="preserve"> </w:t>
      </w:r>
      <w:r w:rsidRPr="0076473C">
        <w:rPr>
          <w:lang w:val="en-CA"/>
        </w:rPr>
        <w:t xml:space="preserve">She took into account the fact that the respondent benefited from a stable and positive family environment, free of any particular problems, that he had overcome a drug addiction during adolescence, </w:t>
      </w:r>
      <w:r w:rsidR="00723A70">
        <w:rPr>
          <w:lang w:val="en-CA"/>
        </w:rPr>
        <w:t xml:space="preserve">and </w:t>
      </w:r>
      <w:r w:rsidRPr="0076473C">
        <w:rPr>
          <w:lang w:val="en-CA"/>
        </w:rPr>
        <w:t>that despite an unstable career path, he had a job.</w:t>
      </w:r>
      <w:r w:rsidR="00562F60" w:rsidRPr="0076473C">
        <w:rPr>
          <w:lang w:val="en-CA"/>
        </w:rPr>
        <w:t xml:space="preserve"> </w:t>
      </w:r>
      <w:r w:rsidRPr="0076473C">
        <w:rPr>
          <w:lang w:val="en-CA"/>
        </w:rPr>
        <w:t xml:space="preserve">She noted that he has had romantic relationships since the events, but the </w:t>
      </w:r>
      <w:r w:rsidR="008B4832" w:rsidRPr="0076473C">
        <w:rPr>
          <w:lang w:val="en-CA"/>
        </w:rPr>
        <w:t>uncertainty</w:t>
      </w:r>
      <w:r w:rsidRPr="0076473C">
        <w:rPr>
          <w:lang w:val="en-CA"/>
        </w:rPr>
        <w:t xml:space="preserve"> related to the proceedings and the sentence </w:t>
      </w:r>
      <w:r w:rsidR="00AD62E6">
        <w:rPr>
          <w:lang w:val="en-CA"/>
        </w:rPr>
        <w:t>prevented him from committing to</w:t>
      </w:r>
      <w:r w:rsidRPr="0076473C">
        <w:rPr>
          <w:lang w:val="en-CA"/>
        </w:rPr>
        <w:t xml:space="preserve"> a more </w:t>
      </w:r>
      <w:r w:rsidR="00425E82" w:rsidRPr="0076473C">
        <w:rPr>
          <w:lang w:val="en-CA"/>
        </w:rPr>
        <w:t>long-term</w:t>
      </w:r>
      <w:r w:rsidRPr="0076473C">
        <w:rPr>
          <w:lang w:val="en-CA"/>
        </w:rPr>
        <w:t xml:space="preserve"> relationship. </w:t>
      </w:r>
      <w:r w:rsidR="00AD62E6">
        <w:rPr>
          <w:lang w:val="en-CA"/>
        </w:rPr>
        <w:t>Also,</w:t>
      </w:r>
      <w:r w:rsidR="00AD62E6" w:rsidRPr="0076473C">
        <w:rPr>
          <w:lang w:val="en-CA"/>
        </w:rPr>
        <w:t xml:space="preserve"> </w:t>
      </w:r>
      <w:r w:rsidR="00AD62E6">
        <w:rPr>
          <w:lang w:val="en-CA"/>
        </w:rPr>
        <w:t>t</w:t>
      </w:r>
      <w:r w:rsidRPr="0076473C">
        <w:rPr>
          <w:lang w:val="en-CA"/>
        </w:rPr>
        <w:t xml:space="preserve">he report does not describe any deviant sexual fantasies, but notes that the respondent </w:t>
      </w:r>
      <w:r w:rsidR="008B4832" w:rsidRPr="0076473C">
        <w:rPr>
          <w:lang w:val="en-CA"/>
        </w:rPr>
        <w:t>assigns</w:t>
      </w:r>
      <w:r w:rsidRPr="0076473C">
        <w:rPr>
          <w:lang w:val="en-CA"/>
        </w:rPr>
        <w:t xml:space="preserve"> importance to the gratification of his sexual needs, which [</w:t>
      </w:r>
      <w:r w:rsidRPr="0076473C">
        <w:rPr>
          <w:smallCaps/>
          <w:lang w:val="en-CA"/>
        </w:rPr>
        <w:t>translation</w:t>
      </w:r>
      <w:r w:rsidRPr="0076473C">
        <w:rPr>
          <w:lang w:val="en-CA"/>
        </w:rPr>
        <w:t xml:space="preserve">] “led him to obliterate the inherent </w:t>
      </w:r>
      <w:r w:rsidR="00AD62E6">
        <w:rPr>
          <w:lang w:val="en-CA"/>
        </w:rPr>
        <w:t>obstacles</w:t>
      </w:r>
      <w:r w:rsidRPr="0076473C">
        <w:rPr>
          <w:lang w:val="en-CA"/>
        </w:rPr>
        <w:t xml:space="preserve">, </w:t>
      </w:r>
      <w:r w:rsidR="00027C94">
        <w:rPr>
          <w:lang w:val="en-CA"/>
        </w:rPr>
        <w:t>that is</w:t>
      </w:r>
      <w:r w:rsidRPr="0076473C">
        <w:rPr>
          <w:lang w:val="en-CA"/>
        </w:rPr>
        <w:t>, those related to the victim’s age and the illegality of the act</w:t>
      </w:r>
      <w:r w:rsidR="00AD62E6">
        <w:rPr>
          <w:lang w:val="en-CA"/>
        </w:rPr>
        <w:t>”</w:t>
      </w:r>
      <w:r w:rsidRPr="0076473C">
        <w:rPr>
          <w:lang w:val="en-CA"/>
        </w:rPr>
        <w:t>.</w:t>
      </w:r>
      <w:r w:rsidR="00562F60" w:rsidRPr="0076473C">
        <w:rPr>
          <w:lang w:val="en-CA"/>
        </w:rPr>
        <w:t xml:space="preserve"> </w:t>
      </w:r>
      <w:r w:rsidRPr="0076473C">
        <w:rPr>
          <w:lang w:val="en-CA"/>
        </w:rPr>
        <w:t>The person who prepared the report also stated that the respondent had [</w:t>
      </w:r>
      <w:r w:rsidRPr="0076473C">
        <w:rPr>
          <w:smallCaps/>
          <w:lang w:val="en-CA"/>
        </w:rPr>
        <w:t>translation</w:t>
      </w:r>
      <w:r w:rsidRPr="0076473C">
        <w:rPr>
          <w:lang w:val="en-CA"/>
        </w:rPr>
        <w:t>] “cooperated well in the information gathering process”.</w:t>
      </w:r>
      <w:r w:rsidR="00562F60" w:rsidRPr="0076473C">
        <w:rPr>
          <w:lang w:val="en-CA"/>
        </w:rPr>
        <w:t xml:space="preserve"> </w:t>
      </w:r>
      <w:r w:rsidRPr="0076473C">
        <w:rPr>
          <w:lang w:val="en-CA"/>
        </w:rPr>
        <w:t xml:space="preserve">She concluded that there was a risk of </w:t>
      </w:r>
      <w:r w:rsidR="00AD62E6">
        <w:rPr>
          <w:lang w:val="en-CA"/>
        </w:rPr>
        <w:t>re-offending</w:t>
      </w:r>
      <w:r w:rsidRPr="0076473C">
        <w:rPr>
          <w:lang w:val="en-CA"/>
        </w:rPr>
        <w:t xml:space="preserve">, but </w:t>
      </w:r>
      <w:r w:rsidR="00AD62E6">
        <w:rPr>
          <w:lang w:val="en-CA"/>
        </w:rPr>
        <w:t>did not quantify it</w:t>
      </w:r>
      <w:r w:rsidRPr="0076473C">
        <w:rPr>
          <w:lang w:val="en-CA"/>
        </w:rPr>
        <w:t xml:space="preserve">, </w:t>
      </w:r>
      <w:r w:rsidR="00907081">
        <w:rPr>
          <w:lang w:val="en-CA"/>
        </w:rPr>
        <w:t xml:space="preserve">and stated </w:t>
      </w:r>
      <w:r w:rsidR="00425E82" w:rsidRPr="0076473C">
        <w:rPr>
          <w:lang w:val="en-CA"/>
        </w:rPr>
        <w:t xml:space="preserve">that </w:t>
      </w:r>
      <w:r w:rsidR="00907081">
        <w:rPr>
          <w:lang w:val="en-CA"/>
        </w:rPr>
        <w:t xml:space="preserve">this risk </w:t>
      </w:r>
      <w:r w:rsidR="00425E82" w:rsidRPr="0076473C">
        <w:rPr>
          <w:lang w:val="en-CA"/>
        </w:rPr>
        <w:t>could be reduced by</w:t>
      </w:r>
      <w:r w:rsidRPr="0076473C">
        <w:rPr>
          <w:lang w:val="en-CA"/>
        </w:rPr>
        <w:t xml:space="preserve"> psychosocial follow-up </w:t>
      </w:r>
      <w:r w:rsidR="008B4832" w:rsidRPr="0076473C">
        <w:rPr>
          <w:lang w:val="en-CA"/>
        </w:rPr>
        <w:t>focused</w:t>
      </w:r>
      <w:r w:rsidRPr="0076473C">
        <w:rPr>
          <w:lang w:val="en-CA"/>
        </w:rPr>
        <w:t xml:space="preserve"> on the development of certain skills, </w:t>
      </w:r>
      <w:r w:rsidR="00597F99">
        <w:rPr>
          <w:lang w:val="en-CA"/>
        </w:rPr>
        <w:t>and</w:t>
      </w:r>
      <w:r w:rsidRPr="0076473C">
        <w:rPr>
          <w:lang w:val="en-CA"/>
        </w:rPr>
        <w:t xml:space="preserve"> a romantic</w:t>
      </w:r>
      <w:r w:rsidR="00597F99">
        <w:rPr>
          <w:lang w:val="en-CA"/>
        </w:rPr>
        <w:t>, emotionally stable,</w:t>
      </w:r>
      <w:r w:rsidRPr="0076473C">
        <w:rPr>
          <w:lang w:val="en-CA"/>
        </w:rPr>
        <w:t xml:space="preserve"> </w:t>
      </w:r>
      <w:r w:rsidR="008B4832" w:rsidRPr="0076473C">
        <w:rPr>
          <w:lang w:val="en-CA"/>
        </w:rPr>
        <w:t>commit</w:t>
      </w:r>
      <w:r w:rsidR="00597F99">
        <w:rPr>
          <w:lang w:val="en-CA"/>
        </w:rPr>
        <w:t>ted relationship</w:t>
      </w:r>
      <w:r w:rsidRPr="0076473C">
        <w:rPr>
          <w:lang w:val="en-CA"/>
        </w:rPr>
        <w:t>.</w:t>
      </w:r>
      <w:r w:rsidR="00562F60" w:rsidRPr="0076473C">
        <w:rPr>
          <w:lang w:val="en-CA"/>
        </w:rPr>
        <w:t xml:space="preserve"> </w:t>
      </w:r>
      <w:r w:rsidRPr="0076473C">
        <w:rPr>
          <w:lang w:val="en-CA"/>
        </w:rPr>
        <w:t xml:space="preserve">The author added that the respondent had no prior convictions and that his admission that he is the only one to blame in this case </w:t>
      </w:r>
      <w:r w:rsidR="00027C94">
        <w:rPr>
          <w:lang w:val="en-CA"/>
        </w:rPr>
        <w:t xml:space="preserve">constitutes an awakening of his </w:t>
      </w:r>
      <w:r w:rsidRPr="0076473C">
        <w:rPr>
          <w:lang w:val="en-CA"/>
        </w:rPr>
        <w:t>awareness.</w:t>
      </w:r>
    </w:p>
    <w:p w14:paraId="670EA496" w14:textId="7F01BF8B" w:rsidR="00562F60" w:rsidRPr="0076473C" w:rsidRDefault="00D77507" w:rsidP="00562F60">
      <w:pPr>
        <w:pStyle w:val="Paragraphe"/>
        <w:spacing w:line="280" w:lineRule="exact"/>
        <w:rPr>
          <w:lang w:val="en-CA"/>
        </w:rPr>
      </w:pPr>
      <w:r w:rsidRPr="0076473C">
        <w:rPr>
          <w:lang w:val="en-CA"/>
        </w:rPr>
        <w:t>The judgment also reveals that the judge was fully aware that Parliament ha</w:t>
      </w:r>
      <w:r w:rsidR="00425E82" w:rsidRPr="0076473C">
        <w:rPr>
          <w:lang w:val="en-CA"/>
        </w:rPr>
        <w:t>s</w:t>
      </w:r>
      <w:r w:rsidRPr="0076473C">
        <w:rPr>
          <w:lang w:val="en-CA"/>
        </w:rPr>
        <w:t xml:space="preserve"> intervened three times to increase the minimum and maximum sentences </w:t>
      </w:r>
      <w:r w:rsidR="00027C94">
        <w:rPr>
          <w:lang w:val="en-CA"/>
        </w:rPr>
        <w:t>for</w:t>
      </w:r>
      <w:r w:rsidRPr="0076473C">
        <w:rPr>
          <w:lang w:val="en-CA"/>
        </w:rPr>
        <w:t xml:space="preserve"> the </w:t>
      </w:r>
      <w:r w:rsidR="008B4832" w:rsidRPr="0076473C">
        <w:rPr>
          <w:lang w:val="en-CA"/>
        </w:rPr>
        <w:t>indictable</w:t>
      </w:r>
      <w:r w:rsidRPr="0076473C">
        <w:rPr>
          <w:lang w:val="en-CA"/>
        </w:rPr>
        <w:t xml:space="preserve"> offence</w:t>
      </w:r>
      <w:r w:rsidR="00027C94">
        <w:rPr>
          <w:lang w:val="en-CA"/>
        </w:rPr>
        <w:t>s</w:t>
      </w:r>
      <w:r w:rsidRPr="0076473C">
        <w:rPr>
          <w:lang w:val="en-CA"/>
        </w:rPr>
        <w:t xml:space="preserve"> of sexual touching and luring.</w:t>
      </w:r>
      <w:r w:rsidR="00562F60" w:rsidRPr="0076473C">
        <w:rPr>
          <w:rStyle w:val="Appelnotedebasdep"/>
          <w:lang w:val="en-CA"/>
        </w:rPr>
        <w:footnoteReference w:id="81"/>
      </w:r>
      <w:r w:rsidRPr="0076473C">
        <w:rPr>
          <w:lang w:val="en-CA"/>
        </w:rPr>
        <w:t xml:space="preserve"> </w:t>
      </w:r>
      <w:r w:rsidR="00562F60" w:rsidRPr="0076473C">
        <w:rPr>
          <w:lang w:val="en-CA"/>
        </w:rPr>
        <w:t xml:space="preserve"> </w:t>
      </w:r>
    </w:p>
    <w:p w14:paraId="37CCFD29" w14:textId="7EFB10FE" w:rsidR="00562F60" w:rsidRPr="0076473C" w:rsidRDefault="00D77507" w:rsidP="00562F60">
      <w:pPr>
        <w:pStyle w:val="Paragraphe"/>
        <w:spacing w:line="280" w:lineRule="exact"/>
        <w:rPr>
          <w:lang w:val="en-CA"/>
        </w:rPr>
      </w:pPr>
      <w:r w:rsidRPr="0076473C">
        <w:rPr>
          <w:lang w:val="en-CA"/>
        </w:rPr>
        <w:t xml:space="preserve">The judge noted that the legislative amendments </w:t>
      </w:r>
      <w:r w:rsidR="008B4832" w:rsidRPr="0076473C">
        <w:rPr>
          <w:lang w:val="en-CA"/>
        </w:rPr>
        <w:t>demonstrate</w:t>
      </w:r>
      <w:r w:rsidRPr="0076473C">
        <w:rPr>
          <w:lang w:val="en-CA"/>
        </w:rPr>
        <w:t xml:space="preserve"> the importance of the objectives of denunciation and deterrence that </w:t>
      </w:r>
      <w:r w:rsidR="008321D0">
        <w:rPr>
          <w:lang w:val="en-CA"/>
        </w:rPr>
        <w:t xml:space="preserve">must be reflected in </w:t>
      </w:r>
      <w:r w:rsidRPr="0076473C">
        <w:rPr>
          <w:lang w:val="en-CA"/>
        </w:rPr>
        <w:t xml:space="preserve">sentences </w:t>
      </w:r>
      <w:r w:rsidR="00027C94">
        <w:rPr>
          <w:lang w:val="en-CA"/>
        </w:rPr>
        <w:t xml:space="preserve">imposed </w:t>
      </w:r>
      <w:r w:rsidR="008321D0">
        <w:rPr>
          <w:lang w:val="en-CA"/>
        </w:rPr>
        <w:t>for</w:t>
      </w:r>
      <w:r w:rsidRPr="0076473C">
        <w:rPr>
          <w:lang w:val="en-CA"/>
        </w:rPr>
        <w:t xml:space="preserve"> sexual offences against children.</w:t>
      </w:r>
      <w:r w:rsidR="00562F60" w:rsidRPr="0076473C">
        <w:rPr>
          <w:rStyle w:val="Appelnotedebasdep"/>
          <w:lang w:val="en-CA"/>
        </w:rPr>
        <w:footnoteReference w:id="82"/>
      </w:r>
      <w:r w:rsidR="00562F60" w:rsidRPr="0076473C">
        <w:rPr>
          <w:lang w:val="en-CA"/>
        </w:rPr>
        <w:t xml:space="preserve"> </w:t>
      </w:r>
      <w:r w:rsidR="00027C94">
        <w:rPr>
          <w:lang w:val="en-CA"/>
        </w:rPr>
        <w:t xml:space="preserve">Undeniably, therefore, she </w:t>
      </w:r>
      <w:r w:rsidRPr="0076473C">
        <w:rPr>
          <w:lang w:val="en-CA"/>
        </w:rPr>
        <w:t xml:space="preserve">had this factor in mind </w:t>
      </w:r>
      <w:r w:rsidR="00027C94">
        <w:rPr>
          <w:lang w:val="en-CA"/>
        </w:rPr>
        <w:t xml:space="preserve">when </w:t>
      </w:r>
      <w:r w:rsidRPr="0076473C">
        <w:rPr>
          <w:lang w:val="en-CA"/>
        </w:rPr>
        <w:t xml:space="preserve">determining the sentence to </w:t>
      </w:r>
      <w:r w:rsidR="008B4832" w:rsidRPr="0076473C">
        <w:rPr>
          <w:lang w:val="en-CA"/>
        </w:rPr>
        <w:t>impose</w:t>
      </w:r>
      <w:r w:rsidRPr="0076473C">
        <w:rPr>
          <w:lang w:val="en-CA"/>
        </w:rPr>
        <w:t xml:space="preserve"> for luring.</w:t>
      </w:r>
      <w:r w:rsidR="00562F60" w:rsidRPr="0076473C">
        <w:rPr>
          <w:lang w:val="en-CA"/>
        </w:rPr>
        <w:t xml:space="preserve"> </w:t>
      </w:r>
    </w:p>
    <w:p w14:paraId="4E18F299" w14:textId="526F0040" w:rsidR="00562F60" w:rsidRPr="0076473C" w:rsidRDefault="00D77507" w:rsidP="00084D61">
      <w:pPr>
        <w:pStyle w:val="Paragraphe"/>
        <w:spacing w:line="280" w:lineRule="exact"/>
        <w:rPr>
          <w:lang w:val="en-CA"/>
        </w:rPr>
      </w:pPr>
      <w:r w:rsidRPr="006C0449">
        <w:rPr>
          <w:lang w:val="en-CA"/>
        </w:rPr>
        <w:t xml:space="preserve">That said, she </w:t>
      </w:r>
      <w:r w:rsidR="00027C94">
        <w:rPr>
          <w:lang w:val="en-CA"/>
        </w:rPr>
        <w:t>rejected</w:t>
      </w:r>
      <w:r w:rsidRPr="006C0449">
        <w:rPr>
          <w:lang w:val="en-CA"/>
        </w:rPr>
        <w:t xml:space="preserve"> the respondent’s argument that he had succumbed to the complainant’s advances and took care to </w:t>
      </w:r>
      <w:r w:rsidR="008B4832" w:rsidRPr="006C0449">
        <w:rPr>
          <w:lang w:val="en-CA"/>
        </w:rPr>
        <w:t>distinguish</w:t>
      </w:r>
      <w:r w:rsidR="00425E82" w:rsidRPr="006C0449">
        <w:rPr>
          <w:lang w:val="en-CA"/>
        </w:rPr>
        <w:t xml:space="preserve"> the facts of this</w:t>
      </w:r>
      <w:r w:rsidRPr="006C0449">
        <w:rPr>
          <w:lang w:val="en-CA"/>
        </w:rPr>
        <w:t xml:space="preserve"> case </w:t>
      </w:r>
      <w:r w:rsidR="00425E82" w:rsidRPr="006C0449">
        <w:rPr>
          <w:lang w:val="en-CA"/>
        </w:rPr>
        <w:t>from</w:t>
      </w:r>
      <w:r w:rsidRPr="006C0449">
        <w:rPr>
          <w:lang w:val="en-CA"/>
        </w:rPr>
        <w:t xml:space="preserve"> those in </w:t>
      </w:r>
      <w:r w:rsidRPr="006C0449">
        <w:rPr>
          <w:i/>
          <w:lang w:val="en-CA"/>
        </w:rPr>
        <w:t>Caron Barrette</w:t>
      </w:r>
      <w:r w:rsidRPr="006C0449">
        <w:rPr>
          <w:lang w:val="en-CA"/>
        </w:rPr>
        <w:t>.</w:t>
      </w:r>
      <w:r w:rsidR="00562F60" w:rsidRPr="0076473C">
        <w:rPr>
          <w:rStyle w:val="Appelnotedebasdep"/>
          <w:lang w:val="en-CA"/>
        </w:rPr>
        <w:footnoteReference w:id="83"/>
      </w:r>
      <w:r w:rsidR="00562F60" w:rsidRPr="0076473C">
        <w:rPr>
          <w:lang w:val="en-CA"/>
        </w:rPr>
        <w:t xml:space="preserve"> </w:t>
      </w:r>
      <w:r w:rsidR="00027C94">
        <w:rPr>
          <w:lang w:val="en-CA"/>
        </w:rPr>
        <w:t>However, the</w:t>
      </w:r>
      <w:r w:rsidR="00084D61" w:rsidRPr="0076473C">
        <w:rPr>
          <w:lang w:val="en-CA"/>
        </w:rPr>
        <w:t xml:space="preserve"> judge accepted</w:t>
      </w:r>
      <w:r w:rsidR="00027C94">
        <w:rPr>
          <w:lang w:val="en-CA"/>
        </w:rPr>
        <w:t xml:space="preserve"> – </w:t>
      </w:r>
      <w:r w:rsidRPr="0076473C">
        <w:rPr>
          <w:lang w:val="en-CA"/>
        </w:rPr>
        <w:t xml:space="preserve">and this also </w:t>
      </w:r>
      <w:r w:rsidR="00027C94">
        <w:rPr>
          <w:lang w:val="en-CA"/>
        </w:rPr>
        <w:t xml:space="preserve">involves her assessment of the evidence, </w:t>
      </w:r>
      <w:r w:rsidR="00084D61" w:rsidRPr="0076473C">
        <w:rPr>
          <w:lang w:val="en-CA"/>
        </w:rPr>
        <w:t>requir</w:t>
      </w:r>
      <w:r w:rsidR="00E4399E">
        <w:rPr>
          <w:lang w:val="en-CA"/>
        </w:rPr>
        <w:t>ing</w:t>
      </w:r>
      <w:r w:rsidR="00027C94">
        <w:rPr>
          <w:lang w:val="en-CA"/>
        </w:rPr>
        <w:t xml:space="preserve"> deference – </w:t>
      </w:r>
      <w:r w:rsidRPr="0076473C">
        <w:rPr>
          <w:lang w:val="en-CA"/>
        </w:rPr>
        <w:t xml:space="preserve">that </w:t>
      </w:r>
      <w:r w:rsidR="00E4399E">
        <w:rPr>
          <w:lang w:val="en-CA"/>
        </w:rPr>
        <w:t>t</w:t>
      </w:r>
      <w:r w:rsidRPr="0076473C">
        <w:rPr>
          <w:lang w:val="en-CA"/>
        </w:rPr>
        <w:t>he respondent was not in a situation of abuse of trust or authority, which</w:t>
      </w:r>
      <w:r w:rsidR="00E4399E">
        <w:rPr>
          <w:lang w:val="en-CA"/>
        </w:rPr>
        <w:t xml:space="preserve"> was in fact admitted by</w:t>
      </w:r>
      <w:r w:rsidRPr="0076473C">
        <w:rPr>
          <w:lang w:val="en-CA"/>
        </w:rPr>
        <w:t xml:space="preserve"> th</w:t>
      </w:r>
      <w:r w:rsidR="00252838" w:rsidRPr="0076473C">
        <w:rPr>
          <w:lang w:val="en-CA"/>
        </w:rPr>
        <w:t>e</w:t>
      </w:r>
      <w:r w:rsidRPr="0076473C">
        <w:rPr>
          <w:lang w:val="en-CA"/>
        </w:rPr>
        <w:t xml:space="preserve"> Crow</w:t>
      </w:r>
      <w:r w:rsidR="00252838" w:rsidRPr="0076473C">
        <w:rPr>
          <w:lang w:val="en-CA"/>
        </w:rPr>
        <w:t>n</w:t>
      </w:r>
      <w:r w:rsidRPr="0076473C">
        <w:rPr>
          <w:lang w:val="en-CA"/>
        </w:rPr>
        <w:t xml:space="preserve"> during submissions on sentencing.  </w:t>
      </w:r>
      <w:r w:rsidR="00562F60" w:rsidRPr="0076473C">
        <w:rPr>
          <w:lang w:val="en-CA"/>
        </w:rPr>
        <w:t xml:space="preserve"> </w:t>
      </w:r>
    </w:p>
    <w:p w14:paraId="2E1FB638" w14:textId="0D0208D9" w:rsidR="00562F60" w:rsidRPr="0076473C" w:rsidRDefault="00027C94" w:rsidP="00027C94">
      <w:pPr>
        <w:pStyle w:val="Paragraphe"/>
        <w:keepNext/>
        <w:spacing w:line="280" w:lineRule="exact"/>
        <w:rPr>
          <w:lang w:val="en-CA"/>
        </w:rPr>
      </w:pPr>
      <w:r>
        <w:rPr>
          <w:lang w:val="en-CA"/>
        </w:rPr>
        <w:lastRenderedPageBreak/>
        <w:t>When</w:t>
      </w:r>
      <w:r w:rsidR="00D77507" w:rsidRPr="0076473C">
        <w:rPr>
          <w:lang w:val="en-CA"/>
        </w:rPr>
        <w:t xml:space="preserve"> determining the appropriate sentence for the offence of sexual touching, </w:t>
      </w:r>
      <w:r>
        <w:rPr>
          <w:lang w:val="en-CA"/>
        </w:rPr>
        <w:t xml:space="preserve">the judge </w:t>
      </w:r>
      <w:r w:rsidR="00D77507" w:rsidRPr="0076473C">
        <w:rPr>
          <w:lang w:val="en-CA"/>
        </w:rPr>
        <w:t>stated that:</w:t>
      </w:r>
    </w:p>
    <w:p w14:paraId="083FEC6F" w14:textId="6CE32B16" w:rsidR="00084D61" w:rsidRPr="0076473C" w:rsidRDefault="00084D61" w:rsidP="00027C94">
      <w:pPr>
        <w:pStyle w:val="Paragraphe"/>
        <w:keepNext/>
        <w:numPr>
          <w:ilvl w:val="0"/>
          <w:numId w:val="0"/>
        </w:numPr>
        <w:spacing w:line="280" w:lineRule="exact"/>
        <w:rPr>
          <w:lang w:val="en-CA"/>
        </w:rPr>
      </w:pPr>
      <w:r w:rsidRPr="0076473C">
        <w:rPr>
          <w:lang w:val="en-CA"/>
        </w:rPr>
        <w:tab/>
        <w:t>[</w:t>
      </w:r>
      <w:r w:rsidRPr="0076473C">
        <w:rPr>
          <w:smallCaps/>
          <w:lang w:val="en-CA"/>
        </w:rPr>
        <w:t>translation</w:t>
      </w:r>
      <w:r w:rsidRPr="0076473C">
        <w:rPr>
          <w:lang w:val="en-CA"/>
        </w:rPr>
        <w:t>]</w:t>
      </w:r>
    </w:p>
    <w:p w14:paraId="119E45A2" w14:textId="7BFF1A8C" w:rsidR="00562F60" w:rsidRPr="0076473C" w:rsidRDefault="00562F60" w:rsidP="00027C94">
      <w:pPr>
        <w:pStyle w:val="Citationenretrait"/>
        <w:keepNext/>
        <w:rPr>
          <w:lang w:val="en-CA"/>
        </w:rPr>
      </w:pPr>
      <w:r w:rsidRPr="0076473C">
        <w:rPr>
          <w:lang w:val="en-CA"/>
        </w:rPr>
        <w:t>[58]</w:t>
      </w:r>
      <w:r w:rsidRPr="0076473C">
        <w:rPr>
          <w:lang w:val="en-CA"/>
        </w:rPr>
        <w:tab/>
      </w:r>
      <w:r w:rsidR="00D77507" w:rsidRPr="0076473C">
        <w:rPr>
          <w:lang w:val="en-CA"/>
        </w:rPr>
        <w:t xml:space="preserve">The adolescent’s consent in this case cannot be a factor mitigating the offender’s </w:t>
      </w:r>
      <w:r w:rsidR="007C6846">
        <w:rPr>
          <w:lang w:val="en-CA"/>
        </w:rPr>
        <w:t>moral blameworthiness</w:t>
      </w:r>
      <w:r w:rsidR="00D77507" w:rsidRPr="0076473C">
        <w:rPr>
          <w:lang w:val="en-CA"/>
        </w:rPr>
        <w:t xml:space="preserve"> </w:t>
      </w:r>
      <w:r w:rsidR="00A4045B">
        <w:rPr>
          <w:lang w:val="en-CA"/>
        </w:rPr>
        <w:t>with a view to</w:t>
      </w:r>
      <w:r w:rsidR="00E4399E" w:rsidRPr="0076473C">
        <w:rPr>
          <w:lang w:val="en-CA"/>
        </w:rPr>
        <w:t xml:space="preserve"> </w:t>
      </w:r>
      <w:r w:rsidR="00D77507" w:rsidRPr="0076473C">
        <w:rPr>
          <w:lang w:val="en-CA"/>
        </w:rPr>
        <w:t xml:space="preserve">imposing the appropriate sentence. </w:t>
      </w:r>
    </w:p>
    <w:p w14:paraId="7FE20FAB" w14:textId="602847D0" w:rsidR="00562F60" w:rsidRPr="0076473C" w:rsidRDefault="00D77507" w:rsidP="00562F60">
      <w:pPr>
        <w:pStyle w:val="Paragraphe"/>
        <w:spacing w:line="280" w:lineRule="exact"/>
        <w:rPr>
          <w:lang w:val="en-CA"/>
        </w:rPr>
      </w:pPr>
      <w:r w:rsidRPr="0076473C">
        <w:rPr>
          <w:lang w:val="en-CA"/>
        </w:rPr>
        <w:t xml:space="preserve">Despite </w:t>
      </w:r>
      <w:r w:rsidR="00175649">
        <w:rPr>
          <w:lang w:val="en-CA"/>
        </w:rPr>
        <w:t>a</w:t>
      </w:r>
      <w:r w:rsidR="00175649" w:rsidRPr="0076473C">
        <w:rPr>
          <w:lang w:val="en-CA"/>
        </w:rPr>
        <w:t xml:space="preserve"> </w:t>
      </w:r>
      <w:r w:rsidR="00084D61" w:rsidRPr="0076473C">
        <w:rPr>
          <w:lang w:val="en-CA"/>
        </w:rPr>
        <w:t>lack</w:t>
      </w:r>
      <w:r w:rsidRPr="0076473C">
        <w:rPr>
          <w:lang w:val="en-CA"/>
        </w:rPr>
        <w:t xml:space="preserve"> of evidence of the consequences of the crime on the </w:t>
      </w:r>
      <w:r w:rsidR="008B4832" w:rsidRPr="0076473C">
        <w:rPr>
          <w:lang w:val="en-CA"/>
        </w:rPr>
        <w:t>complainant</w:t>
      </w:r>
      <w:r w:rsidRPr="0076473C">
        <w:rPr>
          <w:lang w:val="en-CA"/>
        </w:rPr>
        <w:t>, the judge co</w:t>
      </w:r>
      <w:r w:rsidR="008B4832" w:rsidRPr="0076473C">
        <w:rPr>
          <w:lang w:val="en-CA"/>
        </w:rPr>
        <w:t xml:space="preserve">ncluded from certain excerpts </w:t>
      </w:r>
      <w:r w:rsidR="00175649">
        <w:rPr>
          <w:lang w:val="en-CA"/>
        </w:rPr>
        <w:t>of</w:t>
      </w:r>
      <w:r w:rsidR="00175649" w:rsidRPr="0076473C">
        <w:rPr>
          <w:lang w:val="en-CA"/>
        </w:rPr>
        <w:t xml:space="preserve"> </w:t>
      </w:r>
      <w:r w:rsidRPr="0076473C">
        <w:rPr>
          <w:lang w:val="en-CA"/>
        </w:rPr>
        <w:t>the Facebook conversations of which she had a copy that the complainant appeared to feel used and exploited and that this is why she decided to end the relationship.</w:t>
      </w:r>
      <w:r w:rsidR="00562F60" w:rsidRPr="0076473C">
        <w:rPr>
          <w:lang w:val="en-CA"/>
        </w:rPr>
        <w:t xml:space="preserve"> </w:t>
      </w:r>
      <w:r w:rsidRPr="0076473C">
        <w:rPr>
          <w:lang w:val="en-CA"/>
        </w:rPr>
        <w:t>She also noted that the intervention of the Director of Youth Protection was not related to the facts of this case.</w:t>
      </w:r>
    </w:p>
    <w:p w14:paraId="1E801FB0" w14:textId="776C4524" w:rsidR="00562F60" w:rsidRPr="0076473C" w:rsidRDefault="00D77507" w:rsidP="00562F60">
      <w:pPr>
        <w:pStyle w:val="Paragraphe"/>
        <w:spacing w:line="280" w:lineRule="exact"/>
        <w:rPr>
          <w:lang w:val="en-CA"/>
        </w:rPr>
      </w:pPr>
      <w:r w:rsidRPr="0076473C">
        <w:rPr>
          <w:lang w:val="en-CA"/>
        </w:rPr>
        <w:t xml:space="preserve">At the end of this analysis, the judge concluded that a term of imprisonment of </w:t>
      </w:r>
      <w:r w:rsidR="003333F6">
        <w:rPr>
          <w:lang w:val="en-CA"/>
        </w:rPr>
        <w:t>10</w:t>
      </w:r>
      <w:r w:rsidRPr="0076473C">
        <w:rPr>
          <w:lang w:val="en-CA"/>
        </w:rPr>
        <w:t xml:space="preserve"> months was </w:t>
      </w:r>
      <w:r w:rsidR="008B4832" w:rsidRPr="0076473C">
        <w:rPr>
          <w:lang w:val="en-CA"/>
        </w:rPr>
        <w:t>appropriate</w:t>
      </w:r>
      <w:r w:rsidRPr="0076473C">
        <w:rPr>
          <w:lang w:val="en-CA"/>
        </w:rPr>
        <w:t xml:space="preserve"> on the count concerning the four </w:t>
      </w:r>
      <w:r w:rsidR="008B4832" w:rsidRPr="0076473C">
        <w:rPr>
          <w:lang w:val="en-CA"/>
        </w:rPr>
        <w:t>incidents</w:t>
      </w:r>
      <w:r w:rsidRPr="0076473C">
        <w:rPr>
          <w:lang w:val="en-CA"/>
        </w:rPr>
        <w:t xml:space="preserve"> of sexual touching.</w:t>
      </w:r>
    </w:p>
    <w:p w14:paraId="344C737D" w14:textId="47F2BA31" w:rsidR="00562F60" w:rsidRPr="0076473C" w:rsidRDefault="00D77507" w:rsidP="00562F60">
      <w:pPr>
        <w:pStyle w:val="Paragraphe"/>
        <w:spacing w:line="280" w:lineRule="exact"/>
        <w:rPr>
          <w:lang w:val="en-CA"/>
        </w:rPr>
      </w:pPr>
      <w:r w:rsidRPr="0076473C">
        <w:rPr>
          <w:lang w:val="en-CA"/>
        </w:rPr>
        <w:t xml:space="preserve">She </w:t>
      </w:r>
      <w:r w:rsidR="00175649">
        <w:rPr>
          <w:lang w:val="en-CA"/>
        </w:rPr>
        <w:t>then</w:t>
      </w:r>
      <w:r w:rsidR="00175649" w:rsidRPr="0076473C">
        <w:rPr>
          <w:lang w:val="en-CA"/>
        </w:rPr>
        <w:t xml:space="preserve"> </w:t>
      </w:r>
      <w:r w:rsidR="003333F6">
        <w:rPr>
          <w:lang w:val="en-CA"/>
        </w:rPr>
        <w:t xml:space="preserve">determined </w:t>
      </w:r>
      <w:r w:rsidR="00175649">
        <w:rPr>
          <w:lang w:val="en-CA"/>
        </w:rPr>
        <w:t>the appropriate</w:t>
      </w:r>
      <w:r w:rsidRPr="0076473C">
        <w:rPr>
          <w:lang w:val="en-CA"/>
        </w:rPr>
        <w:t xml:space="preserve"> sentenc</w:t>
      </w:r>
      <w:r w:rsidR="00175649">
        <w:rPr>
          <w:lang w:val="en-CA"/>
        </w:rPr>
        <w:t>e</w:t>
      </w:r>
      <w:r w:rsidRPr="0076473C">
        <w:rPr>
          <w:lang w:val="en-CA"/>
        </w:rPr>
        <w:t xml:space="preserve"> for the indictable offence of luring, which, it </w:t>
      </w:r>
      <w:r w:rsidR="008B4832" w:rsidRPr="0076473C">
        <w:rPr>
          <w:lang w:val="en-CA"/>
        </w:rPr>
        <w:t>should</w:t>
      </w:r>
      <w:r w:rsidRPr="0076473C">
        <w:rPr>
          <w:lang w:val="en-CA"/>
        </w:rPr>
        <w:t xml:space="preserve"> be recalled, covered </w:t>
      </w:r>
      <w:r w:rsidR="00175649" w:rsidRPr="0076473C">
        <w:rPr>
          <w:lang w:val="en-CA"/>
        </w:rPr>
        <w:t xml:space="preserve">only </w:t>
      </w:r>
      <w:r w:rsidRPr="0076473C">
        <w:rPr>
          <w:lang w:val="en-CA"/>
        </w:rPr>
        <w:t xml:space="preserve">the </w:t>
      </w:r>
      <w:r w:rsidR="008B4832" w:rsidRPr="0076473C">
        <w:rPr>
          <w:lang w:val="en-CA"/>
        </w:rPr>
        <w:t>period</w:t>
      </w:r>
      <w:r w:rsidRPr="0076473C">
        <w:rPr>
          <w:lang w:val="en-CA"/>
        </w:rPr>
        <w:t xml:space="preserve"> of a few months </w:t>
      </w:r>
      <w:r w:rsidR="003333F6">
        <w:rPr>
          <w:lang w:val="en-CA"/>
        </w:rPr>
        <w:t xml:space="preserve">preceding </w:t>
      </w:r>
      <w:r w:rsidRPr="0076473C">
        <w:rPr>
          <w:lang w:val="en-CA"/>
        </w:rPr>
        <w:t xml:space="preserve">the end of the parties’ relationship, during which sexual </w:t>
      </w:r>
      <w:r w:rsidR="00084D61" w:rsidRPr="0076473C">
        <w:rPr>
          <w:lang w:val="en-CA"/>
        </w:rPr>
        <w:t>intercourse</w:t>
      </w:r>
      <w:r w:rsidRPr="0076473C">
        <w:rPr>
          <w:lang w:val="en-CA"/>
        </w:rPr>
        <w:t xml:space="preserve"> </w:t>
      </w:r>
      <w:r w:rsidR="00175649">
        <w:rPr>
          <w:lang w:val="en-CA"/>
        </w:rPr>
        <w:t>took place one</w:t>
      </w:r>
      <w:r w:rsidR="00084D61" w:rsidRPr="0076473C">
        <w:rPr>
          <w:lang w:val="en-CA"/>
        </w:rPr>
        <w:t xml:space="preserve"> </w:t>
      </w:r>
      <w:r w:rsidR="00671761">
        <w:rPr>
          <w:lang w:val="en-CA"/>
        </w:rPr>
        <w:t>final</w:t>
      </w:r>
      <w:r w:rsidR="00084D61" w:rsidRPr="0076473C">
        <w:rPr>
          <w:lang w:val="en-CA"/>
        </w:rPr>
        <w:t xml:space="preserve"> time</w:t>
      </w:r>
      <w:r w:rsidRPr="0076473C">
        <w:rPr>
          <w:lang w:val="en-CA"/>
        </w:rPr>
        <w:t>.</w:t>
      </w:r>
    </w:p>
    <w:p w14:paraId="73F74000" w14:textId="371C8B08" w:rsidR="00562F60" w:rsidRPr="0076473C" w:rsidRDefault="008E1669" w:rsidP="00562F60">
      <w:pPr>
        <w:pStyle w:val="Paragraphe"/>
        <w:spacing w:line="280" w:lineRule="exact"/>
        <w:rPr>
          <w:lang w:val="en-CA"/>
        </w:rPr>
      </w:pPr>
      <w:r>
        <w:rPr>
          <w:lang w:val="en-CA"/>
        </w:rPr>
        <w:t>T</w:t>
      </w:r>
      <w:r w:rsidRPr="0076473C">
        <w:rPr>
          <w:lang w:val="en-CA"/>
        </w:rPr>
        <w:t xml:space="preserve">he judge made no error </w:t>
      </w:r>
      <w:r>
        <w:rPr>
          <w:lang w:val="en-CA"/>
        </w:rPr>
        <w:t>i</w:t>
      </w:r>
      <w:r w:rsidR="00D77507" w:rsidRPr="0076473C">
        <w:rPr>
          <w:lang w:val="en-CA"/>
        </w:rPr>
        <w:t>n noting that this is not a classic case of a pr</w:t>
      </w:r>
      <w:r w:rsidR="003333F6">
        <w:rPr>
          <w:lang w:val="en-CA"/>
        </w:rPr>
        <w:t>edator assuming a fake identity</w:t>
      </w:r>
      <w:r w:rsidR="00D77507" w:rsidRPr="0076473C">
        <w:rPr>
          <w:lang w:val="en-CA"/>
        </w:rPr>
        <w:t xml:space="preserve"> </w:t>
      </w:r>
      <w:r w:rsidR="003333F6">
        <w:rPr>
          <w:lang w:val="en-CA"/>
        </w:rPr>
        <w:t xml:space="preserve">or using </w:t>
      </w:r>
      <w:r>
        <w:rPr>
          <w:lang w:val="en-CA"/>
        </w:rPr>
        <w:t>trickery</w:t>
      </w:r>
      <w:r w:rsidR="003333F6">
        <w:rPr>
          <w:lang w:val="en-CA"/>
        </w:rPr>
        <w:t xml:space="preserve"> to find or lure</w:t>
      </w:r>
      <w:r w:rsidR="00D77507" w:rsidRPr="0076473C">
        <w:rPr>
          <w:lang w:val="en-CA"/>
        </w:rPr>
        <w:t xml:space="preserve"> </w:t>
      </w:r>
      <w:r>
        <w:rPr>
          <w:lang w:val="en-CA"/>
        </w:rPr>
        <w:t>victims who are minors</w:t>
      </w:r>
      <w:r w:rsidR="00D77507" w:rsidRPr="0076473C">
        <w:rPr>
          <w:lang w:val="en-CA"/>
        </w:rPr>
        <w:t xml:space="preserve"> over the Internet to facilitate the commission of sexual offences.</w:t>
      </w:r>
      <w:r w:rsidR="00562F60" w:rsidRPr="0076473C">
        <w:rPr>
          <w:lang w:val="en-CA"/>
        </w:rPr>
        <w:t xml:space="preserve"> </w:t>
      </w:r>
      <w:r w:rsidR="00D77507" w:rsidRPr="0076473C">
        <w:rPr>
          <w:lang w:val="en-CA"/>
        </w:rPr>
        <w:t xml:space="preserve">As she stated, referring to the </w:t>
      </w:r>
      <w:r w:rsidR="008B4832" w:rsidRPr="0076473C">
        <w:rPr>
          <w:lang w:val="en-CA"/>
        </w:rPr>
        <w:t>respondent’s</w:t>
      </w:r>
      <w:r w:rsidR="00084D61" w:rsidRPr="0076473C">
        <w:rPr>
          <w:lang w:val="en-CA"/>
        </w:rPr>
        <w:t xml:space="preserve"> use of social media</w:t>
      </w:r>
      <w:r w:rsidR="00B24E64">
        <w:rPr>
          <w:lang w:val="en-CA"/>
        </w:rPr>
        <w:t xml:space="preserve"> in this case</w:t>
      </w:r>
      <w:r w:rsidR="003333F6">
        <w:rPr>
          <w:lang w:val="en-CA"/>
        </w:rPr>
        <w:t>, they are</w:t>
      </w:r>
      <w:r w:rsidR="00D77507" w:rsidRPr="0076473C">
        <w:rPr>
          <w:lang w:val="en-CA"/>
        </w:rPr>
        <w:t xml:space="preserve"> [</w:t>
      </w:r>
      <w:r w:rsidR="00D77507" w:rsidRPr="0076473C">
        <w:rPr>
          <w:smallCaps/>
          <w:lang w:val="en-CA"/>
        </w:rPr>
        <w:t>translation</w:t>
      </w:r>
      <w:r w:rsidR="003333F6">
        <w:rPr>
          <w:lang w:val="en-CA"/>
        </w:rPr>
        <w:t>] “</w:t>
      </w:r>
      <w:r w:rsidR="00D77507" w:rsidRPr="0076473C">
        <w:rPr>
          <w:lang w:val="en-CA"/>
        </w:rPr>
        <w:t xml:space="preserve">communications </w:t>
      </w:r>
      <w:r w:rsidR="00084D61" w:rsidRPr="0076473C">
        <w:rPr>
          <w:lang w:val="en-CA"/>
        </w:rPr>
        <w:t>leading</w:t>
      </w:r>
      <w:r w:rsidR="00D77507" w:rsidRPr="0076473C">
        <w:rPr>
          <w:lang w:val="en-CA"/>
        </w:rPr>
        <w:t xml:space="preserve"> to the repetition of sexual encounters”,</w:t>
      </w:r>
      <w:r w:rsidR="00562F60" w:rsidRPr="0076473C">
        <w:rPr>
          <w:rStyle w:val="Appelnotedebasdep"/>
          <w:lang w:val="en-CA"/>
        </w:rPr>
        <w:footnoteReference w:id="84"/>
      </w:r>
      <w:r w:rsidR="00D77507" w:rsidRPr="0076473C">
        <w:rPr>
          <w:lang w:val="en-CA"/>
        </w:rPr>
        <w:t xml:space="preserve"> </w:t>
      </w:r>
      <w:r w:rsidR="00B24E64" w:rsidRPr="0076473C">
        <w:rPr>
          <w:lang w:val="en-CA"/>
        </w:rPr>
        <w:t xml:space="preserve">which, </w:t>
      </w:r>
      <w:r w:rsidR="00B24E64">
        <w:rPr>
          <w:lang w:val="en-CA"/>
        </w:rPr>
        <w:t>it may be said</w:t>
      </w:r>
      <w:r w:rsidR="00B24E64" w:rsidRPr="0076473C">
        <w:rPr>
          <w:lang w:val="en-CA"/>
        </w:rPr>
        <w:t xml:space="preserve">, had started at least </w:t>
      </w:r>
      <w:r w:rsidR="003333F6">
        <w:rPr>
          <w:lang w:val="en-CA"/>
        </w:rPr>
        <w:t>18</w:t>
      </w:r>
      <w:r w:rsidR="00B24E64">
        <w:rPr>
          <w:lang w:val="en-CA"/>
        </w:rPr>
        <w:t xml:space="preserve"> months</w:t>
      </w:r>
      <w:r w:rsidR="00B24E64" w:rsidRPr="0076473C">
        <w:rPr>
          <w:lang w:val="en-CA"/>
        </w:rPr>
        <w:t xml:space="preserve"> earlier, during a period</w:t>
      </w:r>
      <w:r w:rsidR="003333F6">
        <w:rPr>
          <w:lang w:val="en-CA"/>
        </w:rPr>
        <w:t>, moreover,</w:t>
      </w:r>
      <w:r w:rsidR="00B24E64" w:rsidRPr="0076473C">
        <w:rPr>
          <w:lang w:val="en-CA"/>
        </w:rPr>
        <w:t xml:space="preserve"> not covered by the charge of luring</w:t>
      </w:r>
      <w:r w:rsidR="003333F6">
        <w:rPr>
          <w:lang w:val="en-CA"/>
        </w:rPr>
        <w:t>.</w:t>
      </w:r>
      <w:r w:rsidR="003333F6" w:rsidRPr="003333F6">
        <w:rPr>
          <w:lang w:val="en-CA"/>
        </w:rPr>
        <w:t xml:space="preserve"> </w:t>
      </w:r>
    </w:p>
    <w:p w14:paraId="6F5F25AD" w14:textId="351A829B" w:rsidR="00562F60" w:rsidRPr="0076473C" w:rsidRDefault="003333F6" w:rsidP="00562F60">
      <w:pPr>
        <w:pStyle w:val="Paragraphe"/>
        <w:spacing w:line="280" w:lineRule="exact"/>
        <w:rPr>
          <w:lang w:val="en-CA"/>
        </w:rPr>
      </w:pPr>
      <w:r>
        <w:rPr>
          <w:lang w:val="en-CA"/>
        </w:rPr>
        <w:t xml:space="preserve">Therefore, in </w:t>
      </w:r>
      <w:r w:rsidR="00D77507" w:rsidRPr="0076473C">
        <w:rPr>
          <w:lang w:val="en-CA"/>
        </w:rPr>
        <w:t xml:space="preserve">exercising her discretion, </w:t>
      </w:r>
      <w:r>
        <w:rPr>
          <w:lang w:val="en-CA"/>
        </w:rPr>
        <w:t xml:space="preserve">the judge </w:t>
      </w:r>
      <w:r w:rsidR="00D77507" w:rsidRPr="0076473C">
        <w:rPr>
          <w:lang w:val="en-CA"/>
        </w:rPr>
        <w:t xml:space="preserve">weighed all the evidence and </w:t>
      </w:r>
      <w:r w:rsidR="001426AD">
        <w:rPr>
          <w:lang w:val="en-CA"/>
        </w:rPr>
        <w:t xml:space="preserve">arrived at </w:t>
      </w:r>
      <w:r w:rsidR="00D77507" w:rsidRPr="0076473C">
        <w:rPr>
          <w:lang w:val="en-CA"/>
        </w:rPr>
        <w:t xml:space="preserve">a sentence </w:t>
      </w:r>
      <w:r w:rsidR="008B4832" w:rsidRPr="0076473C">
        <w:rPr>
          <w:lang w:val="en-CA"/>
        </w:rPr>
        <w:t>of 5 months’ imprisonment for t</w:t>
      </w:r>
      <w:r w:rsidR="00D77507" w:rsidRPr="0076473C">
        <w:rPr>
          <w:lang w:val="en-CA"/>
        </w:rPr>
        <w:t>h</w:t>
      </w:r>
      <w:r w:rsidR="008B4832" w:rsidRPr="0076473C">
        <w:rPr>
          <w:lang w:val="en-CA"/>
        </w:rPr>
        <w:t>e</w:t>
      </w:r>
      <w:r w:rsidR="00D77507" w:rsidRPr="0076473C">
        <w:rPr>
          <w:lang w:val="en-CA"/>
        </w:rPr>
        <w:t xml:space="preserve"> offence of luring.</w:t>
      </w:r>
      <w:r w:rsidR="00562F60" w:rsidRPr="0076473C">
        <w:rPr>
          <w:lang w:val="en-CA"/>
        </w:rPr>
        <w:t xml:space="preserve"> </w:t>
      </w:r>
      <w:r w:rsidR="00774D1E">
        <w:rPr>
          <w:lang w:val="en-CA"/>
        </w:rPr>
        <w:t>T</w:t>
      </w:r>
      <w:r w:rsidR="00D77507" w:rsidRPr="0076473C">
        <w:rPr>
          <w:lang w:val="en-CA"/>
        </w:rPr>
        <w:t xml:space="preserve">o appreciate the overall </w:t>
      </w:r>
      <w:r w:rsidR="00774D1E">
        <w:rPr>
          <w:lang w:val="en-CA"/>
        </w:rPr>
        <w:t>fitness</w:t>
      </w:r>
      <w:r w:rsidR="00774D1E" w:rsidRPr="0076473C">
        <w:rPr>
          <w:lang w:val="en-CA"/>
        </w:rPr>
        <w:t xml:space="preserve"> </w:t>
      </w:r>
      <w:r w:rsidR="00D77507" w:rsidRPr="0076473C">
        <w:rPr>
          <w:lang w:val="en-CA"/>
        </w:rPr>
        <w:t xml:space="preserve">of this sentence, it is important to note that the judge </w:t>
      </w:r>
      <w:r w:rsidR="00774D1E">
        <w:rPr>
          <w:lang w:val="en-CA"/>
        </w:rPr>
        <w:t>added</w:t>
      </w:r>
      <w:r w:rsidR="00D77507" w:rsidRPr="0076473C">
        <w:rPr>
          <w:lang w:val="en-CA"/>
        </w:rPr>
        <w:t xml:space="preserve"> a probation order and numerous additional restrictive orders</w:t>
      </w:r>
      <w:r w:rsidR="00774D1E">
        <w:rPr>
          <w:lang w:val="en-CA"/>
        </w:rPr>
        <w:t xml:space="preserve"> to the prison sentences. S</w:t>
      </w:r>
      <w:r w:rsidR="00D77507" w:rsidRPr="0076473C">
        <w:rPr>
          <w:lang w:val="en-CA"/>
        </w:rPr>
        <w:t>he set out</w:t>
      </w:r>
      <w:r w:rsidR="00774D1E">
        <w:rPr>
          <w:lang w:val="en-CA"/>
        </w:rPr>
        <w:t xml:space="preserve"> these orders</w:t>
      </w:r>
      <w:r w:rsidR="00D77507" w:rsidRPr="0076473C">
        <w:rPr>
          <w:lang w:val="en-CA"/>
        </w:rPr>
        <w:t xml:space="preserve"> as follows in her conclusions:</w:t>
      </w:r>
    </w:p>
    <w:p w14:paraId="35A403CC" w14:textId="05A9E8C6" w:rsidR="00774D1E" w:rsidRDefault="00774D1E" w:rsidP="00562F60">
      <w:pPr>
        <w:pStyle w:val="Citationenretrait"/>
        <w:rPr>
          <w:lang w:val="en-CA"/>
        </w:rPr>
      </w:pPr>
      <w:r>
        <w:rPr>
          <w:lang w:val="en-CA"/>
        </w:rPr>
        <w:t>[</w:t>
      </w:r>
      <w:r w:rsidRPr="009B7B69">
        <w:rPr>
          <w:smallCaps/>
          <w:lang w:val="en-CA"/>
        </w:rPr>
        <w:t>translation</w:t>
      </w:r>
      <w:r>
        <w:rPr>
          <w:lang w:val="en-CA"/>
        </w:rPr>
        <w:t>]</w:t>
      </w:r>
    </w:p>
    <w:p w14:paraId="30354A6C" w14:textId="73F223CB" w:rsidR="00562F60" w:rsidRPr="0076473C" w:rsidRDefault="00562F60" w:rsidP="00562F60">
      <w:pPr>
        <w:pStyle w:val="Citationenretrait"/>
        <w:rPr>
          <w:rFonts w:ascii="Times New Roman" w:hAnsi="Times New Roman"/>
          <w:lang w:val="en-CA" w:eastAsia="fr-CA"/>
        </w:rPr>
      </w:pPr>
      <w:r w:rsidRPr="0076473C">
        <w:rPr>
          <w:lang w:val="en-CA"/>
        </w:rPr>
        <w:t>[</w:t>
      </w:r>
      <w:bookmarkStart w:id="16" w:name="par87"/>
      <w:r w:rsidRPr="0076473C">
        <w:rPr>
          <w:lang w:val="en-CA"/>
        </w:rPr>
        <w:t>87</w:t>
      </w:r>
      <w:bookmarkEnd w:id="16"/>
      <w:r w:rsidRPr="0076473C">
        <w:rPr>
          <w:lang w:val="en-CA"/>
        </w:rPr>
        <w:t>]</w:t>
      </w:r>
      <w:r w:rsidRPr="0076473C">
        <w:rPr>
          <w:sz w:val="14"/>
          <w:szCs w:val="14"/>
          <w:lang w:val="en-CA"/>
        </w:rPr>
        <w:tab/>
      </w:r>
      <w:r w:rsidR="00D77507" w:rsidRPr="0076473C">
        <w:rPr>
          <w:rStyle w:val="aucun0"/>
          <w:b/>
          <w:bCs/>
          <w:lang w:val="en-CA"/>
        </w:rPr>
        <w:t>ORDERS</w:t>
      </w:r>
      <w:r w:rsidR="00D77507" w:rsidRPr="0076473C">
        <w:rPr>
          <w:rStyle w:val="aucun0"/>
          <w:bCs/>
          <w:lang w:val="en-CA"/>
        </w:rPr>
        <w:t xml:space="preserve"> the </w:t>
      </w:r>
      <w:r w:rsidR="008B4832" w:rsidRPr="0076473C">
        <w:rPr>
          <w:rStyle w:val="aucun0"/>
          <w:bCs/>
          <w:lang w:val="en-CA"/>
        </w:rPr>
        <w:t>offender</w:t>
      </w:r>
      <w:r w:rsidR="00D77507" w:rsidRPr="0076473C">
        <w:rPr>
          <w:rStyle w:val="aucun0"/>
          <w:bCs/>
          <w:lang w:val="en-CA"/>
        </w:rPr>
        <w:t xml:space="preserve"> to comply with a probation order for a period </w:t>
      </w:r>
      <w:r w:rsidR="001426AD">
        <w:rPr>
          <w:rStyle w:val="aucun0"/>
          <w:bCs/>
          <w:lang w:val="en-CA"/>
        </w:rPr>
        <w:t>2</w:t>
      </w:r>
      <w:r w:rsidR="00D77507" w:rsidRPr="0076473C">
        <w:rPr>
          <w:rStyle w:val="aucun0"/>
          <w:bCs/>
          <w:lang w:val="en-CA"/>
        </w:rPr>
        <w:t xml:space="preserve"> years, with </w:t>
      </w:r>
      <w:r w:rsidR="00AF2D02">
        <w:rPr>
          <w:rStyle w:val="aucun0"/>
          <w:bCs/>
          <w:lang w:val="en-CA"/>
        </w:rPr>
        <w:t>supervision</w:t>
      </w:r>
      <w:r w:rsidR="00D77507" w:rsidRPr="0076473C">
        <w:rPr>
          <w:rStyle w:val="aucun0"/>
          <w:bCs/>
          <w:lang w:val="en-CA"/>
        </w:rPr>
        <w:t xml:space="preserve"> for the same period, the conditions of which are the following:</w:t>
      </w:r>
    </w:p>
    <w:p w14:paraId="0774CC5B" w14:textId="0C48049F" w:rsidR="00562F60" w:rsidRPr="006C0449" w:rsidRDefault="001426AD" w:rsidP="00562F60">
      <w:pPr>
        <w:pStyle w:val="Citationenretrait"/>
        <w:numPr>
          <w:ilvl w:val="1"/>
          <w:numId w:val="26"/>
        </w:numPr>
        <w:ind w:left="1418" w:hanging="142"/>
        <w:rPr>
          <w:lang w:val="en-CA"/>
        </w:rPr>
      </w:pPr>
      <w:r>
        <w:rPr>
          <w:lang w:val="en-CA"/>
        </w:rPr>
        <w:t>K</w:t>
      </w:r>
      <w:r w:rsidR="00D77507" w:rsidRPr="006C0449">
        <w:rPr>
          <w:lang w:val="en-CA"/>
        </w:rPr>
        <w:t>eep the peace and be of good behaviour;</w:t>
      </w:r>
    </w:p>
    <w:p w14:paraId="26D07E9A" w14:textId="16D56442" w:rsidR="00562F60" w:rsidRPr="006C0449" w:rsidRDefault="001426AD" w:rsidP="00562F60">
      <w:pPr>
        <w:pStyle w:val="Citationenretrait"/>
        <w:numPr>
          <w:ilvl w:val="1"/>
          <w:numId w:val="26"/>
        </w:numPr>
        <w:ind w:left="1418" w:hanging="142"/>
        <w:rPr>
          <w:lang w:val="en-CA"/>
        </w:rPr>
      </w:pPr>
      <w:r>
        <w:rPr>
          <w:lang w:val="en-CA"/>
        </w:rPr>
        <w:t>A</w:t>
      </w:r>
      <w:r w:rsidR="00D77507" w:rsidRPr="006C0449">
        <w:rPr>
          <w:lang w:val="en-CA"/>
        </w:rPr>
        <w:t>ppear before the Court when required to do so by the Court;</w:t>
      </w:r>
    </w:p>
    <w:p w14:paraId="27958E9F" w14:textId="189C6689" w:rsidR="00562F60" w:rsidRPr="006C0449" w:rsidRDefault="00D77507" w:rsidP="00562F60">
      <w:pPr>
        <w:pStyle w:val="Citationenretrait"/>
        <w:numPr>
          <w:ilvl w:val="1"/>
          <w:numId w:val="26"/>
        </w:numPr>
        <w:ind w:left="1418" w:hanging="142"/>
        <w:rPr>
          <w:lang w:val="en-CA"/>
        </w:rPr>
      </w:pPr>
      <w:r w:rsidRPr="006C0449">
        <w:rPr>
          <w:lang w:val="en-CA"/>
        </w:rPr>
        <w:lastRenderedPageBreak/>
        <w:t>Notify the probation officer of any change of name or address, and promptly notify the probation officer of any change of employment or occupation.</w:t>
      </w:r>
    </w:p>
    <w:p w14:paraId="2F8D37D7" w14:textId="6BDC0740" w:rsidR="00562F60" w:rsidRPr="006C0449" w:rsidRDefault="001426AD" w:rsidP="00562F60">
      <w:pPr>
        <w:pStyle w:val="Citationenretrait"/>
        <w:numPr>
          <w:ilvl w:val="1"/>
          <w:numId w:val="26"/>
        </w:numPr>
        <w:ind w:left="1418" w:hanging="142"/>
        <w:rPr>
          <w:lang w:val="en-CA"/>
        </w:rPr>
      </w:pPr>
      <w:r>
        <w:rPr>
          <w:lang w:val="en-CA"/>
        </w:rPr>
        <w:t>A</w:t>
      </w:r>
      <w:r w:rsidR="00D77507" w:rsidRPr="006C0449">
        <w:rPr>
          <w:lang w:val="en-CA"/>
        </w:rPr>
        <w:t>bstain from communicating directly or indirectly with X;</w:t>
      </w:r>
    </w:p>
    <w:p w14:paraId="57A3F0EC" w14:textId="2043C53E" w:rsidR="00562F60" w:rsidRPr="006C0449" w:rsidRDefault="001426AD" w:rsidP="00562F60">
      <w:pPr>
        <w:pStyle w:val="Citationenretrait"/>
        <w:numPr>
          <w:ilvl w:val="1"/>
          <w:numId w:val="26"/>
        </w:numPr>
        <w:ind w:left="1418" w:hanging="142"/>
        <w:rPr>
          <w:lang w:val="en-CA"/>
        </w:rPr>
      </w:pPr>
      <w:r>
        <w:rPr>
          <w:lang w:val="en-CA"/>
        </w:rPr>
        <w:t>A</w:t>
      </w:r>
      <w:r w:rsidR="00D77507" w:rsidRPr="006C0449">
        <w:rPr>
          <w:lang w:val="en-CA"/>
        </w:rPr>
        <w:t>bstain from being in the physical presence of X;</w:t>
      </w:r>
    </w:p>
    <w:p w14:paraId="475E61F4" w14:textId="2C873CDB" w:rsidR="00562F60" w:rsidRPr="006C0449" w:rsidRDefault="001426AD" w:rsidP="00562F60">
      <w:pPr>
        <w:pStyle w:val="Citationenretrait"/>
        <w:numPr>
          <w:ilvl w:val="1"/>
          <w:numId w:val="26"/>
        </w:numPr>
        <w:ind w:left="1418" w:hanging="142"/>
        <w:rPr>
          <w:lang w:val="en-CA"/>
        </w:rPr>
      </w:pPr>
      <w:r>
        <w:rPr>
          <w:lang w:val="en-CA"/>
        </w:rPr>
        <w:t>A</w:t>
      </w:r>
      <w:r w:rsidR="00D77507" w:rsidRPr="006C0449">
        <w:rPr>
          <w:lang w:val="en-CA"/>
        </w:rPr>
        <w:t xml:space="preserve">bstain from referring, directly or indirectly, to X on any social media </w:t>
      </w:r>
      <w:r w:rsidR="006A6877" w:rsidRPr="006C0449">
        <w:rPr>
          <w:lang w:val="en-CA"/>
        </w:rPr>
        <w:t>whatsoever</w:t>
      </w:r>
      <w:r w:rsidR="00D77507" w:rsidRPr="006C0449">
        <w:rPr>
          <w:lang w:val="en-CA"/>
        </w:rPr>
        <w:t>;</w:t>
      </w:r>
    </w:p>
    <w:p w14:paraId="0AE0ADC7" w14:textId="4DEC28B8" w:rsidR="00562F60" w:rsidRPr="006C0449" w:rsidRDefault="001426AD" w:rsidP="00562F60">
      <w:pPr>
        <w:pStyle w:val="Citationenretrait"/>
        <w:numPr>
          <w:ilvl w:val="1"/>
          <w:numId w:val="26"/>
        </w:numPr>
        <w:ind w:left="1418" w:hanging="142"/>
        <w:rPr>
          <w:lang w:val="en-CA"/>
        </w:rPr>
      </w:pPr>
      <w:r>
        <w:rPr>
          <w:lang w:val="en-CA"/>
        </w:rPr>
        <w:t>A</w:t>
      </w:r>
      <w:r w:rsidR="00D77507" w:rsidRPr="006C0449">
        <w:rPr>
          <w:lang w:val="en-CA"/>
        </w:rPr>
        <w:t>bstain from being within a 30 metre radius of X’s domicile, workplace or place of study;</w:t>
      </w:r>
    </w:p>
    <w:p w14:paraId="6877607D" w14:textId="7F0BEA28" w:rsidR="00562F60" w:rsidRPr="0076473C" w:rsidRDefault="001426AD" w:rsidP="00562F60">
      <w:pPr>
        <w:pStyle w:val="Citationenretrait"/>
        <w:numPr>
          <w:ilvl w:val="1"/>
          <w:numId w:val="26"/>
        </w:numPr>
        <w:ind w:left="1418" w:hanging="142"/>
        <w:rPr>
          <w:lang w:val="en-CA"/>
        </w:rPr>
      </w:pPr>
      <w:r>
        <w:rPr>
          <w:lang w:val="en-CA"/>
        </w:rPr>
        <w:t>R</w:t>
      </w:r>
      <w:r w:rsidR="00D77507" w:rsidRPr="006C0449">
        <w:rPr>
          <w:lang w:val="en-CA"/>
        </w:rPr>
        <w:t>eport to a probation officer within two working days of the coming into force of the probation order, and thereafter, when required and in the manner directed by the probation officer;</w:t>
      </w:r>
    </w:p>
    <w:p w14:paraId="46BD9A43" w14:textId="0681FAE3" w:rsidR="00562F60" w:rsidRPr="0076473C" w:rsidRDefault="00D77507" w:rsidP="00562F60">
      <w:pPr>
        <w:pStyle w:val="Citationenretrait"/>
        <w:numPr>
          <w:ilvl w:val="1"/>
          <w:numId w:val="26"/>
        </w:numPr>
        <w:ind w:left="1418" w:hanging="142"/>
        <w:rPr>
          <w:lang w:val="en-CA"/>
        </w:rPr>
      </w:pPr>
      <w:r w:rsidRPr="0076473C">
        <w:rPr>
          <w:lang w:val="en-CA"/>
        </w:rPr>
        <w:t>Follow all of the recommendations of the probation officer, including with respect to the psychosocial follow-up on the development of skills in connection with exercising his judgment and identifying solutions to his problems;</w:t>
      </w:r>
    </w:p>
    <w:p w14:paraId="72D3EA08" w14:textId="4E02697D" w:rsidR="00562F60" w:rsidRPr="0076473C" w:rsidRDefault="00562F60" w:rsidP="00562F60">
      <w:pPr>
        <w:pStyle w:val="Citationenretrait"/>
        <w:rPr>
          <w:lang w:val="en-CA"/>
        </w:rPr>
      </w:pPr>
      <w:r w:rsidRPr="0076473C">
        <w:rPr>
          <w:lang w:val="en-CA"/>
        </w:rPr>
        <w:t>[</w:t>
      </w:r>
      <w:bookmarkStart w:id="17" w:name="par88"/>
      <w:r w:rsidRPr="0076473C">
        <w:rPr>
          <w:lang w:val="en-CA"/>
        </w:rPr>
        <w:t>88</w:t>
      </w:r>
      <w:bookmarkEnd w:id="17"/>
      <w:r w:rsidRPr="0076473C">
        <w:rPr>
          <w:lang w:val="en-CA"/>
        </w:rPr>
        <w:t>]</w:t>
      </w:r>
      <w:r w:rsidRPr="0076473C">
        <w:rPr>
          <w:sz w:val="14"/>
          <w:szCs w:val="14"/>
          <w:lang w:val="en-CA"/>
        </w:rPr>
        <w:t xml:space="preserve"> </w:t>
      </w:r>
      <w:r w:rsidRPr="0076473C">
        <w:rPr>
          <w:sz w:val="14"/>
          <w:szCs w:val="14"/>
          <w:lang w:val="en-CA"/>
        </w:rPr>
        <w:tab/>
      </w:r>
      <w:r w:rsidR="00D77507" w:rsidRPr="006C0449">
        <w:rPr>
          <w:rStyle w:val="aucun0"/>
          <w:b/>
          <w:bCs/>
          <w:lang w:val="en-CA"/>
        </w:rPr>
        <w:t>PROHIBITS</w:t>
      </w:r>
      <w:r w:rsidR="00D77507" w:rsidRPr="006C0449">
        <w:rPr>
          <w:rStyle w:val="aucun0"/>
          <w:bCs/>
          <w:lang w:val="en-CA"/>
        </w:rPr>
        <w:t xml:space="preserve"> the offender from seeking, obtaining or continuing any employment, whether or not the employment is remunerated, or becoming or being a volunteer in a capacity, that involves being in a position of trust or authority towards persons under the age of 16 years</w:t>
      </w:r>
      <w:r w:rsidR="001426AD">
        <w:rPr>
          <w:rStyle w:val="aucun0"/>
          <w:bCs/>
          <w:lang w:val="en-CA"/>
        </w:rPr>
        <w:t>,</w:t>
      </w:r>
      <w:r w:rsidR="00D77507" w:rsidRPr="006C0449">
        <w:rPr>
          <w:rStyle w:val="aucun0"/>
          <w:bCs/>
          <w:lang w:val="en-CA"/>
        </w:rPr>
        <w:t xml:space="preserve"> pursuant to s. 161(1)(</w:t>
      </w:r>
      <w:r w:rsidR="00D77507" w:rsidRPr="009B7B69">
        <w:rPr>
          <w:rStyle w:val="aucun0"/>
          <w:bCs/>
          <w:i/>
          <w:lang w:val="en-CA"/>
        </w:rPr>
        <w:t>b</w:t>
      </w:r>
      <w:r w:rsidR="00D77507" w:rsidRPr="006C0449">
        <w:rPr>
          <w:rStyle w:val="aucun0"/>
          <w:bCs/>
          <w:lang w:val="en-CA"/>
        </w:rPr>
        <w:t xml:space="preserve">) of the </w:t>
      </w:r>
      <w:r w:rsidR="00D77507" w:rsidRPr="006C0449">
        <w:rPr>
          <w:rStyle w:val="aucun0"/>
          <w:bCs/>
          <w:i/>
          <w:lang w:val="en-CA"/>
        </w:rPr>
        <w:t>Criminal Code</w:t>
      </w:r>
      <w:r w:rsidR="00D77507" w:rsidRPr="006C0449">
        <w:rPr>
          <w:rStyle w:val="aucun0"/>
          <w:bCs/>
          <w:lang w:val="en-CA"/>
        </w:rPr>
        <w:t xml:space="preserve">, for a period of </w:t>
      </w:r>
      <w:r w:rsidR="001426AD">
        <w:rPr>
          <w:rStyle w:val="aucun0"/>
          <w:bCs/>
          <w:lang w:val="en-CA"/>
        </w:rPr>
        <w:t>5</w:t>
      </w:r>
      <w:r w:rsidR="00D77507" w:rsidRPr="006C0449">
        <w:rPr>
          <w:rStyle w:val="aucun0"/>
          <w:bCs/>
          <w:lang w:val="en-CA"/>
        </w:rPr>
        <w:t xml:space="preserve"> years;</w:t>
      </w:r>
    </w:p>
    <w:p w14:paraId="46C6321D" w14:textId="3D2306F7" w:rsidR="00562F60" w:rsidRPr="0076473C" w:rsidRDefault="00562F60" w:rsidP="00562F60">
      <w:pPr>
        <w:pStyle w:val="Citationenretrait"/>
        <w:rPr>
          <w:lang w:val="en-CA"/>
        </w:rPr>
      </w:pPr>
      <w:r w:rsidRPr="0076473C">
        <w:rPr>
          <w:lang w:val="en-CA"/>
        </w:rPr>
        <w:t>[</w:t>
      </w:r>
      <w:bookmarkStart w:id="18" w:name="par89"/>
      <w:r w:rsidRPr="0076473C">
        <w:rPr>
          <w:lang w:val="en-CA"/>
        </w:rPr>
        <w:t>89</w:t>
      </w:r>
      <w:bookmarkEnd w:id="18"/>
      <w:r w:rsidRPr="0076473C">
        <w:rPr>
          <w:lang w:val="en-CA"/>
        </w:rPr>
        <w:t>]</w:t>
      </w:r>
      <w:r w:rsidRPr="0076473C">
        <w:rPr>
          <w:sz w:val="14"/>
          <w:szCs w:val="14"/>
          <w:lang w:val="en-CA"/>
        </w:rPr>
        <w:t xml:space="preserve"> </w:t>
      </w:r>
      <w:r w:rsidRPr="0076473C">
        <w:rPr>
          <w:sz w:val="14"/>
          <w:szCs w:val="14"/>
          <w:lang w:val="en-CA"/>
        </w:rPr>
        <w:tab/>
      </w:r>
      <w:r w:rsidR="00D77507" w:rsidRPr="0076473C">
        <w:rPr>
          <w:rStyle w:val="aucun0"/>
          <w:b/>
          <w:bCs/>
          <w:lang w:val="en-CA"/>
        </w:rPr>
        <w:t>PROHIBITS</w:t>
      </w:r>
      <w:r w:rsidR="00D77507" w:rsidRPr="0076473C">
        <w:rPr>
          <w:rStyle w:val="aucun0"/>
          <w:bCs/>
          <w:lang w:val="en-CA"/>
        </w:rPr>
        <w:t xml:space="preserve"> the offender from having any contact — including communicating by any means — with a person who is under the age of 16 years, unless the offender does so under the supervision of a person responsible for this person under the age of 16 years and who has knowledge of this conviction </w:t>
      </w:r>
      <w:r w:rsidR="00824A5E" w:rsidRPr="0076473C">
        <w:rPr>
          <w:rStyle w:val="aucun0"/>
          <w:bCs/>
          <w:lang w:val="en-CA"/>
        </w:rPr>
        <w:t>pursuant</w:t>
      </w:r>
      <w:r w:rsidR="00D77507" w:rsidRPr="0076473C">
        <w:rPr>
          <w:rStyle w:val="aucun0"/>
          <w:bCs/>
          <w:lang w:val="en-CA"/>
        </w:rPr>
        <w:t xml:space="preserve"> to s. 161(1)(</w:t>
      </w:r>
      <w:r w:rsidR="00D77507" w:rsidRPr="009B7B69">
        <w:rPr>
          <w:rStyle w:val="aucun0"/>
          <w:bCs/>
          <w:i/>
          <w:lang w:val="en-CA"/>
        </w:rPr>
        <w:t>c</w:t>
      </w:r>
      <w:r w:rsidR="00D77507" w:rsidRPr="0076473C">
        <w:rPr>
          <w:rStyle w:val="aucun0"/>
          <w:bCs/>
          <w:lang w:val="en-CA"/>
        </w:rPr>
        <w:t xml:space="preserve">) of the </w:t>
      </w:r>
      <w:r w:rsidR="00D77507" w:rsidRPr="0076473C">
        <w:rPr>
          <w:rStyle w:val="aucun0"/>
          <w:bCs/>
          <w:i/>
          <w:lang w:val="en-CA"/>
        </w:rPr>
        <w:t>Criminal Code</w:t>
      </w:r>
      <w:r w:rsidR="00D77507" w:rsidRPr="0076473C">
        <w:rPr>
          <w:rStyle w:val="aucun0"/>
          <w:bCs/>
          <w:lang w:val="en-CA"/>
        </w:rPr>
        <w:t xml:space="preserve">, for a period of </w:t>
      </w:r>
      <w:r w:rsidR="001426AD">
        <w:rPr>
          <w:rStyle w:val="aucun0"/>
          <w:bCs/>
          <w:lang w:val="en-CA"/>
        </w:rPr>
        <w:t>5</w:t>
      </w:r>
      <w:r w:rsidR="00D77507" w:rsidRPr="0076473C">
        <w:rPr>
          <w:rStyle w:val="aucun0"/>
          <w:bCs/>
          <w:lang w:val="en-CA"/>
        </w:rPr>
        <w:t xml:space="preserve"> years;</w:t>
      </w:r>
    </w:p>
    <w:p w14:paraId="3C7D4A18" w14:textId="323C99B5" w:rsidR="00562F60" w:rsidRPr="0076473C" w:rsidRDefault="00562F60" w:rsidP="00562F60">
      <w:pPr>
        <w:pStyle w:val="Citationenretrait"/>
        <w:rPr>
          <w:lang w:val="en-CA"/>
        </w:rPr>
      </w:pPr>
      <w:r w:rsidRPr="0076473C">
        <w:rPr>
          <w:lang w:val="en-CA"/>
        </w:rPr>
        <w:t>[</w:t>
      </w:r>
      <w:bookmarkStart w:id="19" w:name="par90"/>
      <w:r w:rsidRPr="0076473C">
        <w:rPr>
          <w:lang w:val="en-CA"/>
        </w:rPr>
        <w:t>90</w:t>
      </w:r>
      <w:bookmarkEnd w:id="19"/>
      <w:r w:rsidRPr="0076473C">
        <w:rPr>
          <w:lang w:val="en-CA"/>
        </w:rPr>
        <w:t>]</w:t>
      </w:r>
      <w:r w:rsidRPr="0076473C">
        <w:rPr>
          <w:sz w:val="14"/>
          <w:szCs w:val="14"/>
          <w:lang w:val="en-CA"/>
        </w:rPr>
        <w:tab/>
      </w:r>
      <w:r w:rsidR="00D77507" w:rsidRPr="006C0449">
        <w:rPr>
          <w:rStyle w:val="aucun0"/>
          <w:b/>
          <w:bCs/>
          <w:lang w:val="en-CA"/>
        </w:rPr>
        <w:t>PROHIBITS</w:t>
      </w:r>
      <w:r w:rsidR="00D77507" w:rsidRPr="006C0449">
        <w:rPr>
          <w:rStyle w:val="aucun0"/>
          <w:bCs/>
          <w:lang w:val="en-CA"/>
        </w:rPr>
        <w:t xml:space="preserve"> the offender from communicating, directly or indirectly, with X during the custodial period of the sentence pursuant to s. 743.21 of the </w:t>
      </w:r>
      <w:r w:rsidR="00D77507" w:rsidRPr="006C0449">
        <w:rPr>
          <w:rStyle w:val="aucun0"/>
          <w:bCs/>
          <w:i/>
          <w:lang w:val="en-CA"/>
        </w:rPr>
        <w:t>Criminal</w:t>
      </w:r>
      <w:r w:rsidR="001426AD">
        <w:rPr>
          <w:rStyle w:val="aucun0"/>
          <w:bCs/>
          <w:i/>
          <w:lang w:val="en-CA"/>
        </w:rPr>
        <w:t> </w:t>
      </w:r>
      <w:r w:rsidR="00D77507" w:rsidRPr="006C0449">
        <w:rPr>
          <w:rStyle w:val="aucun0"/>
          <w:bCs/>
          <w:i/>
          <w:lang w:val="en-CA"/>
        </w:rPr>
        <w:t>Code</w:t>
      </w:r>
      <w:r w:rsidR="00D77507" w:rsidRPr="006C0449">
        <w:rPr>
          <w:rStyle w:val="aucun0"/>
          <w:bCs/>
          <w:lang w:val="en-CA"/>
        </w:rPr>
        <w:t>;</w:t>
      </w:r>
    </w:p>
    <w:p w14:paraId="2D90401B" w14:textId="2AC28758" w:rsidR="00562F60" w:rsidRPr="0076473C" w:rsidRDefault="00562F60" w:rsidP="00562F60">
      <w:pPr>
        <w:pStyle w:val="Citationenretrait"/>
        <w:rPr>
          <w:lang w:val="en-CA"/>
        </w:rPr>
      </w:pPr>
      <w:r w:rsidRPr="0076473C">
        <w:rPr>
          <w:lang w:val="en-CA"/>
        </w:rPr>
        <w:t>[</w:t>
      </w:r>
      <w:bookmarkStart w:id="20" w:name="par91"/>
      <w:r w:rsidRPr="0076473C">
        <w:rPr>
          <w:lang w:val="en-CA"/>
        </w:rPr>
        <w:t>91</w:t>
      </w:r>
      <w:bookmarkEnd w:id="20"/>
      <w:r w:rsidRPr="0076473C">
        <w:rPr>
          <w:lang w:val="en-CA"/>
        </w:rPr>
        <w:t>]</w:t>
      </w:r>
      <w:r w:rsidRPr="0076473C">
        <w:rPr>
          <w:sz w:val="14"/>
          <w:szCs w:val="14"/>
          <w:lang w:val="en-CA"/>
        </w:rPr>
        <w:tab/>
      </w:r>
      <w:r w:rsidR="009349AB" w:rsidRPr="006C0449">
        <w:rPr>
          <w:rStyle w:val="aucun0"/>
          <w:b/>
          <w:bCs/>
          <w:lang w:val="en-CA"/>
        </w:rPr>
        <w:t>ORDERS</w:t>
      </w:r>
      <w:r w:rsidR="009349AB" w:rsidRPr="006C0449">
        <w:rPr>
          <w:rStyle w:val="aucun0"/>
          <w:bCs/>
          <w:lang w:val="en-CA"/>
        </w:rPr>
        <w:t xml:space="preserve"> the offender to comply with the </w:t>
      </w:r>
      <w:r w:rsidR="009349AB" w:rsidRPr="006C0449">
        <w:rPr>
          <w:rStyle w:val="aucun0"/>
          <w:bCs/>
          <w:i/>
          <w:lang w:val="en-CA"/>
        </w:rPr>
        <w:t>Sex Offender Information Registration Act</w:t>
      </w:r>
      <w:r w:rsidR="009349AB" w:rsidRPr="006C0449">
        <w:rPr>
          <w:rStyle w:val="aucun0"/>
          <w:bCs/>
          <w:lang w:val="en-CA"/>
        </w:rPr>
        <w:t xml:space="preserve"> for life, pursuant to ss. 490.012(1) and 490.013(2.1) of the </w:t>
      </w:r>
      <w:r w:rsidR="009349AB" w:rsidRPr="006C0449">
        <w:rPr>
          <w:rStyle w:val="aucun0"/>
          <w:bCs/>
          <w:i/>
          <w:lang w:val="en-CA"/>
        </w:rPr>
        <w:t>Criminal Code</w:t>
      </w:r>
      <w:r w:rsidR="009349AB" w:rsidRPr="006C0449">
        <w:rPr>
          <w:rStyle w:val="aucun0"/>
          <w:bCs/>
          <w:lang w:val="en-CA"/>
        </w:rPr>
        <w:t>;</w:t>
      </w:r>
    </w:p>
    <w:p w14:paraId="11F806EE" w14:textId="1F45BD72" w:rsidR="00562F60" w:rsidRPr="0076473C" w:rsidRDefault="00562F60" w:rsidP="00562F60">
      <w:pPr>
        <w:pStyle w:val="Citationenretrait"/>
        <w:rPr>
          <w:lang w:val="en-CA"/>
        </w:rPr>
      </w:pPr>
      <w:r w:rsidRPr="0076473C">
        <w:rPr>
          <w:lang w:val="en-CA"/>
        </w:rPr>
        <w:t>[</w:t>
      </w:r>
      <w:bookmarkStart w:id="21" w:name="par92"/>
      <w:r w:rsidRPr="0076473C">
        <w:rPr>
          <w:lang w:val="en-CA"/>
        </w:rPr>
        <w:t>92</w:t>
      </w:r>
      <w:bookmarkEnd w:id="21"/>
      <w:r w:rsidRPr="0076473C">
        <w:rPr>
          <w:lang w:val="en-CA"/>
        </w:rPr>
        <w:t>]</w:t>
      </w:r>
      <w:r w:rsidRPr="0076473C">
        <w:rPr>
          <w:sz w:val="14"/>
          <w:szCs w:val="14"/>
          <w:lang w:val="en-CA"/>
        </w:rPr>
        <w:t> </w:t>
      </w:r>
      <w:r w:rsidRPr="0076473C">
        <w:rPr>
          <w:sz w:val="14"/>
          <w:szCs w:val="14"/>
          <w:lang w:val="en-CA"/>
        </w:rPr>
        <w:tab/>
      </w:r>
      <w:r w:rsidR="009349AB" w:rsidRPr="006C0449">
        <w:rPr>
          <w:rStyle w:val="aucun0"/>
          <w:b/>
          <w:bCs/>
          <w:lang w:val="en-CA"/>
        </w:rPr>
        <w:t>ORDERS</w:t>
      </w:r>
      <w:r w:rsidR="009349AB" w:rsidRPr="006C0449">
        <w:rPr>
          <w:rStyle w:val="aucun0"/>
          <w:bCs/>
          <w:lang w:val="en-CA"/>
        </w:rPr>
        <w:t xml:space="preserve"> the taking of the number of samples of bodily substances from the offender that is reasonably required for the purpose of forensic DNA analysis, pursuant to s. 487.051(1) of the </w:t>
      </w:r>
      <w:r w:rsidR="009349AB" w:rsidRPr="006C0449">
        <w:rPr>
          <w:rStyle w:val="aucun0"/>
          <w:bCs/>
          <w:i/>
          <w:lang w:val="en-CA"/>
        </w:rPr>
        <w:t>Criminal Code</w:t>
      </w:r>
      <w:r w:rsidR="001426AD">
        <w:rPr>
          <w:rStyle w:val="aucun0"/>
          <w:bCs/>
          <w:lang w:val="en-CA"/>
        </w:rPr>
        <w:t>,</w:t>
      </w:r>
      <w:r w:rsidR="009349AB" w:rsidRPr="006C0449">
        <w:rPr>
          <w:rStyle w:val="aucun0"/>
          <w:bCs/>
          <w:i/>
          <w:lang w:val="en-CA"/>
        </w:rPr>
        <w:t xml:space="preserve"> </w:t>
      </w:r>
      <w:r w:rsidR="009349AB" w:rsidRPr="006C0449">
        <w:rPr>
          <w:rStyle w:val="aucun0"/>
          <w:bCs/>
          <w:lang w:val="en-CA"/>
        </w:rPr>
        <w:t>within 60 days.</w:t>
      </w:r>
    </w:p>
    <w:p w14:paraId="732E97FF" w14:textId="07B8832F" w:rsidR="00562F60" w:rsidRPr="0076473C" w:rsidRDefault="003E7773" w:rsidP="00562F60">
      <w:pPr>
        <w:pStyle w:val="Paragraphe"/>
        <w:spacing w:line="280" w:lineRule="exact"/>
        <w:rPr>
          <w:lang w:val="en-CA"/>
        </w:rPr>
      </w:pPr>
      <w:r w:rsidRPr="0076473C">
        <w:rPr>
          <w:lang w:val="en-CA"/>
        </w:rPr>
        <w:lastRenderedPageBreak/>
        <w:t xml:space="preserve">As this Court noted in </w:t>
      </w:r>
      <w:r w:rsidRPr="0076473C">
        <w:rPr>
          <w:i/>
          <w:lang w:val="en-CA"/>
        </w:rPr>
        <w:t>Caron Barrette</w:t>
      </w:r>
      <w:r w:rsidRPr="0076473C">
        <w:rPr>
          <w:lang w:val="en-CA"/>
        </w:rPr>
        <w:t>,</w:t>
      </w:r>
      <w:r w:rsidR="001426AD" w:rsidRPr="0076473C">
        <w:rPr>
          <w:rStyle w:val="Appelnotedebasdep"/>
          <w:lang w:val="en-CA"/>
        </w:rPr>
        <w:footnoteReference w:id="85"/>
      </w:r>
      <w:r w:rsidR="001426AD" w:rsidRPr="0076473C">
        <w:rPr>
          <w:lang w:val="en-CA"/>
        </w:rPr>
        <w:t xml:space="preserve"> </w:t>
      </w:r>
      <w:r w:rsidRPr="0076473C">
        <w:rPr>
          <w:lang w:val="en-CA"/>
        </w:rPr>
        <w:t xml:space="preserve">the mandatory and additional orders </w:t>
      </w:r>
      <w:r w:rsidR="001426AD">
        <w:rPr>
          <w:lang w:val="en-CA"/>
        </w:rPr>
        <w:t>that may be imposed, along with</w:t>
      </w:r>
      <w:r w:rsidRPr="0076473C">
        <w:rPr>
          <w:lang w:val="en-CA"/>
        </w:rPr>
        <w:t xml:space="preserve"> the </w:t>
      </w:r>
      <w:r w:rsidR="00141C50">
        <w:rPr>
          <w:lang w:val="en-CA"/>
        </w:rPr>
        <w:t xml:space="preserve">actual </w:t>
      </w:r>
      <w:r w:rsidRPr="0076473C">
        <w:rPr>
          <w:lang w:val="en-CA"/>
        </w:rPr>
        <w:t xml:space="preserve">sentence, </w:t>
      </w:r>
      <w:r w:rsidR="001426AD">
        <w:rPr>
          <w:lang w:val="en-CA"/>
        </w:rPr>
        <w:t xml:space="preserve">serve to achieve Parliament’s </w:t>
      </w:r>
      <w:r w:rsidRPr="0076473C">
        <w:rPr>
          <w:lang w:val="en-CA"/>
        </w:rPr>
        <w:t xml:space="preserve">objective of denunciation and deterrence in s. 718.01 </w:t>
      </w:r>
      <w:r w:rsidRPr="0076473C">
        <w:rPr>
          <w:i/>
          <w:lang w:val="en-CA"/>
        </w:rPr>
        <w:t>Cr. C</w:t>
      </w:r>
      <w:r w:rsidRPr="0076473C">
        <w:rPr>
          <w:lang w:val="en-CA"/>
        </w:rPr>
        <w:t xml:space="preserve">. This is all the more </w:t>
      </w:r>
      <w:r w:rsidR="009E351F">
        <w:rPr>
          <w:lang w:val="en-CA"/>
        </w:rPr>
        <w:t>the case here</w:t>
      </w:r>
      <w:r w:rsidRPr="0076473C">
        <w:rPr>
          <w:lang w:val="en-CA"/>
        </w:rPr>
        <w:t xml:space="preserve">, where the prohibitions and additional orders </w:t>
      </w:r>
      <w:r w:rsidR="009E351F">
        <w:rPr>
          <w:lang w:val="en-CA"/>
        </w:rPr>
        <w:t xml:space="preserve">the judge </w:t>
      </w:r>
      <w:r w:rsidRPr="0076473C">
        <w:rPr>
          <w:lang w:val="en-CA"/>
        </w:rPr>
        <w:t xml:space="preserve">imposed on the accused </w:t>
      </w:r>
      <w:r w:rsidR="009E351F">
        <w:rPr>
          <w:lang w:val="en-CA"/>
        </w:rPr>
        <w:t xml:space="preserve">in </w:t>
      </w:r>
      <w:r w:rsidRPr="0076473C">
        <w:rPr>
          <w:lang w:val="en-CA"/>
        </w:rPr>
        <w:t xml:space="preserve">paragraphs 88, 89, 91 and 92 of her conclusions are specifically related to the powers and duties Parliament imposes on her in </w:t>
      </w:r>
      <w:r w:rsidR="00141C50">
        <w:rPr>
          <w:lang w:val="en-CA"/>
        </w:rPr>
        <w:t xml:space="preserve">the </w:t>
      </w:r>
      <w:r w:rsidRPr="0076473C">
        <w:rPr>
          <w:lang w:val="en-CA"/>
        </w:rPr>
        <w:t xml:space="preserve">case of a conviction for </w:t>
      </w:r>
      <w:r w:rsidR="009C0868" w:rsidRPr="0076473C">
        <w:rPr>
          <w:lang w:val="en-CA"/>
        </w:rPr>
        <w:t>the</w:t>
      </w:r>
      <w:r w:rsidRPr="0076473C">
        <w:rPr>
          <w:lang w:val="en-CA"/>
        </w:rPr>
        <w:t xml:space="preserve"> offence of luring.</w:t>
      </w:r>
      <w:r w:rsidR="00562F60" w:rsidRPr="0076473C">
        <w:rPr>
          <w:rStyle w:val="Appelnotedebasdep"/>
          <w:lang w:val="en-CA"/>
        </w:rPr>
        <w:footnoteReference w:id="86"/>
      </w:r>
      <w:r w:rsidRPr="0076473C">
        <w:rPr>
          <w:lang w:val="en-CA"/>
        </w:rPr>
        <w:t xml:space="preserve"> </w:t>
      </w:r>
      <w:r w:rsidR="00562F60" w:rsidRPr="0076473C">
        <w:rPr>
          <w:lang w:val="en-CA"/>
        </w:rPr>
        <w:t xml:space="preserve"> </w:t>
      </w:r>
    </w:p>
    <w:p w14:paraId="0D968F45" w14:textId="34DC7952" w:rsidR="003E7773" w:rsidRPr="0076473C" w:rsidRDefault="003E7773" w:rsidP="00562F60">
      <w:pPr>
        <w:pStyle w:val="Paragraphe"/>
        <w:spacing w:line="280" w:lineRule="exact"/>
        <w:rPr>
          <w:lang w:val="en-CA"/>
        </w:rPr>
      </w:pPr>
      <w:r w:rsidRPr="0076473C">
        <w:rPr>
          <w:lang w:val="en-CA" w:eastAsia="fr-CA"/>
        </w:rPr>
        <w:t xml:space="preserve">Thus, </w:t>
      </w:r>
      <w:r w:rsidR="009E351F">
        <w:rPr>
          <w:lang w:val="en-CA" w:eastAsia="fr-CA"/>
        </w:rPr>
        <w:t>although</w:t>
      </w:r>
      <w:r w:rsidRPr="0076473C">
        <w:rPr>
          <w:lang w:val="en-CA" w:eastAsia="fr-CA"/>
        </w:rPr>
        <w:t xml:space="preserve"> s. 718.01 </w:t>
      </w:r>
      <w:r w:rsidRPr="0076473C">
        <w:rPr>
          <w:i/>
          <w:lang w:val="en-CA" w:eastAsia="fr-CA"/>
        </w:rPr>
        <w:t>Cr. C.</w:t>
      </w:r>
      <w:r w:rsidRPr="0076473C">
        <w:rPr>
          <w:lang w:val="en-CA" w:eastAsia="fr-CA"/>
        </w:rPr>
        <w:t xml:space="preserve"> </w:t>
      </w:r>
      <w:r w:rsidR="00B63C39">
        <w:rPr>
          <w:lang w:val="en-CA" w:eastAsia="fr-CA"/>
        </w:rPr>
        <w:t>directs</w:t>
      </w:r>
      <w:r w:rsidR="00B63C39" w:rsidRPr="0076473C">
        <w:rPr>
          <w:lang w:val="en-CA" w:eastAsia="fr-CA"/>
        </w:rPr>
        <w:t xml:space="preserve"> </w:t>
      </w:r>
      <w:r w:rsidRPr="0076473C">
        <w:rPr>
          <w:lang w:val="en-CA" w:eastAsia="fr-CA"/>
        </w:rPr>
        <w:t xml:space="preserve">the Court </w:t>
      </w:r>
      <w:r w:rsidR="00B63C39" w:rsidRPr="0076473C">
        <w:rPr>
          <w:lang w:val="en-CA" w:eastAsia="fr-CA"/>
        </w:rPr>
        <w:t xml:space="preserve">to give primary consideration to the objectives of denunciation and deterrence </w:t>
      </w:r>
      <w:r w:rsidRPr="0076473C">
        <w:rPr>
          <w:lang w:val="en-CA" w:eastAsia="fr-CA"/>
        </w:rPr>
        <w:t xml:space="preserve">when it imposes a sentence for an offence </w:t>
      </w:r>
      <w:r w:rsidR="009E351F">
        <w:rPr>
          <w:lang w:val="en-CA" w:eastAsia="fr-CA"/>
        </w:rPr>
        <w:t>involving</w:t>
      </w:r>
      <w:r w:rsidRPr="0076473C">
        <w:rPr>
          <w:lang w:val="en-CA" w:eastAsia="fr-CA"/>
        </w:rPr>
        <w:t xml:space="preserve"> the abuse of a person under the age of </w:t>
      </w:r>
      <w:r w:rsidR="009E351F">
        <w:rPr>
          <w:lang w:val="en-CA" w:eastAsia="fr-CA"/>
        </w:rPr>
        <w:t>18</w:t>
      </w:r>
      <w:r w:rsidRPr="0076473C">
        <w:rPr>
          <w:lang w:val="en-CA" w:eastAsia="fr-CA"/>
        </w:rPr>
        <w:t xml:space="preserve"> years, </w:t>
      </w:r>
      <w:r w:rsidR="009E351F">
        <w:rPr>
          <w:lang w:val="en-CA" w:eastAsia="fr-CA"/>
        </w:rPr>
        <w:t xml:space="preserve">the judge is </w:t>
      </w:r>
      <w:r w:rsidRPr="0076473C">
        <w:rPr>
          <w:lang w:val="en-CA" w:eastAsia="fr-CA"/>
        </w:rPr>
        <w:t xml:space="preserve">not </w:t>
      </w:r>
      <w:r w:rsidR="009E351F">
        <w:rPr>
          <w:lang w:val="en-CA" w:eastAsia="fr-CA"/>
        </w:rPr>
        <w:t>thereby</w:t>
      </w:r>
      <w:r w:rsidRPr="0076473C">
        <w:rPr>
          <w:lang w:val="en-CA" w:eastAsia="fr-CA"/>
        </w:rPr>
        <w:t xml:space="preserve"> deprive</w:t>
      </w:r>
      <w:r w:rsidR="009E351F">
        <w:rPr>
          <w:lang w:val="en-CA" w:eastAsia="fr-CA"/>
        </w:rPr>
        <w:t>d</w:t>
      </w:r>
      <w:r w:rsidRPr="0076473C">
        <w:rPr>
          <w:lang w:val="en-CA" w:eastAsia="fr-CA"/>
        </w:rPr>
        <w:t xml:space="preserve"> </w:t>
      </w:r>
      <w:r w:rsidR="009E351F">
        <w:rPr>
          <w:lang w:val="en-CA" w:eastAsia="fr-CA"/>
        </w:rPr>
        <w:t xml:space="preserve">of his or her </w:t>
      </w:r>
      <w:r w:rsidRPr="0076473C">
        <w:rPr>
          <w:lang w:val="en-CA" w:eastAsia="fr-CA"/>
        </w:rPr>
        <w:t xml:space="preserve">discretionary power to individualize the </w:t>
      </w:r>
      <w:r w:rsidR="009E351F">
        <w:rPr>
          <w:lang w:val="en-CA" w:eastAsia="fr-CA"/>
        </w:rPr>
        <w:t xml:space="preserve">sentence, giving </w:t>
      </w:r>
      <w:r w:rsidRPr="0076473C">
        <w:rPr>
          <w:lang w:val="en-CA" w:eastAsia="fr-CA"/>
        </w:rPr>
        <w:t xml:space="preserve">regard to all the circumstances </w:t>
      </w:r>
      <w:r w:rsidR="00B63C39">
        <w:rPr>
          <w:lang w:val="en-CA" w:eastAsia="fr-CA"/>
        </w:rPr>
        <w:t>of</w:t>
      </w:r>
      <w:r w:rsidR="00B63C39" w:rsidRPr="0076473C">
        <w:rPr>
          <w:lang w:val="en-CA" w:eastAsia="fr-CA"/>
        </w:rPr>
        <w:t xml:space="preserve"> </w:t>
      </w:r>
      <w:r w:rsidRPr="0076473C">
        <w:rPr>
          <w:lang w:val="en-CA" w:eastAsia="fr-CA"/>
        </w:rPr>
        <w:t xml:space="preserve">the offence </w:t>
      </w:r>
      <w:r w:rsidR="00B63C39">
        <w:rPr>
          <w:lang w:val="en-CA" w:eastAsia="fr-CA"/>
        </w:rPr>
        <w:t>and</w:t>
      </w:r>
      <w:r w:rsidR="00B63C39" w:rsidRPr="0076473C">
        <w:rPr>
          <w:lang w:val="en-CA" w:eastAsia="fr-CA"/>
        </w:rPr>
        <w:t xml:space="preserve"> </w:t>
      </w:r>
      <w:r w:rsidRPr="0076473C">
        <w:rPr>
          <w:lang w:val="en-CA" w:eastAsia="fr-CA"/>
        </w:rPr>
        <w:t>the particular characteristics of the accused.</w:t>
      </w:r>
      <w:r w:rsidR="00562F60" w:rsidRPr="0076473C">
        <w:rPr>
          <w:lang w:val="en-CA" w:eastAsia="fr-CA"/>
        </w:rPr>
        <w:t xml:space="preserve"> </w:t>
      </w:r>
      <w:r w:rsidRPr="0076473C">
        <w:rPr>
          <w:lang w:val="en-CA" w:eastAsia="fr-CA"/>
        </w:rPr>
        <w:t>The judge’s essential task is to wei</w:t>
      </w:r>
      <w:r w:rsidR="009E351F">
        <w:rPr>
          <w:lang w:val="en-CA" w:eastAsia="fr-CA"/>
        </w:rPr>
        <w:t>gh and balance these objectives.</w:t>
      </w:r>
      <w:r w:rsidRPr="0076473C">
        <w:rPr>
          <w:rStyle w:val="Appelnotedebasdep"/>
          <w:lang w:val="en-CA" w:eastAsia="fr-CA"/>
        </w:rPr>
        <w:footnoteReference w:id="87"/>
      </w:r>
      <w:r w:rsidR="009E351F">
        <w:rPr>
          <w:lang w:val="en-CA" w:eastAsia="fr-CA"/>
        </w:rPr>
        <w:t xml:space="preserve"> T</w:t>
      </w:r>
      <w:r w:rsidRPr="0076473C">
        <w:rPr>
          <w:lang w:val="en-CA" w:eastAsia="fr-CA"/>
        </w:rPr>
        <w:t>he objectives of denunciation and deterrence</w:t>
      </w:r>
      <w:r w:rsidR="009E351F">
        <w:rPr>
          <w:lang w:val="en-CA" w:eastAsia="fr-CA"/>
        </w:rPr>
        <w:t xml:space="preserve"> should </w:t>
      </w:r>
      <w:r w:rsidRPr="0076473C">
        <w:rPr>
          <w:lang w:val="en-CA" w:eastAsia="fr-CA"/>
        </w:rPr>
        <w:t>be tempered</w:t>
      </w:r>
      <w:r w:rsidR="009E351F">
        <w:rPr>
          <w:lang w:val="en-CA" w:eastAsia="fr-CA"/>
        </w:rPr>
        <w:t>, for example,</w:t>
      </w:r>
      <w:r w:rsidRPr="0076473C">
        <w:rPr>
          <w:lang w:val="en-CA" w:eastAsia="fr-CA"/>
        </w:rPr>
        <w:t xml:space="preserve"> by the principles and objectives of individualization and proportionality in sentencing.</w:t>
      </w:r>
      <w:r w:rsidR="00562F60" w:rsidRPr="0076473C">
        <w:rPr>
          <w:rStyle w:val="Appelnotedebasdep"/>
          <w:lang w:val="en-CA" w:eastAsia="fr-CA"/>
        </w:rPr>
        <w:footnoteReference w:id="88"/>
      </w:r>
    </w:p>
    <w:p w14:paraId="150934C9" w14:textId="662ED5C3" w:rsidR="00562F60" w:rsidRPr="0076473C" w:rsidRDefault="003E7773" w:rsidP="00562F60">
      <w:pPr>
        <w:pStyle w:val="Paragraphe"/>
        <w:spacing w:line="280" w:lineRule="exact"/>
        <w:rPr>
          <w:lang w:val="en-CA"/>
        </w:rPr>
      </w:pPr>
      <w:r w:rsidRPr="0076473C">
        <w:rPr>
          <w:lang w:val="en-CA" w:eastAsia="fr-CA"/>
        </w:rPr>
        <w:t>In sum, considering the standard of review applicable in sentencing</w:t>
      </w:r>
      <w:r w:rsidR="00C84F3E">
        <w:rPr>
          <w:lang w:val="en-CA" w:eastAsia="fr-CA"/>
        </w:rPr>
        <w:t xml:space="preserve"> appeals</w:t>
      </w:r>
      <w:r w:rsidRPr="0076473C">
        <w:rPr>
          <w:lang w:val="en-CA" w:eastAsia="fr-CA"/>
        </w:rPr>
        <w:t xml:space="preserve">, we conclude that there is no need to intervene </w:t>
      </w:r>
      <w:r w:rsidR="00C84F3E">
        <w:rPr>
          <w:lang w:val="en-CA" w:eastAsia="fr-CA"/>
        </w:rPr>
        <w:t>to</w:t>
      </w:r>
      <w:r w:rsidRPr="0076473C">
        <w:rPr>
          <w:lang w:val="en-CA" w:eastAsia="fr-CA"/>
        </w:rPr>
        <w:t xml:space="preserve"> increas</w:t>
      </w:r>
      <w:r w:rsidR="00C84F3E">
        <w:rPr>
          <w:lang w:val="en-CA" w:eastAsia="fr-CA"/>
        </w:rPr>
        <w:t>e</w:t>
      </w:r>
      <w:r w:rsidRPr="0076473C">
        <w:rPr>
          <w:lang w:val="en-CA" w:eastAsia="fr-CA"/>
        </w:rPr>
        <w:t xml:space="preserve"> the sentence of 5 months’ imprisonment that the judge imposed on </w:t>
      </w:r>
      <w:r w:rsidR="009C0868" w:rsidRPr="0076473C">
        <w:rPr>
          <w:lang w:val="en-CA" w:eastAsia="fr-CA"/>
        </w:rPr>
        <w:t>the</w:t>
      </w:r>
      <w:r w:rsidRPr="0076473C">
        <w:rPr>
          <w:lang w:val="en-CA" w:eastAsia="fr-CA"/>
        </w:rPr>
        <w:t xml:space="preserve"> respondent for the offence of luring.</w:t>
      </w:r>
      <w:r w:rsidR="00562F60" w:rsidRPr="0076473C">
        <w:rPr>
          <w:lang w:val="en-CA"/>
        </w:rPr>
        <w:t xml:space="preserve"> </w:t>
      </w:r>
      <w:r w:rsidRPr="0076473C">
        <w:rPr>
          <w:lang w:val="en-CA"/>
        </w:rPr>
        <w:t xml:space="preserve">She correctly </w:t>
      </w:r>
      <w:r w:rsidR="009E351F">
        <w:rPr>
          <w:lang w:val="en-CA"/>
        </w:rPr>
        <w:t>found</w:t>
      </w:r>
      <w:r w:rsidRPr="0076473C">
        <w:rPr>
          <w:lang w:val="en-CA"/>
        </w:rPr>
        <w:t xml:space="preserve"> that the objective of general deterrence </w:t>
      </w:r>
      <w:r w:rsidR="009E351F">
        <w:rPr>
          <w:lang w:val="en-CA"/>
        </w:rPr>
        <w:t>that</w:t>
      </w:r>
      <w:r w:rsidRPr="0076473C">
        <w:rPr>
          <w:lang w:val="en-CA"/>
        </w:rPr>
        <w:t xml:space="preserve"> Parliament </w:t>
      </w:r>
      <w:r w:rsidR="009E351F">
        <w:rPr>
          <w:lang w:val="en-CA"/>
        </w:rPr>
        <w:t xml:space="preserve">associates with </w:t>
      </w:r>
      <w:r w:rsidRPr="0076473C">
        <w:rPr>
          <w:lang w:val="en-CA"/>
        </w:rPr>
        <w:t xml:space="preserve">the mandatory minimum sentence </w:t>
      </w:r>
      <w:r w:rsidR="009E351F">
        <w:rPr>
          <w:lang w:val="en-CA"/>
        </w:rPr>
        <w:t>did</w:t>
      </w:r>
      <w:r w:rsidRPr="0076473C">
        <w:rPr>
          <w:lang w:val="en-CA"/>
        </w:rPr>
        <w:t xml:space="preserve"> not justify imposing a grossly disproportionate sentence </w:t>
      </w:r>
      <w:r w:rsidR="009E351F">
        <w:rPr>
          <w:lang w:val="en-CA"/>
        </w:rPr>
        <w:t xml:space="preserve">given the specific </w:t>
      </w:r>
      <w:r w:rsidRPr="0076473C">
        <w:rPr>
          <w:lang w:val="en-CA"/>
        </w:rPr>
        <w:t xml:space="preserve">circumstances of the offence and </w:t>
      </w:r>
      <w:r w:rsidR="009E351F">
        <w:rPr>
          <w:lang w:val="en-CA"/>
        </w:rPr>
        <w:t xml:space="preserve">the respondent’s </w:t>
      </w:r>
      <w:r w:rsidRPr="0076473C">
        <w:rPr>
          <w:lang w:val="en-CA"/>
        </w:rPr>
        <w:t xml:space="preserve">degree of moral </w:t>
      </w:r>
      <w:r w:rsidR="00CD079E">
        <w:rPr>
          <w:lang w:val="en-CA"/>
        </w:rPr>
        <w:t>blameworthiness</w:t>
      </w:r>
      <w:r w:rsidRPr="0076473C">
        <w:rPr>
          <w:lang w:val="en-CA"/>
        </w:rPr>
        <w:t>.</w:t>
      </w:r>
      <w:r w:rsidR="00562F60" w:rsidRPr="0076473C">
        <w:rPr>
          <w:rStyle w:val="Appelnotedebasdep"/>
          <w:lang w:val="en-CA"/>
        </w:rPr>
        <w:footnoteReference w:id="89"/>
      </w:r>
      <w:r w:rsidRPr="0076473C">
        <w:rPr>
          <w:lang w:val="en-CA"/>
        </w:rPr>
        <w:t xml:space="preserve"> Certainly, the sentence she imposed may</w:t>
      </w:r>
      <w:r w:rsidR="009E351F">
        <w:rPr>
          <w:lang w:val="en-CA"/>
        </w:rPr>
        <w:t xml:space="preserve"> appear light</w:t>
      </w:r>
      <w:r w:rsidRPr="0076473C">
        <w:rPr>
          <w:lang w:val="en-CA"/>
        </w:rPr>
        <w:t xml:space="preserve">, especially </w:t>
      </w:r>
      <w:r w:rsidR="009E351F">
        <w:rPr>
          <w:lang w:val="en-CA"/>
        </w:rPr>
        <w:t xml:space="preserve">in view of </w:t>
      </w:r>
      <w:r w:rsidRPr="0076473C">
        <w:rPr>
          <w:lang w:val="en-CA"/>
        </w:rPr>
        <w:t xml:space="preserve">the teachings in </w:t>
      </w:r>
      <w:r w:rsidRPr="0076473C">
        <w:rPr>
          <w:i/>
          <w:lang w:val="en-CA"/>
        </w:rPr>
        <w:t>Friesen</w:t>
      </w:r>
      <w:r w:rsidRPr="0076473C">
        <w:rPr>
          <w:lang w:val="en-CA"/>
        </w:rPr>
        <w:t>.</w:t>
      </w:r>
      <w:r w:rsidR="00562F60" w:rsidRPr="0076473C">
        <w:rPr>
          <w:lang w:val="en-CA"/>
        </w:rPr>
        <w:t xml:space="preserve"> </w:t>
      </w:r>
      <w:r w:rsidR="00CD079E">
        <w:rPr>
          <w:lang w:val="en-CA"/>
        </w:rPr>
        <w:t>H</w:t>
      </w:r>
      <w:r w:rsidRPr="0076473C">
        <w:rPr>
          <w:lang w:val="en-CA"/>
        </w:rPr>
        <w:t xml:space="preserve">owever, taking into account the charge as brought, </w:t>
      </w:r>
      <w:r w:rsidR="009E351F">
        <w:rPr>
          <w:lang w:val="en-CA"/>
        </w:rPr>
        <w:t xml:space="preserve">and </w:t>
      </w:r>
      <w:r w:rsidRPr="0076473C">
        <w:rPr>
          <w:lang w:val="en-CA"/>
        </w:rPr>
        <w:t xml:space="preserve">more specifically the period </w:t>
      </w:r>
      <w:r w:rsidR="009E351F">
        <w:rPr>
          <w:lang w:val="en-CA"/>
        </w:rPr>
        <w:t>it covers</w:t>
      </w:r>
      <w:r w:rsidRPr="0076473C">
        <w:rPr>
          <w:lang w:val="en-CA"/>
        </w:rPr>
        <w:t xml:space="preserve">, the particular circumstances of the </w:t>
      </w:r>
      <w:r w:rsidR="00CD079E">
        <w:rPr>
          <w:lang w:val="en-CA"/>
        </w:rPr>
        <w:t>case</w:t>
      </w:r>
      <w:r w:rsidR="009E351F">
        <w:rPr>
          <w:lang w:val="en-CA"/>
        </w:rPr>
        <w:t>,</w:t>
      </w:r>
      <w:r w:rsidR="00CD079E" w:rsidRPr="0076473C">
        <w:rPr>
          <w:lang w:val="en-CA"/>
        </w:rPr>
        <w:t xml:space="preserve"> </w:t>
      </w:r>
      <w:r w:rsidRPr="0076473C">
        <w:rPr>
          <w:lang w:val="en-CA"/>
        </w:rPr>
        <w:t xml:space="preserve">and the partial evidence available on appeal </w:t>
      </w:r>
      <w:r w:rsidR="009E351F">
        <w:rPr>
          <w:lang w:val="en-CA"/>
        </w:rPr>
        <w:t xml:space="preserve">on </w:t>
      </w:r>
      <w:r w:rsidRPr="0076473C">
        <w:rPr>
          <w:lang w:val="en-CA"/>
        </w:rPr>
        <w:t xml:space="preserve">the content of the conversations between the parties on social media </w:t>
      </w:r>
      <w:r w:rsidR="009E351F">
        <w:rPr>
          <w:lang w:val="en-CA"/>
        </w:rPr>
        <w:t xml:space="preserve">between </w:t>
      </w:r>
      <w:r w:rsidRPr="0076473C">
        <w:rPr>
          <w:lang w:val="en-CA"/>
        </w:rPr>
        <w:t xml:space="preserve">December 2014 </w:t>
      </w:r>
      <w:r w:rsidR="009E351F">
        <w:rPr>
          <w:lang w:val="en-CA"/>
        </w:rPr>
        <w:t xml:space="preserve">and September </w:t>
      </w:r>
      <w:r w:rsidRPr="0076473C">
        <w:rPr>
          <w:lang w:val="en-CA"/>
        </w:rPr>
        <w:t xml:space="preserve">2015, </w:t>
      </w:r>
      <w:r w:rsidR="00CD079E">
        <w:rPr>
          <w:lang w:val="en-CA"/>
        </w:rPr>
        <w:t xml:space="preserve">we cannot find </w:t>
      </w:r>
      <w:r w:rsidRPr="0076473C">
        <w:rPr>
          <w:lang w:val="en-CA"/>
        </w:rPr>
        <w:t>that this sente</w:t>
      </w:r>
      <w:r w:rsidR="009E351F">
        <w:rPr>
          <w:lang w:val="en-CA"/>
        </w:rPr>
        <w:t>nce is disproportionality light or</w:t>
      </w:r>
      <w:r w:rsidRPr="0076473C">
        <w:rPr>
          <w:lang w:val="en-CA"/>
        </w:rPr>
        <w:t xml:space="preserve"> demonstrably unfit, or that the judge otherwise committed an error in principle justifying this Court’s intervention.</w:t>
      </w:r>
      <w:r w:rsidR="00562F60" w:rsidRPr="0076473C">
        <w:rPr>
          <w:lang w:val="en-CA"/>
        </w:rPr>
        <w:t xml:space="preserve"> </w:t>
      </w:r>
    </w:p>
    <w:p w14:paraId="1D3AC7CE" w14:textId="55ABE1A7" w:rsidR="00562F60" w:rsidRPr="0076473C" w:rsidRDefault="009C0868" w:rsidP="00562F60">
      <w:pPr>
        <w:pStyle w:val="Paragraphe"/>
        <w:spacing w:line="280" w:lineRule="exact"/>
        <w:rPr>
          <w:lang w:val="en-CA"/>
        </w:rPr>
      </w:pPr>
      <w:r w:rsidRPr="0076473C">
        <w:rPr>
          <w:lang w:val="en-CA"/>
        </w:rPr>
        <w:t>Our colleague would have intervened to increase the sentence for luring from 5 to 12 months, essentially for two reasons.</w:t>
      </w:r>
      <w:r w:rsidR="00562F60" w:rsidRPr="0076473C">
        <w:rPr>
          <w:lang w:val="en-CA"/>
        </w:rPr>
        <w:t xml:space="preserve"> </w:t>
      </w:r>
      <w:r w:rsidRPr="0076473C">
        <w:rPr>
          <w:lang w:val="en-CA"/>
        </w:rPr>
        <w:t xml:space="preserve">First, because the judge committed an error in principle by reducing the objective gravity of the offence </w:t>
      </w:r>
      <w:r w:rsidR="00D45889">
        <w:rPr>
          <w:lang w:val="en-CA"/>
        </w:rPr>
        <w:t>because</w:t>
      </w:r>
      <w:r w:rsidRPr="0076473C">
        <w:rPr>
          <w:lang w:val="en-CA"/>
        </w:rPr>
        <w:t xml:space="preserve"> several instances of </w:t>
      </w:r>
      <w:r w:rsidRPr="0076473C">
        <w:rPr>
          <w:lang w:val="en-CA"/>
        </w:rPr>
        <w:lastRenderedPageBreak/>
        <w:t>sexual interference had previously taken place without the victim’s objection.</w:t>
      </w:r>
      <w:r w:rsidR="00562F60" w:rsidRPr="0076473C">
        <w:rPr>
          <w:lang w:val="en-CA"/>
        </w:rPr>
        <w:t xml:space="preserve"> </w:t>
      </w:r>
      <w:r w:rsidRPr="0076473C">
        <w:rPr>
          <w:lang w:val="en-CA"/>
        </w:rPr>
        <w:t xml:space="preserve">Second, the judge committed another reviewable error in limiting the scope of the luring committed by the accused, when all the essential elements of the offence were present.  </w:t>
      </w:r>
    </w:p>
    <w:p w14:paraId="730FF9EE" w14:textId="60A134F8" w:rsidR="00562F60" w:rsidRPr="006C0449" w:rsidRDefault="009C0868" w:rsidP="00562F60">
      <w:pPr>
        <w:pStyle w:val="Paragraphe"/>
        <w:spacing w:line="280" w:lineRule="exact"/>
        <w:rPr>
          <w:lang w:val="en-CA"/>
        </w:rPr>
      </w:pPr>
      <w:r w:rsidRPr="006C0449">
        <w:rPr>
          <w:lang w:val="en-CA"/>
        </w:rPr>
        <w:t>With respect, we disagree.</w:t>
      </w:r>
    </w:p>
    <w:p w14:paraId="46F42655" w14:textId="3DE8DC69" w:rsidR="00562F60" w:rsidRPr="0076473C" w:rsidRDefault="009C0868" w:rsidP="00562F60">
      <w:pPr>
        <w:pStyle w:val="Paragraphe"/>
        <w:spacing w:line="280" w:lineRule="exact"/>
        <w:rPr>
          <w:lang w:val="en-CA"/>
        </w:rPr>
      </w:pPr>
      <w:r w:rsidRPr="0076473C">
        <w:rPr>
          <w:lang w:val="en-CA"/>
        </w:rPr>
        <w:t>First, the issue of the complainant’s “consent” refers more to the sexual touching than to luring, the only offence before this Court on appeal. Next, it appears from the judgment that the judge is fully aware of the fact that the complainant’s “</w:t>
      </w:r>
      <w:r w:rsidRPr="0076473C">
        <w:rPr>
          <w:i/>
          <w:lang w:val="en-CA"/>
        </w:rPr>
        <w:t xml:space="preserve">de facto </w:t>
      </w:r>
      <w:r w:rsidRPr="0076473C">
        <w:rPr>
          <w:lang w:val="en-CA"/>
        </w:rPr>
        <w:t>consent” to sexual intercourse is not a mitigating factor.</w:t>
      </w:r>
      <w:r w:rsidR="00562F60" w:rsidRPr="0076473C">
        <w:rPr>
          <w:lang w:val="en-CA"/>
        </w:rPr>
        <w:t xml:space="preserve"> </w:t>
      </w:r>
      <w:r w:rsidRPr="0076473C">
        <w:rPr>
          <w:lang w:val="en-CA"/>
        </w:rPr>
        <w:t xml:space="preserve">Thus, when she refers to consent in </w:t>
      </w:r>
      <w:r w:rsidR="00924491" w:rsidRPr="0076473C">
        <w:rPr>
          <w:lang w:val="en-CA"/>
        </w:rPr>
        <w:t>the</w:t>
      </w:r>
      <w:r w:rsidRPr="0076473C">
        <w:rPr>
          <w:lang w:val="en-CA"/>
        </w:rPr>
        <w:t xml:space="preserve"> section of the judgment on luring, it must be understood that it is </w:t>
      </w:r>
      <w:r w:rsidR="00D45889">
        <w:rPr>
          <w:lang w:val="en-CA"/>
        </w:rPr>
        <w:t xml:space="preserve">used </w:t>
      </w:r>
      <w:r w:rsidRPr="0076473C">
        <w:rPr>
          <w:lang w:val="en-CA"/>
        </w:rPr>
        <w:t xml:space="preserve">to </w:t>
      </w:r>
      <w:r w:rsidR="00D45889">
        <w:rPr>
          <w:lang w:val="en-CA"/>
        </w:rPr>
        <w:t xml:space="preserve">convey </w:t>
      </w:r>
      <w:r w:rsidRPr="0076473C">
        <w:rPr>
          <w:lang w:val="en-CA"/>
        </w:rPr>
        <w:t>the fact that the circumstances of the luring alleged against the accused cannot be likened to “grooming” within the meaning of the case law.</w:t>
      </w:r>
      <w:r w:rsidR="00562F60" w:rsidRPr="0076473C">
        <w:rPr>
          <w:lang w:val="en-CA"/>
        </w:rPr>
        <w:t> </w:t>
      </w:r>
      <w:r w:rsidRPr="006C0449">
        <w:rPr>
          <w:lang w:val="en-CA"/>
        </w:rPr>
        <w:t>Indeed, the judge wrote:</w:t>
      </w:r>
    </w:p>
    <w:p w14:paraId="1F6F62EC" w14:textId="28EE1806" w:rsidR="00562F60" w:rsidRPr="0076473C" w:rsidRDefault="009C0868" w:rsidP="00562F60">
      <w:pPr>
        <w:pStyle w:val="Citationenretrait"/>
        <w:spacing w:after="0"/>
        <w:rPr>
          <w:lang w:val="en-CA"/>
        </w:rPr>
      </w:pPr>
      <w:r w:rsidRPr="0076473C">
        <w:rPr>
          <w:lang w:val="en-CA"/>
        </w:rPr>
        <w:t>...</w:t>
      </w:r>
      <w:r w:rsidR="003B41AB">
        <w:rPr>
          <w:lang w:val="en-CA"/>
        </w:rPr>
        <w:t xml:space="preserve"> </w:t>
      </w:r>
      <w:r w:rsidR="00CC6E10" w:rsidRPr="0076473C">
        <w:rPr>
          <w:lang w:val="en-CA"/>
        </w:rPr>
        <w:t xml:space="preserve">the acts committed by the offender do not constitute preparatory grooming of the adolescent for the purpose of lowering her inhibitions and convincing her to participate in sexual activities. </w:t>
      </w:r>
      <w:r w:rsidR="00CC6E10" w:rsidRPr="009B7B69">
        <w:rPr>
          <w:u w:val="single"/>
          <w:lang w:val="en-CA"/>
        </w:rPr>
        <w:t>She had already consented to such activities three times</w:t>
      </w:r>
      <w:r w:rsidR="00CC6E10" w:rsidRPr="006C0449">
        <w:rPr>
          <w:lang w:val="en-CA"/>
        </w:rPr>
        <w:t>.</w:t>
      </w:r>
      <w:r w:rsidR="00CC6E10" w:rsidRPr="0076473C">
        <w:rPr>
          <w:lang w:val="en-CA"/>
        </w:rPr>
        <w:t xml:space="preserve"> </w:t>
      </w:r>
      <w:r w:rsidR="00CC6E10" w:rsidRPr="006C0449">
        <w:rPr>
          <w:lang w:val="en-CA"/>
        </w:rPr>
        <w:t xml:space="preserve">They are instead repeated attempts, through the use of electronic conversations, to have sexual intercourse with her again, made in the specific context of a young vulnerable girl who was </w:t>
      </w:r>
      <w:r w:rsidR="007A4BEF">
        <w:rPr>
          <w:lang w:val="en-CA"/>
        </w:rPr>
        <w:t>under</w:t>
      </w:r>
      <w:r w:rsidR="00CC6E10" w:rsidRPr="006C0449">
        <w:rPr>
          <w:lang w:val="en-CA"/>
        </w:rPr>
        <w:t xml:space="preserve"> the Director of Youth Protection</w:t>
      </w:r>
      <w:r w:rsidR="007A4BEF">
        <w:rPr>
          <w:lang w:val="en-CA"/>
        </w:rPr>
        <w:t>’s care</w:t>
      </w:r>
      <w:r w:rsidR="00CC6E10" w:rsidRPr="006C0449">
        <w:rPr>
          <w:lang w:val="en-CA"/>
        </w:rPr>
        <w:t>.</w:t>
      </w:r>
    </w:p>
    <w:p w14:paraId="0F32BB9F" w14:textId="301625E3" w:rsidR="00562F60" w:rsidRPr="006C0449" w:rsidRDefault="009C0868" w:rsidP="00562F60">
      <w:pPr>
        <w:pStyle w:val="Paragraphe"/>
        <w:numPr>
          <w:ilvl w:val="0"/>
          <w:numId w:val="0"/>
        </w:numPr>
        <w:spacing w:before="0" w:line="280" w:lineRule="exact"/>
        <w:ind w:right="714"/>
        <w:jc w:val="right"/>
        <w:rPr>
          <w:lang w:val="en-CA"/>
        </w:rPr>
      </w:pPr>
      <w:r w:rsidRPr="006C0449">
        <w:rPr>
          <w:sz w:val="22"/>
          <w:szCs w:val="22"/>
          <w:lang w:val="en-CA"/>
        </w:rPr>
        <w:t>[Emphasis added.]</w:t>
      </w:r>
    </w:p>
    <w:p w14:paraId="28548BF8" w14:textId="1E1DABBB" w:rsidR="00562F60" w:rsidRPr="0076473C" w:rsidRDefault="00484D69" w:rsidP="00562F60">
      <w:pPr>
        <w:pStyle w:val="Paragraphe"/>
        <w:spacing w:line="280" w:lineRule="exact"/>
        <w:rPr>
          <w:lang w:val="en-CA"/>
        </w:rPr>
      </w:pPr>
      <w:r>
        <w:rPr>
          <w:lang w:val="en-CA"/>
        </w:rPr>
        <w:t xml:space="preserve">Therefore, she </w:t>
      </w:r>
      <w:r w:rsidR="009C0868" w:rsidRPr="0076473C">
        <w:rPr>
          <w:lang w:val="en-CA"/>
        </w:rPr>
        <w:t xml:space="preserve">does not </w:t>
      </w:r>
      <w:r>
        <w:rPr>
          <w:lang w:val="en-CA"/>
        </w:rPr>
        <w:t>consider</w:t>
      </w:r>
      <w:r w:rsidR="009C0868" w:rsidRPr="0076473C">
        <w:rPr>
          <w:lang w:val="en-CA"/>
        </w:rPr>
        <w:t xml:space="preserve"> the victim’s lack of opposition to</w:t>
      </w:r>
      <w:r>
        <w:rPr>
          <w:lang w:val="en-CA"/>
        </w:rPr>
        <w:t xml:space="preserve"> be</w:t>
      </w:r>
      <w:r w:rsidR="009C0868" w:rsidRPr="0076473C">
        <w:rPr>
          <w:lang w:val="en-CA"/>
        </w:rPr>
        <w:t xml:space="preserve"> a mitigating circumstance </w:t>
      </w:r>
      <w:r>
        <w:rPr>
          <w:lang w:val="en-CA"/>
        </w:rPr>
        <w:t>in</w:t>
      </w:r>
      <w:r w:rsidR="009C0868" w:rsidRPr="0076473C">
        <w:rPr>
          <w:lang w:val="en-CA"/>
        </w:rPr>
        <w:t xml:space="preserve"> the offence of luring, but refers to it as a chronological fact </w:t>
      </w:r>
      <w:r>
        <w:rPr>
          <w:lang w:val="en-CA"/>
        </w:rPr>
        <w:t>that places the</w:t>
      </w:r>
      <w:r w:rsidR="009C0868" w:rsidRPr="0076473C">
        <w:rPr>
          <w:lang w:val="en-CA"/>
        </w:rPr>
        <w:t xml:space="preserve"> luring in its specific context</w:t>
      </w:r>
      <w:r>
        <w:rPr>
          <w:lang w:val="en-CA"/>
        </w:rPr>
        <w:t>,</w:t>
      </w:r>
      <w:r w:rsidR="00D2414E">
        <w:rPr>
          <w:lang w:val="en-CA"/>
        </w:rPr>
        <w:t xml:space="preserve"> thereby</w:t>
      </w:r>
      <w:r w:rsidR="009C0868" w:rsidRPr="0076473C">
        <w:rPr>
          <w:lang w:val="en-CA"/>
        </w:rPr>
        <w:t xml:space="preserve"> </w:t>
      </w:r>
      <w:r>
        <w:rPr>
          <w:lang w:val="en-CA"/>
        </w:rPr>
        <w:t>making it possible to conduct a proper and individualized assessment of the respondents blameworthiness</w:t>
      </w:r>
      <w:r w:rsidR="009C0868" w:rsidRPr="0076473C">
        <w:rPr>
          <w:lang w:val="en-CA"/>
        </w:rPr>
        <w:t>.</w:t>
      </w:r>
      <w:r w:rsidR="00562F60" w:rsidRPr="0076473C">
        <w:rPr>
          <w:lang w:val="en-CA"/>
        </w:rPr>
        <w:t xml:space="preserve"> </w:t>
      </w:r>
    </w:p>
    <w:p w14:paraId="4E8A6E54" w14:textId="0D2C9A04" w:rsidR="00562F60" w:rsidRPr="0076473C" w:rsidRDefault="009C0868" w:rsidP="00562F60">
      <w:pPr>
        <w:pStyle w:val="Paragraphe"/>
        <w:spacing w:line="280" w:lineRule="exact"/>
        <w:rPr>
          <w:lang w:val="en-CA"/>
        </w:rPr>
      </w:pPr>
      <w:r w:rsidRPr="0076473C">
        <w:rPr>
          <w:lang w:val="en-CA"/>
        </w:rPr>
        <w:t>With respect to the fact that the judge committed a reviewable error in limiting the scope of the</w:t>
      </w:r>
      <w:r w:rsidR="00484D69">
        <w:rPr>
          <w:lang w:val="en-CA"/>
        </w:rPr>
        <w:t xml:space="preserve"> offence of luring, her reasons</w:t>
      </w:r>
      <w:r w:rsidRPr="0076473C">
        <w:rPr>
          <w:lang w:val="en-CA"/>
        </w:rPr>
        <w:t xml:space="preserve"> taken as a whole, </w:t>
      </w:r>
      <w:r w:rsidR="00484D69">
        <w:rPr>
          <w:lang w:val="en-CA"/>
        </w:rPr>
        <w:t xml:space="preserve">and </w:t>
      </w:r>
      <w:r w:rsidRPr="0076473C">
        <w:rPr>
          <w:lang w:val="en-CA"/>
        </w:rPr>
        <w:t xml:space="preserve">particularly those </w:t>
      </w:r>
      <w:r w:rsidR="00484D69">
        <w:rPr>
          <w:lang w:val="en-CA"/>
        </w:rPr>
        <w:t xml:space="preserve">outlined in </w:t>
      </w:r>
      <w:r w:rsidRPr="0076473C">
        <w:rPr>
          <w:lang w:val="en-CA"/>
        </w:rPr>
        <w:t xml:space="preserve">paragraphs 64 and 72, reflect </w:t>
      </w:r>
      <w:r w:rsidR="00484D69">
        <w:rPr>
          <w:lang w:val="en-CA"/>
        </w:rPr>
        <w:t xml:space="preserve">on the contrary </w:t>
      </w:r>
      <w:r w:rsidRPr="0076473C">
        <w:rPr>
          <w:lang w:val="en-CA"/>
        </w:rPr>
        <w:t xml:space="preserve">that </w:t>
      </w:r>
      <w:r w:rsidR="007C6846">
        <w:rPr>
          <w:lang w:val="en-CA"/>
        </w:rPr>
        <w:t>she considered</w:t>
      </w:r>
      <w:r w:rsidRPr="0076473C">
        <w:rPr>
          <w:lang w:val="en-CA"/>
        </w:rPr>
        <w:t xml:space="preserve"> that</w:t>
      </w:r>
      <w:r w:rsidR="00484D69">
        <w:rPr>
          <w:lang w:val="en-CA"/>
        </w:rPr>
        <w:t>, while</w:t>
      </w:r>
      <w:r w:rsidR="007C6846" w:rsidRPr="0076473C">
        <w:rPr>
          <w:lang w:val="en-CA"/>
        </w:rPr>
        <w:t xml:space="preserve"> </w:t>
      </w:r>
      <w:r w:rsidRPr="0076473C">
        <w:rPr>
          <w:lang w:val="en-CA"/>
        </w:rPr>
        <w:t xml:space="preserve">all of the essential elements of this offence may be present in a given case, the circumstances of its commission </w:t>
      </w:r>
      <w:r w:rsidR="00484D69">
        <w:rPr>
          <w:lang w:val="en-CA"/>
        </w:rPr>
        <w:t>may vary greatly and therefore affect</w:t>
      </w:r>
      <w:r w:rsidRPr="0076473C">
        <w:rPr>
          <w:lang w:val="en-CA"/>
        </w:rPr>
        <w:t xml:space="preserve"> the</w:t>
      </w:r>
      <w:r w:rsidR="007C6846">
        <w:rPr>
          <w:lang w:val="en-CA"/>
        </w:rPr>
        <w:t xml:space="preserve"> offender’s</w:t>
      </w:r>
      <w:r w:rsidRPr="0076473C">
        <w:rPr>
          <w:lang w:val="en-CA"/>
        </w:rPr>
        <w:t xml:space="preserve"> degree of moral </w:t>
      </w:r>
      <w:r w:rsidR="007C6846">
        <w:rPr>
          <w:lang w:val="en-CA"/>
        </w:rPr>
        <w:t>blameworthiness</w:t>
      </w:r>
      <w:r w:rsidRPr="0076473C">
        <w:rPr>
          <w:lang w:val="en-CA"/>
        </w:rPr>
        <w:t>.</w:t>
      </w:r>
      <w:r w:rsidR="00562F60" w:rsidRPr="0076473C">
        <w:rPr>
          <w:lang w:val="en-CA"/>
        </w:rPr>
        <w:t xml:space="preserve"> </w:t>
      </w:r>
      <w:r w:rsidRPr="0076473C">
        <w:rPr>
          <w:lang w:val="en-CA"/>
        </w:rPr>
        <w:t xml:space="preserve">Thus, without expressly referring to it in her judgment, the judge </w:t>
      </w:r>
      <w:r w:rsidR="00AC49A3">
        <w:rPr>
          <w:lang w:val="en-CA"/>
        </w:rPr>
        <w:t>did in fact take</w:t>
      </w:r>
      <w:r w:rsidRPr="0076473C">
        <w:rPr>
          <w:lang w:val="en-CA"/>
        </w:rPr>
        <w:t xml:space="preserve"> into account the comments of Moldaver and Karakatsanis</w:t>
      </w:r>
      <w:r w:rsidR="00484D69">
        <w:rPr>
          <w:lang w:val="en-CA"/>
        </w:rPr>
        <w:t>,</w:t>
      </w:r>
      <w:r w:rsidRPr="0076473C">
        <w:rPr>
          <w:lang w:val="en-CA"/>
        </w:rPr>
        <w:t xml:space="preserve"> JJ. on t</w:t>
      </w:r>
      <w:r w:rsidR="00307463" w:rsidRPr="0076473C">
        <w:rPr>
          <w:lang w:val="en-CA"/>
        </w:rPr>
        <w:t>h</w:t>
      </w:r>
      <w:r w:rsidRPr="0076473C">
        <w:rPr>
          <w:lang w:val="en-CA"/>
        </w:rPr>
        <w:t xml:space="preserve">is subject in </w:t>
      </w:r>
      <w:r w:rsidRPr="0076473C">
        <w:rPr>
          <w:i/>
          <w:lang w:val="en-CA"/>
        </w:rPr>
        <w:t>Morrison</w:t>
      </w:r>
      <w:r w:rsidRPr="0076473C">
        <w:rPr>
          <w:lang w:val="en-CA"/>
        </w:rPr>
        <w:t>.</w:t>
      </w:r>
      <w:r w:rsidR="00562F60" w:rsidRPr="0076473C">
        <w:rPr>
          <w:rStyle w:val="Appelnotedebasdep"/>
          <w:lang w:val="en-CA"/>
        </w:rPr>
        <w:footnoteReference w:id="90"/>
      </w:r>
      <w:r w:rsidRPr="0076473C">
        <w:rPr>
          <w:lang w:val="en-CA"/>
        </w:rPr>
        <w:t xml:space="preserve"> </w:t>
      </w:r>
    </w:p>
    <w:p w14:paraId="2FB76010" w14:textId="2B87D628" w:rsidR="00562F60" w:rsidRPr="006C0449" w:rsidRDefault="00441B8F" w:rsidP="00562F60">
      <w:pPr>
        <w:pStyle w:val="Paragraphe"/>
        <w:keepNext/>
        <w:numPr>
          <w:ilvl w:val="0"/>
          <w:numId w:val="26"/>
        </w:numPr>
        <w:spacing w:line="280" w:lineRule="exact"/>
        <w:ind w:left="1498"/>
        <w:rPr>
          <w:b/>
          <w:lang w:val="en-CA" w:eastAsia="fr-CA"/>
        </w:rPr>
      </w:pPr>
      <w:r w:rsidRPr="006C0449">
        <w:rPr>
          <w:b/>
          <w:lang w:val="en-CA" w:eastAsia="fr-CA"/>
        </w:rPr>
        <w:t xml:space="preserve">The issue of concurrent sentences </w:t>
      </w:r>
    </w:p>
    <w:p w14:paraId="28ED0D98" w14:textId="5C87E59B" w:rsidR="00562F60" w:rsidRPr="0076473C" w:rsidRDefault="00441B8F" w:rsidP="00562F60">
      <w:pPr>
        <w:pStyle w:val="Paragraphe"/>
        <w:spacing w:line="280" w:lineRule="exact"/>
        <w:rPr>
          <w:lang w:val="en-CA" w:eastAsia="fr-CA"/>
        </w:rPr>
      </w:pPr>
      <w:r w:rsidRPr="0076473C">
        <w:rPr>
          <w:lang w:val="en-CA" w:eastAsia="fr-CA"/>
        </w:rPr>
        <w:t>There is also no need to intervene with respect to the judge’s order that the sentences for the offence of sexual touching and luring be served concurrently.</w:t>
      </w:r>
    </w:p>
    <w:p w14:paraId="292F5A82" w14:textId="31B171AF" w:rsidR="00562F60" w:rsidRPr="0076473C" w:rsidRDefault="00441B8F" w:rsidP="00562F60">
      <w:pPr>
        <w:pStyle w:val="Paragraphe"/>
        <w:spacing w:line="280" w:lineRule="exact"/>
        <w:rPr>
          <w:lang w:val="en-CA"/>
        </w:rPr>
      </w:pPr>
      <w:r w:rsidRPr="0076473C">
        <w:rPr>
          <w:lang w:val="en-CA"/>
        </w:rPr>
        <w:lastRenderedPageBreak/>
        <w:t>It is well established that the sentencing judge has broad discretion to impose consecutive or concurrent sentences,</w:t>
      </w:r>
      <w:r w:rsidRPr="0076473C">
        <w:rPr>
          <w:rStyle w:val="Appelnotedebasdep"/>
          <w:lang w:val="en-CA"/>
        </w:rPr>
        <w:footnoteReference w:id="91"/>
      </w:r>
      <w:r w:rsidRPr="0076473C">
        <w:rPr>
          <w:lang w:val="en-CA"/>
        </w:rPr>
        <w:t xml:space="preserve"> except in the specific cases where </w:t>
      </w:r>
      <w:r w:rsidR="005325CF">
        <w:rPr>
          <w:lang w:val="en-CA"/>
        </w:rPr>
        <w:t>Parliament</w:t>
      </w:r>
      <w:r w:rsidRPr="0076473C">
        <w:rPr>
          <w:lang w:val="en-CA"/>
        </w:rPr>
        <w:t xml:space="preserve"> has eliminated this discretionary power.</w:t>
      </w:r>
      <w:r w:rsidRPr="0076473C">
        <w:rPr>
          <w:rStyle w:val="Appelnotedebasdep"/>
          <w:lang w:val="en-CA"/>
        </w:rPr>
        <w:footnoteReference w:id="92"/>
      </w:r>
      <w:r w:rsidRPr="0076473C">
        <w:rPr>
          <w:lang w:val="en-CA"/>
        </w:rPr>
        <w:t xml:space="preserve"> The standar</w:t>
      </w:r>
      <w:r w:rsidR="00763BEA">
        <w:rPr>
          <w:lang w:val="en-CA"/>
        </w:rPr>
        <w:t>d of review is therefore high:</w:t>
      </w:r>
      <w:r w:rsidRPr="0076473C">
        <w:rPr>
          <w:lang w:val="en-CA"/>
        </w:rPr>
        <w:t xml:space="preserve"> “the decision to order concurrent or consecutive sentences should be treated with the same deference owed by appellate courts to sentencing judges concerning the length of sentences ordered”.</w:t>
      </w:r>
      <w:r w:rsidR="00562F60" w:rsidRPr="0076473C">
        <w:rPr>
          <w:rStyle w:val="Appelnotedebasdep"/>
          <w:spacing w:val="-2"/>
          <w:lang w:val="en-CA"/>
        </w:rPr>
        <w:footnoteReference w:id="93"/>
      </w:r>
      <w:r w:rsidRPr="0076473C">
        <w:rPr>
          <w:lang w:val="en-CA"/>
        </w:rPr>
        <w:t xml:space="preserve"> </w:t>
      </w:r>
      <w:r w:rsidR="00562F60" w:rsidRPr="0076473C">
        <w:rPr>
          <w:lang w:val="en-CA"/>
        </w:rPr>
        <w:t xml:space="preserve"> </w:t>
      </w:r>
    </w:p>
    <w:p w14:paraId="28A11994" w14:textId="13B23A47" w:rsidR="00441B8F" w:rsidRPr="0076473C" w:rsidRDefault="007B2C1A" w:rsidP="00562F60">
      <w:pPr>
        <w:pStyle w:val="Paragraphe"/>
        <w:spacing w:line="280" w:lineRule="exact"/>
        <w:rPr>
          <w:lang w:val="en-CA" w:eastAsia="fr-CA"/>
        </w:rPr>
      </w:pPr>
      <w:r>
        <w:rPr>
          <w:lang w:val="en-CA"/>
        </w:rPr>
        <w:t>Although</w:t>
      </w:r>
      <w:r w:rsidR="00441B8F" w:rsidRPr="0076473C">
        <w:rPr>
          <w:lang w:val="en-CA"/>
        </w:rPr>
        <w:t xml:space="preserve"> Kasirer</w:t>
      </w:r>
      <w:r>
        <w:rPr>
          <w:lang w:val="en-CA"/>
        </w:rPr>
        <w:t>,</w:t>
      </w:r>
      <w:r w:rsidR="00441B8F" w:rsidRPr="0076473C">
        <w:rPr>
          <w:lang w:val="en-CA"/>
        </w:rPr>
        <w:t xml:space="preserve"> J.A., as he then was, </w:t>
      </w:r>
      <w:r>
        <w:rPr>
          <w:lang w:val="en-CA"/>
        </w:rPr>
        <w:t xml:space="preserve">stated </w:t>
      </w:r>
      <w:r w:rsidR="00125472">
        <w:rPr>
          <w:lang w:val="en-CA"/>
        </w:rPr>
        <w:t xml:space="preserve">in </w:t>
      </w:r>
      <w:r w:rsidR="00125472" w:rsidRPr="009B7B69">
        <w:rPr>
          <w:i/>
          <w:lang w:val="en-CA"/>
        </w:rPr>
        <w:t>Rayo</w:t>
      </w:r>
      <w:r w:rsidR="00441B8F" w:rsidRPr="0076473C">
        <w:rPr>
          <w:lang w:val="en-CA"/>
        </w:rPr>
        <w:t xml:space="preserve"> that </w:t>
      </w:r>
      <w:r w:rsidR="00125472" w:rsidRPr="0076473C">
        <w:rPr>
          <w:lang w:val="en-CA"/>
        </w:rPr>
        <w:t xml:space="preserve">consecutive sentences are generally justified </w:t>
      </w:r>
      <w:r w:rsidR="00125472">
        <w:rPr>
          <w:lang w:val="en-CA"/>
        </w:rPr>
        <w:t xml:space="preserve">in </w:t>
      </w:r>
      <w:r w:rsidR="00441B8F" w:rsidRPr="0076473C">
        <w:rPr>
          <w:lang w:val="en-CA"/>
        </w:rPr>
        <w:t xml:space="preserve">cases </w:t>
      </w:r>
      <w:r w:rsidR="00125472">
        <w:rPr>
          <w:lang w:val="en-CA"/>
        </w:rPr>
        <w:t>where</w:t>
      </w:r>
      <w:r w:rsidR="00125472" w:rsidRPr="0076473C">
        <w:rPr>
          <w:lang w:val="en-CA"/>
        </w:rPr>
        <w:t xml:space="preserve"> </w:t>
      </w:r>
      <w:r w:rsidR="00441B8F" w:rsidRPr="0076473C">
        <w:rPr>
          <w:lang w:val="en-CA"/>
        </w:rPr>
        <w:t xml:space="preserve">luring </w:t>
      </w:r>
      <w:r w:rsidR="00125472" w:rsidRPr="0076473C">
        <w:rPr>
          <w:lang w:val="en-CA"/>
        </w:rPr>
        <w:t>le</w:t>
      </w:r>
      <w:r w:rsidR="00125472">
        <w:rPr>
          <w:lang w:val="en-CA"/>
        </w:rPr>
        <w:t>d</w:t>
      </w:r>
      <w:r w:rsidR="00125472" w:rsidRPr="0076473C">
        <w:rPr>
          <w:lang w:val="en-CA"/>
        </w:rPr>
        <w:t xml:space="preserve"> </w:t>
      </w:r>
      <w:r w:rsidR="00441B8F" w:rsidRPr="0076473C">
        <w:rPr>
          <w:lang w:val="en-CA"/>
        </w:rPr>
        <w:t>to sexual offences,</w:t>
      </w:r>
      <w:r w:rsidR="00441B8F" w:rsidRPr="0076473C">
        <w:rPr>
          <w:rStyle w:val="Appelnotedebasdep"/>
          <w:lang w:val="en-CA"/>
        </w:rPr>
        <w:footnoteReference w:id="94"/>
      </w:r>
      <w:r w:rsidR="00441B8F" w:rsidRPr="0076473C">
        <w:rPr>
          <w:lang w:val="en-CA"/>
        </w:rPr>
        <w:t xml:space="preserve"> the judge </w:t>
      </w:r>
      <w:r>
        <w:rPr>
          <w:lang w:val="en-CA"/>
        </w:rPr>
        <w:t xml:space="preserve">here </w:t>
      </w:r>
      <w:r w:rsidR="00441B8F" w:rsidRPr="0076473C">
        <w:rPr>
          <w:lang w:val="en-CA"/>
        </w:rPr>
        <w:t xml:space="preserve">did not commit </w:t>
      </w:r>
      <w:r>
        <w:rPr>
          <w:lang w:val="en-CA"/>
        </w:rPr>
        <w:t xml:space="preserve">an </w:t>
      </w:r>
      <w:r w:rsidR="00441B8F" w:rsidRPr="0076473C">
        <w:rPr>
          <w:lang w:val="en-CA"/>
        </w:rPr>
        <w:t xml:space="preserve">error justifying the intervention of this Court in </w:t>
      </w:r>
      <w:r>
        <w:rPr>
          <w:lang w:val="en-CA"/>
        </w:rPr>
        <w:t xml:space="preserve">finding </w:t>
      </w:r>
      <w:r w:rsidR="00441B8F" w:rsidRPr="0076473C">
        <w:rPr>
          <w:lang w:val="en-CA"/>
        </w:rPr>
        <w:t>that</w:t>
      </w:r>
      <w:r>
        <w:rPr>
          <w:lang w:val="en-CA"/>
        </w:rPr>
        <w:t>,</w:t>
      </w:r>
      <w:r w:rsidR="00441B8F" w:rsidRPr="0076473C">
        <w:rPr>
          <w:lang w:val="en-CA"/>
        </w:rPr>
        <w:t xml:space="preserve"> in the particular circumstance of this case, the luring committed by the respondent was during this period</w:t>
      </w:r>
      <w:r>
        <w:rPr>
          <w:lang w:val="en-CA"/>
        </w:rPr>
        <w:t xml:space="preserve"> was not </w:t>
      </w:r>
      <w:r w:rsidR="00441B8F" w:rsidRPr="0076473C">
        <w:rPr>
          <w:lang w:val="en-CA"/>
        </w:rPr>
        <w:t xml:space="preserve">preparatory grooming characteristic of this offence, but </w:t>
      </w:r>
      <w:r>
        <w:rPr>
          <w:lang w:val="en-CA"/>
        </w:rPr>
        <w:t xml:space="preserve">that it took place through </w:t>
      </w:r>
      <w:r w:rsidR="00441B8F" w:rsidRPr="0076473C">
        <w:rPr>
          <w:lang w:val="en-CA"/>
        </w:rPr>
        <w:t>communications that were part of a continuum of approximately 18 months after the start of the</w:t>
      </w:r>
      <w:r w:rsidR="00125472">
        <w:rPr>
          <w:lang w:val="en-CA"/>
        </w:rPr>
        <w:t xml:space="preserve"> parties’</w:t>
      </w:r>
      <w:r w:rsidR="00441B8F" w:rsidRPr="0076473C">
        <w:rPr>
          <w:lang w:val="en-CA"/>
        </w:rPr>
        <w:t xml:space="preserve"> relationship and the first three </w:t>
      </w:r>
      <w:r w:rsidR="00125472">
        <w:rPr>
          <w:lang w:val="en-CA"/>
        </w:rPr>
        <w:t>instances</w:t>
      </w:r>
      <w:r w:rsidR="00125472" w:rsidRPr="0076473C">
        <w:rPr>
          <w:lang w:val="en-CA"/>
        </w:rPr>
        <w:t xml:space="preserve"> </w:t>
      </w:r>
      <w:r w:rsidR="00441B8F" w:rsidRPr="0076473C">
        <w:rPr>
          <w:lang w:val="en-CA"/>
        </w:rPr>
        <w:t>of sexual intercourse.</w:t>
      </w:r>
      <w:r w:rsidR="00562F60" w:rsidRPr="0076473C">
        <w:rPr>
          <w:rStyle w:val="Appelnotedebasdep"/>
          <w:lang w:val="en-CA"/>
        </w:rPr>
        <w:footnoteReference w:id="95"/>
      </w:r>
    </w:p>
    <w:p w14:paraId="4A7E5FDA" w14:textId="4B37F7BD" w:rsidR="00441B8F" w:rsidRPr="0076473C" w:rsidRDefault="00441B8F" w:rsidP="00441B8F">
      <w:pPr>
        <w:pStyle w:val="Paragraphe"/>
        <w:keepNext/>
        <w:numPr>
          <w:ilvl w:val="0"/>
          <w:numId w:val="26"/>
        </w:numPr>
        <w:spacing w:line="280" w:lineRule="exact"/>
        <w:rPr>
          <w:b/>
          <w:lang w:val="en-CA" w:eastAsia="fr-CA"/>
        </w:rPr>
      </w:pPr>
      <w:r w:rsidRPr="006C0449">
        <w:rPr>
          <w:b/>
          <w:lang w:val="en-CA" w:eastAsia="fr-CA"/>
        </w:rPr>
        <w:t xml:space="preserve">The </w:t>
      </w:r>
      <w:r w:rsidRPr="0076473C">
        <w:rPr>
          <w:b/>
          <w:lang w:val="en-CA" w:eastAsia="fr-CA"/>
        </w:rPr>
        <w:t xml:space="preserve">minimum 1-year sentence: s. 12 of the </w:t>
      </w:r>
      <w:r w:rsidRPr="0076473C">
        <w:rPr>
          <w:b/>
          <w:i/>
          <w:lang w:val="en-CA" w:eastAsia="fr-CA"/>
        </w:rPr>
        <w:t>Charter</w:t>
      </w:r>
    </w:p>
    <w:p w14:paraId="249C971D" w14:textId="42DDC7E7" w:rsidR="00562F60" w:rsidRPr="0076473C" w:rsidRDefault="007772FA" w:rsidP="00562F60">
      <w:pPr>
        <w:pStyle w:val="Paragraphe"/>
        <w:spacing w:line="280" w:lineRule="exact"/>
        <w:rPr>
          <w:lang w:val="en-CA" w:eastAsia="fr-CA"/>
        </w:rPr>
      </w:pPr>
      <w:r>
        <w:rPr>
          <w:lang w:val="en-CA"/>
        </w:rPr>
        <w:t>While</w:t>
      </w:r>
      <w:r w:rsidRPr="00EB3596">
        <w:rPr>
          <w:lang w:val="en-CA"/>
        </w:rPr>
        <w:t xml:space="preserve"> </w:t>
      </w:r>
      <w:r w:rsidR="00441B8F" w:rsidRPr="00EB3596">
        <w:rPr>
          <w:lang w:val="en-CA"/>
        </w:rPr>
        <w:t xml:space="preserve">the judge’s reasons in support of her conclusion that the mandatory minimum sentence </w:t>
      </w:r>
      <w:r w:rsidR="007B2C1A">
        <w:rPr>
          <w:lang w:val="en-CA"/>
        </w:rPr>
        <w:t xml:space="preserve">under </w:t>
      </w:r>
      <w:r w:rsidR="00441B8F" w:rsidRPr="00EB3596">
        <w:rPr>
          <w:lang w:val="en-CA"/>
        </w:rPr>
        <w:t>s. 172.1(2)(</w:t>
      </w:r>
      <w:r w:rsidR="00441B8F" w:rsidRPr="009B7B69">
        <w:rPr>
          <w:i/>
          <w:lang w:val="en-CA"/>
        </w:rPr>
        <w:t>a</w:t>
      </w:r>
      <w:r w:rsidR="00441B8F" w:rsidRPr="00EB3596">
        <w:rPr>
          <w:lang w:val="en-CA"/>
        </w:rPr>
        <w:t xml:space="preserve">) </w:t>
      </w:r>
      <w:r w:rsidR="00441B8F" w:rsidRPr="00EB3596">
        <w:rPr>
          <w:i/>
          <w:lang w:val="en-CA"/>
        </w:rPr>
        <w:t>Cr. C</w:t>
      </w:r>
      <w:r w:rsidR="00441B8F" w:rsidRPr="00EB3596">
        <w:rPr>
          <w:lang w:val="en-CA"/>
        </w:rPr>
        <w:t xml:space="preserve">. must be declared inoperative with respect to the respondent because it infringes s. 12 of the </w:t>
      </w:r>
      <w:r w:rsidR="00441B8F" w:rsidRPr="00EB3596">
        <w:rPr>
          <w:i/>
          <w:lang w:val="en-CA"/>
        </w:rPr>
        <w:t xml:space="preserve">Charter </w:t>
      </w:r>
      <w:r w:rsidR="00441B8F" w:rsidRPr="00EB3596">
        <w:rPr>
          <w:lang w:val="en-CA"/>
        </w:rPr>
        <w:t xml:space="preserve">are not as </w:t>
      </w:r>
      <w:r w:rsidR="009D30F5">
        <w:rPr>
          <w:lang w:val="en-CA"/>
        </w:rPr>
        <w:t>developed</w:t>
      </w:r>
      <w:r w:rsidR="009D30F5" w:rsidRPr="00EB3596">
        <w:rPr>
          <w:lang w:val="en-CA"/>
        </w:rPr>
        <w:t xml:space="preserve"> </w:t>
      </w:r>
      <w:r w:rsidR="00441B8F" w:rsidRPr="00EB3596">
        <w:rPr>
          <w:lang w:val="en-CA"/>
        </w:rPr>
        <w:t xml:space="preserve">as some </w:t>
      </w:r>
      <w:r w:rsidR="009D30F5">
        <w:rPr>
          <w:lang w:val="en-CA"/>
        </w:rPr>
        <w:t>might wish</w:t>
      </w:r>
      <w:r w:rsidR="00441B8F" w:rsidRPr="00EB3596">
        <w:rPr>
          <w:lang w:val="en-CA"/>
        </w:rPr>
        <w:t xml:space="preserve">, we are of the opinion that this conclusion is free of errors of law or </w:t>
      </w:r>
      <w:r w:rsidR="00795D32" w:rsidRPr="00EB3596">
        <w:rPr>
          <w:lang w:val="en-CA"/>
        </w:rPr>
        <w:t>principle</w:t>
      </w:r>
      <w:r w:rsidR="00441B8F" w:rsidRPr="00EB3596">
        <w:rPr>
          <w:lang w:val="en-CA"/>
        </w:rPr>
        <w:t xml:space="preserve"> and therefore do</w:t>
      </w:r>
      <w:r w:rsidR="007B2C1A">
        <w:rPr>
          <w:lang w:val="en-CA"/>
        </w:rPr>
        <w:t>es</w:t>
      </w:r>
      <w:r w:rsidR="00441B8F" w:rsidRPr="00EB3596">
        <w:rPr>
          <w:lang w:val="en-CA"/>
        </w:rPr>
        <w:t xml:space="preserve"> not justify any intervention</w:t>
      </w:r>
      <w:r w:rsidR="00441B8F" w:rsidRPr="0076473C">
        <w:rPr>
          <w:lang w:val="en-CA"/>
        </w:rPr>
        <w:t>.</w:t>
      </w:r>
    </w:p>
    <w:p w14:paraId="265DEA29" w14:textId="7C8D3A8A" w:rsidR="00562F60" w:rsidRPr="0076473C" w:rsidRDefault="0069671D" w:rsidP="00562F60">
      <w:pPr>
        <w:pStyle w:val="Paragraphe"/>
        <w:spacing w:line="280" w:lineRule="exact"/>
        <w:rPr>
          <w:lang w:val="en-CA"/>
        </w:rPr>
      </w:pPr>
      <w:r w:rsidRPr="0076473C">
        <w:rPr>
          <w:lang w:val="en-CA"/>
        </w:rPr>
        <w:t xml:space="preserve">In </w:t>
      </w:r>
      <w:r w:rsidRPr="0076473C">
        <w:rPr>
          <w:i/>
          <w:lang w:val="en-CA"/>
        </w:rPr>
        <w:t>Morrison</w:t>
      </w:r>
      <w:r w:rsidRPr="0076473C">
        <w:rPr>
          <w:lang w:val="en-CA"/>
        </w:rPr>
        <w:t>,</w:t>
      </w:r>
      <w:r w:rsidR="00C22580" w:rsidRPr="0076473C">
        <w:rPr>
          <w:rStyle w:val="Appelnotedebasdep"/>
          <w:lang w:val="en-CA"/>
        </w:rPr>
        <w:footnoteReference w:id="96"/>
      </w:r>
      <w:r w:rsidR="00C22580" w:rsidRPr="0076473C">
        <w:rPr>
          <w:lang w:val="en-CA"/>
        </w:rPr>
        <w:t xml:space="preserve"> </w:t>
      </w:r>
      <w:r w:rsidRPr="0076473C">
        <w:rPr>
          <w:lang w:val="en-CA"/>
        </w:rPr>
        <w:t xml:space="preserve"> </w:t>
      </w:r>
      <w:r w:rsidR="007772FA">
        <w:rPr>
          <w:lang w:val="en-CA"/>
        </w:rPr>
        <w:t>written by Moldaver</w:t>
      </w:r>
      <w:r w:rsidR="007B2C1A">
        <w:rPr>
          <w:lang w:val="en-CA"/>
        </w:rPr>
        <w:t xml:space="preserve">, </w:t>
      </w:r>
      <w:r w:rsidR="007772FA">
        <w:rPr>
          <w:lang w:val="en-CA"/>
        </w:rPr>
        <w:t xml:space="preserve">J., </w:t>
      </w:r>
      <w:r w:rsidRPr="0076473C">
        <w:rPr>
          <w:lang w:val="en-CA"/>
        </w:rPr>
        <w:t>seven of the nine judges found it “unwise” to rule on the constitutional validity of the mandatory minimum sentence under s.</w:t>
      </w:r>
      <w:r w:rsidR="007B2C1A">
        <w:rPr>
          <w:lang w:val="en-CA"/>
        </w:rPr>
        <w:t> </w:t>
      </w:r>
      <w:r w:rsidRPr="0076473C">
        <w:rPr>
          <w:lang w:val="en-CA"/>
        </w:rPr>
        <w:t>172.1(2)(</w:t>
      </w:r>
      <w:r w:rsidRPr="009B7B69">
        <w:rPr>
          <w:i/>
          <w:lang w:val="en-CA"/>
        </w:rPr>
        <w:t>a</w:t>
      </w:r>
      <w:r w:rsidRPr="0076473C">
        <w:rPr>
          <w:lang w:val="en-CA"/>
        </w:rPr>
        <w:t>) considering</w:t>
      </w:r>
      <w:r w:rsidR="007B2C1A">
        <w:rPr>
          <w:lang w:val="en-CA"/>
        </w:rPr>
        <w:t>,</w:t>
      </w:r>
      <w:r w:rsidRPr="0076473C">
        <w:rPr>
          <w:lang w:val="en-CA"/>
        </w:rPr>
        <w:t xml:space="preserve"> first, the error of law upon which the courts below established Mr. Morrison’s guilt, and second, the Court’s decision to quash the verdict for that reason and order a new trial.</w:t>
      </w:r>
      <w:r w:rsidR="00562F60" w:rsidRPr="0076473C">
        <w:rPr>
          <w:rStyle w:val="Appelnotedebasdep"/>
          <w:lang w:val="en-CA"/>
        </w:rPr>
        <w:footnoteReference w:id="97"/>
      </w:r>
      <w:r w:rsidRPr="0076473C">
        <w:rPr>
          <w:lang w:val="en-CA"/>
        </w:rPr>
        <w:t xml:space="preserve"> Nevertheless, Moldaver</w:t>
      </w:r>
      <w:r w:rsidR="007B2C1A">
        <w:rPr>
          <w:lang w:val="en-CA"/>
        </w:rPr>
        <w:t>,</w:t>
      </w:r>
      <w:r w:rsidRPr="0076473C">
        <w:rPr>
          <w:lang w:val="en-CA"/>
        </w:rPr>
        <w:t xml:space="preserve"> J. </w:t>
      </w:r>
      <w:r w:rsidR="007B2C1A">
        <w:rPr>
          <w:lang w:val="en-CA"/>
        </w:rPr>
        <w:t>deemed</w:t>
      </w:r>
      <w:r w:rsidRPr="0076473C">
        <w:rPr>
          <w:lang w:val="en-CA"/>
        </w:rPr>
        <w:t xml:space="preserve"> it appropriate to note that “</w:t>
      </w:r>
      <w:r w:rsidR="00C22580" w:rsidRPr="0076473C">
        <w:rPr>
          <w:lang w:val="en-CA"/>
        </w:rPr>
        <w:t>s</w:t>
      </w:r>
      <w:r w:rsidRPr="0076473C">
        <w:rPr>
          <w:lang w:val="en-CA"/>
        </w:rPr>
        <w:t>everal features of s. 172.1 suggest that the mandatory minimum under subs. (2)(</w:t>
      </w:r>
      <w:r w:rsidRPr="009B7B69">
        <w:rPr>
          <w:i/>
          <w:lang w:val="en-CA"/>
        </w:rPr>
        <w:t>a</w:t>
      </w:r>
      <w:r w:rsidRPr="0076473C">
        <w:rPr>
          <w:lang w:val="en-CA"/>
        </w:rPr>
        <w:t>) is, at the very least, constitutionally suspect.”</w:t>
      </w:r>
      <w:r w:rsidR="00795D32" w:rsidRPr="0076473C">
        <w:rPr>
          <w:rStyle w:val="Appelnotedebasdep"/>
          <w:lang w:val="en-CA" w:eastAsia="fr-CA"/>
        </w:rPr>
        <w:footnoteReference w:id="98"/>
      </w:r>
      <w:r w:rsidRPr="0076473C">
        <w:rPr>
          <w:lang w:val="en-CA"/>
        </w:rPr>
        <w:t xml:space="preserve"> </w:t>
      </w:r>
      <w:r w:rsidR="00795D32" w:rsidRPr="0076473C">
        <w:rPr>
          <w:lang w:val="en-CA"/>
        </w:rPr>
        <w:t xml:space="preserve">In fact, </w:t>
      </w:r>
      <w:r w:rsidR="007772FA">
        <w:rPr>
          <w:lang w:val="en-CA"/>
        </w:rPr>
        <w:t xml:space="preserve">supported by case law, </w:t>
      </w:r>
      <w:r w:rsidR="00795D32" w:rsidRPr="0076473C">
        <w:rPr>
          <w:lang w:val="en-CA"/>
        </w:rPr>
        <w:t>he added, “</w:t>
      </w:r>
      <w:r w:rsidR="00795D32" w:rsidRPr="0076473C">
        <w:rPr>
          <w:rStyle w:val="reflex2-link"/>
          <w:color w:val="000000"/>
          <w:lang w:val="en-CA"/>
        </w:rPr>
        <w:t>[s]ubsection 172.1(2)</w:t>
      </w:r>
      <w:r w:rsidR="00795D32" w:rsidRPr="0076473C">
        <w:rPr>
          <w:color w:val="000000"/>
          <w:lang w:val="en-CA"/>
        </w:rPr>
        <w:t> “casts its net over a wide range of potential conduct”, making it potentially vulnerable to constitutional challenge given the range of reasonably foreseeable applications of the mandatory minimum”.</w:t>
      </w:r>
      <w:r w:rsidR="00562F60" w:rsidRPr="0076473C">
        <w:rPr>
          <w:rStyle w:val="Appelnotedebasdep"/>
          <w:lang w:val="en-CA" w:eastAsia="fr-CA"/>
        </w:rPr>
        <w:footnoteReference w:id="99"/>
      </w:r>
    </w:p>
    <w:p w14:paraId="7BECEA54" w14:textId="10B4ABFB" w:rsidR="00562F60" w:rsidRPr="0076473C" w:rsidRDefault="001A3AD4" w:rsidP="00562F60">
      <w:pPr>
        <w:pStyle w:val="Paragraphe"/>
        <w:spacing w:line="280" w:lineRule="exact"/>
        <w:rPr>
          <w:lang w:val="en-CA"/>
        </w:rPr>
      </w:pPr>
      <w:r>
        <w:rPr>
          <w:lang w:val="en-CA"/>
        </w:rPr>
        <w:lastRenderedPageBreak/>
        <w:t xml:space="preserve">In her concurring reasons, </w:t>
      </w:r>
      <w:r w:rsidR="0076473C" w:rsidRPr="0076473C">
        <w:rPr>
          <w:lang w:val="en-CA"/>
        </w:rPr>
        <w:t>Karakatsanis</w:t>
      </w:r>
      <w:r>
        <w:rPr>
          <w:lang w:val="en-CA"/>
        </w:rPr>
        <w:t>,</w:t>
      </w:r>
      <w:r w:rsidR="0076473C" w:rsidRPr="0076473C">
        <w:rPr>
          <w:lang w:val="en-CA"/>
        </w:rPr>
        <w:t xml:space="preserve"> J</w:t>
      </w:r>
      <w:r>
        <w:rPr>
          <w:lang w:val="en-CA"/>
        </w:rPr>
        <w:t>.</w:t>
      </w:r>
      <w:r w:rsidR="007772FA" w:rsidRPr="0076473C">
        <w:rPr>
          <w:lang w:val="en-CA"/>
        </w:rPr>
        <w:t xml:space="preserve"> </w:t>
      </w:r>
      <w:r>
        <w:rPr>
          <w:lang w:val="en-CA"/>
        </w:rPr>
        <w:t xml:space="preserve">for her part </w:t>
      </w:r>
      <w:r w:rsidR="007772FA" w:rsidRPr="0076473C">
        <w:rPr>
          <w:lang w:val="en-CA"/>
        </w:rPr>
        <w:t xml:space="preserve">concluded </w:t>
      </w:r>
      <w:r w:rsidR="0076473C" w:rsidRPr="0076473C">
        <w:rPr>
          <w:lang w:val="en-CA"/>
        </w:rPr>
        <w:t>that it i</w:t>
      </w:r>
      <w:r w:rsidR="007772FA">
        <w:rPr>
          <w:lang w:val="en-CA"/>
        </w:rPr>
        <w:t>s</w:t>
      </w:r>
      <w:r w:rsidR="0076473C" w:rsidRPr="0076473C">
        <w:rPr>
          <w:lang w:val="en-CA"/>
        </w:rPr>
        <w:t xml:space="preserve"> preferable to decide the co</w:t>
      </w:r>
      <w:r>
        <w:rPr>
          <w:lang w:val="en-CA"/>
        </w:rPr>
        <w:t>nstitutional question</w:t>
      </w:r>
      <w:r w:rsidR="0076473C" w:rsidRPr="0076473C">
        <w:rPr>
          <w:lang w:val="en-CA"/>
        </w:rPr>
        <w:t xml:space="preserve"> to avoid</w:t>
      </w:r>
      <w:r>
        <w:rPr>
          <w:lang w:val="en-CA"/>
        </w:rPr>
        <w:t>, among other things,</w:t>
      </w:r>
      <w:r w:rsidR="0076473C" w:rsidRPr="0076473C">
        <w:rPr>
          <w:lang w:val="en-CA"/>
        </w:rPr>
        <w:t xml:space="preserve"> other individuals being convicted of a child luring offence by way of indictment and finding themselves subject “to a mandatory minimum sentence that is constitutionally unsound”.</w:t>
      </w:r>
      <w:r w:rsidR="00562F60" w:rsidRPr="0076473C">
        <w:rPr>
          <w:rStyle w:val="Appelnotedebasdep"/>
          <w:lang w:val="en-CA"/>
        </w:rPr>
        <w:footnoteReference w:id="100"/>
      </w:r>
      <w:r w:rsidR="0076473C" w:rsidRPr="0076473C">
        <w:rPr>
          <w:lang w:val="en-CA"/>
        </w:rPr>
        <w:t xml:space="preserve"> </w:t>
      </w:r>
    </w:p>
    <w:p w14:paraId="4AE684A3" w14:textId="67A2F078" w:rsidR="00562F60" w:rsidRPr="0076473C" w:rsidRDefault="002E0B74" w:rsidP="00562F60">
      <w:pPr>
        <w:pStyle w:val="Paragraphe"/>
        <w:spacing w:line="280" w:lineRule="exact"/>
        <w:rPr>
          <w:lang w:val="en-CA"/>
        </w:rPr>
      </w:pPr>
      <w:r w:rsidRPr="002E0B74">
        <w:rPr>
          <w:lang w:val="en-CA"/>
        </w:rPr>
        <w:t xml:space="preserve">Thus, she first noted that the offence of luring targets a multitude of situations and that the mandatory minimum sentence it carries is </w:t>
      </w:r>
      <w:r w:rsidR="001A3AD4">
        <w:rPr>
          <w:lang w:val="en-CA"/>
        </w:rPr>
        <w:t>accordingly</w:t>
      </w:r>
      <w:r w:rsidRPr="002E0B74">
        <w:rPr>
          <w:lang w:val="en-CA"/>
        </w:rPr>
        <w:t xml:space="preserve"> more vulnerable to constitutional challenge.</w:t>
      </w:r>
      <w:r w:rsidR="00562F60" w:rsidRPr="0076473C">
        <w:rPr>
          <w:rStyle w:val="Appelnotedebasdep"/>
          <w:lang w:val="en-CA"/>
        </w:rPr>
        <w:footnoteReference w:id="101"/>
      </w:r>
      <w:r>
        <w:rPr>
          <w:lang w:val="en-CA"/>
        </w:rPr>
        <w:t xml:space="preserve"> </w:t>
      </w:r>
    </w:p>
    <w:p w14:paraId="087B3F41" w14:textId="1FD22E07" w:rsidR="00562F60" w:rsidRDefault="002E0B74" w:rsidP="00562F60">
      <w:pPr>
        <w:pStyle w:val="Paragraphe"/>
        <w:spacing w:line="280" w:lineRule="exact"/>
        <w:rPr>
          <w:lang w:val="en-CA" w:eastAsia="fr-CA"/>
        </w:rPr>
      </w:pPr>
      <w:r w:rsidRPr="002E0B74">
        <w:rPr>
          <w:lang w:val="en-CA" w:eastAsia="fr-CA"/>
        </w:rPr>
        <w:t xml:space="preserve">Incidentally, the majority in the judgment rendered by this Court in </w:t>
      </w:r>
      <w:r w:rsidRPr="002E0B74">
        <w:rPr>
          <w:i/>
          <w:lang w:val="en-CA" w:eastAsia="fr-CA"/>
        </w:rPr>
        <w:t>R. c. Lefrançois</w:t>
      </w:r>
      <w:r w:rsidRPr="0076473C">
        <w:rPr>
          <w:rStyle w:val="Appelnotedebasdep"/>
          <w:lang w:val="en-CA" w:eastAsia="fr-CA"/>
        </w:rPr>
        <w:footnoteReference w:id="102"/>
      </w:r>
      <w:r w:rsidRPr="002E0B74">
        <w:rPr>
          <w:lang w:val="en-CA" w:eastAsia="fr-CA"/>
        </w:rPr>
        <w:t xml:space="preserve"> made an observation on the same theme concerning mandatory minimum sentences in general:</w:t>
      </w:r>
      <w:r>
        <w:rPr>
          <w:i/>
          <w:lang w:val="en-CA" w:eastAsia="fr-CA"/>
        </w:rPr>
        <w:t xml:space="preserve"> </w:t>
      </w:r>
    </w:p>
    <w:p w14:paraId="5D3C7485" w14:textId="15B42550" w:rsidR="002E0B74" w:rsidRPr="0076473C" w:rsidRDefault="002E0B74" w:rsidP="002E0B74">
      <w:pPr>
        <w:pStyle w:val="Paragraphe"/>
        <w:numPr>
          <w:ilvl w:val="0"/>
          <w:numId w:val="0"/>
        </w:numPr>
        <w:spacing w:line="280" w:lineRule="exact"/>
        <w:rPr>
          <w:lang w:val="en-CA" w:eastAsia="fr-CA"/>
        </w:rPr>
      </w:pPr>
      <w:r>
        <w:rPr>
          <w:lang w:val="en-CA" w:eastAsia="fr-CA"/>
        </w:rPr>
        <w:tab/>
        <w:t>[</w:t>
      </w:r>
      <w:r w:rsidRPr="002E0B74">
        <w:rPr>
          <w:smallCaps/>
          <w:lang w:val="en-CA" w:eastAsia="fr-CA"/>
        </w:rPr>
        <w:t>translation</w:t>
      </w:r>
      <w:r>
        <w:rPr>
          <w:lang w:val="en-CA" w:eastAsia="fr-CA"/>
        </w:rPr>
        <w:t>]</w:t>
      </w:r>
    </w:p>
    <w:p w14:paraId="7B365283" w14:textId="3F289E97" w:rsidR="00562F60" w:rsidRPr="0076473C" w:rsidRDefault="00562F60" w:rsidP="00562F60">
      <w:pPr>
        <w:pStyle w:val="Citationenretrait"/>
        <w:rPr>
          <w:lang w:val="en-CA" w:eastAsia="fr-CA"/>
        </w:rPr>
      </w:pPr>
      <w:r w:rsidRPr="0076473C">
        <w:rPr>
          <w:lang w:val="en-CA" w:eastAsia="fr-CA"/>
        </w:rPr>
        <w:t>[</w:t>
      </w:r>
      <w:bookmarkStart w:id="22" w:name="par109"/>
      <w:r w:rsidRPr="0076473C">
        <w:rPr>
          <w:lang w:val="en-CA" w:eastAsia="fr-CA"/>
        </w:rPr>
        <w:t>109</w:t>
      </w:r>
      <w:bookmarkEnd w:id="22"/>
      <w:r w:rsidRPr="0076473C">
        <w:rPr>
          <w:lang w:val="en-CA" w:eastAsia="fr-CA"/>
        </w:rPr>
        <w:t>]</w:t>
      </w:r>
      <w:r w:rsidRPr="0076473C">
        <w:rPr>
          <w:sz w:val="14"/>
          <w:szCs w:val="14"/>
          <w:lang w:val="en-CA" w:eastAsia="fr-CA"/>
        </w:rPr>
        <w:t xml:space="preserve"> </w:t>
      </w:r>
      <w:r w:rsidRPr="0076473C">
        <w:rPr>
          <w:sz w:val="14"/>
          <w:szCs w:val="14"/>
          <w:lang w:val="en-CA" w:eastAsia="fr-CA"/>
        </w:rPr>
        <w:tab/>
      </w:r>
      <w:r w:rsidR="007A4BEF">
        <w:rPr>
          <w:lang w:val="en-CA" w:eastAsia="fr-CA"/>
        </w:rPr>
        <w:t>Minimu</w:t>
      </w:r>
      <w:r w:rsidR="002E0B74">
        <w:rPr>
          <w:lang w:val="en-CA" w:eastAsia="fr-CA"/>
        </w:rPr>
        <w:t>m sentences are criticized and questionable.</w:t>
      </w:r>
      <w:r w:rsidRPr="0076473C">
        <w:rPr>
          <w:lang w:val="en-CA" w:eastAsia="fr-CA"/>
        </w:rPr>
        <w:t xml:space="preserve"> </w:t>
      </w:r>
      <w:r w:rsidR="002E0B74">
        <w:rPr>
          <w:lang w:val="en-CA" w:eastAsia="fr-CA"/>
        </w:rPr>
        <w:t>The</w:t>
      </w:r>
      <w:r w:rsidR="001A3AD4">
        <w:rPr>
          <w:lang w:val="en-CA" w:eastAsia="fr-CA"/>
        </w:rPr>
        <w:t>y</w:t>
      </w:r>
      <w:r w:rsidR="002E0B74">
        <w:rPr>
          <w:lang w:val="en-CA" w:eastAsia="fr-CA"/>
        </w:rPr>
        <w:t xml:space="preserve"> are constitutionally vulnerable in many respects.</w:t>
      </w:r>
    </w:p>
    <w:p w14:paraId="6E086ABE" w14:textId="4E29F158" w:rsidR="00562F60" w:rsidRPr="0076473C" w:rsidRDefault="00562F60" w:rsidP="00562F60">
      <w:pPr>
        <w:pStyle w:val="Citationenretrait"/>
        <w:rPr>
          <w:lang w:val="en-CA" w:eastAsia="fr-CA"/>
        </w:rPr>
      </w:pPr>
      <w:r w:rsidRPr="0076473C">
        <w:rPr>
          <w:lang w:val="en-CA" w:eastAsia="fr-CA"/>
        </w:rPr>
        <w:t>[</w:t>
      </w:r>
      <w:bookmarkStart w:id="23" w:name="par110"/>
      <w:r w:rsidRPr="0076473C">
        <w:rPr>
          <w:lang w:val="en-CA" w:eastAsia="fr-CA"/>
        </w:rPr>
        <w:t>110</w:t>
      </w:r>
      <w:bookmarkEnd w:id="23"/>
      <w:r w:rsidRPr="0076473C">
        <w:rPr>
          <w:lang w:val="en-CA" w:eastAsia="fr-CA"/>
        </w:rPr>
        <w:t>]</w:t>
      </w:r>
      <w:r w:rsidRPr="0076473C">
        <w:rPr>
          <w:sz w:val="14"/>
          <w:szCs w:val="14"/>
          <w:lang w:val="en-CA" w:eastAsia="fr-CA"/>
        </w:rPr>
        <w:t xml:space="preserve"> </w:t>
      </w:r>
      <w:r w:rsidRPr="0076473C">
        <w:rPr>
          <w:sz w:val="14"/>
          <w:szCs w:val="14"/>
          <w:lang w:val="en-CA" w:eastAsia="fr-CA"/>
        </w:rPr>
        <w:tab/>
      </w:r>
      <w:r w:rsidR="001A3AD4">
        <w:rPr>
          <w:lang w:val="en-CA" w:eastAsia="fr-CA"/>
        </w:rPr>
        <w:t>Indeed, in</w:t>
      </w:r>
      <w:r w:rsidR="002E0B74">
        <w:rPr>
          <w:lang w:val="en-CA" w:eastAsia="fr-CA"/>
        </w:rPr>
        <w:t xml:space="preserve"> cases that fall under the minimum threshold, the minimum sentence requires the judge to set aside the fundamental principle of proportionality in sentencing.</w:t>
      </w:r>
      <w:r w:rsidRPr="0076473C">
        <w:rPr>
          <w:lang w:val="en-CA" w:eastAsia="fr-CA"/>
        </w:rPr>
        <w:t xml:space="preserve"> </w:t>
      </w:r>
      <w:r w:rsidR="002E0B74">
        <w:rPr>
          <w:lang w:val="en-CA" w:eastAsia="fr-CA"/>
        </w:rPr>
        <w:t>The minimum sentence prioritizes the objective of deterrence to the detriment of the other sentencing objectives.</w:t>
      </w:r>
    </w:p>
    <w:p w14:paraId="53F3DE4D" w14:textId="7B789D16" w:rsidR="00562F60" w:rsidRPr="0076473C" w:rsidRDefault="00562F60" w:rsidP="00562F60">
      <w:pPr>
        <w:pStyle w:val="Citationenretrait"/>
        <w:rPr>
          <w:lang w:val="en-CA" w:eastAsia="fr-CA"/>
        </w:rPr>
      </w:pPr>
      <w:r w:rsidRPr="0076473C">
        <w:rPr>
          <w:lang w:val="en-CA" w:eastAsia="fr-CA"/>
        </w:rPr>
        <w:t>[</w:t>
      </w:r>
      <w:bookmarkStart w:id="24" w:name="par111"/>
      <w:r w:rsidRPr="0076473C">
        <w:rPr>
          <w:lang w:val="en-CA" w:eastAsia="fr-CA"/>
        </w:rPr>
        <w:t>111</w:t>
      </w:r>
      <w:bookmarkEnd w:id="24"/>
      <w:r w:rsidRPr="0076473C">
        <w:rPr>
          <w:lang w:val="en-CA" w:eastAsia="fr-CA"/>
        </w:rPr>
        <w:t>]</w:t>
      </w:r>
      <w:r w:rsidRPr="0076473C">
        <w:rPr>
          <w:sz w:val="14"/>
          <w:szCs w:val="14"/>
          <w:lang w:val="en-CA" w:eastAsia="fr-CA"/>
        </w:rPr>
        <w:t xml:space="preserve"> </w:t>
      </w:r>
      <w:r w:rsidRPr="0076473C">
        <w:rPr>
          <w:sz w:val="14"/>
          <w:szCs w:val="14"/>
          <w:lang w:val="en-CA" w:eastAsia="fr-CA"/>
        </w:rPr>
        <w:tab/>
      </w:r>
      <w:r w:rsidR="002E0B74" w:rsidRPr="006C0449">
        <w:rPr>
          <w:lang w:val="en-CA" w:eastAsia="fr-CA"/>
        </w:rPr>
        <w:t>Minimum sentences “modify the general process of sentencing which relies on the review of all relevant factors in order to reach a proportionate result.”</w:t>
      </w:r>
      <w:r w:rsidRPr="0076473C">
        <w:rPr>
          <w:lang w:val="en-CA" w:eastAsia="fr-CA"/>
        </w:rPr>
        <w:t xml:space="preserve"> </w:t>
      </w:r>
      <w:r w:rsidR="002E0B74" w:rsidRPr="002E0B74">
        <w:rPr>
          <w:lang w:val="en-CA" w:eastAsia="fr-CA"/>
        </w:rPr>
        <w:t>Through this measure, Parliament seeks to “remove judicial discretion to impose a sentence below the stipulated minimum.”</w:t>
      </w:r>
    </w:p>
    <w:p w14:paraId="4DA423BD" w14:textId="57DD1AE3" w:rsidR="00562F60" w:rsidRPr="006C0449" w:rsidRDefault="002E0B74" w:rsidP="00562F60">
      <w:pPr>
        <w:pStyle w:val="Citationenretrait"/>
        <w:spacing w:before="0"/>
        <w:jc w:val="right"/>
        <w:rPr>
          <w:lang w:val="en-CA" w:eastAsia="fr-CA"/>
        </w:rPr>
      </w:pPr>
      <w:r w:rsidRPr="006C0449">
        <w:rPr>
          <w:lang w:val="en-CA" w:eastAsia="fr-CA"/>
        </w:rPr>
        <w:t>[Citations omitted.]</w:t>
      </w:r>
    </w:p>
    <w:p w14:paraId="2CFBD57D" w14:textId="296BCC63" w:rsidR="00562F60" w:rsidRPr="0076473C" w:rsidRDefault="000F5D02" w:rsidP="00562F60">
      <w:pPr>
        <w:pStyle w:val="Paragraphe"/>
        <w:spacing w:line="280" w:lineRule="exact"/>
        <w:rPr>
          <w:lang w:val="en-CA" w:eastAsia="fr-CA"/>
        </w:rPr>
      </w:pPr>
      <w:r>
        <w:rPr>
          <w:lang w:val="en-CA" w:eastAsia="fr-CA"/>
        </w:rPr>
        <w:t>Karakatsanis</w:t>
      </w:r>
      <w:r w:rsidR="00B45ADE">
        <w:rPr>
          <w:lang w:val="en-CA" w:eastAsia="fr-CA"/>
        </w:rPr>
        <w:t>,</w:t>
      </w:r>
      <w:r>
        <w:rPr>
          <w:lang w:val="en-CA" w:eastAsia="fr-CA"/>
        </w:rPr>
        <w:t xml:space="preserve"> J. next concluded that the mandatory minimum sentence in s.</w:t>
      </w:r>
      <w:r w:rsidR="00B45ADE">
        <w:rPr>
          <w:lang w:val="en-CA" w:eastAsia="fr-CA"/>
        </w:rPr>
        <w:t> </w:t>
      </w:r>
      <w:r>
        <w:rPr>
          <w:lang w:val="en-CA" w:eastAsia="fr-CA"/>
        </w:rPr>
        <w:t>172.1(2)(</w:t>
      </w:r>
      <w:r w:rsidRPr="009B7B69">
        <w:rPr>
          <w:i/>
          <w:lang w:val="en-CA" w:eastAsia="fr-CA"/>
        </w:rPr>
        <w:t>a</w:t>
      </w:r>
      <w:r>
        <w:rPr>
          <w:lang w:val="en-CA" w:eastAsia="fr-CA"/>
        </w:rPr>
        <w:t xml:space="preserve">) violates s. 12 of the </w:t>
      </w:r>
      <w:r w:rsidRPr="000F5D02">
        <w:rPr>
          <w:i/>
          <w:lang w:val="en-CA" w:eastAsia="fr-CA"/>
        </w:rPr>
        <w:t>Charter</w:t>
      </w:r>
      <w:r>
        <w:rPr>
          <w:lang w:val="en-CA" w:eastAsia="fr-CA"/>
        </w:rPr>
        <w:t xml:space="preserve"> and is not saved by s. 1.</w:t>
      </w:r>
      <w:r w:rsidR="00562F60" w:rsidRPr="0076473C">
        <w:rPr>
          <w:rStyle w:val="Appelnotedebasdep"/>
          <w:lang w:val="en-CA" w:eastAsia="fr-CA"/>
        </w:rPr>
        <w:footnoteReference w:id="103"/>
      </w:r>
      <w:r>
        <w:rPr>
          <w:lang w:val="en-CA" w:eastAsia="fr-CA"/>
        </w:rPr>
        <w:t xml:space="preserve"> </w:t>
      </w:r>
    </w:p>
    <w:p w14:paraId="5439EF5B" w14:textId="59656B3E" w:rsidR="00562F60" w:rsidRPr="0076473C" w:rsidRDefault="000F5D02" w:rsidP="00562F60">
      <w:pPr>
        <w:pStyle w:val="Paragraphe"/>
        <w:spacing w:line="280" w:lineRule="exact"/>
        <w:rPr>
          <w:lang w:val="en-CA" w:eastAsia="fr-CA"/>
        </w:rPr>
      </w:pPr>
      <w:r w:rsidRPr="006C0449">
        <w:rPr>
          <w:lang w:val="en-CA" w:eastAsia="fr-CA"/>
        </w:rPr>
        <w:t xml:space="preserve">That said, in </w:t>
      </w:r>
      <w:r w:rsidRPr="006C0449">
        <w:rPr>
          <w:i/>
          <w:lang w:val="en-CA" w:eastAsia="fr-CA"/>
        </w:rPr>
        <w:t>Lloyd</w:t>
      </w:r>
      <w:r w:rsidRPr="006C0449">
        <w:rPr>
          <w:lang w:val="en-CA" w:eastAsia="fr-CA"/>
        </w:rPr>
        <w:t>,</w:t>
      </w:r>
      <w:r w:rsidRPr="0076473C">
        <w:rPr>
          <w:rStyle w:val="Appelnotedebasdep"/>
          <w:lang w:val="en-CA" w:eastAsia="fr-CA"/>
        </w:rPr>
        <w:footnoteReference w:id="104"/>
      </w:r>
      <w:r w:rsidRPr="006C0449">
        <w:rPr>
          <w:lang w:val="en-CA" w:eastAsia="fr-CA"/>
        </w:rPr>
        <w:t xml:space="preserve"> the Supreme Court stated that a “grossly disproportionate” sentence is one that is “so excessive as to outrage standards of decency” and “abhorrent or intolerable” to society.</w:t>
      </w:r>
      <w:r w:rsidR="00562F60" w:rsidRPr="0076473C">
        <w:rPr>
          <w:rStyle w:val="Appelnotedebasdep"/>
          <w:lang w:val="en-CA" w:eastAsia="fr-CA"/>
        </w:rPr>
        <w:footnoteReference w:id="105"/>
      </w:r>
      <w:r w:rsidRPr="006C0449">
        <w:rPr>
          <w:lang w:val="en-CA" w:eastAsia="fr-CA"/>
        </w:rPr>
        <w:t xml:space="preserve"> The Court noted moreover that the wider the range of conduct and circumstances captured by the mandatory minimum, the more likely it is that the </w:t>
      </w:r>
      <w:r w:rsidRPr="006C0449">
        <w:rPr>
          <w:lang w:val="en-CA" w:eastAsia="fr-CA"/>
        </w:rPr>
        <w:lastRenderedPageBreak/>
        <w:t>mandatory minimum will apply to offenders for whom the sentence would be grossly disproportionate.</w:t>
      </w:r>
      <w:r w:rsidR="00562F60" w:rsidRPr="0076473C">
        <w:rPr>
          <w:rStyle w:val="Appelnotedebasdep"/>
          <w:lang w:val="en-CA" w:eastAsia="fr-CA"/>
        </w:rPr>
        <w:footnoteReference w:id="106"/>
      </w:r>
      <w:r w:rsidRPr="000F5D02">
        <w:rPr>
          <w:lang w:val="en-CA" w:eastAsia="fr-CA"/>
        </w:rPr>
        <w:t xml:space="preserve"> </w:t>
      </w:r>
    </w:p>
    <w:p w14:paraId="4DA052D2" w14:textId="3E3F47F6" w:rsidR="00562F60" w:rsidRPr="0076473C" w:rsidRDefault="000F5D02" w:rsidP="00562F60">
      <w:pPr>
        <w:pStyle w:val="Paragraphe"/>
        <w:spacing w:line="280" w:lineRule="exact"/>
        <w:rPr>
          <w:lang w:val="en-CA" w:eastAsia="fr-CA"/>
        </w:rPr>
      </w:pPr>
      <w:r w:rsidRPr="000F5D02">
        <w:rPr>
          <w:lang w:val="en-CA" w:eastAsia="fr-CA"/>
        </w:rPr>
        <w:t xml:space="preserve">As we have seen, the judge </w:t>
      </w:r>
      <w:r w:rsidR="001D38EB">
        <w:rPr>
          <w:lang w:val="en-CA" w:eastAsia="fr-CA"/>
        </w:rPr>
        <w:t>did in fact</w:t>
      </w:r>
      <w:r w:rsidR="001D38EB" w:rsidRPr="000F5D02">
        <w:rPr>
          <w:lang w:val="en-CA" w:eastAsia="fr-CA"/>
        </w:rPr>
        <w:t xml:space="preserve"> </w:t>
      </w:r>
      <w:r w:rsidRPr="000F5D02">
        <w:rPr>
          <w:lang w:val="en-CA" w:eastAsia="fr-CA"/>
        </w:rPr>
        <w:t xml:space="preserve">conclude that imposing the mandatory minimum sentence of </w:t>
      </w:r>
      <w:r w:rsidR="00B45ADE">
        <w:rPr>
          <w:lang w:val="en-CA" w:eastAsia="fr-CA"/>
        </w:rPr>
        <w:t>1</w:t>
      </w:r>
      <w:r w:rsidRPr="000F5D02">
        <w:rPr>
          <w:lang w:val="en-CA" w:eastAsia="fr-CA"/>
        </w:rPr>
        <w:t xml:space="preserve"> year on the respondent for the offence of luring as laid out in the count</w:t>
      </w:r>
      <w:r w:rsidR="00B45ADE">
        <w:rPr>
          <w:lang w:val="en-CA" w:eastAsia="fr-CA"/>
        </w:rPr>
        <w:t>,</w:t>
      </w:r>
      <w:r w:rsidRPr="000F5D02">
        <w:rPr>
          <w:lang w:val="en-CA" w:eastAsia="fr-CA"/>
        </w:rPr>
        <w:t xml:space="preserve"> considering the circumstances of its commission</w:t>
      </w:r>
      <w:r w:rsidR="00B45ADE">
        <w:rPr>
          <w:lang w:val="en-CA" w:eastAsia="fr-CA"/>
        </w:rPr>
        <w:t>,</w:t>
      </w:r>
      <w:r w:rsidRPr="000F5D02">
        <w:rPr>
          <w:lang w:val="en-CA" w:eastAsia="fr-CA"/>
        </w:rPr>
        <w:t xml:space="preserve"> would be [</w:t>
      </w:r>
      <w:r w:rsidRPr="000F5D02">
        <w:rPr>
          <w:smallCaps/>
          <w:lang w:val="en-CA" w:eastAsia="fr-CA"/>
        </w:rPr>
        <w:t>translation</w:t>
      </w:r>
      <w:r w:rsidRPr="000F5D02">
        <w:rPr>
          <w:lang w:val="en-CA" w:eastAsia="fr-CA"/>
        </w:rPr>
        <w:t>] “totally disproportionate with respect to him” and that it was therefore appropriate to declare it inoperative to that extent.</w:t>
      </w:r>
      <w:r w:rsidR="00562F60" w:rsidRPr="0076473C">
        <w:rPr>
          <w:rStyle w:val="Appelnotedebasdep"/>
          <w:lang w:val="en-CA" w:eastAsia="fr-CA"/>
        </w:rPr>
        <w:footnoteReference w:id="107"/>
      </w:r>
      <w:r w:rsidR="00562F60" w:rsidRPr="0076473C">
        <w:rPr>
          <w:lang w:val="en-CA" w:eastAsia="fr-CA"/>
        </w:rPr>
        <w:t xml:space="preserve"> </w:t>
      </w:r>
      <w:r>
        <w:rPr>
          <w:lang w:val="en-CA" w:eastAsia="fr-CA"/>
        </w:rPr>
        <w:t>For the judge, a well-</w:t>
      </w:r>
      <w:r w:rsidRPr="000F5D02">
        <w:rPr>
          <w:lang w:val="en-CA" w:eastAsia="fr-CA"/>
        </w:rPr>
        <w:t>informed public would be outraged by the imposition of this sentence on the respondent considering the circumstances</w:t>
      </w:r>
      <w:r>
        <w:rPr>
          <w:lang w:val="en-CA" w:eastAsia="fr-CA"/>
        </w:rPr>
        <w:t xml:space="preserve"> as a whole</w:t>
      </w:r>
      <w:r w:rsidRPr="000F5D02">
        <w:rPr>
          <w:lang w:val="en-CA" w:eastAsia="fr-CA"/>
        </w:rPr>
        <w:t>.</w:t>
      </w:r>
      <w:r w:rsidR="00562F60" w:rsidRPr="0076473C">
        <w:rPr>
          <w:rStyle w:val="Appelnotedebasdep"/>
          <w:lang w:val="en-CA" w:eastAsia="fr-CA"/>
        </w:rPr>
        <w:footnoteReference w:id="108"/>
      </w:r>
      <w:r w:rsidR="00562F60" w:rsidRPr="0076473C">
        <w:rPr>
          <w:lang w:val="en-CA" w:eastAsia="fr-CA"/>
        </w:rPr>
        <w:t xml:space="preserve"> </w:t>
      </w:r>
      <w:r w:rsidRPr="000F5D02">
        <w:rPr>
          <w:lang w:val="en-CA" w:eastAsia="fr-CA"/>
        </w:rPr>
        <w:t>It is clear that, for her, this same public would on the contrary understand that the respondent should not receive a sentence as harsh as the minimum sentence of one year that s. 172.1(2)(</w:t>
      </w:r>
      <w:r w:rsidRPr="009B7B69">
        <w:rPr>
          <w:i/>
          <w:lang w:val="en-CA" w:eastAsia="fr-CA"/>
        </w:rPr>
        <w:t>a</w:t>
      </w:r>
      <w:r w:rsidRPr="000F5D02">
        <w:rPr>
          <w:lang w:val="en-CA" w:eastAsia="fr-CA"/>
        </w:rPr>
        <w:t>) </w:t>
      </w:r>
      <w:r w:rsidRPr="000F5D02">
        <w:rPr>
          <w:i/>
          <w:lang w:val="en-CA" w:eastAsia="fr-CA"/>
        </w:rPr>
        <w:t xml:space="preserve">Cr. C. </w:t>
      </w:r>
      <w:r w:rsidRPr="000F5D02">
        <w:rPr>
          <w:lang w:val="en-CA" w:eastAsia="fr-CA"/>
        </w:rPr>
        <w:t>requires in principle</w:t>
      </w:r>
      <w:r>
        <w:rPr>
          <w:lang w:val="en-CA" w:eastAsia="fr-CA"/>
        </w:rPr>
        <w:t>.</w:t>
      </w:r>
    </w:p>
    <w:p w14:paraId="1A96172F" w14:textId="1811D851" w:rsidR="00562F60" w:rsidRPr="0076473C" w:rsidRDefault="000F5D02" w:rsidP="00562F60">
      <w:pPr>
        <w:pStyle w:val="Paragraphe"/>
        <w:spacing w:line="280" w:lineRule="exact"/>
        <w:rPr>
          <w:lang w:val="en-CA" w:eastAsia="fr-CA"/>
        </w:rPr>
      </w:pPr>
      <w:r w:rsidRPr="000F5D02">
        <w:rPr>
          <w:lang w:val="en-CA" w:eastAsia="fr-CA"/>
        </w:rPr>
        <w:t xml:space="preserve">Given this conclusion, which we consider correct and seals the fate of the mandatory minimum sentence with respect to s. 12 of the </w:t>
      </w:r>
      <w:r w:rsidRPr="000F5D02">
        <w:rPr>
          <w:i/>
          <w:lang w:val="en-CA" w:eastAsia="fr-CA"/>
        </w:rPr>
        <w:t>Charter</w:t>
      </w:r>
      <w:r w:rsidRPr="000F5D02">
        <w:rPr>
          <w:lang w:val="en-CA" w:eastAsia="fr-CA"/>
        </w:rPr>
        <w:t>, the judge did not have to go further in her analysis or examine the reasonably foreseeable applications of the mandatory minimum sentence.</w:t>
      </w:r>
      <w:r w:rsidR="00562F60" w:rsidRPr="0076473C">
        <w:rPr>
          <w:rStyle w:val="Appelnotedebasdep"/>
          <w:lang w:val="en-CA" w:eastAsia="fr-CA"/>
        </w:rPr>
        <w:footnoteReference w:id="109"/>
      </w:r>
      <w:r>
        <w:rPr>
          <w:lang w:val="en-CA" w:eastAsia="fr-CA"/>
        </w:rPr>
        <w:t xml:space="preserve"> </w:t>
      </w:r>
      <w:r w:rsidRPr="000F5D02">
        <w:rPr>
          <w:lang w:val="en-CA" w:eastAsia="fr-CA"/>
        </w:rPr>
        <w:t>As Karakatsanis</w:t>
      </w:r>
      <w:r w:rsidR="00B45ADE">
        <w:rPr>
          <w:lang w:val="en-CA" w:eastAsia="fr-CA"/>
        </w:rPr>
        <w:t>,</w:t>
      </w:r>
      <w:r w:rsidRPr="000F5D02">
        <w:rPr>
          <w:lang w:val="en-CA" w:eastAsia="fr-CA"/>
        </w:rPr>
        <w:t xml:space="preserve"> J. also in fact notes in </w:t>
      </w:r>
      <w:r w:rsidRPr="000F5D02">
        <w:rPr>
          <w:i/>
          <w:lang w:val="en-CA" w:eastAsia="fr-CA"/>
        </w:rPr>
        <w:t>Morrison</w:t>
      </w:r>
      <w:r w:rsidRPr="000F5D02">
        <w:rPr>
          <w:lang w:val="en-CA" w:eastAsia="fr-CA"/>
        </w:rPr>
        <w:t>, if the judge concludes that the mandatory minimum is a grossly disproportionate sentence when applied to the circumstances of the specific offender before the court, then the mandatory minimum sentence violates s. 12, without needing to go further in the analysis to verify whether the minimum sentence would be grossly disproportionate in other reasonably foreseeable cases.</w:t>
      </w:r>
      <w:r w:rsidR="00562F60" w:rsidRPr="0076473C">
        <w:rPr>
          <w:rStyle w:val="Appelnotedebasdep"/>
          <w:lang w:val="en-CA" w:eastAsia="fr-CA"/>
        </w:rPr>
        <w:footnoteReference w:id="110"/>
      </w:r>
      <w:r>
        <w:rPr>
          <w:lang w:val="en-CA" w:eastAsia="fr-CA"/>
        </w:rPr>
        <w:t xml:space="preserve"> </w:t>
      </w:r>
    </w:p>
    <w:p w14:paraId="0B043833" w14:textId="57864EBD" w:rsidR="00562F60" w:rsidRPr="006C0449" w:rsidRDefault="000F5D02" w:rsidP="00562F60">
      <w:pPr>
        <w:pStyle w:val="Paragraphe"/>
        <w:keepNext/>
        <w:numPr>
          <w:ilvl w:val="0"/>
          <w:numId w:val="26"/>
        </w:numPr>
        <w:spacing w:line="280" w:lineRule="exact"/>
        <w:ind w:left="1498"/>
        <w:rPr>
          <w:b/>
          <w:lang w:val="en-CA" w:eastAsia="fr-CA"/>
        </w:rPr>
      </w:pPr>
      <w:r w:rsidRPr="006C0449">
        <w:rPr>
          <w:b/>
          <w:lang w:val="en-CA" w:eastAsia="fr-CA"/>
        </w:rPr>
        <w:t xml:space="preserve">Justification: s. 1 of the </w:t>
      </w:r>
      <w:r w:rsidRPr="006C0449">
        <w:rPr>
          <w:b/>
          <w:i/>
          <w:lang w:val="en-CA" w:eastAsia="fr-CA"/>
        </w:rPr>
        <w:t>Charter</w:t>
      </w:r>
    </w:p>
    <w:p w14:paraId="3BECB300" w14:textId="3C13EE57" w:rsidR="00562F60" w:rsidRPr="0076473C" w:rsidRDefault="00847C43" w:rsidP="00562F60">
      <w:pPr>
        <w:pStyle w:val="Paragraphe"/>
        <w:spacing w:line="280" w:lineRule="exact"/>
        <w:rPr>
          <w:lang w:val="en-CA" w:eastAsia="fr-CA"/>
        </w:rPr>
      </w:pPr>
      <w:r w:rsidRPr="006C0449">
        <w:rPr>
          <w:lang w:val="en-CA" w:eastAsia="fr-CA"/>
        </w:rPr>
        <w:t>The judge did not rule on this issue.</w:t>
      </w:r>
      <w:r w:rsidR="00562F60" w:rsidRPr="0076473C">
        <w:rPr>
          <w:lang w:val="en-CA" w:eastAsia="fr-CA"/>
        </w:rPr>
        <w:t xml:space="preserve"> </w:t>
      </w:r>
      <w:r w:rsidR="00B45ADE">
        <w:rPr>
          <w:lang w:val="en-CA" w:eastAsia="fr-CA"/>
        </w:rPr>
        <w:t xml:space="preserve">Because the </w:t>
      </w:r>
      <w:r w:rsidRPr="00847C43">
        <w:rPr>
          <w:lang w:val="en-CA" w:eastAsia="fr-CA"/>
        </w:rPr>
        <w:t xml:space="preserve">parties addressed it in their written arguments and during submissions at the hearing, although without </w:t>
      </w:r>
      <w:r w:rsidR="00B45ADE">
        <w:rPr>
          <w:lang w:val="en-CA" w:eastAsia="fr-CA"/>
        </w:rPr>
        <w:t>placing great emphasis on the issue</w:t>
      </w:r>
      <w:r w:rsidRPr="00847C43">
        <w:rPr>
          <w:lang w:val="en-CA" w:eastAsia="fr-CA"/>
        </w:rPr>
        <w:t>, it should be analyzed.</w:t>
      </w:r>
    </w:p>
    <w:p w14:paraId="720A3D40" w14:textId="2D9D6251" w:rsidR="00847C43" w:rsidRPr="00847C43" w:rsidRDefault="00847C43" w:rsidP="00562F60">
      <w:pPr>
        <w:pStyle w:val="Paragraphe"/>
        <w:spacing w:line="280" w:lineRule="exact"/>
        <w:rPr>
          <w:lang w:val="en-CA" w:eastAsia="fr-CA"/>
        </w:rPr>
      </w:pPr>
      <w:r w:rsidRPr="006C0449">
        <w:rPr>
          <w:lang w:val="en-CA"/>
        </w:rPr>
        <w:t xml:space="preserve">In </w:t>
      </w:r>
      <w:r w:rsidRPr="006C0449">
        <w:rPr>
          <w:i/>
          <w:lang w:val="en-CA"/>
        </w:rPr>
        <w:t>Nur</w:t>
      </w:r>
      <w:r w:rsidRPr="006C0449">
        <w:rPr>
          <w:lang w:val="en-CA"/>
        </w:rPr>
        <w:t>,</w:t>
      </w:r>
      <w:r w:rsidRPr="0076473C">
        <w:rPr>
          <w:rStyle w:val="Appelnotedebasdep"/>
          <w:lang w:val="en-CA"/>
        </w:rPr>
        <w:footnoteReference w:id="111"/>
      </w:r>
      <w:r w:rsidRPr="006C0449">
        <w:rPr>
          <w:lang w:val="en-CA"/>
        </w:rPr>
        <w:t xml:space="preserve"> McLachlin</w:t>
      </w:r>
      <w:r w:rsidR="00356E88">
        <w:rPr>
          <w:lang w:val="en-CA"/>
        </w:rPr>
        <w:t>,</w:t>
      </w:r>
      <w:r w:rsidRPr="006C0449">
        <w:rPr>
          <w:lang w:val="en-CA"/>
        </w:rPr>
        <w:t xml:space="preserve"> C.J. noted that for most it will be difficult for the Crown to show that a mandatory minimum sentence that has been found to be grossly disproportionate under s. 12 is nonetheless proportionate as between the deleterious and salutary effects of the law for the purpose of the justification test under s. 1.</w:t>
      </w:r>
      <w:r w:rsidR="00562F60" w:rsidRPr="0076473C">
        <w:rPr>
          <w:rStyle w:val="Appelnotedebasdep"/>
          <w:lang w:val="en-CA"/>
        </w:rPr>
        <w:footnoteReference w:id="112"/>
      </w:r>
      <w:r w:rsidRPr="00847C43">
        <w:rPr>
          <w:i/>
          <w:lang w:val="en-CA"/>
        </w:rPr>
        <w:t xml:space="preserve"> </w:t>
      </w:r>
    </w:p>
    <w:p w14:paraId="2E66A7AD" w14:textId="6CD5BBAB" w:rsidR="00847C43" w:rsidRDefault="00847C43" w:rsidP="00562F60">
      <w:pPr>
        <w:pStyle w:val="Paragraphe"/>
        <w:spacing w:line="280" w:lineRule="exact"/>
        <w:rPr>
          <w:lang w:val="en-CA" w:eastAsia="fr-CA"/>
        </w:rPr>
      </w:pPr>
      <w:r w:rsidRPr="00847C43">
        <w:rPr>
          <w:lang w:val="en-CA"/>
        </w:rPr>
        <w:t xml:space="preserve">This likely explains </w:t>
      </w:r>
      <w:r w:rsidR="001D38EB">
        <w:rPr>
          <w:lang w:val="en-CA"/>
        </w:rPr>
        <w:t>why</w:t>
      </w:r>
      <w:r w:rsidRPr="00847C43">
        <w:rPr>
          <w:lang w:val="en-CA"/>
        </w:rPr>
        <w:t xml:space="preserve"> the applicants devoted</w:t>
      </w:r>
      <w:r w:rsidR="001D38EB">
        <w:rPr>
          <w:lang w:val="en-CA"/>
        </w:rPr>
        <w:t xml:space="preserve"> so little effort</w:t>
      </w:r>
      <w:r w:rsidRPr="00847C43">
        <w:rPr>
          <w:lang w:val="en-CA"/>
        </w:rPr>
        <w:t xml:space="preserve"> to addressing this issue.</w:t>
      </w:r>
    </w:p>
    <w:p w14:paraId="0C0CFBBC" w14:textId="6BD2C5E9" w:rsidR="00562F60" w:rsidRPr="0076473C" w:rsidRDefault="00847C43" w:rsidP="00562F60">
      <w:pPr>
        <w:pStyle w:val="Paragraphe"/>
        <w:spacing w:line="280" w:lineRule="exact"/>
        <w:rPr>
          <w:lang w:val="en-CA" w:eastAsia="fr-CA"/>
        </w:rPr>
      </w:pPr>
      <w:r>
        <w:rPr>
          <w:i/>
          <w:lang w:val="en-CA"/>
        </w:rPr>
        <w:lastRenderedPageBreak/>
        <w:t xml:space="preserve"> </w:t>
      </w:r>
      <w:r w:rsidRPr="00847C43">
        <w:rPr>
          <w:lang w:val="en-CA" w:eastAsia="fr-CA"/>
        </w:rPr>
        <w:t xml:space="preserve">Thus, in their joint written arguments, the Attorney General of Quebec </w:t>
      </w:r>
      <w:r w:rsidR="00356E88">
        <w:rPr>
          <w:lang w:val="en-CA" w:eastAsia="fr-CA"/>
        </w:rPr>
        <w:t xml:space="preserve">merely proposed laconically </w:t>
      </w:r>
      <w:r w:rsidRPr="00847C43">
        <w:rPr>
          <w:lang w:val="en-CA" w:eastAsia="fr-CA"/>
        </w:rPr>
        <w:t xml:space="preserve">that, in the event that the Court concludes that there is a violation of s. 12, the mandatory minimum sentence of </w:t>
      </w:r>
      <w:r w:rsidR="00356E88">
        <w:rPr>
          <w:lang w:val="en-CA" w:eastAsia="fr-CA"/>
        </w:rPr>
        <w:t>1</w:t>
      </w:r>
      <w:r w:rsidRPr="00847C43">
        <w:rPr>
          <w:lang w:val="en-CA" w:eastAsia="fr-CA"/>
        </w:rPr>
        <w:t xml:space="preserve"> year</w:t>
      </w:r>
      <w:r w:rsidR="00356E88">
        <w:rPr>
          <w:lang w:val="en-CA" w:eastAsia="fr-CA"/>
        </w:rPr>
        <w:t xml:space="preserve"> of</w:t>
      </w:r>
      <w:r w:rsidRPr="00847C43">
        <w:rPr>
          <w:lang w:val="en-CA" w:eastAsia="fr-CA"/>
        </w:rPr>
        <w:t xml:space="preserve"> imprisonment set out in s. 172.1(2)(</w:t>
      </w:r>
      <w:r w:rsidRPr="009B7B69">
        <w:rPr>
          <w:i/>
          <w:lang w:val="en-CA" w:eastAsia="fr-CA"/>
        </w:rPr>
        <w:t>a</w:t>
      </w:r>
      <w:r w:rsidRPr="00847C43">
        <w:rPr>
          <w:lang w:val="en-CA" w:eastAsia="fr-CA"/>
        </w:rPr>
        <w:t xml:space="preserve">) </w:t>
      </w:r>
      <w:r w:rsidRPr="00847C43">
        <w:rPr>
          <w:i/>
          <w:lang w:val="en-CA" w:eastAsia="fr-CA"/>
        </w:rPr>
        <w:t>Cr. C</w:t>
      </w:r>
      <w:r w:rsidRPr="00847C43">
        <w:rPr>
          <w:lang w:val="en-CA" w:eastAsia="fr-CA"/>
        </w:rPr>
        <w:t xml:space="preserve">. would be justified </w:t>
      </w:r>
      <w:r w:rsidR="002C7DD9">
        <w:rPr>
          <w:lang w:val="en-CA" w:eastAsia="fr-CA"/>
        </w:rPr>
        <w:t>under</w:t>
      </w:r>
      <w:r w:rsidRPr="00847C43">
        <w:rPr>
          <w:lang w:val="en-CA" w:eastAsia="fr-CA"/>
        </w:rPr>
        <w:t xml:space="preserve"> s. 1 [</w:t>
      </w:r>
      <w:r w:rsidRPr="00847C43">
        <w:rPr>
          <w:smallCaps/>
          <w:lang w:val="en-CA" w:eastAsia="fr-CA"/>
        </w:rPr>
        <w:t>translation</w:t>
      </w:r>
      <w:r w:rsidRPr="00847C43">
        <w:rPr>
          <w:lang w:val="en-CA" w:eastAsia="fr-CA"/>
        </w:rPr>
        <w:t xml:space="preserve">] “on the same grounds </w:t>
      </w:r>
      <w:r w:rsidR="002C7DD9">
        <w:rPr>
          <w:lang w:val="en-CA" w:eastAsia="fr-CA"/>
        </w:rPr>
        <w:t xml:space="preserve">as those </w:t>
      </w:r>
      <w:r w:rsidR="00356E88">
        <w:rPr>
          <w:lang w:val="en-CA" w:eastAsia="fr-CA"/>
        </w:rPr>
        <w:t xml:space="preserve">proposed to support a finding of no </w:t>
      </w:r>
      <w:r w:rsidRPr="00847C43">
        <w:rPr>
          <w:lang w:val="en-CA" w:eastAsia="fr-CA"/>
        </w:rPr>
        <w:t>violation of s. 12”.</w:t>
      </w:r>
      <w:r w:rsidR="00562F60" w:rsidRPr="0076473C">
        <w:rPr>
          <w:rStyle w:val="Appelnotedebasdep"/>
          <w:lang w:val="en-CA" w:eastAsia="fr-CA"/>
        </w:rPr>
        <w:footnoteReference w:id="113"/>
      </w:r>
      <w:r w:rsidR="00562F60" w:rsidRPr="0076473C">
        <w:rPr>
          <w:lang w:val="en-CA" w:eastAsia="fr-CA"/>
        </w:rPr>
        <w:t xml:space="preserve"> </w:t>
      </w:r>
      <w:r w:rsidRPr="006C0449">
        <w:rPr>
          <w:lang w:val="en-CA" w:eastAsia="fr-CA"/>
        </w:rPr>
        <w:t>At the hearing, the Attorney General of Quebec did not elaborate further.</w:t>
      </w:r>
    </w:p>
    <w:p w14:paraId="69222446" w14:textId="7C5A965D" w:rsidR="00562F60" w:rsidRPr="0076473C" w:rsidRDefault="00847C43" w:rsidP="00562F60">
      <w:pPr>
        <w:pStyle w:val="Paragraphe"/>
        <w:spacing w:line="280" w:lineRule="exact"/>
        <w:rPr>
          <w:lang w:val="en-CA" w:eastAsia="fr-CA"/>
        </w:rPr>
      </w:pPr>
      <w:r>
        <w:rPr>
          <w:lang w:val="en-CA" w:eastAsia="fr-CA"/>
        </w:rPr>
        <w:t xml:space="preserve">The applicants </w:t>
      </w:r>
      <w:r w:rsidR="00356E88">
        <w:rPr>
          <w:lang w:val="en-CA" w:eastAsia="fr-CA"/>
        </w:rPr>
        <w:t xml:space="preserve">have </w:t>
      </w:r>
      <w:r>
        <w:rPr>
          <w:lang w:val="en-CA" w:eastAsia="fr-CA"/>
        </w:rPr>
        <w:t xml:space="preserve">therefore </w:t>
      </w:r>
      <w:r w:rsidR="002A5C4D">
        <w:rPr>
          <w:lang w:val="en-CA" w:eastAsia="fr-CA"/>
        </w:rPr>
        <w:t>failed to</w:t>
      </w:r>
      <w:r>
        <w:rPr>
          <w:lang w:val="en-CA" w:eastAsia="fr-CA"/>
        </w:rPr>
        <w:t xml:space="preserve"> establish </w:t>
      </w:r>
      <w:r w:rsidR="002A5C4D">
        <w:rPr>
          <w:lang w:val="en-CA" w:eastAsia="fr-CA"/>
        </w:rPr>
        <w:t>that there are no less harmful measures</w:t>
      </w:r>
      <w:r w:rsidR="007A6B5E">
        <w:rPr>
          <w:lang w:val="en-CA" w:eastAsia="fr-CA"/>
        </w:rPr>
        <w:t xml:space="preserve"> available</w:t>
      </w:r>
      <w:r>
        <w:rPr>
          <w:lang w:val="en-CA" w:eastAsia="fr-CA"/>
        </w:rPr>
        <w:t xml:space="preserve"> to appropriately sanction the offence of luring than a mandatory minimum sentence of </w:t>
      </w:r>
      <w:r w:rsidR="00356E88">
        <w:rPr>
          <w:lang w:val="en-CA" w:eastAsia="fr-CA"/>
        </w:rPr>
        <w:t xml:space="preserve">1 year of </w:t>
      </w:r>
      <w:r>
        <w:rPr>
          <w:lang w:val="en-CA" w:eastAsia="fr-CA"/>
        </w:rPr>
        <w:t>imprisonment in the case of all offenders, regardless of the individual circumstances specific to each and the different facts that may characterize each situation.</w:t>
      </w:r>
      <w:r w:rsidR="00562F60" w:rsidRPr="0076473C">
        <w:rPr>
          <w:lang w:val="en-CA" w:eastAsia="fr-CA"/>
        </w:rPr>
        <w:t xml:space="preserve"> </w:t>
      </w:r>
      <w:r>
        <w:rPr>
          <w:lang w:val="en-CA" w:eastAsia="fr-CA"/>
        </w:rPr>
        <w:t xml:space="preserve">Nothing convincing appears in the record to assess whether such a minimum sentence is the least impairing means </w:t>
      </w:r>
      <w:r w:rsidR="00356E88">
        <w:rPr>
          <w:lang w:val="en-CA" w:eastAsia="fr-CA"/>
        </w:rPr>
        <w:t xml:space="preserve">of </w:t>
      </w:r>
      <w:r>
        <w:rPr>
          <w:lang w:val="en-CA" w:eastAsia="fr-CA"/>
        </w:rPr>
        <w:t>achieving the commendable legislative objective of deterring and denouncing sexual offences</w:t>
      </w:r>
      <w:r w:rsidR="007A6B5E">
        <w:rPr>
          <w:lang w:val="en-CA" w:eastAsia="fr-CA"/>
        </w:rPr>
        <w:t xml:space="preserve"> committed</w:t>
      </w:r>
      <w:r>
        <w:rPr>
          <w:lang w:val="en-CA" w:eastAsia="fr-CA"/>
        </w:rPr>
        <w:t xml:space="preserve"> against minors.</w:t>
      </w:r>
      <w:r w:rsidR="00562F60" w:rsidRPr="0076473C">
        <w:rPr>
          <w:lang w:val="en-CA" w:eastAsia="fr-CA"/>
        </w:rPr>
        <w:t xml:space="preserve"> </w:t>
      </w:r>
    </w:p>
    <w:p w14:paraId="5DD68E7C" w14:textId="7575DED7" w:rsidR="00562F60" w:rsidRPr="0076473C" w:rsidRDefault="00847C43" w:rsidP="00562F60">
      <w:pPr>
        <w:pStyle w:val="Paragraphe"/>
        <w:spacing w:line="280" w:lineRule="exact"/>
        <w:rPr>
          <w:lang w:val="en-CA" w:eastAsia="fr-CA"/>
        </w:rPr>
      </w:pPr>
      <w:r w:rsidRPr="00847C43">
        <w:rPr>
          <w:lang w:val="en-CA" w:eastAsia="fr-CA"/>
        </w:rPr>
        <w:t xml:space="preserve">The applicants </w:t>
      </w:r>
      <w:r w:rsidR="00356E88">
        <w:rPr>
          <w:lang w:val="en-CA" w:eastAsia="fr-CA"/>
        </w:rPr>
        <w:t xml:space="preserve">have </w:t>
      </w:r>
      <w:r w:rsidRPr="00847C43">
        <w:rPr>
          <w:lang w:val="en-CA" w:eastAsia="fr-CA"/>
        </w:rPr>
        <w:t xml:space="preserve">also </w:t>
      </w:r>
      <w:r w:rsidR="00047657">
        <w:rPr>
          <w:lang w:val="en-CA" w:eastAsia="fr-CA"/>
        </w:rPr>
        <w:t>failed to</w:t>
      </w:r>
      <w:r w:rsidRPr="00847C43">
        <w:rPr>
          <w:lang w:val="en-CA" w:eastAsia="fr-CA"/>
        </w:rPr>
        <w:t xml:space="preserve"> show that the prejudicial effects of the significant restriction on the freedom of offenders </w:t>
      </w:r>
      <w:r w:rsidR="00356E88">
        <w:rPr>
          <w:lang w:val="en-CA" w:eastAsia="fr-CA"/>
        </w:rPr>
        <w:t xml:space="preserve">through the imposition of </w:t>
      </w:r>
      <w:r w:rsidRPr="00847C43">
        <w:rPr>
          <w:lang w:val="en-CA" w:eastAsia="fr-CA"/>
        </w:rPr>
        <w:t xml:space="preserve">a minimum sentence of </w:t>
      </w:r>
      <w:r w:rsidR="00356E88">
        <w:rPr>
          <w:lang w:val="en-CA" w:eastAsia="fr-CA"/>
        </w:rPr>
        <w:t>1</w:t>
      </w:r>
      <w:r w:rsidRPr="00847C43">
        <w:rPr>
          <w:lang w:val="en-CA" w:eastAsia="fr-CA"/>
        </w:rPr>
        <w:t xml:space="preserve"> year of imprisonment in all cases are proportionate to the </w:t>
      </w:r>
      <w:r>
        <w:rPr>
          <w:lang w:val="en-CA" w:eastAsia="fr-CA"/>
        </w:rPr>
        <w:t>salutary</w:t>
      </w:r>
      <w:r w:rsidRPr="00847C43">
        <w:rPr>
          <w:lang w:val="en-CA" w:eastAsia="fr-CA"/>
        </w:rPr>
        <w:t xml:space="preserve"> effects.</w:t>
      </w:r>
      <w:r w:rsidR="00562F60" w:rsidRPr="0076473C">
        <w:rPr>
          <w:lang w:val="en-CA" w:eastAsia="fr-CA"/>
        </w:rPr>
        <w:t xml:space="preserve"> </w:t>
      </w:r>
      <w:r w:rsidRPr="00847C43">
        <w:rPr>
          <w:lang w:val="en-CA" w:eastAsia="fr-CA"/>
        </w:rPr>
        <w:t xml:space="preserve">We cannot </w:t>
      </w:r>
      <w:r w:rsidR="009661FB">
        <w:rPr>
          <w:lang w:val="en-CA" w:eastAsia="fr-CA"/>
        </w:rPr>
        <w:t xml:space="preserve">rule out the possibility, </w:t>
      </w:r>
      <w:r w:rsidRPr="00847C43">
        <w:rPr>
          <w:lang w:val="en-CA" w:eastAsia="fr-CA"/>
        </w:rPr>
        <w:t>for example</w:t>
      </w:r>
      <w:r w:rsidR="009661FB">
        <w:rPr>
          <w:lang w:val="en-CA" w:eastAsia="fr-CA"/>
        </w:rPr>
        <w:t xml:space="preserve">, that Parliament maintained the </w:t>
      </w:r>
      <w:r w:rsidRPr="00847C43">
        <w:rPr>
          <w:lang w:val="en-CA" w:eastAsia="fr-CA"/>
        </w:rPr>
        <w:t xml:space="preserve">judicial discretion to adjust the prison sentence to take certain particular cases </w:t>
      </w:r>
      <w:r w:rsidR="009661FB">
        <w:rPr>
          <w:lang w:val="en-CA" w:eastAsia="fr-CA"/>
        </w:rPr>
        <w:t xml:space="preserve">into account </w:t>
      </w:r>
      <w:r w:rsidR="00047657">
        <w:rPr>
          <w:lang w:val="en-CA" w:eastAsia="fr-CA"/>
        </w:rPr>
        <w:t xml:space="preserve">would </w:t>
      </w:r>
      <w:r w:rsidR="009661FB">
        <w:rPr>
          <w:lang w:val="en-CA" w:eastAsia="fr-CA"/>
        </w:rPr>
        <w:t xml:space="preserve">serve to achieve its objectives, in </w:t>
      </w:r>
      <w:r w:rsidR="00047657">
        <w:rPr>
          <w:lang w:val="en-CA" w:eastAsia="fr-CA"/>
        </w:rPr>
        <w:t xml:space="preserve">a way that is </w:t>
      </w:r>
      <w:r w:rsidR="009661FB">
        <w:rPr>
          <w:lang w:val="en-CA" w:eastAsia="fr-CA"/>
        </w:rPr>
        <w:t xml:space="preserve">more appropriate and more </w:t>
      </w:r>
      <w:r w:rsidRPr="00847C43">
        <w:rPr>
          <w:lang w:val="en-CA" w:eastAsia="fr-CA"/>
        </w:rPr>
        <w:t>consistent with constitutional guarantees.</w:t>
      </w:r>
    </w:p>
    <w:p w14:paraId="0B250AF5" w14:textId="636AFFA7" w:rsidR="00562F60" w:rsidRPr="0076473C" w:rsidRDefault="00847C43" w:rsidP="00562F60">
      <w:pPr>
        <w:pStyle w:val="Paragraphe"/>
        <w:spacing w:line="280" w:lineRule="exact"/>
        <w:rPr>
          <w:lang w:val="en-CA" w:eastAsia="fr-CA"/>
        </w:rPr>
      </w:pPr>
      <w:r>
        <w:rPr>
          <w:lang w:val="en-CA" w:eastAsia="fr-CA"/>
        </w:rPr>
        <w:t xml:space="preserve">In sum, </w:t>
      </w:r>
      <w:r w:rsidR="009661FB">
        <w:rPr>
          <w:lang w:val="en-CA" w:eastAsia="fr-CA"/>
        </w:rPr>
        <w:t xml:space="preserve">the Court was not presented with </w:t>
      </w:r>
      <w:r>
        <w:rPr>
          <w:lang w:val="en-CA" w:eastAsia="fr-CA"/>
        </w:rPr>
        <w:t xml:space="preserve">sufficient evidence </w:t>
      </w:r>
      <w:r w:rsidR="00047657">
        <w:rPr>
          <w:lang w:val="en-CA" w:eastAsia="fr-CA"/>
        </w:rPr>
        <w:t>at trial</w:t>
      </w:r>
      <w:r>
        <w:rPr>
          <w:lang w:val="en-CA" w:eastAsia="fr-CA"/>
        </w:rPr>
        <w:t xml:space="preserve"> or convincing arguments on appeal supporting the justification </w:t>
      </w:r>
      <w:r w:rsidR="00047657">
        <w:rPr>
          <w:lang w:val="en-CA" w:eastAsia="fr-CA"/>
        </w:rPr>
        <w:t xml:space="preserve">for </w:t>
      </w:r>
      <w:r>
        <w:rPr>
          <w:lang w:val="en-CA" w:eastAsia="fr-CA"/>
        </w:rPr>
        <w:t>the impairing provision.</w:t>
      </w:r>
    </w:p>
    <w:p w14:paraId="27221FAA" w14:textId="7BB2DD54" w:rsidR="00562F60" w:rsidRPr="0076473C" w:rsidRDefault="00847C43" w:rsidP="00562F60">
      <w:pPr>
        <w:pStyle w:val="Paragraphe"/>
        <w:spacing w:line="280" w:lineRule="exact"/>
        <w:rPr>
          <w:lang w:val="en-CA"/>
        </w:rPr>
      </w:pPr>
      <w:r w:rsidRPr="00847C43">
        <w:rPr>
          <w:lang w:val="en-CA" w:eastAsia="fr-CA"/>
        </w:rPr>
        <w:t xml:space="preserve">For these reasons, we </w:t>
      </w:r>
      <w:r w:rsidR="00A5623E">
        <w:rPr>
          <w:lang w:val="en-CA" w:eastAsia="fr-CA"/>
        </w:rPr>
        <w:t xml:space="preserve">would </w:t>
      </w:r>
      <w:r w:rsidRPr="00847C43">
        <w:rPr>
          <w:lang w:val="en-CA" w:eastAsia="fr-CA"/>
        </w:rPr>
        <w:t xml:space="preserve">grant the </w:t>
      </w:r>
      <w:r w:rsidR="00047657" w:rsidRPr="00847C43">
        <w:rPr>
          <w:lang w:val="en-CA" w:eastAsia="fr-CA"/>
        </w:rPr>
        <w:t>application</w:t>
      </w:r>
      <w:r w:rsidRPr="00847C43">
        <w:rPr>
          <w:lang w:val="en-CA" w:eastAsia="fr-CA"/>
        </w:rPr>
        <w:t xml:space="preserve"> for leave to appeal, dismiss the appeal, and declare</w:t>
      </w:r>
      <w:r w:rsidR="00047657">
        <w:rPr>
          <w:lang w:val="en-CA" w:eastAsia="fr-CA"/>
        </w:rPr>
        <w:t xml:space="preserve"> that</w:t>
      </w:r>
      <w:r w:rsidRPr="00847C43">
        <w:rPr>
          <w:lang w:val="en-CA" w:eastAsia="fr-CA"/>
        </w:rPr>
        <w:t xml:space="preserve"> the minimum sentence </w:t>
      </w:r>
      <w:r w:rsidR="00A5623E">
        <w:rPr>
          <w:lang w:val="en-CA" w:eastAsia="fr-CA"/>
        </w:rPr>
        <w:t xml:space="preserve">under </w:t>
      </w:r>
      <w:r w:rsidRPr="00847C43">
        <w:rPr>
          <w:lang w:val="en-CA" w:eastAsia="fr-CA"/>
        </w:rPr>
        <w:t>s. 172.1(2)(</w:t>
      </w:r>
      <w:r w:rsidRPr="009B7B69">
        <w:rPr>
          <w:i/>
          <w:lang w:val="en-CA" w:eastAsia="fr-CA"/>
        </w:rPr>
        <w:t>a</w:t>
      </w:r>
      <w:r w:rsidRPr="00847C43">
        <w:rPr>
          <w:lang w:val="en-CA" w:eastAsia="fr-CA"/>
        </w:rPr>
        <w:t xml:space="preserve">) violates the </w:t>
      </w:r>
      <w:r w:rsidRPr="00847C43">
        <w:rPr>
          <w:i/>
          <w:lang w:val="en-CA" w:eastAsia="fr-CA"/>
        </w:rPr>
        <w:t xml:space="preserve">Canadian Charter of Rights and Freedoms </w:t>
      </w:r>
      <w:r w:rsidRPr="00847C43">
        <w:rPr>
          <w:lang w:val="en-CA" w:eastAsia="fr-CA"/>
        </w:rPr>
        <w:t>in the case of the respondent and that it is inoperative with respect to him.</w:t>
      </w:r>
    </w:p>
    <w:tbl>
      <w:tblPr>
        <w:tblW w:w="0" w:type="auto"/>
        <w:tblLayout w:type="fixed"/>
        <w:tblCellMar>
          <w:left w:w="0" w:type="dxa"/>
          <w:right w:w="0" w:type="dxa"/>
        </w:tblCellMar>
        <w:tblLook w:val="0000" w:firstRow="0" w:lastRow="0" w:firstColumn="0" w:lastColumn="0" w:noHBand="0" w:noVBand="0"/>
      </w:tblPr>
      <w:tblGrid>
        <w:gridCol w:w="4735"/>
        <w:gridCol w:w="4625"/>
      </w:tblGrid>
      <w:tr w:rsidR="00CC3BDA" w:rsidRPr="002A73C8" w14:paraId="2FF60C76" w14:textId="77777777" w:rsidTr="00562F60">
        <w:trPr>
          <w:cantSplit/>
          <w:trHeight w:val="513"/>
        </w:trPr>
        <w:tc>
          <w:tcPr>
            <w:tcW w:w="9360" w:type="dxa"/>
            <w:gridSpan w:val="2"/>
          </w:tcPr>
          <w:p w14:paraId="63257B3F" w14:textId="77777777" w:rsidR="00562F60" w:rsidRPr="0076473C" w:rsidRDefault="00562F60" w:rsidP="00562F60">
            <w:pPr>
              <w:rPr>
                <w:lang w:val="en-CA"/>
              </w:rPr>
            </w:pPr>
          </w:p>
        </w:tc>
      </w:tr>
      <w:tr w:rsidR="00CC3BDA" w:rsidRPr="002A73C8" w14:paraId="35E8BEED" w14:textId="77777777" w:rsidTr="00562F60">
        <w:trPr>
          <w:cantSplit/>
          <w:trHeight w:val="277"/>
        </w:trPr>
        <w:tc>
          <w:tcPr>
            <w:tcW w:w="4735" w:type="dxa"/>
            <w:vMerge w:val="restart"/>
          </w:tcPr>
          <w:p w14:paraId="0D48C5EA" w14:textId="77777777" w:rsidR="00562F60" w:rsidRPr="0076473C" w:rsidRDefault="00562F60" w:rsidP="00562F60">
            <w:pPr>
              <w:rPr>
                <w:lang w:val="en-CA"/>
              </w:rPr>
            </w:pPr>
          </w:p>
        </w:tc>
        <w:tc>
          <w:tcPr>
            <w:tcW w:w="4625" w:type="dxa"/>
            <w:tcBorders>
              <w:bottom w:val="single" w:sz="8" w:space="0" w:color="auto"/>
            </w:tcBorders>
          </w:tcPr>
          <w:p w14:paraId="3BDD5A94" w14:textId="77777777" w:rsidR="00562F60" w:rsidRPr="0076473C" w:rsidRDefault="00562F60" w:rsidP="00562F60">
            <w:pPr>
              <w:rPr>
                <w:lang w:val="en-CA"/>
              </w:rPr>
            </w:pPr>
          </w:p>
        </w:tc>
      </w:tr>
      <w:tr w:rsidR="00CC3BDA" w:rsidRPr="0076473C" w14:paraId="5DA53206" w14:textId="77777777" w:rsidTr="00562F60">
        <w:trPr>
          <w:cantSplit/>
          <w:trHeight w:val="276"/>
        </w:trPr>
        <w:tc>
          <w:tcPr>
            <w:tcW w:w="4735" w:type="dxa"/>
            <w:vMerge/>
          </w:tcPr>
          <w:p w14:paraId="3CF157CC" w14:textId="77777777" w:rsidR="00562F60" w:rsidRPr="0076473C" w:rsidRDefault="00562F60" w:rsidP="00562F60">
            <w:pPr>
              <w:rPr>
                <w:lang w:val="en-CA"/>
              </w:rPr>
            </w:pPr>
          </w:p>
        </w:tc>
        <w:tc>
          <w:tcPr>
            <w:tcW w:w="4625" w:type="dxa"/>
          </w:tcPr>
          <w:p w14:paraId="11C214D0" w14:textId="3885C55A" w:rsidR="00562F60" w:rsidRPr="006C0449" w:rsidRDefault="00847C43" w:rsidP="00562F60">
            <w:pPr>
              <w:rPr>
                <w:lang w:val="en-CA"/>
              </w:rPr>
            </w:pPr>
            <w:r w:rsidRPr="006C0449">
              <w:rPr>
                <w:lang w:val="en-CA"/>
              </w:rPr>
              <w:t>GENEVIÈVE COTNAM, J.A.</w:t>
            </w:r>
          </w:p>
        </w:tc>
      </w:tr>
    </w:tbl>
    <w:p w14:paraId="257CEE71" w14:textId="77777777" w:rsidR="00562F60" w:rsidRPr="0076473C" w:rsidRDefault="00562F60" w:rsidP="00562F60">
      <w:pPr>
        <w:rPr>
          <w:lang w:val="en-CA"/>
        </w:rPr>
      </w:pPr>
    </w:p>
    <w:tbl>
      <w:tblPr>
        <w:tblW w:w="0" w:type="auto"/>
        <w:tblLayout w:type="fixed"/>
        <w:tblCellMar>
          <w:left w:w="0" w:type="dxa"/>
          <w:right w:w="0" w:type="dxa"/>
        </w:tblCellMar>
        <w:tblLook w:val="0000" w:firstRow="0" w:lastRow="0" w:firstColumn="0" w:lastColumn="0" w:noHBand="0" w:noVBand="0"/>
      </w:tblPr>
      <w:tblGrid>
        <w:gridCol w:w="4735"/>
        <w:gridCol w:w="4625"/>
      </w:tblGrid>
      <w:tr w:rsidR="00CC3BDA" w:rsidRPr="0076473C" w14:paraId="3FA9028D" w14:textId="77777777" w:rsidTr="00562F60">
        <w:trPr>
          <w:cantSplit/>
          <w:trHeight w:val="277"/>
        </w:trPr>
        <w:tc>
          <w:tcPr>
            <w:tcW w:w="4735" w:type="dxa"/>
            <w:vMerge w:val="restart"/>
          </w:tcPr>
          <w:p w14:paraId="1AA3635A" w14:textId="77777777" w:rsidR="00562F60" w:rsidRPr="0076473C" w:rsidRDefault="00562F60" w:rsidP="00562F60">
            <w:pPr>
              <w:rPr>
                <w:lang w:val="en-CA"/>
              </w:rPr>
            </w:pPr>
          </w:p>
        </w:tc>
        <w:tc>
          <w:tcPr>
            <w:tcW w:w="4625" w:type="dxa"/>
            <w:tcBorders>
              <w:bottom w:val="single" w:sz="8" w:space="0" w:color="auto"/>
            </w:tcBorders>
          </w:tcPr>
          <w:p w14:paraId="092731AA" w14:textId="77777777" w:rsidR="00562F60" w:rsidRPr="0076473C" w:rsidRDefault="00562F60" w:rsidP="00562F60">
            <w:pPr>
              <w:rPr>
                <w:lang w:val="en-CA"/>
              </w:rPr>
            </w:pPr>
          </w:p>
        </w:tc>
      </w:tr>
      <w:tr w:rsidR="00CC3BDA" w:rsidRPr="0076473C" w14:paraId="1583C548" w14:textId="77777777" w:rsidTr="00562F60">
        <w:trPr>
          <w:cantSplit/>
          <w:trHeight w:val="276"/>
        </w:trPr>
        <w:tc>
          <w:tcPr>
            <w:tcW w:w="4735" w:type="dxa"/>
            <w:vMerge/>
          </w:tcPr>
          <w:p w14:paraId="51D3B31D" w14:textId="77777777" w:rsidR="00562F60" w:rsidRPr="0076473C" w:rsidRDefault="00562F60" w:rsidP="00562F60">
            <w:pPr>
              <w:rPr>
                <w:lang w:val="en-CA"/>
              </w:rPr>
            </w:pPr>
          </w:p>
        </w:tc>
        <w:tc>
          <w:tcPr>
            <w:tcW w:w="4625" w:type="dxa"/>
          </w:tcPr>
          <w:p w14:paraId="418B3BD9" w14:textId="34645A55" w:rsidR="00562F60" w:rsidRPr="006C0449" w:rsidRDefault="00847C43" w:rsidP="00562F60">
            <w:pPr>
              <w:rPr>
                <w:lang w:val="en-CA"/>
              </w:rPr>
            </w:pPr>
            <w:r w:rsidRPr="006C0449">
              <w:rPr>
                <w:lang w:val="en-CA"/>
              </w:rPr>
              <w:t>MICHEL BEAUPRÉ, J.A.</w:t>
            </w:r>
          </w:p>
        </w:tc>
      </w:tr>
    </w:tbl>
    <w:p w14:paraId="7B341FA3" w14:textId="77777777" w:rsidR="00562F60" w:rsidRPr="0076473C" w:rsidRDefault="00562F60" w:rsidP="00E417FC">
      <w:pPr>
        <w:rPr>
          <w:lang w:val="en-CA"/>
        </w:rPr>
      </w:pPr>
      <w:bookmarkStart w:id="25" w:name="_GoBack"/>
      <w:bookmarkEnd w:id="25"/>
    </w:p>
    <w:sectPr w:rsidR="00562F60" w:rsidRPr="0076473C" w:rsidSect="00562F60">
      <w:headerReference w:type="even" r:id="rId15"/>
      <w:headerReference w:type="default" r:id="rId16"/>
      <w:footerReference w:type="even" r:id="rId17"/>
      <w:footerReference w:type="default" r:id="rId18"/>
      <w:headerReference w:type="first" r:id="rId19"/>
      <w:footerReference w:type="first" r:id="rId20"/>
      <w:pgSz w:w="12242" w:h="15842" w:code="1"/>
      <w:pgMar w:top="1440" w:right="1008" w:bottom="1440" w:left="1872" w:header="1440" w:footer="792"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621C93" w14:textId="77777777" w:rsidR="001426AD" w:rsidRDefault="001426AD">
      <w:pPr>
        <w:spacing w:line="240" w:lineRule="auto"/>
      </w:pPr>
      <w:r>
        <w:separator/>
      </w:r>
    </w:p>
  </w:endnote>
  <w:endnote w:type="continuationSeparator" w:id="0">
    <w:p w14:paraId="04624115" w14:textId="77777777" w:rsidR="001426AD" w:rsidRDefault="001426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9AD82" w14:textId="77777777" w:rsidR="001426AD" w:rsidRDefault="001426A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885C5" w14:textId="77777777" w:rsidR="001426AD" w:rsidRDefault="001426A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234DB" w14:textId="77777777" w:rsidR="001426AD" w:rsidRDefault="001426AD">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DC058" w14:textId="77777777" w:rsidR="001426AD" w:rsidRDefault="001426AD">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F033E" w14:textId="77777777" w:rsidR="001426AD" w:rsidRDefault="001426AD">
    <w:pPr>
      <w:pStyle w:val="Pieddepage"/>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2C7D8" w14:textId="77777777" w:rsidR="001426AD" w:rsidRDefault="001426A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92171E" w14:textId="77777777" w:rsidR="001426AD" w:rsidRDefault="001426AD">
      <w:r>
        <w:separator/>
      </w:r>
    </w:p>
  </w:footnote>
  <w:footnote w:type="continuationSeparator" w:id="0">
    <w:p w14:paraId="7F8E4752" w14:textId="77777777" w:rsidR="001426AD" w:rsidRDefault="001426AD">
      <w:r>
        <w:continuationSeparator/>
      </w:r>
    </w:p>
  </w:footnote>
  <w:footnote w:id="1">
    <w:p w14:paraId="0CB62BEA" w14:textId="7BB5223A" w:rsidR="001426AD" w:rsidRPr="00542573" w:rsidRDefault="001426AD" w:rsidP="004B6822">
      <w:pPr>
        <w:pStyle w:val="Notedebasdepage"/>
        <w:rPr>
          <w:lang w:val="en-CA"/>
        </w:rPr>
      </w:pPr>
      <w:r w:rsidRPr="00542573">
        <w:rPr>
          <w:rStyle w:val="Appelnotedebasdep"/>
          <w:lang w:val="en-CA"/>
        </w:rPr>
        <w:footnoteRef/>
      </w:r>
      <w:r w:rsidRPr="00542573">
        <w:rPr>
          <w:lang w:val="en-CA"/>
        </w:rPr>
        <w:t xml:space="preserve"> </w:t>
      </w:r>
      <w:r w:rsidRPr="00542573">
        <w:rPr>
          <w:lang w:val="en-CA"/>
        </w:rPr>
        <w:tab/>
      </w:r>
      <w:r w:rsidRPr="006C0449">
        <w:rPr>
          <w:i/>
          <w:lang w:val="en-CA"/>
        </w:rPr>
        <w:t>R. c. Bertrand Marchand</w:t>
      </w:r>
      <w:r w:rsidRPr="006C0449">
        <w:rPr>
          <w:lang w:val="en-CA"/>
        </w:rPr>
        <w:t>, 2020 QCCQ 1135 [judgment under appeal].</w:t>
      </w:r>
      <w:r w:rsidRPr="00542573">
        <w:rPr>
          <w:lang w:val="en-CA"/>
        </w:rPr>
        <w:t xml:space="preserve"> This sentence is supplemented by the following orders: </w:t>
      </w:r>
      <w:r>
        <w:rPr>
          <w:lang w:val="en-CA"/>
        </w:rPr>
        <w:t>2</w:t>
      </w:r>
      <w:r w:rsidRPr="00542573">
        <w:rPr>
          <w:lang w:val="en-CA"/>
        </w:rPr>
        <w:t xml:space="preserve"> years’ probation with </w:t>
      </w:r>
      <w:r>
        <w:rPr>
          <w:lang w:val="en-CA"/>
        </w:rPr>
        <w:t>supervision</w:t>
      </w:r>
      <w:r w:rsidRPr="00542573">
        <w:rPr>
          <w:lang w:val="en-CA"/>
        </w:rPr>
        <w:t xml:space="preserve"> for the same period (including an order to refrain from communicating with the victim or being in her presence), an order </w:t>
      </w:r>
      <w:r>
        <w:rPr>
          <w:lang w:val="en-CA"/>
        </w:rPr>
        <w:t>prohibiting him</w:t>
      </w:r>
      <w:r w:rsidRPr="00542573">
        <w:rPr>
          <w:lang w:val="en-CA"/>
        </w:rPr>
        <w:t xml:space="preserve"> from communicating with her during the custodial period of the sentence (s. 743.21 </w:t>
      </w:r>
      <w:r w:rsidRPr="00542573">
        <w:rPr>
          <w:i/>
          <w:lang w:val="en-CA"/>
        </w:rPr>
        <w:t>Cr. C</w:t>
      </w:r>
      <w:r w:rsidRPr="00542573">
        <w:rPr>
          <w:lang w:val="en-CA"/>
        </w:rPr>
        <w:t xml:space="preserve">.), an order to provide DNA samples (s. 487.051(1) </w:t>
      </w:r>
      <w:r w:rsidRPr="00542573">
        <w:rPr>
          <w:i/>
          <w:lang w:val="en-CA"/>
        </w:rPr>
        <w:t>Cr. C</w:t>
      </w:r>
      <w:r w:rsidRPr="00542573">
        <w:rPr>
          <w:lang w:val="en-CA"/>
        </w:rPr>
        <w:t>.)</w:t>
      </w:r>
      <w:r w:rsidRPr="006C0449">
        <w:rPr>
          <w:lang w:val="en-CA"/>
        </w:rPr>
        <w:t xml:space="preserve">, an order to comply with the </w:t>
      </w:r>
      <w:r w:rsidRPr="006C0449">
        <w:rPr>
          <w:i/>
          <w:lang w:val="en-CA"/>
        </w:rPr>
        <w:t>Sex Offend</w:t>
      </w:r>
      <w:r>
        <w:rPr>
          <w:i/>
          <w:lang w:val="en-CA"/>
        </w:rPr>
        <w:t>er Information Registration Act</w:t>
      </w:r>
      <w:r w:rsidRPr="006C0449">
        <w:rPr>
          <w:lang w:val="en-CA"/>
        </w:rPr>
        <w:t xml:space="preserve"> for life (</w:t>
      </w:r>
      <w:r w:rsidRPr="00542573">
        <w:rPr>
          <w:lang w:val="en-CA"/>
        </w:rPr>
        <w:t xml:space="preserve">s. 490.012(1) and 490.013(2.1) </w:t>
      </w:r>
      <w:r w:rsidRPr="00542573">
        <w:rPr>
          <w:i/>
          <w:lang w:val="en-CA"/>
        </w:rPr>
        <w:t>Cr. C.</w:t>
      </w:r>
      <w:r w:rsidRPr="00542573">
        <w:rPr>
          <w:lang w:val="en-CA"/>
        </w:rPr>
        <w:t>), and orders under s</w:t>
      </w:r>
      <w:r>
        <w:rPr>
          <w:lang w:val="en-CA"/>
        </w:rPr>
        <w:t>s</w:t>
      </w:r>
      <w:r w:rsidRPr="00542573">
        <w:rPr>
          <w:lang w:val="en-CA"/>
        </w:rPr>
        <w:t>. 161(1)(</w:t>
      </w:r>
      <w:r w:rsidRPr="009B7B69">
        <w:rPr>
          <w:i/>
          <w:lang w:val="en-CA"/>
        </w:rPr>
        <w:t>b</w:t>
      </w:r>
      <w:r w:rsidRPr="00542573">
        <w:rPr>
          <w:lang w:val="en-CA"/>
        </w:rPr>
        <w:t>) and (</w:t>
      </w:r>
      <w:r w:rsidRPr="009B7B69">
        <w:rPr>
          <w:i/>
          <w:lang w:val="en-CA"/>
        </w:rPr>
        <w:t>c</w:t>
      </w:r>
      <w:r w:rsidRPr="00542573">
        <w:rPr>
          <w:lang w:val="en-CA"/>
        </w:rPr>
        <w:t xml:space="preserve">) for a period of 5 years. </w:t>
      </w:r>
    </w:p>
  </w:footnote>
  <w:footnote w:id="2">
    <w:p w14:paraId="557F22F6" w14:textId="2AD4A4D6" w:rsidR="001426AD" w:rsidRPr="00542573" w:rsidRDefault="001426AD" w:rsidP="00562F60">
      <w:pPr>
        <w:pStyle w:val="Notedebasdepage"/>
        <w:rPr>
          <w:lang w:val="en-CA"/>
        </w:rPr>
      </w:pPr>
      <w:r w:rsidRPr="00542573">
        <w:rPr>
          <w:rStyle w:val="Appelnotedebasdep"/>
          <w:lang w:val="en-CA"/>
        </w:rPr>
        <w:footnoteRef/>
      </w:r>
      <w:r w:rsidRPr="00542573">
        <w:rPr>
          <w:lang w:val="en-CA"/>
        </w:rPr>
        <w:t xml:space="preserve"> </w:t>
      </w:r>
      <w:r w:rsidRPr="00542573">
        <w:rPr>
          <w:lang w:val="en-CA"/>
        </w:rPr>
        <w:tab/>
      </w:r>
      <w:r w:rsidRPr="006C0449">
        <w:rPr>
          <w:lang w:val="en-CA"/>
        </w:rPr>
        <w:t>Judgment under appeal.</w:t>
      </w:r>
    </w:p>
  </w:footnote>
  <w:footnote w:id="3">
    <w:p w14:paraId="096D2B49" w14:textId="47E72902" w:rsidR="001426AD" w:rsidRPr="00542573" w:rsidRDefault="001426AD" w:rsidP="00562F60">
      <w:pPr>
        <w:pStyle w:val="Notedebasdepage"/>
        <w:rPr>
          <w:lang w:val="en-CA"/>
        </w:rPr>
      </w:pPr>
      <w:r w:rsidRPr="00542573">
        <w:rPr>
          <w:rStyle w:val="Appelnotedebasdep"/>
          <w:lang w:val="en-CA"/>
        </w:rPr>
        <w:footnoteRef/>
      </w:r>
      <w:r w:rsidRPr="00542573">
        <w:rPr>
          <w:lang w:val="en-CA"/>
        </w:rPr>
        <w:t xml:space="preserve"> </w:t>
      </w:r>
      <w:r w:rsidRPr="00542573">
        <w:rPr>
          <w:lang w:val="en-CA"/>
        </w:rPr>
        <w:tab/>
      </w:r>
      <w:r w:rsidRPr="006C0449">
        <w:rPr>
          <w:i/>
          <w:lang w:val="en-CA"/>
        </w:rPr>
        <w:t>Canadian Charter of Rights and Freedoms</w:t>
      </w:r>
      <w:r w:rsidRPr="006C0449">
        <w:rPr>
          <w:lang w:val="en-CA"/>
        </w:rPr>
        <w:t>, Part I of the</w:t>
      </w:r>
      <w:r w:rsidRPr="006C0449">
        <w:rPr>
          <w:i/>
          <w:lang w:val="en-CA"/>
        </w:rPr>
        <w:t xml:space="preserve"> Constitution Act, 1982</w:t>
      </w:r>
      <w:r w:rsidRPr="006C0449">
        <w:rPr>
          <w:lang w:val="en-CA"/>
        </w:rPr>
        <w:t xml:space="preserve">, being Schedule B to the </w:t>
      </w:r>
      <w:r w:rsidRPr="006C0449">
        <w:rPr>
          <w:i/>
          <w:lang w:val="en-CA"/>
        </w:rPr>
        <w:t>Canada Act 1982</w:t>
      </w:r>
      <w:r w:rsidRPr="006C0449">
        <w:rPr>
          <w:lang w:val="en-CA"/>
        </w:rPr>
        <w:t xml:space="preserve"> (U.K.), 1982, c. 11.</w:t>
      </w:r>
    </w:p>
  </w:footnote>
  <w:footnote w:id="4">
    <w:p w14:paraId="3C2242EC" w14:textId="6E1437D6" w:rsidR="001426AD" w:rsidRPr="00542573" w:rsidRDefault="001426AD" w:rsidP="00562F60">
      <w:pPr>
        <w:pStyle w:val="Notedebasdepage"/>
        <w:rPr>
          <w:lang w:val="en-CA"/>
        </w:rPr>
      </w:pPr>
      <w:r w:rsidRPr="00542573">
        <w:rPr>
          <w:rStyle w:val="Appelnotedebasdep"/>
          <w:lang w:val="en-CA"/>
        </w:rPr>
        <w:footnoteRef/>
      </w:r>
      <w:r w:rsidRPr="00542573">
        <w:rPr>
          <w:lang w:val="en-CA"/>
        </w:rPr>
        <w:t xml:space="preserve"> </w:t>
      </w:r>
      <w:r w:rsidRPr="00542573">
        <w:rPr>
          <w:lang w:val="en-CA"/>
        </w:rPr>
        <w:tab/>
      </w:r>
      <w:r w:rsidRPr="006C0449">
        <w:rPr>
          <w:spacing w:val="-4"/>
          <w:lang w:val="en-CA"/>
        </w:rPr>
        <w:t>Since the mandatory minimum sentence under paragraph 151(</w:t>
      </w:r>
      <w:r w:rsidRPr="009B7B69">
        <w:rPr>
          <w:i/>
          <w:spacing w:val="-4"/>
          <w:lang w:val="en-CA"/>
        </w:rPr>
        <w:t>a</w:t>
      </w:r>
      <w:r w:rsidRPr="006C0449">
        <w:rPr>
          <w:spacing w:val="-4"/>
          <w:lang w:val="en-CA"/>
        </w:rPr>
        <w:t xml:space="preserve">) </w:t>
      </w:r>
      <w:r w:rsidRPr="00542573">
        <w:rPr>
          <w:spacing w:val="-4"/>
          <w:lang w:val="en-CA"/>
        </w:rPr>
        <w:t xml:space="preserve"> Cr. C. was declared constitutionally invalid on April 3, 2018, by this Court, the respondent had </w:t>
      </w:r>
      <w:r>
        <w:rPr>
          <w:spacing w:val="-4"/>
          <w:lang w:val="en-CA"/>
        </w:rPr>
        <w:t xml:space="preserve">only </w:t>
      </w:r>
      <w:r w:rsidRPr="00542573">
        <w:rPr>
          <w:spacing w:val="-4"/>
          <w:lang w:val="en-CA"/>
        </w:rPr>
        <w:t>to raise the constitutional invalidity of the mandatory minimum sentence under paragraph 172.1(2)(</w:t>
      </w:r>
      <w:r w:rsidRPr="009B7B69">
        <w:rPr>
          <w:i/>
          <w:spacing w:val="-4"/>
          <w:lang w:val="en-CA"/>
        </w:rPr>
        <w:t>a</w:t>
      </w:r>
      <w:r w:rsidRPr="00542573">
        <w:rPr>
          <w:spacing w:val="-4"/>
          <w:lang w:val="en-CA"/>
        </w:rPr>
        <w:t xml:space="preserve">) </w:t>
      </w:r>
      <w:r w:rsidRPr="00542573">
        <w:rPr>
          <w:i/>
          <w:spacing w:val="-4"/>
          <w:lang w:val="en-CA"/>
        </w:rPr>
        <w:t>Cr. C</w:t>
      </w:r>
      <w:r w:rsidRPr="00542573">
        <w:rPr>
          <w:spacing w:val="-4"/>
          <w:lang w:val="en-CA"/>
        </w:rPr>
        <w:t>.</w:t>
      </w:r>
      <w:r w:rsidRPr="00542573">
        <w:rPr>
          <w:i/>
          <w:lang w:val="en-CA"/>
        </w:rPr>
        <w:t xml:space="preserve"> </w:t>
      </w:r>
      <w:r w:rsidRPr="006C0449">
        <w:rPr>
          <w:lang w:val="en-CA"/>
        </w:rPr>
        <w:t>(</w:t>
      </w:r>
      <w:r w:rsidRPr="006C0449">
        <w:rPr>
          <w:i/>
          <w:lang w:val="en-CA"/>
        </w:rPr>
        <w:t>Caron Barrette c. R.</w:t>
      </w:r>
      <w:r w:rsidRPr="006C0449">
        <w:rPr>
          <w:lang w:val="en-CA"/>
        </w:rPr>
        <w:t>, 2018 QCCA 516).</w:t>
      </w:r>
    </w:p>
  </w:footnote>
  <w:footnote w:id="5">
    <w:p w14:paraId="096E2271" w14:textId="6DD32681" w:rsidR="001426AD" w:rsidRPr="00542573" w:rsidRDefault="001426AD" w:rsidP="00562F60">
      <w:pPr>
        <w:pStyle w:val="Notedebasdepage"/>
        <w:rPr>
          <w:lang w:val="en-CA"/>
        </w:rPr>
      </w:pPr>
      <w:r w:rsidRPr="00542573">
        <w:rPr>
          <w:rStyle w:val="Appelnotedebasdep"/>
          <w:lang w:val="en-CA"/>
        </w:rPr>
        <w:footnoteRef/>
      </w:r>
      <w:r w:rsidRPr="00542573">
        <w:rPr>
          <w:lang w:val="en-CA"/>
        </w:rPr>
        <w:t xml:space="preserve"> </w:t>
      </w:r>
      <w:r w:rsidRPr="00542573">
        <w:rPr>
          <w:lang w:val="en-CA"/>
        </w:rPr>
        <w:tab/>
      </w:r>
      <w:r w:rsidRPr="006C0449">
        <w:rPr>
          <w:spacing w:val="-2"/>
          <w:lang w:val="en-CA"/>
        </w:rPr>
        <w:t>Application for leave to appeal the sentence and the declaration of inoperability, April 14, 2020.</w:t>
      </w:r>
    </w:p>
  </w:footnote>
  <w:footnote w:id="6">
    <w:p w14:paraId="612C0032" w14:textId="18DCE13D" w:rsidR="001426AD" w:rsidRPr="00BF5DBC" w:rsidRDefault="001426AD" w:rsidP="00562F60">
      <w:pPr>
        <w:pStyle w:val="Notedebasdepage"/>
      </w:pPr>
      <w:r w:rsidRPr="00542573">
        <w:rPr>
          <w:rStyle w:val="Appelnotedebasdep"/>
          <w:lang w:val="en-CA"/>
        </w:rPr>
        <w:footnoteRef/>
      </w:r>
      <w:r w:rsidRPr="00BF5DBC">
        <w:t xml:space="preserve"> </w:t>
      </w:r>
      <w:r w:rsidRPr="00BF5DBC">
        <w:tab/>
      </w:r>
      <w:r w:rsidRPr="00BF5DBC">
        <w:rPr>
          <w:i/>
        </w:rPr>
        <w:t>R. c. Bertrand Marchand</w:t>
      </w:r>
      <w:r w:rsidRPr="00BF5DBC">
        <w:t>, 2020 QCCA 630 (Ruel, J.A.).</w:t>
      </w:r>
    </w:p>
  </w:footnote>
  <w:footnote w:id="7">
    <w:p w14:paraId="70107260" w14:textId="47FA5BB5" w:rsidR="001426AD" w:rsidRPr="00542573" w:rsidRDefault="001426AD" w:rsidP="00562F60">
      <w:pPr>
        <w:pStyle w:val="Notedebasdepage"/>
        <w:rPr>
          <w:lang w:val="en-CA"/>
        </w:rPr>
      </w:pPr>
      <w:r w:rsidRPr="00542573">
        <w:rPr>
          <w:rStyle w:val="Appelnotedebasdep"/>
          <w:lang w:val="en-CA"/>
        </w:rPr>
        <w:footnoteRef/>
      </w:r>
      <w:r w:rsidRPr="00542573">
        <w:rPr>
          <w:lang w:val="en-CA"/>
        </w:rPr>
        <w:t xml:space="preserve"> </w:t>
      </w:r>
      <w:r w:rsidRPr="00542573">
        <w:rPr>
          <w:lang w:val="en-CA"/>
        </w:rPr>
        <w:tab/>
      </w:r>
      <w:r w:rsidRPr="006C0449">
        <w:rPr>
          <w:lang w:val="en-CA"/>
        </w:rPr>
        <w:t>Judgment under appeal at paras.</w:t>
      </w:r>
      <w:r w:rsidRPr="00542573">
        <w:rPr>
          <w:lang w:val="en-CA"/>
        </w:rPr>
        <w:t xml:space="preserve"> 15</w:t>
      </w:r>
      <w:r>
        <w:rPr>
          <w:lang w:val="en-CA"/>
        </w:rPr>
        <w:t>–</w:t>
      </w:r>
      <w:r w:rsidRPr="00542573">
        <w:rPr>
          <w:lang w:val="en-CA"/>
        </w:rPr>
        <w:t>20, 38, 43</w:t>
      </w:r>
      <w:r>
        <w:rPr>
          <w:lang w:val="en-CA"/>
        </w:rPr>
        <w:t>–</w:t>
      </w:r>
      <w:r w:rsidRPr="00542573">
        <w:rPr>
          <w:lang w:val="en-CA"/>
        </w:rPr>
        <w:t>44, 49, 53, 59</w:t>
      </w:r>
      <w:r>
        <w:rPr>
          <w:lang w:val="en-CA"/>
        </w:rPr>
        <w:t>–</w:t>
      </w:r>
      <w:r w:rsidRPr="00542573">
        <w:rPr>
          <w:lang w:val="en-CA"/>
        </w:rPr>
        <w:t>61, 63</w:t>
      </w:r>
      <w:r>
        <w:rPr>
          <w:lang w:val="en-CA"/>
        </w:rPr>
        <w:t>–</w:t>
      </w:r>
      <w:r w:rsidRPr="00542573">
        <w:rPr>
          <w:lang w:val="en-CA"/>
        </w:rPr>
        <w:t>64, 67</w:t>
      </w:r>
      <w:r>
        <w:rPr>
          <w:lang w:val="en-CA"/>
        </w:rPr>
        <w:t>–</w:t>
      </w:r>
      <w:r w:rsidRPr="00542573">
        <w:rPr>
          <w:lang w:val="en-CA"/>
        </w:rPr>
        <w:t>68, 70</w:t>
      </w:r>
      <w:r>
        <w:rPr>
          <w:lang w:val="en-CA"/>
        </w:rPr>
        <w:t>–</w:t>
      </w:r>
      <w:r w:rsidRPr="00542573">
        <w:rPr>
          <w:lang w:val="en-CA"/>
        </w:rPr>
        <w:t>71, 78</w:t>
      </w:r>
      <w:r>
        <w:rPr>
          <w:lang w:val="en-CA"/>
        </w:rPr>
        <w:t>–</w:t>
      </w:r>
      <w:r w:rsidRPr="00542573">
        <w:rPr>
          <w:lang w:val="en-CA"/>
        </w:rPr>
        <w:t>79.</w:t>
      </w:r>
    </w:p>
  </w:footnote>
  <w:footnote w:id="8">
    <w:p w14:paraId="4200C283" w14:textId="6A9CFEB3" w:rsidR="001426AD" w:rsidRPr="00542573" w:rsidRDefault="001426AD" w:rsidP="00562F60">
      <w:pPr>
        <w:pStyle w:val="Notedebasdepage"/>
        <w:rPr>
          <w:lang w:val="en-CA"/>
        </w:rPr>
      </w:pPr>
      <w:r w:rsidRPr="00542573">
        <w:rPr>
          <w:rStyle w:val="Appelnotedebasdep"/>
          <w:lang w:val="en-CA"/>
        </w:rPr>
        <w:footnoteRef/>
      </w:r>
      <w:r w:rsidRPr="00542573">
        <w:rPr>
          <w:lang w:val="en-CA"/>
        </w:rPr>
        <w:t xml:space="preserve"> </w:t>
      </w:r>
      <w:r w:rsidRPr="00542573">
        <w:rPr>
          <w:lang w:val="en-CA"/>
        </w:rPr>
        <w:tab/>
      </w:r>
      <w:r w:rsidRPr="006C0449">
        <w:rPr>
          <w:lang w:val="en-CA"/>
        </w:rPr>
        <w:t>Judgment under appeal at paras.</w:t>
      </w:r>
      <w:r w:rsidRPr="00542573">
        <w:rPr>
          <w:lang w:val="en-CA"/>
        </w:rPr>
        <w:t xml:space="preserve"> 1</w:t>
      </w:r>
      <w:r>
        <w:rPr>
          <w:lang w:val="en-CA"/>
        </w:rPr>
        <w:t>–</w:t>
      </w:r>
      <w:r w:rsidRPr="00542573">
        <w:rPr>
          <w:lang w:val="en-CA"/>
        </w:rPr>
        <w:t>6.</w:t>
      </w:r>
    </w:p>
  </w:footnote>
  <w:footnote w:id="9">
    <w:p w14:paraId="3232FC53" w14:textId="23E411F7" w:rsidR="001426AD" w:rsidRPr="00542573" w:rsidRDefault="001426AD" w:rsidP="00562F60">
      <w:pPr>
        <w:pStyle w:val="Notedebasdepage"/>
        <w:rPr>
          <w:lang w:val="en-CA"/>
        </w:rPr>
      </w:pPr>
      <w:r w:rsidRPr="00542573">
        <w:rPr>
          <w:rStyle w:val="Appelnotedebasdep"/>
          <w:lang w:val="en-CA"/>
        </w:rPr>
        <w:footnoteRef/>
      </w:r>
      <w:r w:rsidRPr="00542573">
        <w:rPr>
          <w:lang w:val="en-CA"/>
        </w:rPr>
        <w:t xml:space="preserve"> </w:t>
      </w:r>
      <w:r w:rsidRPr="00542573">
        <w:rPr>
          <w:lang w:val="en-CA"/>
        </w:rPr>
        <w:tab/>
      </w:r>
      <w:r w:rsidRPr="006C0449">
        <w:rPr>
          <w:lang w:val="en-CA"/>
        </w:rPr>
        <w:t>Judgment under appeal at paras.</w:t>
      </w:r>
      <w:r w:rsidRPr="00542573">
        <w:rPr>
          <w:lang w:val="en-CA"/>
        </w:rPr>
        <w:t xml:space="preserve"> </w:t>
      </w:r>
      <w:r w:rsidRPr="006C0449">
        <w:rPr>
          <w:lang w:val="en-CA"/>
        </w:rPr>
        <w:t xml:space="preserve">33, 37 </w:t>
      </w:r>
      <w:r>
        <w:rPr>
          <w:lang w:val="en-CA"/>
        </w:rPr>
        <w:t>and</w:t>
      </w:r>
      <w:r w:rsidRPr="006C0449">
        <w:rPr>
          <w:lang w:val="en-CA"/>
        </w:rPr>
        <w:t xml:space="preserve"> 40.</w:t>
      </w:r>
    </w:p>
  </w:footnote>
  <w:footnote w:id="10">
    <w:p w14:paraId="00335BBE" w14:textId="4C694AB3" w:rsidR="001426AD" w:rsidRPr="00542573" w:rsidRDefault="001426AD" w:rsidP="00FA48F9">
      <w:pPr>
        <w:pStyle w:val="Notedebasdepage"/>
        <w:rPr>
          <w:lang w:val="en-CA"/>
        </w:rPr>
      </w:pPr>
      <w:r w:rsidRPr="00542573">
        <w:rPr>
          <w:rStyle w:val="Appelnotedebasdep"/>
          <w:lang w:val="en-CA"/>
        </w:rPr>
        <w:footnoteRef/>
      </w:r>
      <w:r w:rsidRPr="00542573">
        <w:rPr>
          <w:lang w:val="en-CA"/>
        </w:rPr>
        <w:t xml:space="preserve"> </w:t>
      </w:r>
      <w:r w:rsidRPr="00542573">
        <w:rPr>
          <w:lang w:val="en-CA"/>
        </w:rPr>
        <w:tab/>
        <w:t>During his testimony on November 4, 2019, the respondent acknowledged that it was [</w:t>
      </w:r>
      <w:r w:rsidRPr="00542573">
        <w:rPr>
          <w:smallCaps/>
          <w:lang w:val="en-CA"/>
        </w:rPr>
        <w:t>translation</w:t>
      </w:r>
      <w:r w:rsidRPr="00542573">
        <w:rPr>
          <w:lang w:val="en-CA"/>
        </w:rPr>
        <w:t>] “more</w:t>
      </w:r>
      <w:r>
        <w:rPr>
          <w:lang w:val="en-CA"/>
        </w:rPr>
        <w:t xml:space="preserve"> of a</w:t>
      </w:r>
      <w:r w:rsidRPr="00542573">
        <w:rPr>
          <w:lang w:val="en-CA"/>
        </w:rPr>
        <w:t xml:space="preserve"> sexual relationship... there was nothing romantic there” (Examination in chief, November 4, 2019, at 45, lines 15 and 16) and that [</w:t>
      </w:r>
      <w:r w:rsidRPr="00542573">
        <w:rPr>
          <w:smallCaps/>
          <w:lang w:val="en-CA"/>
        </w:rPr>
        <w:t>translation</w:t>
      </w:r>
      <w:r w:rsidRPr="00542573">
        <w:rPr>
          <w:lang w:val="en-CA"/>
        </w:rPr>
        <w:t>] “there w</w:t>
      </w:r>
      <w:r>
        <w:rPr>
          <w:lang w:val="en-CA"/>
        </w:rPr>
        <w:t>ere</w:t>
      </w:r>
      <w:r w:rsidRPr="00542573">
        <w:rPr>
          <w:lang w:val="en-CA"/>
        </w:rPr>
        <w:t xml:space="preserve"> about six (6) - seven (7) </w:t>
      </w:r>
      <w:r>
        <w:rPr>
          <w:lang w:val="en-CA"/>
        </w:rPr>
        <w:t>–</w:t>
      </w:r>
      <w:r w:rsidRPr="00542573">
        <w:rPr>
          <w:lang w:val="en-CA"/>
        </w:rPr>
        <w:t xml:space="preserve"> </w:t>
      </w:r>
      <w:r>
        <w:rPr>
          <w:lang w:val="en-CA"/>
        </w:rPr>
        <w:t xml:space="preserve">maybe </w:t>
      </w:r>
      <w:r w:rsidRPr="00542573">
        <w:rPr>
          <w:lang w:val="en-CA"/>
        </w:rPr>
        <w:t>eight (8)” sexual relations (Examination in chief, November 4, 2019, at 47, lines 22</w:t>
      </w:r>
      <w:r>
        <w:rPr>
          <w:lang w:val="en-CA"/>
        </w:rPr>
        <w:t>–</w:t>
      </w:r>
      <w:r w:rsidRPr="00542573">
        <w:rPr>
          <w:lang w:val="en-CA"/>
        </w:rPr>
        <w:t>23).</w:t>
      </w:r>
    </w:p>
  </w:footnote>
  <w:footnote w:id="11">
    <w:p w14:paraId="4369842F" w14:textId="4F01CE93" w:rsidR="001426AD" w:rsidRPr="00542573" w:rsidRDefault="001426AD" w:rsidP="00562F60">
      <w:pPr>
        <w:pStyle w:val="Notedebasdepage"/>
        <w:rPr>
          <w:lang w:val="en-CA"/>
        </w:rPr>
      </w:pPr>
      <w:r w:rsidRPr="00542573">
        <w:rPr>
          <w:rStyle w:val="Appelnotedebasdep"/>
          <w:lang w:val="en-CA"/>
        </w:rPr>
        <w:footnoteRef/>
      </w:r>
      <w:r w:rsidRPr="00542573">
        <w:rPr>
          <w:lang w:val="en-CA"/>
        </w:rPr>
        <w:t xml:space="preserve"> </w:t>
      </w:r>
      <w:r w:rsidRPr="00542573">
        <w:rPr>
          <w:lang w:val="en-CA"/>
        </w:rPr>
        <w:tab/>
      </w:r>
      <w:r w:rsidRPr="006C0449">
        <w:rPr>
          <w:lang w:val="en-CA"/>
        </w:rPr>
        <w:t>Judgment under appeal at paras.</w:t>
      </w:r>
      <w:r w:rsidRPr="00542573">
        <w:rPr>
          <w:lang w:val="en-CA"/>
        </w:rPr>
        <w:t xml:space="preserve"> 38, 43, 45, 49, 53</w:t>
      </w:r>
      <w:r>
        <w:rPr>
          <w:lang w:val="en-CA"/>
        </w:rPr>
        <w:t>–</w:t>
      </w:r>
      <w:r w:rsidRPr="00542573">
        <w:rPr>
          <w:lang w:val="en-CA"/>
        </w:rPr>
        <w:t>54 and 60</w:t>
      </w:r>
      <w:r>
        <w:rPr>
          <w:lang w:val="en-CA"/>
        </w:rPr>
        <w:t>–</w:t>
      </w:r>
      <w:r w:rsidRPr="00542573">
        <w:rPr>
          <w:lang w:val="en-CA"/>
        </w:rPr>
        <w:t>61.</w:t>
      </w:r>
    </w:p>
  </w:footnote>
  <w:footnote w:id="12">
    <w:p w14:paraId="4200C967" w14:textId="42E6E650" w:rsidR="001426AD" w:rsidRPr="00542573" w:rsidRDefault="001426AD" w:rsidP="00562F60">
      <w:pPr>
        <w:pStyle w:val="Notedebasdepage"/>
        <w:rPr>
          <w:lang w:val="en-CA"/>
        </w:rPr>
      </w:pPr>
      <w:r w:rsidRPr="00542573">
        <w:rPr>
          <w:rStyle w:val="Appelnotedebasdep"/>
          <w:lang w:val="en-CA"/>
        </w:rPr>
        <w:footnoteRef/>
      </w:r>
      <w:r w:rsidRPr="00542573">
        <w:rPr>
          <w:lang w:val="en-CA"/>
        </w:rPr>
        <w:t xml:space="preserve"> </w:t>
      </w:r>
      <w:r w:rsidRPr="00542573">
        <w:rPr>
          <w:lang w:val="en-CA"/>
        </w:rPr>
        <w:tab/>
      </w:r>
      <w:r w:rsidRPr="006C0449">
        <w:rPr>
          <w:lang w:val="en-CA"/>
        </w:rPr>
        <w:t>Judgment under appeal at paras.</w:t>
      </w:r>
      <w:r w:rsidRPr="00542573">
        <w:rPr>
          <w:lang w:val="en-CA"/>
        </w:rPr>
        <w:t xml:space="preserve"> </w:t>
      </w:r>
      <w:r>
        <w:rPr>
          <w:lang w:val="en-CA"/>
        </w:rPr>
        <w:t>62–</w:t>
      </w:r>
      <w:r w:rsidRPr="006C0449">
        <w:rPr>
          <w:lang w:val="en-CA"/>
        </w:rPr>
        <w:t>72</w:t>
      </w:r>
      <w:r w:rsidRPr="00542573">
        <w:rPr>
          <w:lang w:val="en-CA"/>
        </w:rPr>
        <w:t xml:space="preserve"> </w:t>
      </w:r>
      <w:r w:rsidRPr="006C0449">
        <w:rPr>
          <w:lang w:val="en-CA"/>
        </w:rPr>
        <w:t>[emphasis added].</w:t>
      </w:r>
    </w:p>
  </w:footnote>
  <w:footnote w:id="13">
    <w:p w14:paraId="5C43F098" w14:textId="77777777" w:rsidR="001426AD" w:rsidRPr="00542573" w:rsidRDefault="001426AD" w:rsidP="00272EA9">
      <w:pPr>
        <w:pStyle w:val="Notedebasdepage"/>
        <w:rPr>
          <w:lang w:val="en-CA"/>
        </w:rPr>
      </w:pPr>
      <w:r w:rsidRPr="00542573">
        <w:rPr>
          <w:rStyle w:val="Appelnotedebasdep"/>
          <w:lang w:val="en-CA"/>
        </w:rPr>
        <w:footnoteRef/>
      </w:r>
      <w:r w:rsidRPr="00542573">
        <w:rPr>
          <w:lang w:val="en-CA"/>
        </w:rPr>
        <w:t xml:space="preserve"> </w:t>
      </w:r>
      <w:r w:rsidRPr="00542573">
        <w:rPr>
          <w:lang w:val="en-CA"/>
        </w:rPr>
        <w:tab/>
      </w:r>
      <w:r w:rsidRPr="006C0449">
        <w:rPr>
          <w:i/>
          <w:lang w:val="en-CA"/>
        </w:rPr>
        <w:t>R. c. Rayo</w:t>
      </w:r>
      <w:r w:rsidRPr="006C0449">
        <w:rPr>
          <w:lang w:val="en-CA"/>
        </w:rPr>
        <w:t>, 2018 QCCA 824.</w:t>
      </w:r>
    </w:p>
  </w:footnote>
  <w:footnote w:id="14">
    <w:p w14:paraId="0649FF3D" w14:textId="64A9FABD" w:rsidR="001426AD" w:rsidRPr="00542573" w:rsidRDefault="001426AD" w:rsidP="00562F60">
      <w:pPr>
        <w:pStyle w:val="Notedebasdepage"/>
        <w:rPr>
          <w:lang w:val="en-CA"/>
        </w:rPr>
      </w:pPr>
      <w:r w:rsidRPr="00542573">
        <w:rPr>
          <w:rStyle w:val="Appelnotedebasdep"/>
          <w:lang w:val="en-CA"/>
        </w:rPr>
        <w:footnoteRef/>
      </w:r>
      <w:r w:rsidRPr="00542573">
        <w:rPr>
          <w:lang w:val="en-CA"/>
        </w:rPr>
        <w:t xml:space="preserve"> </w:t>
      </w:r>
      <w:r w:rsidRPr="00542573">
        <w:rPr>
          <w:lang w:val="en-CA"/>
        </w:rPr>
        <w:tab/>
      </w:r>
      <w:r w:rsidRPr="006C0449">
        <w:rPr>
          <w:lang w:val="en-CA"/>
        </w:rPr>
        <w:t>Judgment under appeal at paras.</w:t>
      </w:r>
      <w:r>
        <w:rPr>
          <w:lang w:val="en-CA"/>
        </w:rPr>
        <w:t xml:space="preserve"> 73–</w:t>
      </w:r>
      <w:r w:rsidRPr="00542573">
        <w:rPr>
          <w:lang w:val="en-CA"/>
        </w:rPr>
        <w:t>79.</w:t>
      </w:r>
    </w:p>
  </w:footnote>
  <w:footnote w:id="15">
    <w:p w14:paraId="5FD16E32" w14:textId="543833AF" w:rsidR="001426AD" w:rsidRPr="00542573" w:rsidRDefault="001426AD" w:rsidP="00562F60">
      <w:pPr>
        <w:pStyle w:val="Notedebasdepage"/>
        <w:rPr>
          <w:lang w:val="en-CA"/>
        </w:rPr>
      </w:pPr>
      <w:r w:rsidRPr="00542573">
        <w:rPr>
          <w:rStyle w:val="Appelnotedebasdep"/>
          <w:lang w:val="en-CA"/>
        </w:rPr>
        <w:footnoteRef/>
      </w:r>
      <w:r w:rsidRPr="00542573">
        <w:rPr>
          <w:lang w:val="en-CA"/>
        </w:rPr>
        <w:t xml:space="preserve"> </w:t>
      </w:r>
      <w:r w:rsidRPr="00542573">
        <w:rPr>
          <w:lang w:val="en-CA"/>
        </w:rPr>
        <w:tab/>
      </w:r>
      <w:r w:rsidRPr="006C0449">
        <w:rPr>
          <w:lang w:val="en-CA"/>
        </w:rPr>
        <w:t>Judgment under appeal at paras.</w:t>
      </w:r>
      <w:r>
        <w:rPr>
          <w:lang w:val="en-CA"/>
        </w:rPr>
        <w:t xml:space="preserve"> 81–</w:t>
      </w:r>
      <w:r w:rsidRPr="00542573">
        <w:rPr>
          <w:lang w:val="en-CA"/>
        </w:rPr>
        <w:t>86.</w:t>
      </w:r>
    </w:p>
  </w:footnote>
  <w:footnote w:id="16">
    <w:p w14:paraId="007D665C" w14:textId="5AAC9878" w:rsidR="001426AD" w:rsidRPr="00BF5DBC" w:rsidRDefault="001426AD" w:rsidP="00562F60">
      <w:pPr>
        <w:pStyle w:val="Notedebasdepage"/>
      </w:pPr>
      <w:r w:rsidRPr="00542573">
        <w:rPr>
          <w:rStyle w:val="Appelnotedebasdep"/>
          <w:lang w:val="en-CA"/>
        </w:rPr>
        <w:footnoteRef/>
      </w:r>
      <w:r w:rsidRPr="00542573">
        <w:rPr>
          <w:lang w:val="en-CA"/>
        </w:rPr>
        <w:t xml:space="preserve"> </w:t>
      </w:r>
      <w:r w:rsidRPr="00542573">
        <w:rPr>
          <w:lang w:val="en-CA"/>
        </w:rPr>
        <w:tab/>
      </w:r>
      <w:r w:rsidRPr="006C0449">
        <w:rPr>
          <w:lang w:val="en-CA"/>
        </w:rPr>
        <w:t>Judgment under appeal at para.</w:t>
      </w:r>
      <w:r w:rsidRPr="00542573">
        <w:rPr>
          <w:lang w:val="en-CA"/>
        </w:rPr>
        <w:t xml:space="preserve"> </w:t>
      </w:r>
      <w:r w:rsidRPr="00BF5DBC">
        <w:t>82.</w:t>
      </w:r>
    </w:p>
  </w:footnote>
  <w:footnote w:id="17">
    <w:p w14:paraId="7B2F7313" w14:textId="27ACAD84" w:rsidR="001426AD" w:rsidRPr="00542573" w:rsidRDefault="001426AD" w:rsidP="00272EA9">
      <w:pPr>
        <w:pStyle w:val="Notedebasdepage"/>
        <w:rPr>
          <w:lang w:val="en-CA"/>
        </w:rPr>
      </w:pPr>
      <w:r w:rsidRPr="00542573">
        <w:rPr>
          <w:rStyle w:val="Appelnotedebasdep"/>
          <w:lang w:val="en-CA"/>
        </w:rPr>
        <w:footnoteRef/>
      </w:r>
      <w:r w:rsidRPr="00BF5DBC">
        <w:t xml:space="preserve"> </w:t>
      </w:r>
      <w:r w:rsidRPr="00BF5DBC">
        <w:tab/>
      </w:r>
      <w:r w:rsidRPr="00BF5DBC">
        <w:rPr>
          <w:i/>
        </w:rPr>
        <w:t>R. v. Lacasse</w:t>
      </w:r>
      <w:r w:rsidRPr="00BF5DBC">
        <w:t xml:space="preserve">, 2015 SCC 64 at paras. </w:t>
      </w:r>
      <w:r w:rsidRPr="006C0449">
        <w:rPr>
          <w:lang w:val="en-CA"/>
        </w:rPr>
        <w:t>41, 44 and 49.</w:t>
      </w:r>
    </w:p>
  </w:footnote>
  <w:footnote w:id="18">
    <w:p w14:paraId="3FB1BF21" w14:textId="630BD8AE" w:rsidR="001426AD" w:rsidRPr="00542573" w:rsidRDefault="001426AD" w:rsidP="00272EA9">
      <w:pPr>
        <w:pStyle w:val="Notedebasdepage"/>
        <w:rPr>
          <w:lang w:val="en-CA"/>
        </w:rPr>
      </w:pPr>
      <w:r w:rsidRPr="00542573">
        <w:rPr>
          <w:rStyle w:val="Appelnotedebasdep"/>
          <w:lang w:val="en-CA"/>
        </w:rPr>
        <w:footnoteRef/>
      </w:r>
      <w:r w:rsidRPr="00542573">
        <w:rPr>
          <w:lang w:val="en-CA"/>
        </w:rPr>
        <w:t xml:space="preserve"> </w:t>
      </w:r>
      <w:r w:rsidRPr="00542573">
        <w:rPr>
          <w:lang w:val="en-CA"/>
        </w:rPr>
        <w:tab/>
      </w:r>
      <w:r w:rsidRPr="00542573">
        <w:rPr>
          <w:i/>
          <w:spacing w:val="-4"/>
          <w:lang w:val="en-CA"/>
        </w:rPr>
        <w:t>R. v. Friesen</w:t>
      </w:r>
      <w:r w:rsidRPr="00542573">
        <w:rPr>
          <w:spacing w:val="-4"/>
          <w:lang w:val="en-CA"/>
        </w:rPr>
        <w:t>, 2020 SCC 9</w:t>
      </w:r>
      <w:r w:rsidRPr="006C0449">
        <w:rPr>
          <w:spacing w:val="-4"/>
          <w:lang w:val="en-CA"/>
        </w:rPr>
        <w:t xml:space="preserve"> at paras.</w:t>
      </w:r>
      <w:r w:rsidRPr="00542573">
        <w:rPr>
          <w:spacing w:val="-4"/>
          <w:lang w:val="en-CA"/>
        </w:rPr>
        <w:t xml:space="preserve"> </w:t>
      </w:r>
      <w:r w:rsidRPr="006C0449">
        <w:rPr>
          <w:spacing w:val="-4"/>
          <w:lang w:val="en-CA"/>
        </w:rPr>
        <w:t>25 and 26.</w:t>
      </w:r>
    </w:p>
  </w:footnote>
  <w:footnote w:id="19">
    <w:p w14:paraId="444566FC" w14:textId="2CF4DB44" w:rsidR="001426AD" w:rsidRPr="00542573" w:rsidRDefault="001426AD" w:rsidP="00562F60">
      <w:pPr>
        <w:pStyle w:val="Notedebasdepage"/>
        <w:rPr>
          <w:lang w:val="en-CA"/>
        </w:rPr>
      </w:pPr>
      <w:r w:rsidRPr="00542573">
        <w:rPr>
          <w:rStyle w:val="Appelnotedebasdep"/>
          <w:lang w:val="en-CA"/>
        </w:rPr>
        <w:footnoteRef/>
      </w:r>
      <w:r w:rsidRPr="002A73C8">
        <w:rPr>
          <w:lang w:val="en-CA"/>
        </w:rPr>
        <w:t xml:space="preserve"> </w:t>
      </w:r>
      <w:r w:rsidRPr="002A73C8">
        <w:rPr>
          <w:lang w:val="en-CA"/>
        </w:rPr>
        <w:tab/>
      </w:r>
      <w:r w:rsidRPr="002A73C8">
        <w:rPr>
          <w:i/>
          <w:lang w:val="en-CA"/>
        </w:rPr>
        <w:t>R. c. Trottier</w:t>
      </w:r>
      <w:r w:rsidRPr="002A73C8">
        <w:rPr>
          <w:lang w:val="en-CA"/>
        </w:rPr>
        <w:t xml:space="preserve">, 2020 QCCA 703 at para. </w:t>
      </w:r>
      <w:r w:rsidRPr="006C0449">
        <w:rPr>
          <w:lang w:val="en-CA"/>
        </w:rPr>
        <w:t xml:space="preserve">32, citing </w:t>
      </w:r>
      <w:r w:rsidRPr="006C0449">
        <w:rPr>
          <w:i/>
          <w:lang w:val="en-CA"/>
        </w:rPr>
        <w:t>R. c. Lefrançois</w:t>
      </w:r>
      <w:r w:rsidRPr="006C0449">
        <w:rPr>
          <w:lang w:val="en-CA"/>
        </w:rPr>
        <w:t>, 2018 QCCA 1793 at para.</w:t>
      </w:r>
      <w:r w:rsidRPr="00542573">
        <w:rPr>
          <w:lang w:val="en-CA"/>
        </w:rPr>
        <w:t> 7.</w:t>
      </w:r>
    </w:p>
  </w:footnote>
  <w:footnote w:id="20">
    <w:p w14:paraId="358C9BCD" w14:textId="1A8C7C2C" w:rsidR="001426AD" w:rsidRPr="00542573" w:rsidRDefault="001426AD" w:rsidP="00562F60">
      <w:pPr>
        <w:pStyle w:val="Notedebasdepage"/>
        <w:rPr>
          <w:lang w:val="en-CA"/>
        </w:rPr>
      </w:pPr>
      <w:r w:rsidRPr="00542573">
        <w:rPr>
          <w:rStyle w:val="Appelnotedebasdep"/>
          <w:lang w:val="en-CA"/>
        </w:rPr>
        <w:footnoteRef/>
      </w:r>
      <w:r w:rsidRPr="00542573">
        <w:rPr>
          <w:lang w:val="en-CA"/>
        </w:rPr>
        <w:t xml:space="preserve"> </w:t>
      </w:r>
      <w:r w:rsidRPr="00542573">
        <w:rPr>
          <w:lang w:val="en-CA"/>
        </w:rPr>
        <w:tab/>
      </w:r>
      <w:r w:rsidRPr="006C0449">
        <w:rPr>
          <w:i/>
          <w:lang w:val="en-CA"/>
        </w:rPr>
        <w:t>Caron Barrette c. R.</w:t>
      </w:r>
      <w:r w:rsidRPr="006C0449">
        <w:rPr>
          <w:lang w:val="en-CA"/>
        </w:rPr>
        <w:t>, 2018 QCCA 516 at para.</w:t>
      </w:r>
      <w:r w:rsidRPr="00542573">
        <w:rPr>
          <w:lang w:val="en-CA"/>
        </w:rPr>
        <w:t xml:space="preserve"> 39.</w:t>
      </w:r>
    </w:p>
  </w:footnote>
  <w:footnote w:id="21">
    <w:p w14:paraId="092CE790" w14:textId="77777777" w:rsidR="001426AD" w:rsidRPr="00542573" w:rsidRDefault="001426AD" w:rsidP="00542573">
      <w:pPr>
        <w:pStyle w:val="Notedebasdepage"/>
        <w:rPr>
          <w:lang w:val="en-CA"/>
        </w:rPr>
      </w:pPr>
      <w:r w:rsidRPr="00542573">
        <w:rPr>
          <w:rStyle w:val="Appelnotedebasdep"/>
          <w:lang w:val="en-CA"/>
        </w:rPr>
        <w:footnoteRef/>
      </w:r>
      <w:r w:rsidRPr="00542573">
        <w:rPr>
          <w:lang w:val="en-CA"/>
        </w:rPr>
        <w:t xml:space="preserve"> </w:t>
      </w:r>
      <w:r w:rsidRPr="00542573">
        <w:rPr>
          <w:lang w:val="en-CA"/>
        </w:rPr>
        <w:tab/>
      </w:r>
      <w:r w:rsidRPr="006C0449">
        <w:rPr>
          <w:i/>
          <w:spacing w:val="-4"/>
          <w:lang w:val="en-CA"/>
        </w:rPr>
        <w:t>R. v. Friesen</w:t>
      </w:r>
      <w:r w:rsidRPr="006C0449">
        <w:rPr>
          <w:spacing w:val="-4"/>
          <w:lang w:val="en-CA"/>
        </w:rPr>
        <w:t xml:space="preserve">, </w:t>
      </w:r>
      <w:r w:rsidRPr="006C0449">
        <w:rPr>
          <w:i/>
          <w:spacing w:val="-4"/>
          <w:lang w:val="en-CA"/>
        </w:rPr>
        <w:t>supra</w:t>
      </w:r>
      <w:r w:rsidRPr="006C0449">
        <w:rPr>
          <w:spacing w:val="-4"/>
          <w:lang w:val="en-CA"/>
        </w:rPr>
        <w:t xml:space="preserve"> note </w:t>
      </w:r>
      <w:r w:rsidRPr="006C0449">
        <w:rPr>
          <w:lang w:val="en-CA"/>
        </w:rPr>
        <w:t>18</w:t>
      </w:r>
      <w:r w:rsidRPr="006C0449">
        <w:rPr>
          <w:spacing w:val="-4"/>
          <w:lang w:val="en-CA"/>
        </w:rPr>
        <w:t>.</w:t>
      </w:r>
    </w:p>
  </w:footnote>
  <w:footnote w:id="22">
    <w:p w14:paraId="70762B58" w14:textId="52CA2246" w:rsidR="001426AD" w:rsidRPr="00542573" w:rsidRDefault="001426AD" w:rsidP="00562F60">
      <w:pPr>
        <w:pStyle w:val="Notedebasdepage"/>
        <w:rPr>
          <w:lang w:val="en-CA"/>
        </w:rPr>
      </w:pPr>
      <w:r w:rsidRPr="00542573">
        <w:rPr>
          <w:rStyle w:val="Appelnotedebasdep"/>
          <w:lang w:val="en-CA"/>
        </w:rPr>
        <w:footnoteRef/>
      </w:r>
      <w:r w:rsidRPr="00542573">
        <w:rPr>
          <w:lang w:val="en-CA"/>
        </w:rPr>
        <w:t xml:space="preserve"> </w:t>
      </w:r>
      <w:r w:rsidRPr="00542573">
        <w:rPr>
          <w:lang w:val="en-CA"/>
        </w:rPr>
        <w:tab/>
      </w:r>
      <w:r w:rsidRPr="006C0449">
        <w:rPr>
          <w:i/>
          <w:spacing w:val="-4"/>
          <w:lang w:val="en-CA"/>
        </w:rPr>
        <w:t xml:space="preserve">Ibid. </w:t>
      </w:r>
      <w:r w:rsidRPr="006C0449">
        <w:rPr>
          <w:spacing w:val="-4"/>
          <w:lang w:val="en-CA"/>
        </w:rPr>
        <w:t>at para</w:t>
      </w:r>
      <w:r w:rsidRPr="006C0449">
        <w:rPr>
          <w:i/>
          <w:spacing w:val="-4"/>
          <w:lang w:val="en-CA"/>
        </w:rPr>
        <w:t>.</w:t>
      </w:r>
      <w:r w:rsidRPr="00542573">
        <w:rPr>
          <w:lang w:val="en-CA"/>
        </w:rPr>
        <w:t xml:space="preserve"> 107.</w:t>
      </w:r>
    </w:p>
  </w:footnote>
  <w:footnote w:id="23">
    <w:p w14:paraId="0069C270" w14:textId="19B552A4" w:rsidR="001426AD" w:rsidRPr="00542573" w:rsidRDefault="001426AD" w:rsidP="00562F60">
      <w:pPr>
        <w:pStyle w:val="Notedebasdepage"/>
        <w:rPr>
          <w:lang w:val="en-CA"/>
        </w:rPr>
      </w:pPr>
      <w:r w:rsidRPr="00542573">
        <w:rPr>
          <w:rStyle w:val="Appelnotedebasdep"/>
          <w:lang w:val="en-CA"/>
        </w:rPr>
        <w:footnoteRef/>
      </w:r>
      <w:r w:rsidRPr="00542573">
        <w:rPr>
          <w:lang w:val="en-CA"/>
        </w:rPr>
        <w:t xml:space="preserve"> </w:t>
      </w:r>
      <w:r w:rsidRPr="00542573">
        <w:rPr>
          <w:lang w:val="en-CA"/>
        </w:rPr>
        <w:tab/>
      </w:r>
      <w:r w:rsidRPr="006C0449">
        <w:rPr>
          <w:i/>
          <w:spacing w:val="-4"/>
          <w:lang w:val="en-CA"/>
        </w:rPr>
        <w:t xml:space="preserve">Ibid. </w:t>
      </w:r>
      <w:r w:rsidRPr="006C0449">
        <w:rPr>
          <w:spacing w:val="-4"/>
          <w:lang w:val="en-CA"/>
        </w:rPr>
        <w:t>at para</w:t>
      </w:r>
      <w:r w:rsidRPr="006C0449">
        <w:rPr>
          <w:lang w:val="en-CA"/>
        </w:rPr>
        <w:t>.</w:t>
      </w:r>
      <w:r w:rsidRPr="00542573">
        <w:rPr>
          <w:lang w:val="en-CA"/>
        </w:rPr>
        <w:t xml:space="preserve"> 100.</w:t>
      </w:r>
    </w:p>
  </w:footnote>
  <w:footnote w:id="24">
    <w:p w14:paraId="7454F2B7" w14:textId="41E47497" w:rsidR="001426AD" w:rsidRPr="00542573" w:rsidRDefault="001426AD" w:rsidP="00562F60">
      <w:pPr>
        <w:pStyle w:val="Notedebasdepage"/>
        <w:rPr>
          <w:lang w:val="en-CA"/>
        </w:rPr>
      </w:pPr>
      <w:r w:rsidRPr="00542573">
        <w:rPr>
          <w:rStyle w:val="Appelnotedebasdep"/>
          <w:lang w:val="en-CA"/>
        </w:rPr>
        <w:footnoteRef/>
      </w:r>
      <w:r w:rsidRPr="00542573">
        <w:rPr>
          <w:lang w:val="en-CA"/>
        </w:rPr>
        <w:t xml:space="preserve"> </w:t>
      </w:r>
      <w:r w:rsidRPr="00542573">
        <w:rPr>
          <w:lang w:val="en-CA"/>
        </w:rPr>
        <w:tab/>
      </w:r>
      <w:r w:rsidRPr="006C0449">
        <w:rPr>
          <w:i/>
          <w:spacing w:val="-4"/>
          <w:lang w:val="en-CA"/>
        </w:rPr>
        <w:t xml:space="preserve">Ibid. </w:t>
      </w:r>
      <w:r w:rsidRPr="006C0449">
        <w:rPr>
          <w:spacing w:val="-4"/>
          <w:lang w:val="en-CA"/>
        </w:rPr>
        <w:t>at para</w:t>
      </w:r>
      <w:r w:rsidRPr="006C0449">
        <w:rPr>
          <w:lang w:val="en-CA"/>
        </w:rPr>
        <w:t>.</w:t>
      </w:r>
      <w:r w:rsidRPr="00542573">
        <w:rPr>
          <w:lang w:val="en-CA"/>
        </w:rPr>
        <w:t xml:space="preserve"> 93.</w:t>
      </w:r>
    </w:p>
  </w:footnote>
  <w:footnote w:id="25">
    <w:p w14:paraId="79F040E0" w14:textId="71EE42AB" w:rsidR="001426AD" w:rsidRPr="00542573" w:rsidRDefault="001426AD" w:rsidP="00562F60">
      <w:pPr>
        <w:pStyle w:val="Notedebasdepage"/>
        <w:rPr>
          <w:lang w:val="en-CA"/>
        </w:rPr>
      </w:pPr>
      <w:r w:rsidRPr="00542573">
        <w:rPr>
          <w:rStyle w:val="Appelnotedebasdep"/>
          <w:lang w:val="en-CA"/>
        </w:rPr>
        <w:footnoteRef/>
      </w:r>
      <w:r w:rsidRPr="00542573">
        <w:rPr>
          <w:lang w:val="en-CA"/>
        </w:rPr>
        <w:t xml:space="preserve"> </w:t>
      </w:r>
      <w:r w:rsidRPr="00542573">
        <w:rPr>
          <w:lang w:val="en-CA"/>
        </w:rPr>
        <w:tab/>
      </w:r>
      <w:r w:rsidRPr="006C0449">
        <w:rPr>
          <w:lang w:val="en-CA"/>
        </w:rPr>
        <w:t>Judgment under appeal at para.</w:t>
      </w:r>
      <w:r w:rsidRPr="00542573">
        <w:rPr>
          <w:lang w:val="en-CA"/>
        </w:rPr>
        <w:t xml:space="preserve"> 38.</w:t>
      </w:r>
    </w:p>
  </w:footnote>
  <w:footnote w:id="26">
    <w:p w14:paraId="10F5DD45" w14:textId="135EC209" w:rsidR="001426AD" w:rsidRPr="00542573" w:rsidRDefault="001426AD" w:rsidP="00562F60">
      <w:pPr>
        <w:pStyle w:val="Notedebasdepage"/>
        <w:rPr>
          <w:lang w:val="en-CA"/>
        </w:rPr>
      </w:pPr>
      <w:r w:rsidRPr="00542573">
        <w:rPr>
          <w:rStyle w:val="Appelnotedebasdep"/>
          <w:lang w:val="en-CA"/>
        </w:rPr>
        <w:footnoteRef/>
      </w:r>
      <w:r w:rsidRPr="00542573">
        <w:rPr>
          <w:lang w:val="en-CA"/>
        </w:rPr>
        <w:t xml:space="preserve"> </w:t>
      </w:r>
      <w:r w:rsidRPr="00542573">
        <w:rPr>
          <w:lang w:val="en-CA"/>
        </w:rPr>
        <w:tab/>
      </w:r>
      <w:r w:rsidRPr="006C0449">
        <w:rPr>
          <w:i/>
          <w:lang w:val="en-CA"/>
        </w:rPr>
        <w:t xml:space="preserve">Ibid. </w:t>
      </w:r>
      <w:r w:rsidRPr="006C0449">
        <w:rPr>
          <w:lang w:val="en-CA"/>
        </w:rPr>
        <w:t>at paras</w:t>
      </w:r>
      <w:r w:rsidRPr="006C0449">
        <w:rPr>
          <w:i/>
          <w:lang w:val="en-CA"/>
        </w:rPr>
        <w:t>.</w:t>
      </w:r>
      <w:r w:rsidRPr="00542573">
        <w:rPr>
          <w:lang w:val="en-CA"/>
        </w:rPr>
        <w:t xml:space="preserve"> 49</w:t>
      </w:r>
      <w:r>
        <w:rPr>
          <w:lang w:val="en-CA"/>
        </w:rPr>
        <w:t>–</w:t>
      </w:r>
      <w:r w:rsidRPr="00542573">
        <w:rPr>
          <w:lang w:val="en-CA"/>
        </w:rPr>
        <w:t>50, 52, 54.</w:t>
      </w:r>
    </w:p>
  </w:footnote>
  <w:footnote w:id="27">
    <w:p w14:paraId="43365856" w14:textId="35468493" w:rsidR="001426AD" w:rsidRPr="00542573" w:rsidRDefault="001426AD" w:rsidP="00562F60">
      <w:pPr>
        <w:pStyle w:val="Notedebasdepage"/>
        <w:rPr>
          <w:lang w:val="en-CA"/>
        </w:rPr>
      </w:pPr>
      <w:r w:rsidRPr="00542573">
        <w:rPr>
          <w:rStyle w:val="Appelnotedebasdep"/>
          <w:lang w:val="en-CA"/>
        </w:rPr>
        <w:footnoteRef/>
      </w:r>
      <w:r w:rsidRPr="00542573">
        <w:rPr>
          <w:lang w:val="en-CA"/>
        </w:rPr>
        <w:t xml:space="preserve"> </w:t>
      </w:r>
      <w:r w:rsidRPr="00542573">
        <w:rPr>
          <w:lang w:val="en-CA"/>
        </w:rPr>
        <w:tab/>
      </w:r>
      <w:r w:rsidRPr="006C0449">
        <w:rPr>
          <w:i/>
          <w:lang w:val="en-CA"/>
        </w:rPr>
        <w:t xml:space="preserve">Ibid. </w:t>
      </w:r>
      <w:r w:rsidRPr="006C0449">
        <w:rPr>
          <w:lang w:val="en-CA"/>
        </w:rPr>
        <w:t>at para</w:t>
      </w:r>
      <w:r w:rsidRPr="006C0449">
        <w:rPr>
          <w:i/>
          <w:lang w:val="en-CA"/>
        </w:rPr>
        <w:t>.</w:t>
      </w:r>
      <w:r w:rsidRPr="00542573">
        <w:rPr>
          <w:lang w:val="en-CA"/>
        </w:rPr>
        <w:t xml:space="preserve"> 59.</w:t>
      </w:r>
    </w:p>
  </w:footnote>
  <w:footnote w:id="28">
    <w:p w14:paraId="16E7C4E5" w14:textId="2D84C9A2" w:rsidR="001426AD" w:rsidRPr="00542573" w:rsidRDefault="001426AD" w:rsidP="00562F60">
      <w:pPr>
        <w:pStyle w:val="Notedebasdepage"/>
        <w:rPr>
          <w:lang w:val="en-CA"/>
        </w:rPr>
      </w:pPr>
      <w:r w:rsidRPr="00542573">
        <w:rPr>
          <w:rStyle w:val="Appelnotedebasdep"/>
          <w:lang w:val="en-CA"/>
        </w:rPr>
        <w:footnoteRef/>
      </w:r>
      <w:r w:rsidRPr="00542573">
        <w:rPr>
          <w:lang w:val="en-CA"/>
        </w:rPr>
        <w:t xml:space="preserve"> </w:t>
      </w:r>
      <w:r w:rsidRPr="00542573">
        <w:rPr>
          <w:lang w:val="en-CA"/>
        </w:rPr>
        <w:tab/>
      </w:r>
      <w:r w:rsidRPr="006C0449">
        <w:rPr>
          <w:i/>
          <w:lang w:val="en-CA"/>
        </w:rPr>
        <w:t xml:space="preserve">Ibid. </w:t>
      </w:r>
      <w:r w:rsidRPr="006C0449">
        <w:rPr>
          <w:lang w:val="en-CA"/>
        </w:rPr>
        <w:t>at paras.</w:t>
      </w:r>
      <w:r w:rsidRPr="00542573">
        <w:rPr>
          <w:lang w:val="en-CA"/>
        </w:rPr>
        <w:t xml:space="preserve"> 64-65.</w:t>
      </w:r>
    </w:p>
  </w:footnote>
  <w:footnote w:id="29">
    <w:p w14:paraId="54793D03" w14:textId="347E0815" w:rsidR="001426AD" w:rsidRPr="00542573" w:rsidRDefault="001426AD" w:rsidP="00562F60">
      <w:pPr>
        <w:pStyle w:val="Notedebasdepage"/>
        <w:rPr>
          <w:lang w:val="en-CA"/>
        </w:rPr>
      </w:pPr>
      <w:r w:rsidRPr="00542573">
        <w:rPr>
          <w:rStyle w:val="Appelnotedebasdep"/>
          <w:lang w:val="en-CA"/>
        </w:rPr>
        <w:footnoteRef/>
      </w:r>
      <w:r w:rsidRPr="00542573">
        <w:rPr>
          <w:lang w:val="en-CA"/>
        </w:rPr>
        <w:t xml:space="preserve"> </w:t>
      </w:r>
      <w:r w:rsidRPr="00542573">
        <w:rPr>
          <w:lang w:val="en-CA"/>
        </w:rPr>
        <w:tab/>
      </w:r>
      <w:r w:rsidRPr="006C0449">
        <w:rPr>
          <w:i/>
          <w:lang w:val="en-CA"/>
        </w:rPr>
        <w:t>Ibid</w:t>
      </w:r>
      <w:r w:rsidRPr="006C0449">
        <w:rPr>
          <w:lang w:val="en-CA"/>
        </w:rPr>
        <w:t>. at para.</w:t>
      </w:r>
      <w:r w:rsidRPr="00542573">
        <w:rPr>
          <w:lang w:val="en-CA"/>
        </w:rPr>
        <w:t xml:space="preserve"> 67.</w:t>
      </w:r>
    </w:p>
  </w:footnote>
  <w:footnote w:id="30">
    <w:p w14:paraId="4A26824B" w14:textId="738C0D0E" w:rsidR="001426AD" w:rsidRPr="00542573" w:rsidRDefault="001426AD" w:rsidP="00562F60">
      <w:pPr>
        <w:pStyle w:val="Notedebasdepage"/>
        <w:rPr>
          <w:lang w:val="en-CA"/>
        </w:rPr>
      </w:pPr>
      <w:r w:rsidRPr="00542573">
        <w:rPr>
          <w:rStyle w:val="Appelnotedebasdep"/>
          <w:lang w:val="en-CA"/>
        </w:rPr>
        <w:footnoteRef/>
      </w:r>
      <w:r w:rsidRPr="00542573">
        <w:rPr>
          <w:lang w:val="en-CA"/>
        </w:rPr>
        <w:t xml:space="preserve"> </w:t>
      </w:r>
      <w:r w:rsidRPr="00542573">
        <w:rPr>
          <w:lang w:val="en-CA"/>
        </w:rPr>
        <w:tab/>
      </w:r>
      <w:r w:rsidRPr="006C0449">
        <w:rPr>
          <w:i/>
          <w:lang w:val="en-CA"/>
        </w:rPr>
        <w:t>Ibid</w:t>
      </w:r>
      <w:r w:rsidRPr="006C0449">
        <w:rPr>
          <w:lang w:val="en-CA"/>
        </w:rPr>
        <w:t>.</w:t>
      </w:r>
      <w:r w:rsidRPr="006C0449">
        <w:rPr>
          <w:i/>
          <w:lang w:val="en-CA"/>
        </w:rPr>
        <w:t xml:space="preserve"> </w:t>
      </w:r>
      <w:r w:rsidRPr="006C0449">
        <w:rPr>
          <w:lang w:val="en-CA"/>
        </w:rPr>
        <w:t>at para.</w:t>
      </w:r>
      <w:r w:rsidRPr="00542573">
        <w:rPr>
          <w:lang w:val="en-CA"/>
        </w:rPr>
        <w:t xml:space="preserve"> 70.</w:t>
      </w:r>
    </w:p>
  </w:footnote>
  <w:footnote w:id="31">
    <w:p w14:paraId="426147CB" w14:textId="774E5C5F" w:rsidR="001426AD" w:rsidRPr="00542573" w:rsidRDefault="001426AD" w:rsidP="00562F60">
      <w:pPr>
        <w:pStyle w:val="Notedebasdepage"/>
        <w:rPr>
          <w:lang w:val="en-CA"/>
        </w:rPr>
      </w:pPr>
      <w:r w:rsidRPr="00542573">
        <w:rPr>
          <w:rStyle w:val="Appelnotedebasdep"/>
          <w:lang w:val="en-CA"/>
        </w:rPr>
        <w:footnoteRef/>
      </w:r>
      <w:r w:rsidRPr="00542573">
        <w:rPr>
          <w:lang w:val="en-CA"/>
        </w:rPr>
        <w:t xml:space="preserve"> </w:t>
      </w:r>
      <w:r w:rsidRPr="00542573">
        <w:rPr>
          <w:lang w:val="en-CA"/>
        </w:rPr>
        <w:tab/>
      </w:r>
      <w:r w:rsidRPr="006C0449">
        <w:rPr>
          <w:lang w:val="en-CA"/>
        </w:rPr>
        <w:t>Submissions of December 17, 2019, at 43.</w:t>
      </w:r>
    </w:p>
  </w:footnote>
  <w:footnote w:id="32">
    <w:p w14:paraId="290C1AB4" w14:textId="7A0CEB22" w:rsidR="001426AD" w:rsidRPr="00542573" w:rsidRDefault="001426AD" w:rsidP="00562F60">
      <w:pPr>
        <w:pStyle w:val="Notedebasdepage"/>
        <w:rPr>
          <w:lang w:val="en-CA"/>
        </w:rPr>
      </w:pPr>
      <w:r w:rsidRPr="00542573">
        <w:rPr>
          <w:rStyle w:val="Appelnotedebasdep"/>
          <w:lang w:val="en-CA"/>
        </w:rPr>
        <w:footnoteRef/>
      </w:r>
      <w:r w:rsidRPr="00542573">
        <w:rPr>
          <w:lang w:val="en-CA"/>
        </w:rPr>
        <w:t xml:space="preserve"> </w:t>
      </w:r>
      <w:r w:rsidRPr="00542573">
        <w:rPr>
          <w:lang w:val="en-CA"/>
        </w:rPr>
        <w:tab/>
      </w:r>
      <w:r w:rsidRPr="006C0449">
        <w:rPr>
          <w:lang w:val="en-CA"/>
        </w:rPr>
        <w:t>Submissions of December 17, 2019, at 98, lines 19 to 22.</w:t>
      </w:r>
    </w:p>
  </w:footnote>
  <w:footnote w:id="33">
    <w:p w14:paraId="50692AB4" w14:textId="6D58C2CE" w:rsidR="001426AD" w:rsidRPr="00542573" w:rsidRDefault="001426AD" w:rsidP="00562F60">
      <w:pPr>
        <w:pStyle w:val="Notedebasdepage"/>
        <w:rPr>
          <w:lang w:val="en-CA"/>
        </w:rPr>
      </w:pPr>
      <w:r w:rsidRPr="00542573">
        <w:rPr>
          <w:rStyle w:val="Appelnotedebasdep"/>
          <w:lang w:val="en-CA"/>
        </w:rPr>
        <w:footnoteRef/>
      </w:r>
      <w:r w:rsidRPr="00542573">
        <w:rPr>
          <w:lang w:val="en-CA"/>
        </w:rPr>
        <w:t xml:space="preserve"> </w:t>
      </w:r>
      <w:r w:rsidRPr="00542573">
        <w:rPr>
          <w:lang w:val="en-CA"/>
        </w:rPr>
        <w:tab/>
      </w:r>
      <w:r w:rsidRPr="006C0449">
        <w:rPr>
          <w:i/>
          <w:lang w:val="en-CA"/>
        </w:rPr>
        <w:t>R. v. Legare</w:t>
      </w:r>
      <w:r w:rsidRPr="006C0449">
        <w:rPr>
          <w:lang w:val="en-CA"/>
        </w:rPr>
        <w:t>, 2009 SCC 56, [2009] 3 S.C.R.</w:t>
      </w:r>
      <w:r w:rsidRPr="00542573">
        <w:rPr>
          <w:lang w:val="en-CA"/>
        </w:rPr>
        <w:t xml:space="preserve"> </w:t>
      </w:r>
      <w:r w:rsidRPr="006C0449">
        <w:rPr>
          <w:lang w:val="en-CA"/>
        </w:rPr>
        <w:t>551 at paras.</w:t>
      </w:r>
      <w:r w:rsidRPr="00542573">
        <w:rPr>
          <w:lang w:val="en-CA"/>
        </w:rPr>
        <w:t xml:space="preserve"> </w:t>
      </w:r>
      <w:r w:rsidRPr="006C0449">
        <w:rPr>
          <w:lang w:val="en-CA"/>
        </w:rPr>
        <w:t>3, 28, 36 and 39</w:t>
      </w:r>
      <w:r>
        <w:rPr>
          <w:lang w:val="en-CA"/>
        </w:rPr>
        <w:t>–</w:t>
      </w:r>
      <w:r w:rsidRPr="006C0449">
        <w:rPr>
          <w:lang w:val="en-CA"/>
        </w:rPr>
        <w:t>40.</w:t>
      </w:r>
      <w:r w:rsidRPr="00542573">
        <w:rPr>
          <w:lang w:val="en-CA"/>
        </w:rPr>
        <w:t xml:space="preserve"> </w:t>
      </w:r>
      <w:r w:rsidRPr="006C0449">
        <w:rPr>
          <w:lang w:val="en-CA"/>
        </w:rPr>
        <w:t xml:space="preserve">See also: </w:t>
      </w:r>
      <w:r w:rsidRPr="006C0449">
        <w:rPr>
          <w:i/>
          <w:lang w:val="en-CA"/>
        </w:rPr>
        <w:t>R. v. Morrison</w:t>
      </w:r>
      <w:r w:rsidRPr="006C0449">
        <w:rPr>
          <w:lang w:val="en-CA"/>
        </w:rPr>
        <w:t>, 2019 SCC 15, [2019] 2 S.C.R. 3 at para.</w:t>
      </w:r>
      <w:r w:rsidRPr="00542573">
        <w:rPr>
          <w:lang w:val="en-CA"/>
        </w:rPr>
        <w:t xml:space="preserve"> </w:t>
      </w:r>
      <w:r w:rsidRPr="006C0449">
        <w:rPr>
          <w:lang w:val="en-CA"/>
        </w:rPr>
        <w:t xml:space="preserve">95; </w:t>
      </w:r>
      <w:r w:rsidRPr="006C0449">
        <w:rPr>
          <w:i/>
          <w:lang w:val="en-CA"/>
        </w:rPr>
        <w:t>R. v. Levigne</w:t>
      </w:r>
      <w:r w:rsidRPr="006C0449">
        <w:rPr>
          <w:lang w:val="en-CA"/>
        </w:rPr>
        <w:t>, 2010 SCC 25, [2010] 2 S.C.R.</w:t>
      </w:r>
      <w:r w:rsidRPr="00542573">
        <w:rPr>
          <w:lang w:val="en-CA"/>
        </w:rPr>
        <w:t xml:space="preserve"> </w:t>
      </w:r>
      <w:r w:rsidRPr="006C0449">
        <w:rPr>
          <w:lang w:val="en-CA"/>
        </w:rPr>
        <w:t>3 at para.</w:t>
      </w:r>
      <w:r w:rsidRPr="00542573">
        <w:rPr>
          <w:lang w:val="en-CA"/>
        </w:rPr>
        <w:t xml:space="preserve"> 23.</w:t>
      </w:r>
    </w:p>
  </w:footnote>
  <w:footnote w:id="34">
    <w:p w14:paraId="6D9827E2" w14:textId="41D9CA08" w:rsidR="001426AD" w:rsidRPr="00542573" w:rsidRDefault="001426AD" w:rsidP="00562F60">
      <w:pPr>
        <w:pStyle w:val="Notedebasdepage"/>
        <w:rPr>
          <w:lang w:val="en-CA"/>
        </w:rPr>
      </w:pPr>
      <w:r w:rsidRPr="00542573">
        <w:rPr>
          <w:rStyle w:val="Appelnotedebasdep"/>
          <w:lang w:val="en-CA"/>
        </w:rPr>
        <w:footnoteRef/>
      </w:r>
      <w:r w:rsidRPr="00542573">
        <w:rPr>
          <w:lang w:val="en-CA"/>
        </w:rPr>
        <w:t xml:space="preserve"> </w:t>
      </w:r>
      <w:r w:rsidRPr="00542573">
        <w:rPr>
          <w:lang w:val="en-CA"/>
        </w:rPr>
        <w:tab/>
      </w:r>
      <w:r w:rsidRPr="006C0449">
        <w:rPr>
          <w:i/>
          <w:lang w:val="en-CA"/>
        </w:rPr>
        <w:t>R. v. Friesen</w:t>
      </w:r>
      <w:r w:rsidRPr="006C0449">
        <w:rPr>
          <w:lang w:val="en-CA"/>
        </w:rPr>
        <w:t xml:space="preserve">, </w:t>
      </w:r>
      <w:r w:rsidRPr="006C0449">
        <w:rPr>
          <w:i/>
          <w:lang w:val="en-CA"/>
        </w:rPr>
        <w:t>supra</w:t>
      </w:r>
      <w:r w:rsidRPr="006C0449">
        <w:rPr>
          <w:lang w:val="en-CA"/>
        </w:rPr>
        <w:t xml:space="preserve"> note 18 at para.</w:t>
      </w:r>
      <w:r w:rsidRPr="00542573">
        <w:rPr>
          <w:lang w:val="en-CA"/>
        </w:rPr>
        <w:t xml:space="preserve"> 153.</w:t>
      </w:r>
    </w:p>
  </w:footnote>
  <w:footnote w:id="35">
    <w:p w14:paraId="55F6D15E" w14:textId="146E9E93" w:rsidR="001426AD" w:rsidRPr="00542573" w:rsidRDefault="001426AD" w:rsidP="00F7758C">
      <w:pPr>
        <w:pStyle w:val="Notedebasdepage"/>
        <w:rPr>
          <w:i/>
          <w:lang w:val="en-CA"/>
        </w:rPr>
      </w:pPr>
      <w:r w:rsidRPr="00542573">
        <w:rPr>
          <w:rStyle w:val="Appelnotedebasdep"/>
          <w:lang w:val="en-CA"/>
        </w:rPr>
        <w:footnoteRef/>
      </w:r>
      <w:r w:rsidRPr="00542573">
        <w:rPr>
          <w:lang w:val="en-CA"/>
        </w:rPr>
        <w:t xml:space="preserve"> </w:t>
      </w:r>
      <w:r w:rsidRPr="00542573">
        <w:rPr>
          <w:lang w:val="en-CA"/>
        </w:rPr>
        <w:tab/>
      </w:r>
      <w:r w:rsidRPr="006C0449">
        <w:rPr>
          <w:i/>
          <w:spacing w:val="-2"/>
          <w:lang w:val="en-CA"/>
        </w:rPr>
        <w:t>R. c. Rayo</w:t>
      </w:r>
      <w:r w:rsidRPr="006C0449">
        <w:rPr>
          <w:spacing w:val="-2"/>
          <w:lang w:val="en-CA"/>
        </w:rPr>
        <w:t xml:space="preserve">, </w:t>
      </w:r>
      <w:r w:rsidRPr="006C0449">
        <w:rPr>
          <w:i/>
          <w:spacing w:val="-2"/>
          <w:lang w:val="en-CA"/>
        </w:rPr>
        <w:t>supra</w:t>
      </w:r>
      <w:r w:rsidRPr="006C0449">
        <w:rPr>
          <w:spacing w:val="-2"/>
          <w:lang w:val="en-CA"/>
        </w:rPr>
        <w:t xml:space="preserve">, note </w:t>
      </w:r>
      <w:r w:rsidRPr="006C0449">
        <w:rPr>
          <w:lang w:val="en-CA"/>
        </w:rPr>
        <w:t>13</w:t>
      </w:r>
      <w:r>
        <w:rPr>
          <w:spacing w:val="-2"/>
          <w:lang w:val="en-CA"/>
        </w:rPr>
        <w:t xml:space="preserve"> at</w:t>
      </w:r>
      <w:r w:rsidRPr="006C0449">
        <w:rPr>
          <w:spacing w:val="-2"/>
          <w:lang w:val="en-CA"/>
        </w:rPr>
        <w:t xml:space="preserve"> para.</w:t>
      </w:r>
      <w:r w:rsidRPr="00542573">
        <w:rPr>
          <w:spacing w:val="-2"/>
          <w:lang w:val="en-CA"/>
        </w:rPr>
        <w:t xml:space="preserve"> 126. </w:t>
      </w:r>
      <w:r w:rsidRPr="006C0449">
        <w:rPr>
          <w:spacing w:val="-2"/>
          <w:lang w:val="en-CA"/>
        </w:rPr>
        <w:t xml:space="preserve">See also: </w:t>
      </w:r>
      <w:r w:rsidRPr="006C0449">
        <w:rPr>
          <w:i/>
          <w:spacing w:val="-2"/>
          <w:lang w:val="en-CA"/>
        </w:rPr>
        <w:t>R. v. Morrison</w:t>
      </w:r>
      <w:r w:rsidRPr="006C0449">
        <w:rPr>
          <w:spacing w:val="-2"/>
          <w:lang w:val="en-CA"/>
        </w:rPr>
        <w:t>, 2019 SCC 15, [2019] 2 S.C.R.</w:t>
      </w:r>
      <w:r w:rsidRPr="00542573">
        <w:rPr>
          <w:spacing w:val="-2"/>
          <w:lang w:val="en-CA"/>
        </w:rPr>
        <w:t xml:space="preserve"> </w:t>
      </w:r>
      <w:r w:rsidRPr="006C0449">
        <w:rPr>
          <w:spacing w:val="-2"/>
          <w:lang w:val="en-CA"/>
        </w:rPr>
        <w:t>3,</w:t>
      </w:r>
      <w:r w:rsidRPr="006C0449">
        <w:rPr>
          <w:lang w:val="en-CA"/>
        </w:rPr>
        <w:t xml:space="preserve"> at para.</w:t>
      </w:r>
      <w:r w:rsidRPr="00542573">
        <w:rPr>
          <w:lang w:val="en-CA"/>
        </w:rPr>
        <w:t xml:space="preserve"> 177, where Karakatsanis</w:t>
      </w:r>
      <w:r>
        <w:rPr>
          <w:lang w:val="en-CA"/>
        </w:rPr>
        <w:t>,</w:t>
      </w:r>
      <w:r w:rsidRPr="00542573">
        <w:rPr>
          <w:lang w:val="en-CA"/>
        </w:rPr>
        <w:t xml:space="preserve"> J. recognized that “in many cases, the appropriate sentence will be a term of imprisonment that falls within the range contemplated by s. 172.1(2)(</w:t>
      </w:r>
      <w:r w:rsidRPr="009B7B69">
        <w:rPr>
          <w:i/>
          <w:lang w:val="en-CA"/>
        </w:rPr>
        <w:t>a</w:t>
      </w:r>
      <w:r w:rsidRPr="00542573">
        <w:rPr>
          <w:lang w:val="en-CA"/>
        </w:rPr>
        <w:t>)”.</w:t>
      </w:r>
    </w:p>
  </w:footnote>
  <w:footnote w:id="36">
    <w:p w14:paraId="6A6BC60C" w14:textId="63E4EA4D" w:rsidR="001426AD" w:rsidRPr="00542573" w:rsidRDefault="001426AD" w:rsidP="00562F60">
      <w:pPr>
        <w:pStyle w:val="Notedebasdepage"/>
        <w:rPr>
          <w:lang w:val="en-CA"/>
        </w:rPr>
      </w:pPr>
      <w:r w:rsidRPr="00542573">
        <w:rPr>
          <w:rStyle w:val="Appelnotedebasdep"/>
          <w:lang w:val="en-CA"/>
        </w:rPr>
        <w:footnoteRef/>
      </w:r>
      <w:r w:rsidRPr="00542573">
        <w:rPr>
          <w:lang w:val="en-CA"/>
        </w:rPr>
        <w:t xml:space="preserve"> </w:t>
      </w:r>
      <w:r w:rsidRPr="00542573">
        <w:rPr>
          <w:lang w:val="en-CA"/>
        </w:rPr>
        <w:tab/>
      </w:r>
      <w:r w:rsidRPr="006C0449">
        <w:rPr>
          <w:lang w:val="en-CA"/>
        </w:rPr>
        <w:t>Submissions of December 17, 2019, at</w:t>
      </w:r>
      <w:r>
        <w:rPr>
          <w:lang w:val="en-CA"/>
        </w:rPr>
        <w:t xml:space="preserve"> p. 36, line </w:t>
      </w:r>
      <w:r w:rsidRPr="00542573">
        <w:rPr>
          <w:lang w:val="en-CA"/>
        </w:rPr>
        <w:t xml:space="preserve">23 </w:t>
      </w:r>
      <w:r>
        <w:rPr>
          <w:lang w:val="en-CA"/>
        </w:rPr>
        <w:t>to p. 38, li</w:t>
      </w:r>
      <w:r w:rsidRPr="00542573">
        <w:rPr>
          <w:lang w:val="en-CA"/>
        </w:rPr>
        <w:t xml:space="preserve">ne 6. </w:t>
      </w:r>
    </w:p>
  </w:footnote>
  <w:footnote w:id="37">
    <w:p w14:paraId="37FDC068" w14:textId="509E9094" w:rsidR="001426AD" w:rsidRPr="00542573" w:rsidRDefault="001426AD" w:rsidP="00EC420B">
      <w:pPr>
        <w:pStyle w:val="Notedebasdepage"/>
        <w:rPr>
          <w:lang w:val="en-CA"/>
        </w:rPr>
      </w:pPr>
      <w:r w:rsidRPr="00542573">
        <w:rPr>
          <w:rStyle w:val="Appelnotedebasdep"/>
          <w:lang w:val="en-CA"/>
        </w:rPr>
        <w:footnoteRef/>
      </w:r>
      <w:r w:rsidRPr="00542573">
        <w:rPr>
          <w:lang w:val="en-CA"/>
        </w:rPr>
        <w:t xml:space="preserve"> </w:t>
      </w:r>
      <w:r w:rsidRPr="00542573">
        <w:rPr>
          <w:lang w:val="en-CA"/>
        </w:rPr>
        <w:tab/>
        <w:t>These factors are the following: the lack of prior convictions, his age at the time of the events, holding a job for two years, his honesty and cooperation with the pre-sentence report</w:t>
      </w:r>
      <w:r>
        <w:rPr>
          <w:lang w:val="en-CA"/>
        </w:rPr>
        <w:t xml:space="preserve">, and </w:t>
      </w:r>
      <w:r w:rsidRPr="00542573">
        <w:rPr>
          <w:lang w:val="en-CA"/>
        </w:rPr>
        <w:t>his stable family life.</w:t>
      </w:r>
    </w:p>
  </w:footnote>
  <w:footnote w:id="38">
    <w:p w14:paraId="77A05119" w14:textId="4C0B40CC" w:rsidR="001426AD" w:rsidRPr="00542573" w:rsidRDefault="001426AD" w:rsidP="00562F60">
      <w:pPr>
        <w:pStyle w:val="Notedebasdepage"/>
        <w:rPr>
          <w:lang w:val="en-CA"/>
        </w:rPr>
      </w:pPr>
      <w:r w:rsidRPr="00542573">
        <w:rPr>
          <w:rStyle w:val="Appelnotedebasdep"/>
          <w:lang w:val="en-CA"/>
        </w:rPr>
        <w:footnoteRef/>
      </w:r>
      <w:r w:rsidRPr="00542573">
        <w:rPr>
          <w:lang w:val="en-CA"/>
        </w:rPr>
        <w:t xml:space="preserve"> </w:t>
      </w:r>
      <w:r w:rsidRPr="00542573">
        <w:rPr>
          <w:lang w:val="en-CA"/>
        </w:rPr>
        <w:tab/>
      </w:r>
      <w:r w:rsidRPr="006C0449">
        <w:rPr>
          <w:i/>
          <w:lang w:val="en-CA"/>
        </w:rPr>
        <w:t>R. v. Friesen</w:t>
      </w:r>
      <w:r w:rsidRPr="006C0449">
        <w:rPr>
          <w:lang w:val="en-CA"/>
        </w:rPr>
        <w:t xml:space="preserve">, </w:t>
      </w:r>
      <w:r w:rsidRPr="006C0449">
        <w:rPr>
          <w:i/>
          <w:lang w:val="en-CA"/>
        </w:rPr>
        <w:t xml:space="preserve">supra </w:t>
      </w:r>
      <w:r w:rsidRPr="006C0449">
        <w:rPr>
          <w:lang w:val="en-CA"/>
        </w:rPr>
        <w:t>note 18 at paras.</w:t>
      </w:r>
      <w:r w:rsidRPr="00542573">
        <w:rPr>
          <w:lang w:val="en-CA"/>
        </w:rPr>
        <w:t xml:space="preserve"> 86, 88, 90 and 90.</w:t>
      </w:r>
    </w:p>
  </w:footnote>
  <w:footnote w:id="39">
    <w:p w14:paraId="5C5420BE" w14:textId="03813315" w:rsidR="001426AD" w:rsidRPr="00542573" w:rsidRDefault="001426AD" w:rsidP="00562F60">
      <w:pPr>
        <w:pStyle w:val="Notedebasdepage"/>
        <w:rPr>
          <w:lang w:val="en-CA"/>
        </w:rPr>
      </w:pPr>
      <w:r w:rsidRPr="00542573">
        <w:rPr>
          <w:rStyle w:val="Appelnotedebasdep"/>
          <w:lang w:val="en-CA"/>
        </w:rPr>
        <w:footnoteRef/>
      </w:r>
      <w:r w:rsidRPr="00542573">
        <w:rPr>
          <w:lang w:val="en-CA"/>
        </w:rPr>
        <w:t xml:space="preserve"> </w:t>
      </w:r>
      <w:r w:rsidRPr="00542573">
        <w:rPr>
          <w:lang w:val="en-CA"/>
        </w:rPr>
        <w:tab/>
      </w:r>
      <w:r w:rsidRPr="006C0449">
        <w:rPr>
          <w:i/>
          <w:lang w:val="en-CA"/>
        </w:rPr>
        <w:t>R. c. Rayo</w:t>
      </w:r>
      <w:r w:rsidRPr="006C0449">
        <w:rPr>
          <w:lang w:val="en-CA"/>
        </w:rPr>
        <w:t xml:space="preserve">, </w:t>
      </w:r>
      <w:r w:rsidRPr="006C0449">
        <w:rPr>
          <w:i/>
          <w:lang w:val="en-CA"/>
        </w:rPr>
        <w:t>supra</w:t>
      </w:r>
      <w:r w:rsidRPr="006C0449">
        <w:rPr>
          <w:lang w:val="en-CA"/>
        </w:rPr>
        <w:t xml:space="preserve"> note 13 at para 50, citing </w:t>
      </w:r>
      <w:r w:rsidRPr="006C0449">
        <w:rPr>
          <w:i/>
          <w:lang w:val="en-CA"/>
        </w:rPr>
        <w:t>R. v. Delchev</w:t>
      </w:r>
      <w:r w:rsidRPr="006C0449">
        <w:rPr>
          <w:lang w:val="en-CA"/>
        </w:rPr>
        <w:t>, 2014 ONCA 448 at para.</w:t>
      </w:r>
      <w:r w:rsidRPr="00542573">
        <w:rPr>
          <w:lang w:val="en-CA"/>
        </w:rPr>
        <w:t xml:space="preserve"> 34.</w:t>
      </w:r>
    </w:p>
  </w:footnote>
  <w:footnote w:id="40">
    <w:p w14:paraId="2279122F" w14:textId="6BACEBE9" w:rsidR="001426AD" w:rsidRPr="00542573" w:rsidRDefault="001426AD" w:rsidP="00562F60">
      <w:pPr>
        <w:pStyle w:val="Notedebasdepage"/>
        <w:rPr>
          <w:lang w:val="en-CA"/>
        </w:rPr>
      </w:pPr>
      <w:r w:rsidRPr="00542573">
        <w:rPr>
          <w:rStyle w:val="Appelnotedebasdep"/>
          <w:lang w:val="en-CA"/>
        </w:rPr>
        <w:footnoteRef/>
      </w:r>
      <w:r w:rsidRPr="00542573">
        <w:rPr>
          <w:lang w:val="en-CA"/>
        </w:rPr>
        <w:t xml:space="preserve"> </w:t>
      </w:r>
      <w:r w:rsidRPr="00542573">
        <w:rPr>
          <w:lang w:val="en-CA"/>
        </w:rPr>
        <w:tab/>
      </w:r>
      <w:r w:rsidRPr="006C0449">
        <w:rPr>
          <w:i/>
          <w:lang w:val="en-CA"/>
        </w:rPr>
        <w:t>Ibid</w:t>
      </w:r>
      <w:r w:rsidRPr="006C0449">
        <w:rPr>
          <w:lang w:val="en-CA"/>
        </w:rPr>
        <w:t>. at paras.</w:t>
      </w:r>
      <w:r w:rsidRPr="00542573">
        <w:rPr>
          <w:lang w:val="en-CA"/>
        </w:rPr>
        <w:t xml:space="preserve"> </w:t>
      </w:r>
      <w:r>
        <w:rPr>
          <w:lang w:val="en-CA"/>
        </w:rPr>
        <w:t>137–</w:t>
      </w:r>
      <w:r w:rsidRPr="006C0449">
        <w:rPr>
          <w:lang w:val="en-CA"/>
        </w:rPr>
        <w:t>139 and 141.</w:t>
      </w:r>
      <w:r w:rsidRPr="00542573">
        <w:rPr>
          <w:lang w:val="en-CA"/>
        </w:rPr>
        <w:t xml:space="preserve"> </w:t>
      </w:r>
    </w:p>
  </w:footnote>
  <w:footnote w:id="41">
    <w:p w14:paraId="19BB63E7" w14:textId="6A16B651" w:rsidR="001426AD" w:rsidRPr="00542573" w:rsidRDefault="001426AD" w:rsidP="00562F60">
      <w:pPr>
        <w:pStyle w:val="Notedebasdepage"/>
        <w:rPr>
          <w:lang w:val="en-CA"/>
        </w:rPr>
      </w:pPr>
      <w:r w:rsidRPr="00542573">
        <w:rPr>
          <w:rStyle w:val="Appelnotedebasdep"/>
          <w:lang w:val="en-CA"/>
        </w:rPr>
        <w:footnoteRef/>
      </w:r>
      <w:r w:rsidRPr="00542573">
        <w:rPr>
          <w:lang w:val="en-CA"/>
        </w:rPr>
        <w:t xml:space="preserve"> </w:t>
      </w:r>
      <w:r w:rsidRPr="00542573">
        <w:rPr>
          <w:lang w:val="en-CA"/>
        </w:rPr>
        <w:tab/>
      </w:r>
      <w:r w:rsidRPr="006C0449">
        <w:rPr>
          <w:lang w:val="en-CA"/>
        </w:rPr>
        <w:t>Judgment under appeal at paras.</w:t>
      </w:r>
      <w:r w:rsidRPr="00542573">
        <w:rPr>
          <w:lang w:val="en-CA"/>
        </w:rPr>
        <w:t xml:space="preserve"> 78</w:t>
      </w:r>
      <w:r>
        <w:rPr>
          <w:lang w:val="en-CA"/>
        </w:rPr>
        <w:t>–</w:t>
      </w:r>
      <w:r w:rsidRPr="00542573">
        <w:rPr>
          <w:lang w:val="en-CA"/>
        </w:rPr>
        <w:t>79.</w:t>
      </w:r>
    </w:p>
  </w:footnote>
  <w:footnote w:id="42">
    <w:p w14:paraId="44F44BB1" w14:textId="357DAD7D" w:rsidR="001426AD" w:rsidRPr="00542573" w:rsidRDefault="001426AD" w:rsidP="00562F60">
      <w:pPr>
        <w:pStyle w:val="Notedebasdepage"/>
        <w:rPr>
          <w:lang w:val="en-CA"/>
        </w:rPr>
      </w:pPr>
      <w:r w:rsidRPr="00542573">
        <w:rPr>
          <w:rStyle w:val="Appelnotedebasdep"/>
          <w:lang w:val="en-CA"/>
        </w:rPr>
        <w:footnoteRef/>
      </w:r>
      <w:r w:rsidRPr="00542573">
        <w:rPr>
          <w:lang w:val="en-CA"/>
        </w:rPr>
        <w:t xml:space="preserve"> </w:t>
      </w:r>
      <w:r w:rsidRPr="00542573">
        <w:rPr>
          <w:lang w:val="en-CA"/>
        </w:rPr>
        <w:tab/>
      </w:r>
      <w:r w:rsidRPr="006C0449">
        <w:rPr>
          <w:lang w:val="en-CA"/>
        </w:rPr>
        <w:t xml:space="preserve">By analogy, see </w:t>
      </w:r>
      <w:r w:rsidRPr="006C0449">
        <w:rPr>
          <w:i/>
          <w:lang w:val="en-CA"/>
        </w:rPr>
        <w:t>Tremblay c. R</w:t>
      </w:r>
      <w:r w:rsidRPr="006C0449">
        <w:rPr>
          <w:lang w:val="en-CA"/>
        </w:rPr>
        <w:t>., 2014 QCCA 690 at para.</w:t>
      </w:r>
      <w:r w:rsidRPr="00542573">
        <w:rPr>
          <w:lang w:val="en-CA"/>
        </w:rPr>
        <w:t xml:space="preserve"> 349.</w:t>
      </w:r>
    </w:p>
  </w:footnote>
  <w:footnote w:id="43">
    <w:p w14:paraId="6B0896AC" w14:textId="0F058328" w:rsidR="001426AD" w:rsidRPr="00BF5DBC" w:rsidRDefault="001426AD" w:rsidP="00562F60">
      <w:pPr>
        <w:pStyle w:val="Notedebasdepage"/>
      </w:pPr>
      <w:r w:rsidRPr="00542573">
        <w:rPr>
          <w:rStyle w:val="Appelnotedebasdep"/>
          <w:lang w:val="en-CA"/>
        </w:rPr>
        <w:footnoteRef/>
      </w:r>
      <w:r w:rsidRPr="00542573">
        <w:rPr>
          <w:lang w:val="en-CA"/>
        </w:rPr>
        <w:t xml:space="preserve"> </w:t>
      </w:r>
      <w:r w:rsidRPr="00542573">
        <w:rPr>
          <w:lang w:val="en-CA"/>
        </w:rPr>
        <w:tab/>
      </w:r>
      <w:r w:rsidRPr="006C0449">
        <w:rPr>
          <w:lang w:val="en-CA"/>
        </w:rPr>
        <w:t>Judgment under appeal at para.</w:t>
      </w:r>
      <w:r w:rsidRPr="00542573">
        <w:rPr>
          <w:lang w:val="en-CA"/>
        </w:rPr>
        <w:t xml:space="preserve"> </w:t>
      </w:r>
      <w:r w:rsidRPr="00BF5DBC">
        <w:t>60.</w:t>
      </w:r>
    </w:p>
  </w:footnote>
  <w:footnote w:id="44">
    <w:p w14:paraId="383A3D84" w14:textId="77777777" w:rsidR="001426AD" w:rsidRPr="00542573" w:rsidRDefault="001426AD" w:rsidP="00A839F1">
      <w:pPr>
        <w:pStyle w:val="Notedebasdepage"/>
        <w:rPr>
          <w:lang w:val="en-CA"/>
        </w:rPr>
      </w:pPr>
      <w:r w:rsidRPr="00542573">
        <w:rPr>
          <w:rStyle w:val="Appelnotedebasdep"/>
          <w:lang w:val="en-CA"/>
        </w:rPr>
        <w:footnoteRef/>
      </w:r>
      <w:r w:rsidRPr="00BF5DBC">
        <w:t xml:space="preserve"> </w:t>
      </w:r>
      <w:r w:rsidRPr="00BF5DBC">
        <w:tab/>
      </w:r>
      <w:r w:rsidRPr="00BF5DBC">
        <w:rPr>
          <w:i/>
        </w:rPr>
        <w:t>R. c. Rayo</w:t>
      </w:r>
      <w:r w:rsidRPr="00BF5DBC">
        <w:t xml:space="preserve">, </w:t>
      </w:r>
      <w:r w:rsidRPr="00BF5DBC">
        <w:rPr>
          <w:i/>
        </w:rPr>
        <w:t xml:space="preserve">supra </w:t>
      </w:r>
      <w:r w:rsidRPr="00BF5DBC">
        <w:t xml:space="preserve">note 13 at para 52; </w:t>
      </w:r>
      <w:r w:rsidRPr="00BF5DBC">
        <w:rPr>
          <w:i/>
        </w:rPr>
        <w:t>Daquin c. R</w:t>
      </w:r>
      <w:r w:rsidRPr="00BF5DBC">
        <w:t xml:space="preserve">., 2017 QCCA 1538, para. 20; </w:t>
      </w:r>
      <w:r w:rsidRPr="00BF5DBC">
        <w:rPr>
          <w:i/>
        </w:rPr>
        <w:t>R. c. Guerrero Silva</w:t>
      </w:r>
      <w:r w:rsidRPr="00BF5DBC">
        <w:t>, 2015 QCCA 1334, para. </w:t>
      </w:r>
      <w:r w:rsidRPr="006C0449">
        <w:rPr>
          <w:lang w:val="en-CA"/>
        </w:rPr>
        <w:t xml:space="preserve">55; </w:t>
      </w:r>
      <w:r w:rsidRPr="006C0449">
        <w:rPr>
          <w:i/>
          <w:lang w:val="en-CA"/>
        </w:rPr>
        <w:t>Desjardins c. R.</w:t>
      </w:r>
      <w:r w:rsidRPr="006C0449">
        <w:rPr>
          <w:lang w:val="en-CA"/>
        </w:rPr>
        <w:t>, 2015 QCCA 1774 at paras.</w:t>
      </w:r>
      <w:r w:rsidRPr="00542573">
        <w:rPr>
          <w:lang w:val="en-CA"/>
        </w:rPr>
        <w:t> </w:t>
      </w:r>
      <w:r w:rsidRPr="006C0449">
        <w:rPr>
          <w:lang w:val="en-CA"/>
        </w:rPr>
        <w:t xml:space="preserve">30 and 34; </w:t>
      </w:r>
      <w:r w:rsidRPr="006C0449">
        <w:rPr>
          <w:i/>
          <w:lang w:val="en-CA"/>
        </w:rPr>
        <w:t>J.V. c. R.</w:t>
      </w:r>
      <w:r w:rsidRPr="006C0449">
        <w:rPr>
          <w:lang w:val="en-CA"/>
        </w:rPr>
        <w:t>, 2014 QCCA 1828 at paras.</w:t>
      </w:r>
      <w:r w:rsidRPr="00542573">
        <w:rPr>
          <w:lang w:val="en-CA"/>
        </w:rPr>
        <w:t> 28</w:t>
      </w:r>
      <w:r>
        <w:rPr>
          <w:lang w:val="en-CA"/>
        </w:rPr>
        <w:t>–</w:t>
      </w:r>
      <w:r w:rsidRPr="00542573">
        <w:rPr>
          <w:lang w:val="en-CA"/>
        </w:rPr>
        <w:t xml:space="preserve">29. This also appears consistent with the judgment of this Court in </w:t>
      </w:r>
      <w:r w:rsidRPr="00542573">
        <w:rPr>
          <w:i/>
          <w:lang w:val="en-CA"/>
        </w:rPr>
        <w:t>Vera Camacho c. R</w:t>
      </w:r>
      <w:r w:rsidRPr="00542573">
        <w:rPr>
          <w:lang w:val="en-CA"/>
        </w:rPr>
        <w:t>., 2021 QCCA 683.</w:t>
      </w:r>
    </w:p>
  </w:footnote>
  <w:footnote w:id="45">
    <w:p w14:paraId="7FDE5691" w14:textId="30428845" w:rsidR="001426AD" w:rsidRPr="00542573" w:rsidRDefault="001426AD" w:rsidP="00562F60">
      <w:pPr>
        <w:pStyle w:val="Notedebasdepage"/>
        <w:rPr>
          <w:lang w:val="en-CA"/>
        </w:rPr>
      </w:pPr>
      <w:r w:rsidRPr="00542573">
        <w:rPr>
          <w:rStyle w:val="Appelnotedebasdep"/>
          <w:lang w:val="en-CA"/>
        </w:rPr>
        <w:footnoteRef/>
      </w:r>
      <w:r w:rsidRPr="00542573">
        <w:rPr>
          <w:lang w:val="en-CA"/>
        </w:rPr>
        <w:t xml:space="preserve"> </w:t>
      </w:r>
      <w:r w:rsidRPr="00542573">
        <w:rPr>
          <w:lang w:val="en-CA"/>
        </w:rPr>
        <w:tab/>
      </w:r>
      <w:r w:rsidRPr="006C0449">
        <w:rPr>
          <w:i/>
          <w:lang w:val="en-CA"/>
        </w:rPr>
        <w:t>R. v. Veysey</w:t>
      </w:r>
      <w:r w:rsidRPr="006C0449">
        <w:rPr>
          <w:lang w:val="en-CA"/>
        </w:rPr>
        <w:t>, 2006 NBCA 55.</w:t>
      </w:r>
    </w:p>
  </w:footnote>
  <w:footnote w:id="46">
    <w:p w14:paraId="0FABF044" w14:textId="77777777" w:rsidR="001426AD" w:rsidRPr="00542573" w:rsidRDefault="001426AD" w:rsidP="00562F60">
      <w:pPr>
        <w:pStyle w:val="Notedebasdepage"/>
        <w:rPr>
          <w:lang w:val="en-CA"/>
        </w:rPr>
      </w:pPr>
      <w:r w:rsidRPr="00542573">
        <w:rPr>
          <w:rStyle w:val="Appelnotedebasdep"/>
          <w:lang w:val="en-CA"/>
        </w:rPr>
        <w:footnoteRef/>
      </w:r>
      <w:r w:rsidRPr="00542573">
        <w:rPr>
          <w:lang w:val="en-CA"/>
        </w:rPr>
        <w:t xml:space="preserve"> </w:t>
      </w:r>
      <w:r w:rsidRPr="00542573">
        <w:rPr>
          <w:lang w:val="en-CA"/>
        </w:rPr>
        <w:tab/>
      </w:r>
      <w:r w:rsidRPr="00542573">
        <w:rPr>
          <w:i/>
          <w:lang w:val="en-CA"/>
        </w:rPr>
        <w:t xml:space="preserve">R. </w:t>
      </w:r>
      <w:r w:rsidRPr="006C0449">
        <w:rPr>
          <w:i/>
          <w:lang w:val="en-CA"/>
        </w:rPr>
        <w:t>c</w:t>
      </w:r>
      <w:r w:rsidRPr="00542573">
        <w:rPr>
          <w:i/>
          <w:lang w:val="en-CA"/>
        </w:rPr>
        <w:t>. Bergeron</w:t>
      </w:r>
      <w:r w:rsidRPr="00542573">
        <w:rPr>
          <w:lang w:val="en-CA"/>
        </w:rPr>
        <w:t xml:space="preserve">, 2016 QCCA 339; </w:t>
      </w:r>
      <w:r w:rsidRPr="00542573">
        <w:rPr>
          <w:i/>
          <w:lang w:val="en-CA"/>
        </w:rPr>
        <w:t xml:space="preserve">R. </w:t>
      </w:r>
      <w:r w:rsidRPr="006C0449">
        <w:rPr>
          <w:i/>
          <w:lang w:val="en-CA"/>
        </w:rPr>
        <w:t>c</w:t>
      </w:r>
      <w:r w:rsidRPr="00542573">
        <w:rPr>
          <w:i/>
          <w:lang w:val="en-CA"/>
        </w:rPr>
        <w:t>. Colangelo</w:t>
      </w:r>
      <w:r w:rsidRPr="00542573">
        <w:rPr>
          <w:lang w:val="en-CA"/>
        </w:rPr>
        <w:t xml:space="preserve">, 2017 QCCA 195; </w:t>
      </w:r>
      <w:r w:rsidRPr="00542573">
        <w:rPr>
          <w:i/>
          <w:lang w:val="en-CA"/>
        </w:rPr>
        <w:t xml:space="preserve">R. </w:t>
      </w:r>
      <w:r w:rsidRPr="006C0449">
        <w:rPr>
          <w:i/>
          <w:lang w:val="en-CA"/>
        </w:rPr>
        <w:t>c</w:t>
      </w:r>
      <w:r w:rsidRPr="00542573">
        <w:rPr>
          <w:i/>
          <w:lang w:val="en-CA"/>
        </w:rPr>
        <w:t>. Foster</w:t>
      </w:r>
      <w:r w:rsidRPr="00542573">
        <w:rPr>
          <w:lang w:val="en-CA"/>
        </w:rPr>
        <w:t xml:space="preserve">, 2020 QCCA 1172; </w:t>
      </w:r>
      <w:r w:rsidRPr="00542573">
        <w:rPr>
          <w:i/>
          <w:lang w:val="en-CA"/>
        </w:rPr>
        <w:t xml:space="preserve">K. F. </w:t>
      </w:r>
      <w:r w:rsidRPr="006C0449">
        <w:rPr>
          <w:i/>
          <w:lang w:val="en-CA"/>
        </w:rPr>
        <w:t>c</w:t>
      </w:r>
      <w:r w:rsidRPr="00542573">
        <w:rPr>
          <w:i/>
          <w:lang w:val="en-CA"/>
        </w:rPr>
        <w:t>. R</w:t>
      </w:r>
      <w:r w:rsidRPr="00542573">
        <w:rPr>
          <w:lang w:val="en-CA"/>
        </w:rPr>
        <w:t xml:space="preserve">., 2021 QCCA 67; </w:t>
      </w:r>
      <w:r w:rsidRPr="00542573">
        <w:rPr>
          <w:i/>
          <w:lang w:val="en-CA"/>
        </w:rPr>
        <w:t xml:space="preserve">R. </w:t>
      </w:r>
      <w:r w:rsidRPr="006C0449">
        <w:rPr>
          <w:i/>
          <w:lang w:val="en-CA"/>
        </w:rPr>
        <w:t>c</w:t>
      </w:r>
      <w:r w:rsidRPr="00542573">
        <w:rPr>
          <w:i/>
          <w:lang w:val="en-CA"/>
        </w:rPr>
        <w:t>. Davidson</w:t>
      </w:r>
      <w:r w:rsidRPr="00542573">
        <w:rPr>
          <w:lang w:val="en-CA"/>
        </w:rPr>
        <w:t>, 2021 QCCA 545.</w:t>
      </w:r>
    </w:p>
  </w:footnote>
  <w:footnote w:id="47">
    <w:p w14:paraId="522D1048" w14:textId="4A994B7E" w:rsidR="001426AD" w:rsidRPr="00542573" w:rsidRDefault="001426AD" w:rsidP="00562F60">
      <w:pPr>
        <w:pStyle w:val="Notedebasdepage"/>
        <w:rPr>
          <w:lang w:val="en-CA"/>
        </w:rPr>
      </w:pPr>
      <w:r w:rsidRPr="00542573">
        <w:rPr>
          <w:rStyle w:val="Appelnotedebasdep"/>
          <w:lang w:val="en-CA"/>
        </w:rPr>
        <w:footnoteRef/>
      </w:r>
      <w:r w:rsidRPr="00542573">
        <w:rPr>
          <w:lang w:val="en-CA"/>
        </w:rPr>
        <w:t xml:space="preserve"> </w:t>
      </w:r>
      <w:r w:rsidRPr="00542573">
        <w:rPr>
          <w:lang w:val="en-CA"/>
        </w:rPr>
        <w:tab/>
      </w:r>
      <w:r>
        <w:rPr>
          <w:i/>
          <w:lang w:val="en-CA"/>
        </w:rPr>
        <w:t>R. v</w:t>
      </w:r>
      <w:r w:rsidRPr="006C0449">
        <w:rPr>
          <w:i/>
          <w:lang w:val="en-CA"/>
        </w:rPr>
        <w:t>. Boudreault</w:t>
      </w:r>
      <w:r w:rsidRPr="006C0449">
        <w:rPr>
          <w:lang w:val="en-CA"/>
        </w:rPr>
        <w:t>, 2018 SCC 58, [2018] 3 S.C.R.</w:t>
      </w:r>
      <w:r w:rsidRPr="00542573">
        <w:rPr>
          <w:lang w:val="en-CA"/>
        </w:rPr>
        <w:t xml:space="preserve"> </w:t>
      </w:r>
      <w:r w:rsidRPr="006C0449">
        <w:rPr>
          <w:lang w:val="en-CA"/>
        </w:rPr>
        <w:t xml:space="preserve">599 </w:t>
      </w:r>
      <w:r w:rsidRPr="00542573">
        <w:rPr>
          <w:lang w:val="en-CA"/>
        </w:rPr>
        <w:t xml:space="preserve">at para. 45; </w:t>
      </w:r>
      <w:r w:rsidRPr="006C0449">
        <w:rPr>
          <w:lang w:val="en-CA"/>
        </w:rPr>
        <w:t xml:space="preserve">these principles were reiterated by the Supreme Court in </w:t>
      </w:r>
      <w:r w:rsidRPr="006C0449">
        <w:rPr>
          <w:i/>
          <w:lang w:val="en-CA"/>
        </w:rPr>
        <w:t>Quebec (Attorney General) v. 9147-0732 Québec inc</w:t>
      </w:r>
      <w:r w:rsidRPr="006C0449">
        <w:rPr>
          <w:lang w:val="en-CA"/>
        </w:rPr>
        <w:t>., 2020 SCC 32.</w:t>
      </w:r>
    </w:p>
  </w:footnote>
  <w:footnote w:id="48">
    <w:p w14:paraId="25D6811C" w14:textId="6560F8F1" w:rsidR="001426AD" w:rsidRPr="00542573" w:rsidRDefault="001426AD" w:rsidP="00562F60">
      <w:pPr>
        <w:pStyle w:val="Notedebasdepage"/>
        <w:rPr>
          <w:lang w:val="en-CA"/>
        </w:rPr>
      </w:pPr>
      <w:r w:rsidRPr="00542573">
        <w:rPr>
          <w:rStyle w:val="Appelnotedebasdep"/>
          <w:lang w:val="en-CA"/>
        </w:rPr>
        <w:footnoteRef/>
      </w:r>
      <w:r w:rsidRPr="00542573">
        <w:rPr>
          <w:lang w:val="en-CA"/>
        </w:rPr>
        <w:t xml:space="preserve"> </w:t>
      </w:r>
      <w:r w:rsidRPr="00542573">
        <w:rPr>
          <w:lang w:val="en-CA"/>
        </w:rPr>
        <w:tab/>
      </w:r>
      <w:r w:rsidRPr="006C0449">
        <w:rPr>
          <w:i/>
          <w:lang w:val="en-CA"/>
        </w:rPr>
        <w:t>R. v. Nur</w:t>
      </w:r>
      <w:r w:rsidRPr="006C0449">
        <w:rPr>
          <w:lang w:val="en-CA"/>
        </w:rPr>
        <w:t>, 2015 SCC 15, [2015] 1 S.C.R.</w:t>
      </w:r>
      <w:r w:rsidRPr="00542573">
        <w:rPr>
          <w:lang w:val="en-CA"/>
        </w:rPr>
        <w:t xml:space="preserve"> </w:t>
      </w:r>
      <w:r w:rsidRPr="006C0449">
        <w:rPr>
          <w:lang w:val="en-CA"/>
        </w:rPr>
        <w:t>773 at para.</w:t>
      </w:r>
      <w:r w:rsidRPr="00542573">
        <w:rPr>
          <w:lang w:val="en-CA"/>
        </w:rPr>
        <w:t xml:space="preserve"> 77.</w:t>
      </w:r>
    </w:p>
  </w:footnote>
  <w:footnote w:id="49">
    <w:p w14:paraId="3123D8AE" w14:textId="1D9AFF74" w:rsidR="001426AD" w:rsidRPr="00542573" w:rsidRDefault="001426AD" w:rsidP="00562F60">
      <w:pPr>
        <w:pStyle w:val="Notedebasdepage"/>
        <w:rPr>
          <w:lang w:val="en-CA"/>
        </w:rPr>
      </w:pPr>
      <w:r w:rsidRPr="00542573">
        <w:rPr>
          <w:rStyle w:val="Appelnotedebasdep"/>
          <w:lang w:val="en-CA"/>
        </w:rPr>
        <w:footnoteRef/>
      </w:r>
      <w:r w:rsidRPr="00542573">
        <w:rPr>
          <w:lang w:val="en-CA"/>
        </w:rPr>
        <w:t xml:space="preserve"> </w:t>
      </w:r>
      <w:r w:rsidRPr="00542573">
        <w:rPr>
          <w:lang w:val="en-CA"/>
        </w:rPr>
        <w:tab/>
      </w:r>
      <w:r w:rsidRPr="006C0449">
        <w:rPr>
          <w:i/>
          <w:lang w:val="en-CA"/>
        </w:rPr>
        <w:t>Caron Barrette c. R</w:t>
      </w:r>
      <w:r w:rsidRPr="006C0449">
        <w:rPr>
          <w:lang w:val="en-CA"/>
        </w:rPr>
        <w:t xml:space="preserve">., </w:t>
      </w:r>
      <w:r w:rsidRPr="006C0449">
        <w:rPr>
          <w:i/>
          <w:lang w:val="en-CA"/>
        </w:rPr>
        <w:t>supra</w:t>
      </w:r>
      <w:r w:rsidRPr="006C0449">
        <w:rPr>
          <w:lang w:val="en-CA"/>
        </w:rPr>
        <w:t xml:space="preserve"> note 20 at paras.</w:t>
      </w:r>
      <w:r w:rsidRPr="00542573">
        <w:rPr>
          <w:lang w:val="en-CA"/>
        </w:rPr>
        <w:t xml:space="preserve"> 73</w:t>
      </w:r>
      <w:r>
        <w:rPr>
          <w:lang w:val="en-CA"/>
        </w:rPr>
        <w:t>–</w:t>
      </w:r>
      <w:r w:rsidRPr="00542573">
        <w:rPr>
          <w:lang w:val="en-CA"/>
        </w:rPr>
        <w:t>75.</w:t>
      </w:r>
    </w:p>
  </w:footnote>
  <w:footnote w:id="50">
    <w:p w14:paraId="473C45F4" w14:textId="2808D18B" w:rsidR="001426AD" w:rsidRPr="00542573" w:rsidRDefault="001426AD" w:rsidP="00562F60">
      <w:pPr>
        <w:pStyle w:val="Notedebasdepage"/>
        <w:rPr>
          <w:lang w:val="en-CA"/>
        </w:rPr>
      </w:pPr>
      <w:r w:rsidRPr="00542573">
        <w:rPr>
          <w:rStyle w:val="Appelnotedebasdep"/>
          <w:lang w:val="en-CA"/>
        </w:rPr>
        <w:footnoteRef/>
      </w:r>
      <w:r w:rsidRPr="00542573">
        <w:rPr>
          <w:lang w:val="en-CA"/>
        </w:rPr>
        <w:t xml:space="preserve"> </w:t>
      </w:r>
      <w:r w:rsidRPr="00542573">
        <w:rPr>
          <w:lang w:val="en-CA"/>
        </w:rPr>
        <w:tab/>
      </w:r>
      <w:r w:rsidRPr="006C0449">
        <w:rPr>
          <w:i/>
          <w:lang w:val="en-CA"/>
        </w:rPr>
        <w:t>R. v. Lloyd</w:t>
      </w:r>
      <w:r w:rsidRPr="006C0449">
        <w:rPr>
          <w:lang w:val="en-CA"/>
        </w:rPr>
        <w:t>, 2016 SCC 13, [2016] 1 S.C.R.</w:t>
      </w:r>
      <w:r w:rsidRPr="00542573">
        <w:rPr>
          <w:lang w:val="en-CA"/>
        </w:rPr>
        <w:t xml:space="preserve"> </w:t>
      </w:r>
      <w:r w:rsidRPr="006C0449">
        <w:rPr>
          <w:lang w:val="en-CA"/>
        </w:rPr>
        <w:t>130 at para.</w:t>
      </w:r>
      <w:r w:rsidRPr="00542573">
        <w:rPr>
          <w:lang w:val="en-CA"/>
        </w:rPr>
        <w:t xml:space="preserve"> 18.</w:t>
      </w:r>
    </w:p>
  </w:footnote>
  <w:footnote w:id="51">
    <w:p w14:paraId="5710FC38" w14:textId="4EB97821" w:rsidR="001426AD" w:rsidRPr="00542573" w:rsidRDefault="001426AD" w:rsidP="00200585">
      <w:pPr>
        <w:pStyle w:val="Notedebasdepage"/>
        <w:rPr>
          <w:lang w:val="en-CA"/>
        </w:rPr>
      </w:pPr>
      <w:r w:rsidRPr="00542573">
        <w:rPr>
          <w:rStyle w:val="Appelnotedebasdep"/>
          <w:lang w:val="en-CA"/>
        </w:rPr>
        <w:footnoteRef/>
      </w:r>
      <w:r w:rsidRPr="00542573">
        <w:rPr>
          <w:lang w:val="en-CA"/>
        </w:rPr>
        <w:t xml:space="preserve"> </w:t>
      </w:r>
      <w:r w:rsidRPr="00542573">
        <w:rPr>
          <w:lang w:val="en-CA"/>
        </w:rPr>
        <w:tab/>
      </w:r>
      <w:r w:rsidRPr="006C0449">
        <w:rPr>
          <w:i/>
          <w:lang w:val="en-CA"/>
        </w:rPr>
        <w:t>R. v. Morrison</w:t>
      </w:r>
      <w:r w:rsidRPr="006C0449">
        <w:rPr>
          <w:lang w:val="en-CA"/>
        </w:rPr>
        <w:t xml:space="preserve">, </w:t>
      </w:r>
      <w:r w:rsidRPr="006C0449">
        <w:rPr>
          <w:i/>
          <w:lang w:val="en-CA"/>
        </w:rPr>
        <w:t>supra</w:t>
      </w:r>
      <w:r w:rsidRPr="006C0449">
        <w:rPr>
          <w:lang w:val="en-CA"/>
        </w:rPr>
        <w:t xml:space="preserve"> note 35.</w:t>
      </w:r>
    </w:p>
  </w:footnote>
  <w:footnote w:id="52">
    <w:p w14:paraId="3FD721B3" w14:textId="77777777" w:rsidR="001426AD" w:rsidRPr="00542573" w:rsidRDefault="001426AD" w:rsidP="00200585">
      <w:pPr>
        <w:pStyle w:val="Notedebasdepage"/>
        <w:rPr>
          <w:lang w:val="en-CA"/>
        </w:rPr>
      </w:pPr>
      <w:r w:rsidRPr="00542573">
        <w:rPr>
          <w:rStyle w:val="Appelnotedebasdep"/>
          <w:lang w:val="en-CA"/>
        </w:rPr>
        <w:footnoteRef/>
      </w:r>
      <w:r w:rsidRPr="00542573">
        <w:rPr>
          <w:lang w:val="en-CA"/>
        </w:rPr>
        <w:t xml:space="preserve"> </w:t>
      </w:r>
      <w:r w:rsidRPr="00542573">
        <w:rPr>
          <w:lang w:val="en-CA"/>
        </w:rPr>
        <w:tab/>
      </w:r>
      <w:r w:rsidRPr="006C0449">
        <w:rPr>
          <w:i/>
          <w:lang w:val="en-CA"/>
        </w:rPr>
        <w:t>R. v. Hood</w:t>
      </w:r>
      <w:r w:rsidRPr="006C0449">
        <w:rPr>
          <w:lang w:val="en-CA"/>
        </w:rPr>
        <w:t>, 2018 NSCA 18.</w:t>
      </w:r>
    </w:p>
  </w:footnote>
  <w:footnote w:id="53">
    <w:p w14:paraId="764E58DA" w14:textId="23B57BBD" w:rsidR="001426AD" w:rsidRPr="00542573" w:rsidRDefault="001426AD" w:rsidP="00562F60">
      <w:pPr>
        <w:pStyle w:val="Notedebasdepage"/>
        <w:rPr>
          <w:lang w:val="en-CA"/>
        </w:rPr>
      </w:pPr>
      <w:r w:rsidRPr="00542573">
        <w:rPr>
          <w:rStyle w:val="Appelnotedebasdep"/>
          <w:lang w:val="en-CA"/>
        </w:rPr>
        <w:footnoteRef/>
      </w:r>
      <w:r w:rsidRPr="00542573">
        <w:rPr>
          <w:lang w:val="en-CA"/>
        </w:rPr>
        <w:t xml:space="preserve"> </w:t>
      </w:r>
      <w:r w:rsidRPr="00542573">
        <w:rPr>
          <w:lang w:val="en-CA"/>
        </w:rPr>
        <w:tab/>
      </w:r>
      <w:r w:rsidRPr="006C0449">
        <w:rPr>
          <w:i/>
          <w:lang w:val="en-CA"/>
        </w:rPr>
        <w:t>Ibrahim c. R.</w:t>
      </w:r>
      <w:r w:rsidRPr="006C0449">
        <w:rPr>
          <w:lang w:val="en-CA"/>
        </w:rPr>
        <w:t>, 2018 QCCA 1205.</w:t>
      </w:r>
      <w:r w:rsidRPr="00542573">
        <w:rPr>
          <w:lang w:val="en-CA"/>
        </w:rPr>
        <w:t xml:space="preserve"> </w:t>
      </w:r>
      <w:r>
        <w:rPr>
          <w:lang w:val="en-CA"/>
        </w:rPr>
        <w:t>See also</w:t>
      </w:r>
      <w:r w:rsidRPr="006C0449">
        <w:rPr>
          <w:lang w:val="en-CA"/>
        </w:rPr>
        <w:t xml:space="preserve"> </w:t>
      </w:r>
      <w:r w:rsidRPr="006C0449">
        <w:rPr>
          <w:i/>
          <w:lang w:val="en-CA"/>
        </w:rPr>
        <w:t>Y.P. c. R.</w:t>
      </w:r>
      <w:r w:rsidRPr="006C0449">
        <w:rPr>
          <w:lang w:val="en-CA"/>
        </w:rPr>
        <w:t>, 2019 QCCA 1506.</w:t>
      </w:r>
    </w:p>
  </w:footnote>
  <w:footnote w:id="54">
    <w:p w14:paraId="313AED8F" w14:textId="77777777" w:rsidR="001426AD" w:rsidRPr="00542573" w:rsidRDefault="001426AD" w:rsidP="00F33126">
      <w:pPr>
        <w:pStyle w:val="Notedebasdepage"/>
        <w:rPr>
          <w:lang w:val="en-CA"/>
        </w:rPr>
      </w:pPr>
      <w:r w:rsidRPr="00542573">
        <w:rPr>
          <w:rStyle w:val="Appelnotedebasdep"/>
          <w:lang w:val="en-CA"/>
        </w:rPr>
        <w:footnoteRef/>
      </w:r>
      <w:r w:rsidRPr="00542573">
        <w:rPr>
          <w:lang w:val="en-CA"/>
        </w:rPr>
        <w:t xml:space="preserve"> </w:t>
      </w:r>
      <w:r w:rsidRPr="00542573">
        <w:rPr>
          <w:lang w:val="en-CA"/>
        </w:rPr>
        <w:tab/>
        <w:t xml:space="preserve">Section </w:t>
      </w:r>
      <w:r w:rsidRPr="006C0449">
        <w:rPr>
          <w:lang w:val="en-CA"/>
        </w:rPr>
        <w:t>151(</w:t>
      </w:r>
      <w:r w:rsidRPr="006C0449">
        <w:rPr>
          <w:i/>
          <w:lang w:val="en-CA"/>
        </w:rPr>
        <w:t>a</w:t>
      </w:r>
      <w:r w:rsidRPr="006C0449">
        <w:rPr>
          <w:lang w:val="en-CA"/>
        </w:rPr>
        <w:t xml:space="preserve">) </w:t>
      </w:r>
      <w:r w:rsidRPr="006C0449">
        <w:rPr>
          <w:i/>
          <w:lang w:val="en-CA"/>
        </w:rPr>
        <w:t>Cr. C..</w:t>
      </w:r>
      <w:r w:rsidRPr="00542573">
        <w:rPr>
          <w:i/>
          <w:lang w:val="en-CA"/>
        </w:rPr>
        <w:t xml:space="preserve"> </w:t>
      </w:r>
    </w:p>
  </w:footnote>
  <w:footnote w:id="55">
    <w:p w14:paraId="25176BCD" w14:textId="642921C6" w:rsidR="001426AD" w:rsidRPr="00542573" w:rsidRDefault="001426AD" w:rsidP="00562F60">
      <w:pPr>
        <w:pStyle w:val="Notedebasdepage"/>
        <w:rPr>
          <w:i/>
          <w:lang w:val="en-CA"/>
        </w:rPr>
      </w:pPr>
      <w:r w:rsidRPr="00542573">
        <w:rPr>
          <w:rStyle w:val="Appelnotedebasdep"/>
          <w:lang w:val="en-CA"/>
        </w:rPr>
        <w:footnoteRef/>
      </w:r>
      <w:r w:rsidRPr="00542573">
        <w:rPr>
          <w:lang w:val="en-CA"/>
        </w:rPr>
        <w:t xml:space="preserve"> </w:t>
      </w:r>
      <w:r w:rsidRPr="00542573">
        <w:rPr>
          <w:lang w:val="en-CA"/>
        </w:rPr>
        <w:tab/>
      </w:r>
      <w:r w:rsidRPr="006C0449">
        <w:rPr>
          <w:lang w:val="en-CA"/>
        </w:rPr>
        <w:t>Section 172.1(1)(</w:t>
      </w:r>
      <w:r w:rsidRPr="006C0449">
        <w:rPr>
          <w:i/>
          <w:lang w:val="en-CA"/>
        </w:rPr>
        <w:t>b)</w:t>
      </w:r>
      <w:r w:rsidRPr="006C0449">
        <w:rPr>
          <w:lang w:val="en-CA"/>
        </w:rPr>
        <w:t xml:space="preserve"> </w:t>
      </w:r>
      <w:r w:rsidRPr="006C0449">
        <w:rPr>
          <w:i/>
          <w:lang w:val="en-CA"/>
        </w:rPr>
        <w:t>Cr. C.</w:t>
      </w:r>
    </w:p>
  </w:footnote>
  <w:footnote w:id="56">
    <w:p w14:paraId="0E8F5691" w14:textId="243B5D1A" w:rsidR="001426AD" w:rsidRPr="00542573" w:rsidRDefault="001426AD" w:rsidP="00562F60">
      <w:pPr>
        <w:pStyle w:val="Notedebasdepage"/>
        <w:rPr>
          <w:lang w:val="en-CA"/>
        </w:rPr>
      </w:pPr>
      <w:r w:rsidRPr="00542573">
        <w:rPr>
          <w:rStyle w:val="Appelnotedebasdep"/>
          <w:lang w:val="en-CA"/>
        </w:rPr>
        <w:footnoteRef/>
      </w:r>
      <w:r w:rsidRPr="00542573">
        <w:rPr>
          <w:lang w:val="en-CA"/>
        </w:rPr>
        <w:t xml:space="preserve"> </w:t>
      </w:r>
      <w:r w:rsidRPr="00542573">
        <w:rPr>
          <w:lang w:val="en-CA"/>
        </w:rPr>
        <w:tab/>
      </w:r>
      <w:r w:rsidRPr="006C0449">
        <w:rPr>
          <w:i/>
          <w:lang w:val="en-CA"/>
        </w:rPr>
        <w:t>R. c. Bertrand-Marchand</w:t>
      </w:r>
      <w:r w:rsidRPr="006C0449">
        <w:rPr>
          <w:lang w:val="en-CA"/>
        </w:rPr>
        <w:t>, 2020 QCCQ 1135 [judgment under appeal].</w:t>
      </w:r>
    </w:p>
  </w:footnote>
  <w:footnote w:id="57">
    <w:p w14:paraId="2BF8A9E8" w14:textId="5F299141" w:rsidR="001426AD" w:rsidRPr="00542573" w:rsidRDefault="001426AD" w:rsidP="00562F60">
      <w:pPr>
        <w:pStyle w:val="Notedebasdepage"/>
        <w:rPr>
          <w:lang w:val="en-CA"/>
        </w:rPr>
      </w:pPr>
      <w:r w:rsidRPr="00542573">
        <w:rPr>
          <w:rStyle w:val="Appelnotedebasdep"/>
          <w:lang w:val="en-CA"/>
        </w:rPr>
        <w:footnoteRef/>
      </w:r>
      <w:r w:rsidRPr="00542573">
        <w:rPr>
          <w:lang w:val="en-CA"/>
        </w:rPr>
        <w:t xml:space="preserve"> </w:t>
      </w:r>
      <w:r w:rsidRPr="00542573">
        <w:rPr>
          <w:lang w:val="en-CA"/>
        </w:rPr>
        <w:tab/>
      </w:r>
      <w:r w:rsidRPr="006C0449">
        <w:rPr>
          <w:i/>
          <w:lang w:val="en-CA"/>
        </w:rPr>
        <w:t>R. v. Lloyd</w:t>
      </w:r>
      <w:r w:rsidRPr="006C0449">
        <w:rPr>
          <w:lang w:val="en-CA"/>
        </w:rPr>
        <w:t>, 2016 SCC 13 at para.</w:t>
      </w:r>
      <w:r w:rsidRPr="00542573">
        <w:rPr>
          <w:lang w:val="en-CA"/>
        </w:rPr>
        <w:t xml:space="preserve"> </w:t>
      </w:r>
      <w:r w:rsidRPr="006C0449">
        <w:rPr>
          <w:lang w:val="en-CA"/>
        </w:rPr>
        <w:t xml:space="preserve">23; </w:t>
      </w:r>
      <w:r w:rsidRPr="006C0449">
        <w:rPr>
          <w:i/>
          <w:lang w:val="en-CA"/>
        </w:rPr>
        <w:t>R. v. Nur</w:t>
      </w:r>
      <w:r w:rsidRPr="006C0449">
        <w:rPr>
          <w:lang w:val="en-CA"/>
        </w:rPr>
        <w:t>, 2015 SCC 15 at para.</w:t>
      </w:r>
      <w:r w:rsidRPr="00542573">
        <w:rPr>
          <w:lang w:val="en-CA"/>
        </w:rPr>
        <w:t xml:space="preserve"> 46.</w:t>
      </w:r>
    </w:p>
  </w:footnote>
  <w:footnote w:id="58">
    <w:p w14:paraId="7D9AE9B7" w14:textId="4459A116" w:rsidR="001426AD" w:rsidRPr="00542573" w:rsidRDefault="001426AD" w:rsidP="00562F60">
      <w:pPr>
        <w:pStyle w:val="Notedebasdepage"/>
        <w:rPr>
          <w:lang w:val="en-CA"/>
        </w:rPr>
      </w:pPr>
      <w:r w:rsidRPr="00542573">
        <w:rPr>
          <w:rStyle w:val="Appelnotedebasdep"/>
          <w:lang w:val="en-CA"/>
        </w:rPr>
        <w:footnoteRef/>
      </w:r>
      <w:r w:rsidRPr="00542573">
        <w:rPr>
          <w:lang w:val="en-CA"/>
        </w:rPr>
        <w:t xml:space="preserve"> </w:t>
      </w:r>
      <w:r w:rsidRPr="00542573">
        <w:rPr>
          <w:lang w:val="en-CA"/>
        </w:rPr>
        <w:tab/>
      </w:r>
      <w:r w:rsidRPr="006C0449">
        <w:rPr>
          <w:lang w:val="en-CA"/>
        </w:rPr>
        <w:t>Judgment under appeal at paras.</w:t>
      </w:r>
      <w:r w:rsidRPr="00542573">
        <w:rPr>
          <w:lang w:val="en-CA"/>
        </w:rPr>
        <w:t xml:space="preserve"> </w:t>
      </w:r>
      <w:r w:rsidRPr="006C0449">
        <w:rPr>
          <w:lang w:val="en-CA"/>
        </w:rPr>
        <w:t>33, 37 and 40.</w:t>
      </w:r>
    </w:p>
  </w:footnote>
  <w:footnote w:id="59">
    <w:p w14:paraId="3B0519C7" w14:textId="48A1DAEC" w:rsidR="001426AD" w:rsidRPr="00542573" w:rsidRDefault="001426AD" w:rsidP="00562F60">
      <w:pPr>
        <w:pStyle w:val="Notedebasdepage"/>
        <w:rPr>
          <w:lang w:val="en-CA"/>
        </w:rPr>
      </w:pPr>
      <w:r w:rsidRPr="00542573">
        <w:rPr>
          <w:rStyle w:val="Appelnotedebasdep"/>
          <w:lang w:val="en-CA"/>
        </w:rPr>
        <w:footnoteRef/>
      </w:r>
      <w:r w:rsidRPr="00542573">
        <w:rPr>
          <w:lang w:val="en-CA"/>
        </w:rPr>
        <w:t xml:space="preserve"> </w:t>
      </w:r>
      <w:r w:rsidRPr="00542573">
        <w:rPr>
          <w:lang w:val="en-CA"/>
        </w:rPr>
        <w:tab/>
      </w:r>
      <w:r w:rsidRPr="006C0449">
        <w:rPr>
          <w:i/>
          <w:lang w:val="en-CA"/>
        </w:rPr>
        <w:t>Ibid</w:t>
      </w:r>
      <w:r w:rsidRPr="006C0449">
        <w:rPr>
          <w:lang w:val="en-CA"/>
        </w:rPr>
        <w:t>. at paras.</w:t>
      </w:r>
      <w:r>
        <w:rPr>
          <w:lang w:val="en-CA"/>
        </w:rPr>
        <w:t xml:space="preserve"> 73–</w:t>
      </w:r>
      <w:r w:rsidRPr="00542573">
        <w:rPr>
          <w:lang w:val="en-CA"/>
        </w:rPr>
        <w:t>75.</w:t>
      </w:r>
    </w:p>
  </w:footnote>
  <w:footnote w:id="60">
    <w:p w14:paraId="5FB45D3B" w14:textId="77777777" w:rsidR="001426AD" w:rsidRPr="00542573" w:rsidRDefault="001426AD" w:rsidP="001A56A8">
      <w:pPr>
        <w:pStyle w:val="Notedebasdepage"/>
        <w:rPr>
          <w:lang w:val="en-CA"/>
        </w:rPr>
      </w:pPr>
      <w:r w:rsidRPr="00542573">
        <w:rPr>
          <w:rStyle w:val="Appelnotedebasdep"/>
          <w:lang w:val="en-CA"/>
        </w:rPr>
        <w:footnoteRef/>
      </w:r>
      <w:r w:rsidRPr="00542573">
        <w:rPr>
          <w:lang w:val="en-CA"/>
        </w:rPr>
        <w:t xml:space="preserve"> </w:t>
      </w:r>
      <w:r w:rsidRPr="00542573">
        <w:rPr>
          <w:lang w:val="en-CA"/>
        </w:rPr>
        <w:tab/>
      </w:r>
      <w:r w:rsidRPr="006C0449">
        <w:rPr>
          <w:i/>
          <w:lang w:val="en-CA"/>
        </w:rPr>
        <w:t>R. c. Rayo</w:t>
      </w:r>
      <w:r w:rsidRPr="006C0449">
        <w:rPr>
          <w:lang w:val="en-CA"/>
        </w:rPr>
        <w:t>, 2018 QCCA 824.</w:t>
      </w:r>
    </w:p>
  </w:footnote>
  <w:footnote w:id="61">
    <w:p w14:paraId="0D262E58" w14:textId="40E08FBD" w:rsidR="001426AD" w:rsidRPr="00542573" w:rsidRDefault="001426AD" w:rsidP="00562F60">
      <w:pPr>
        <w:pStyle w:val="Notedebasdepage"/>
        <w:rPr>
          <w:lang w:val="en-CA"/>
        </w:rPr>
      </w:pPr>
      <w:r w:rsidRPr="00542573">
        <w:rPr>
          <w:rStyle w:val="Appelnotedebasdep"/>
          <w:lang w:val="en-CA"/>
        </w:rPr>
        <w:footnoteRef/>
      </w:r>
      <w:r w:rsidRPr="00542573">
        <w:rPr>
          <w:lang w:val="en-CA"/>
        </w:rPr>
        <w:t xml:space="preserve"> </w:t>
      </w:r>
      <w:r w:rsidRPr="00542573">
        <w:rPr>
          <w:lang w:val="en-CA"/>
        </w:rPr>
        <w:tab/>
      </w:r>
      <w:r w:rsidRPr="006C0449">
        <w:rPr>
          <w:lang w:val="en-CA"/>
        </w:rPr>
        <w:t>Judgment under appeal at paras.</w:t>
      </w:r>
      <w:r>
        <w:rPr>
          <w:lang w:val="en-CA"/>
        </w:rPr>
        <w:t xml:space="preserve"> 81–</w:t>
      </w:r>
      <w:r w:rsidRPr="00542573">
        <w:rPr>
          <w:lang w:val="en-CA"/>
        </w:rPr>
        <w:t>83.</w:t>
      </w:r>
    </w:p>
  </w:footnote>
  <w:footnote w:id="62">
    <w:p w14:paraId="0CCC8BD0" w14:textId="0B4DFE5F" w:rsidR="001426AD" w:rsidRPr="00542573" w:rsidRDefault="001426AD" w:rsidP="00562F60">
      <w:pPr>
        <w:pStyle w:val="Notedebasdepage"/>
        <w:rPr>
          <w:lang w:val="en-CA"/>
        </w:rPr>
      </w:pPr>
      <w:r w:rsidRPr="00542573">
        <w:rPr>
          <w:rStyle w:val="Appelnotedebasdep"/>
          <w:lang w:val="en-CA"/>
        </w:rPr>
        <w:footnoteRef/>
      </w:r>
      <w:r w:rsidRPr="00542573">
        <w:rPr>
          <w:lang w:val="en-CA"/>
        </w:rPr>
        <w:t xml:space="preserve"> </w:t>
      </w:r>
      <w:r w:rsidRPr="00542573">
        <w:rPr>
          <w:lang w:val="en-CA"/>
        </w:rPr>
        <w:tab/>
      </w:r>
      <w:r w:rsidRPr="006C0449">
        <w:rPr>
          <w:lang w:val="en-CA"/>
        </w:rPr>
        <w:t xml:space="preserve">See especially </w:t>
      </w:r>
      <w:r w:rsidRPr="006C0449">
        <w:rPr>
          <w:i/>
          <w:lang w:val="en-CA"/>
        </w:rPr>
        <w:t>Cabezas c. R</w:t>
      </w:r>
      <w:r w:rsidRPr="006C0449">
        <w:rPr>
          <w:lang w:val="en-CA"/>
        </w:rPr>
        <w:t>., 2018 QCCA 1616 at para.</w:t>
      </w:r>
      <w:r w:rsidRPr="00542573">
        <w:rPr>
          <w:lang w:val="en-CA"/>
        </w:rPr>
        <w:t xml:space="preserve"> </w:t>
      </w:r>
      <w:r w:rsidRPr="006C0449">
        <w:rPr>
          <w:lang w:val="en-CA"/>
        </w:rPr>
        <w:t xml:space="preserve">114 and </w:t>
      </w:r>
      <w:r w:rsidRPr="006C0449">
        <w:rPr>
          <w:i/>
          <w:lang w:val="en-CA"/>
        </w:rPr>
        <w:t>J.B. c. R.,</w:t>
      </w:r>
      <w:r w:rsidRPr="006C0449">
        <w:rPr>
          <w:lang w:val="en-CA"/>
        </w:rPr>
        <w:t xml:space="preserve"> 2014 QCCA 92 at para.</w:t>
      </w:r>
      <w:r w:rsidRPr="00542573">
        <w:rPr>
          <w:lang w:val="en-CA"/>
        </w:rPr>
        <w:t> 15.</w:t>
      </w:r>
    </w:p>
  </w:footnote>
  <w:footnote w:id="63">
    <w:p w14:paraId="13DC2242" w14:textId="0F5C1445" w:rsidR="001426AD" w:rsidRPr="00542573" w:rsidRDefault="001426AD" w:rsidP="00DC2AB8">
      <w:pPr>
        <w:pStyle w:val="Notedebasdepage"/>
        <w:rPr>
          <w:lang w:val="en-CA"/>
        </w:rPr>
      </w:pPr>
      <w:r w:rsidRPr="00542573">
        <w:rPr>
          <w:rStyle w:val="Appelnotedebasdep"/>
          <w:lang w:val="en-CA"/>
        </w:rPr>
        <w:footnoteRef/>
      </w:r>
      <w:r w:rsidRPr="00542573">
        <w:rPr>
          <w:lang w:val="en-CA"/>
        </w:rPr>
        <w:t xml:space="preserve"> </w:t>
      </w:r>
      <w:r w:rsidRPr="00542573">
        <w:rPr>
          <w:lang w:val="en-CA"/>
        </w:rPr>
        <w:tab/>
      </w:r>
      <w:r w:rsidRPr="006C0449">
        <w:rPr>
          <w:i/>
          <w:spacing w:val="-4"/>
          <w:lang w:val="en-CA"/>
        </w:rPr>
        <w:t>R. v. Friesen</w:t>
      </w:r>
      <w:r w:rsidRPr="006C0449">
        <w:rPr>
          <w:spacing w:val="-4"/>
          <w:lang w:val="en-CA"/>
        </w:rPr>
        <w:t>, 2020 SCC 9.</w:t>
      </w:r>
    </w:p>
  </w:footnote>
  <w:footnote w:id="64">
    <w:p w14:paraId="60AEEF9E" w14:textId="2DB0B858" w:rsidR="001426AD" w:rsidRPr="00542573" w:rsidRDefault="001426AD" w:rsidP="00DC2AB8">
      <w:pPr>
        <w:pStyle w:val="Notedebasdepage"/>
        <w:rPr>
          <w:lang w:val="en-CA"/>
        </w:rPr>
      </w:pPr>
      <w:r w:rsidRPr="00542573">
        <w:rPr>
          <w:rStyle w:val="Appelnotedebasdep"/>
          <w:lang w:val="en-CA"/>
        </w:rPr>
        <w:footnoteRef/>
      </w:r>
      <w:r w:rsidRPr="00542573">
        <w:rPr>
          <w:lang w:val="en-CA"/>
        </w:rPr>
        <w:t xml:space="preserve"> </w:t>
      </w:r>
      <w:r w:rsidRPr="00542573">
        <w:rPr>
          <w:lang w:val="en-CA"/>
        </w:rPr>
        <w:tab/>
      </w:r>
      <w:r w:rsidRPr="006C0449">
        <w:rPr>
          <w:i/>
          <w:spacing w:val="-4"/>
          <w:lang w:val="en-CA"/>
        </w:rPr>
        <w:t>R. v. Lacasse</w:t>
      </w:r>
      <w:r w:rsidRPr="006C0449">
        <w:rPr>
          <w:spacing w:val="-4"/>
          <w:lang w:val="en-CA"/>
        </w:rPr>
        <w:t>, 2015 SCC 64.</w:t>
      </w:r>
    </w:p>
  </w:footnote>
  <w:footnote w:id="65">
    <w:p w14:paraId="66C245EC" w14:textId="5DC29D1D" w:rsidR="001426AD" w:rsidRPr="00542573" w:rsidRDefault="001426AD" w:rsidP="00562F60">
      <w:pPr>
        <w:pStyle w:val="Notedebasdepage"/>
        <w:rPr>
          <w:lang w:val="en-CA"/>
        </w:rPr>
      </w:pPr>
      <w:r w:rsidRPr="00542573">
        <w:rPr>
          <w:rStyle w:val="Appelnotedebasdep"/>
          <w:lang w:val="en-CA"/>
        </w:rPr>
        <w:footnoteRef/>
      </w:r>
      <w:r w:rsidRPr="00542573">
        <w:rPr>
          <w:lang w:val="en-CA"/>
        </w:rPr>
        <w:t xml:space="preserve"> </w:t>
      </w:r>
      <w:r w:rsidRPr="00542573">
        <w:rPr>
          <w:lang w:val="en-CA"/>
        </w:rPr>
        <w:tab/>
      </w:r>
      <w:r w:rsidRPr="006C0449">
        <w:rPr>
          <w:i/>
          <w:lang w:val="en-CA"/>
        </w:rPr>
        <w:t>Caron Barrette c. R</w:t>
      </w:r>
      <w:r w:rsidRPr="006C0449">
        <w:rPr>
          <w:lang w:val="en-CA"/>
        </w:rPr>
        <w:t>., 2018 QCCA 516 at para.</w:t>
      </w:r>
      <w:r w:rsidRPr="00542573">
        <w:rPr>
          <w:lang w:val="en-CA"/>
        </w:rPr>
        <w:t xml:space="preserve"> 39.</w:t>
      </w:r>
    </w:p>
  </w:footnote>
  <w:footnote w:id="66">
    <w:p w14:paraId="4601559C" w14:textId="0425F442" w:rsidR="001426AD" w:rsidRPr="00542573" w:rsidRDefault="001426AD" w:rsidP="00562F60">
      <w:pPr>
        <w:pStyle w:val="Notedebasdepage"/>
        <w:rPr>
          <w:lang w:val="en-CA"/>
        </w:rPr>
      </w:pPr>
      <w:r w:rsidRPr="00542573">
        <w:rPr>
          <w:rStyle w:val="Appelnotedebasdep"/>
          <w:lang w:val="en-CA"/>
        </w:rPr>
        <w:footnoteRef/>
      </w:r>
      <w:r w:rsidRPr="002A73C8">
        <w:rPr>
          <w:lang w:val="en-CA"/>
        </w:rPr>
        <w:t xml:space="preserve"> </w:t>
      </w:r>
      <w:r w:rsidRPr="002A73C8">
        <w:rPr>
          <w:lang w:val="en-CA"/>
        </w:rPr>
        <w:tab/>
      </w:r>
      <w:r w:rsidRPr="002A73C8">
        <w:rPr>
          <w:i/>
          <w:lang w:val="en-CA"/>
        </w:rPr>
        <w:t>R. c. Trottier</w:t>
      </w:r>
      <w:r w:rsidRPr="002A73C8">
        <w:rPr>
          <w:lang w:val="en-CA"/>
        </w:rPr>
        <w:t xml:space="preserve">, 2020 QCCA 703 at para. </w:t>
      </w:r>
      <w:r w:rsidRPr="006C0449">
        <w:rPr>
          <w:lang w:val="en-CA"/>
        </w:rPr>
        <w:t xml:space="preserve">32, citing the reasons of the majority in </w:t>
      </w:r>
      <w:r w:rsidRPr="006C0449">
        <w:rPr>
          <w:i/>
          <w:lang w:val="en-CA"/>
        </w:rPr>
        <w:t>R. c. Lefrançois</w:t>
      </w:r>
      <w:r w:rsidRPr="006C0449">
        <w:rPr>
          <w:lang w:val="en-CA"/>
        </w:rPr>
        <w:t>, 2018 QCCA 1793 at para.</w:t>
      </w:r>
      <w:r w:rsidRPr="00542573">
        <w:rPr>
          <w:lang w:val="en-CA"/>
        </w:rPr>
        <w:t> 7.</w:t>
      </w:r>
    </w:p>
  </w:footnote>
  <w:footnote w:id="67">
    <w:p w14:paraId="3C3E2A92" w14:textId="5E46C3EE" w:rsidR="001426AD" w:rsidRPr="00542573" w:rsidRDefault="001426AD" w:rsidP="00562F60">
      <w:pPr>
        <w:pStyle w:val="Notedebasdepage"/>
        <w:rPr>
          <w:b/>
          <w:lang w:val="en-CA"/>
        </w:rPr>
      </w:pPr>
      <w:r w:rsidRPr="00542573">
        <w:rPr>
          <w:rStyle w:val="Appelnotedebasdep"/>
          <w:lang w:val="en-CA"/>
        </w:rPr>
        <w:footnoteRef/>
      </w:r>
      <w:r w:rsidRPr="00542573">
        <w:rPr>
          <w:lang w:val="en-CA"/>
        </w:rPr>
        <w:t xml:space="preserve"> </w:t>
      </w:r>
      <w:r w:rsidRPr="00542573">
        <w:rPr>
          <w:lang w:val="en-CA"/>
        </w:rPr>
        <w:tab/>
      </w:r>
      <w:r w:rsidRPr="006C0449">
        <w:rPr>
          <w:i/>
          <w:lang w:val="en-CA"/>
        </w:rPr>
        <w:t>R. v. Shepherd</w:t>
      </w:r>
      <w:r w:rsidRPr="006C0449">
        <w:rPr>
          <w:lang w:val="en-CA"/>
        </w:rPr>
        <w:t>, 2009 SCC 35 at para.</w:t>
      </w:r>
      <w:r w:rsidRPr="00542573">
        <w:rPr>
          <w:lang w:val="en-CA"/>
        </w:rPr>
        <w:t xml:space="preserve"> </w:t>
      </w:r>
      <w:r w:rsidRPr="006C0449">
        <w:rPr>
          <w:lang w:val="en-CA"/>
        </w:rPr>
        <w:t xml:space="preserve">20; </w:t>
      </w:r>
      <w:r w:rsidRPr="006C0449">
        <w:rPr>
          <w:i/>
          <w:lang w:val="en-CA"/>
        </w:rPr>
        <w:t>Boudreault c. R.,</w:t>
      </w:r>
      <w:r w:rsidRPr="006C0449">
        <w:rPr>
          <w:lang w:val="en-CA"/>
        </w:rPr>
        <w:t xml:space="preserve"> 2016 QCCA 1907 at para.</w:t>
      </w:r>
      <w:r w:rsidRPr="00542573">
        <w:rPr>
          <w:lang w:val="en-CA"/>
        </w:rPr>
        <w:t xml:space="preserve"> 32 (</w:t>
      </w:r>
      <w:r>
        <w:rPr>
          <w:lang w:val="en-CA"/>
        </w:rPr>
        <w:t>reversed</w:t>
      </w:r>
      <w:r w:rsidRPr="00542573">
        <w:rPr>
          <w:lang w:val="en-CA"/>
        </w:rPr>
        <w:t xml:space="preserve"> for other reasons, 2018 SCC 58); </w:t>
      </w:r>
      <w:r w:rsidRPr="00542573">
        <w:rPr>
          <w:i/>
          <w:lang w:val="en-CA"/>
        </w:rPr>
        <w:t>R. v. Madeley</w:t>
      </w:r>
      <w:r w:rsidRPr="00542573">
        <w:rPr>
          <w:lang w:val="en-CA"/>
        </w:rPr>
        <w:t xml:space="preserve">, 2018 ONSC 391 at para. </w:t>
      </w:r>
      <w:r w:rsidRPr="006C0449">
        <w:rPr>
          <w:lang w:val="en-CA"/>
        </w:rPr>
        <w:t xml:space="preserve">15; </w:t>
      </w:r>
      <w:r w:rsidRPr="006C0449">
        <w:rPr>
          <w:i/>
          <w:lang w:val="en-CA"/>
        </w:rPr>
        <w:t>Foisy c. R</w:t>
      </w:r>
      <w:r w:rsidRPr="006C0449">
        <w:rPr>
          <w:lang w:val="en-CA"/>
        </w:rPr>
        <w:t>., 2017 QCCA 1721 at para.</w:t>
      </w:r>
      <w:r w:rsidRPr="00542573">
        <w:rPr>
          <w:lang w:val="en-CA"/>
        </w:rPr>
        <w:t xml:space="preserve"> 23.</w:t>
      </w:r>
    </w:p>
  </w:footnote>
  <w:footnote w:id="68">
    <w:p w14:paraId="37F40845" w14:textId="3AFBA48F" w:rsidR="001426AD" w:rsidRPr="00542573" w:rsidRDefault="001426AD" w:rsidP="00562F60">
      <w:pPr>
        <w:pStyle w:val="Notedebasdepage"/>
        <w:rPr>
          <w:lang w:val="en-CA"/>
        </w:rPr>
      </w:pPr>
      <w:r w:rsidRPr="00542573">
        <w:rPr>
          <w:rStyle w:val="Appelnotedebasdep"/>
          <w:lang w:val="en-CA"/>
        </w:rPr>
        <w:footnoteRef/>
      </w:r>
      <w:r w:rsidRPr="00542573">
        <w:rPr>
          <w:lang w:val="en-CA"/>
        </w:rPr>
        <w:tab/>
      </w:r>
      <w:r w:rsidRPr="006C0449">
        <w:rPr>
          <w:i/>
          <w:lang w:val="en-CA"/>
        </w:rPr>
        <w:t>R.</w:t>
      </w:r>
      <w:r w:rsidRPr="006C0449">
        <w:rPr>
          <w:lang w:val="en-CA"/>
        </w:rPr>
        <w:t xml:space="preserve"> </w:t>
      </w:r>
      <w:r w:rsidRPr="006C0449">
        <w:rPr>
          <w:i/>
          <w:lang w:val="en-CA"/>
        </w:rPr>
        <w:t>c. Rayo</w:t>
      </w:r>
      <w:r w:rsidRPr="006C0449">
        <w:rPr>
          <w:lang w:val="en-CA"/>
        </w:rPr>
        <w:t xml:space="preserve">, </w:t>
      </w:r>
      <w:r w:rsidRPr="006C0449">
        <w:rPr>
          <w:i/>
          <w:lang w:val="en-CA"/>
        </w:rPr>
        <w:t>supra</w:t>
      </w:r>
      <w:r w:rsidRPr="006C0449">
        <w:rPr>
          <w:lang w:val="en-CA"/>
        </w:rPr>
        <w:t xml:space="preserve"> note 60 at para.</w:t>
      </w:r>
      <w:r w:rsidRPr="00542573">
        <w:rPr>
          <w:lang w:val="en-CA"/>
        </w:rPr>
        <w:t xml:space="preserve"> 139.</w:t>
      </w:r>
    </w:p>
  </w:footnote>
  <w:footnote w:id="69">
    <w:p w14:paraId="32296C7F" w14:textId="77777777" w:rsidR="001426AD" w:rsidRPr="00542573" w:rsidRDefault="001426AD" w:rsidP="00621C3D">
      <w:pPr>
        <w:pStyle w:val="Notedebasdepage"/>
        <w:rPr>
          <w:lang w:val="en-CA"/>
        </w:rPr>
      </w:pPr>
      <w:r w:rsidRPr="00542573">
        <w:rPr>
          <w:rStyle w:val="Appelnotedebasdep"/>
          <w:lang w:val="en-CA"/>
        </w:rPr>
        <w:footnoteRef/>
      </w:r>
      <w:r w:rsidRPr="00542573">
        <w:rPr>
          <w:lang w:val="en-CA"/>
        </w:rPr>
        <w:t xml:space="preserve"> </w:t>
      </w:r>
      <w:r w:rsidRPr="00542573">
        <w:rPr>
          <w:lang w:val="en-CA"/>
        </w:rPr>
        <w:tab/>
      </w:r>
      <w:r w:rsidRPr="006C0449">
        <w:rPr>
          <w:i/>
          <w:lang w:val="en-CA"/>
        </w:rPr>
        <w:t>R. v. Legare</w:t>
      </w:r>
      <w:r w:rsidRPr="006C0449">
        <w:rPr>
          <w:lang w:val="en-CA"/>
        </w:rPr>
        <w:t>, 2009 SCC 56.</w:t>
      </w:r>
    </w:p>
  </w:footnote>
  <w:footnote w:id="70">
    <w:p w14:paraId="54B84241" w14:textId="5D0088F3" w:rsidR="001426AD" w:rsidRPr="00542573" w:rsidRDefault="001426AD" w:rsidP="00FE1856">
      <w:pPr>
        <w:pStyle w:val="Notedebasdepage"/>
        <w:rPr>
          <w:lang w:val="en-CA"/>
        </w:rPr>
      </w:pPr>
      <w:r w:rsidRPr="00542573">
        <w:rPr>
          <w:rStyle w:val="Appelnotedebasdep"/>
          <w:lang w:val="en-CA"/>
        </w:rPr>
        <w:footnoteRef/>
      </w:r>
      <w:r w:rsidRPr="00542573">
        <w:rPr>
          <w:lang w:val="en-CA"/>
        </w:rPr>
        <w:t xml:space="preserve"> </w:t>
      </w:r>
      <w:r w:rsidRPr="00542573">
        <w:rPr>
          <w:lang w:val="en-CA"/>
        </w:rPr>
        <w:tab/>
      </w:r>
      <w:r w:rsidRPr="006C0449">
        <w:rPr>
          <w:i/>
          <w:lang w:val="en-CA"/>
        </w:rPr>
        <w:t>R. v. Morrison</w:t>
      </w:r>
      <w:r w:rsidRPr="006C0449">
        <w:rPr>
          <w:lang w:val="en-CA"/>
        </w:rPr>
        <w:t>, 2019 SCC 15.</w:t>
      </w:r>
    </w:p>
  </w:footnote>
  <w:footnote w:id="71">
    <w:p w14:paraId="59237119" w14:textId="0BC94E72" w:rsidR="001426AD" w:rsidRPr="00542573" w:rsidRDefault="001426AD" w:rsidP="00FE1856">
      <w:pPr>
        <w:pStyle w:val="Notedebasdepage"/>
        <w:rPr>
          <w:lang w:val="en-CA"/>
        </w:rPr>
      </w:pPr>
      <w:r w:rsidRPr="00542573">
        <w:rPr>
          <w:rStyle w:val="Appelnotedebasdep"/>
          <w:lang w:val="en-CA"/>
        </w:rPr>
        <w:footnoteRef/>
      </w:r>
      <w:r w:rsidRPr="00542573">
        <w:rPr>
          <w:lang w:val="en-CA"/>
        </w:rPr>
        <w:t xml:space="preserve"> </w:t>
      </w:r>
      <w:r w:rsidRPr="00542573">
        <w:rPr>
          <w:lang w:val="en-CA"/>
        </w:rPr>
        <w:tab/>
      </w:r>
      <w:r w:rsidRPr="006C0449">
        <w:rPr>
          <w:i/>
          <w:lang w:val="en-CA"/>
        </w:rPr>
        <w:t>R. c. Rayo</w:t>
      </w:r>
      <w:r w:rsidRPr="006C0449">
        <w:rPr>
          <w:lang w:val="en-CA"/>
        </w:rPr>
        <w:t xml:space="preserve">, </w:t>
      </w:r>
      <w:r w:rsidRPr="006C0449">
        <w:rPr>
          <w:i/>
          <w:lang w:val="en-CA"/>
        </w:rPr>
        <w:t>supra</w:t>
      </w:r>
      <w:r w:rsidRPr="006C0449">
        <w:rPr>
          <w:lang w:val="en-CA"/>
        </w:rPr>
        <w:t xml:space="preserve"> note 60.</w:t>
      </w:r>
    </w:p>
  </w:footnote>
  <w:footnote w:id="72">
    <w:p w14:paraId="0D64297B" w14:textId="5802EE51" w:rsidR="001426AD" w:rsidRPr="00542573" w:rsidRDefault="001426AD" w:rsidP="00562F60">
      <w:pPr>
        <w:pStyle w:val="Notedebasdepage"/>
        <w:rPr>
          <w:lang w:val="en-CA"/>
        </w:rPr>
      </w:pPr>
      <w:r w:rsidRPr="00542573">
        <w:rPr>
          <w:rStyle w:val="Appelnotedebasdep"/>
          <w:lang w:val="en-CA"/>
        </w:rPr>
        <w:footnoteRef/>
      </w:r>
      <w:r w:rsidRPr="00542573">
        <w:rPr>
          <w:lang w:val="en-CA"/>
        </w:rPr>
        <w:t xml:space="preserve"> </w:t>
      </w:r>
      <w:r w:rsidRPr="00542573">
        <w:rPr>
          <w:lang w:val="en-CA"/>
        </w:rPr>
        <w:tab/>
      </w:r>
      <w:r w:rsidRPr="006C0449">
        <w:rPr>
          <w:i/>
          <w:lang w:val="en-CA"/>
        </w:rPr>
        <w:t>Ibid</w:t>
      </w:r>
      <w:r w:rsidRPr="006C0449">
        <w:rPr>
          <w:lang w:val="en-CA"/>
        </w:rPr>
        <w:t>. at para.</w:t>
      </w:r>
      <w:r w:rsidRPr="00542573">
        <w:rPr>
          <w:lang w:val="en-CA"/>
        </w:rPr>
        <w:t xml:space="preserve"> </w:t>
      </w:r>
      <w:r w:rsidRPr="006C0449">
        <w:rPr>
          <w:lang w:val="en-CA"/>
        </w:rPr>
        <w:t>2 (</w:t>
      </w:r>
      <w:r w:rsidRPr="00542573">
        <w:rPr>
          <w:lang w:val="en-CA"/>
        </w:rPr>
        <w:t>e</w:t>
      </w:r>
      <w:r w:rsidRPr="006C0449">
        <w:rPr>
          <w:lang w:val="en-CA"/>
        </w:rPr>
        <w:t>mphasis added).</w:t>
      </w:r>
    </w:p>
  </w:footnote>
  <w:footnote w:id="73">
    <w:p w14:paraId="56980729" w14:textId="537C13DF" w:rsidR="001426AD" w:rsidRPr="00542573" w:rsidRDefault="001426AD" w:rsidP="00562F60">
      <w:pPr>
        <w:pStyle w:val="Notedebasdepage"/>
        <w:rPr>
          <w:lang w:val="en-CA"/>
        </w:rPr>
      </w:pPr>
      <w:r w:rsidRPr="00542573">
        <w:rPr>
          <w:rStyle w:val="Appelnotedebasdep"/>
          <w:lang w:val="en-CA"/>
        </w:rPr>
        <w:footnoteRef/>
      </w:r>
      <w:r w:rsidRPr="00542573">
        <w:rPr>
          <w:lang w:val="en-CA"/>
        </w:rPr>
        <w:t xml:space="preserve"> </w:t>
      </w:r>
      <w:r w:rsidRPr="00542573">
        <w:rPr>
          <w:lang w:val="en-CA"/>
        </w:rPr>
        <w:tab/>
      </w:r>
      <w:r w:rsidRPr="006C0449">
        <w:rPr>
          <w:i/>
          <w:lang w:val="en-CA"/>
        </w:rPr>
        <w:t>Ibid</w:t>
      </w:r>
      <w:r w:rsidRPr="006C0449">
        <w:rPr>
          <w:lang w:val="en-CA"/>
        </w:rPr>
        <w:t>. at para.</w:t>
      </w:r>
      <w:r w:rsidRPr="00542573">
        <w:rPr>
          <w:lang w:val="en-CA"/>
        </w:rPr>
        <w:t xml:space="preserve"> </w:t>
      </w:r>
      <w:r w:rsidRPr="006C0449">
        <w:rPr>
          <w:lang w:val="en-CA"/>
        </w:rPr>
        <w:t>3 (emphasis added).</w:t>
      </w:r>
    </w:p>
  </w:footnote>
  <w:footnote w:id="74">
    <w:p w14:paraId="21578192" w14:textId="650CEE8A" w:rsidR="001426AD" w:rsidRPr="00542573" w:rsidRDefault="001426AD" w:rsidP="00562F60">
      <w:pPr>
        <w:pStyle w:val="Notedebasdepage"/>
        <w:rPr>
          <w:lang w:val="en-CA"/>
        </w:rPr>
      </w:pPr>
      <w:r w:rsidRPr="00542573">
        <w:rPr>
          <w:rStyle w:val="Appelnotedebasdep"/>
          <w:lang w:val="en-CA"/>
        </w:rPr>
        <w:footnoteRef/>
      </w:r>
      <w:r w:rsidRPr="00542573">
        <w:rPr>
          <w:lang w:val="en-CA"/>
        </w:rPr>
        <w:t xml:space="preserve"> </w:t>
      </w:r>
      <w:r w:rsidRPr="00542573">
        <w:rPr>
          <w:lang w:val="en-CA"/>
        </w:rPr>
        <w:tab/>
      </w:r>
      <w:r w:rsidRPr="006C0449">
        <w:rPr>
          <w:i/>
          <w:lang w:val="en-CA"/>
        </w:rPr>
        <w:t>Ibid</w:t>
      </w:r>
      <w:r w:rsidRPr="006C0449">
        <w:rPr>
          <w:lang w:val="en-CA"/>
        </w:rPr>
        <w:t>. at para.</w:t>
      </w:r>
      <w:r w:rsidRPr="00542573">
        <w:rPr>
          <w:lang w:val="en-CA"/>
        </w:rPr>
        <w:t xml:space="preserve"> </w:t>
      </w:r>
      <w:r w:rsidRPr="006C0449">
        <w:rPr>
          <w:lang w:val="en-CA"/>
        </w:rPr>
        <w:t>197 (emphasis added).</w:t>
      </w:r>
    </w:p>
  </w:footnote>
  <w:footnote w:id="75">
    <w:p w14:paraId="35127111" w14:textId="4A4326EE" w:rsidR="001426AD" w:rsidRPr="00542573" w:rsidRDefault="001426AD" w:rsidP="00562F60">
      <w:pPr>
        <w:pStyle w:val="Notedebasdepage"/>
        <w:rPr>
          <w:lang w:val="en-CA"/>
        </w:rPr>
      </w:pPr>
      <w:r w:rsidRPr="00542573">
        <w:rPr>
          <w:rStyle w:val="Appelnotedebasdep"/>
          <w:lang w:val="en-CA"/>
        </w:rPr>
        <w:footnoteRef/>
      </w:r>
      <w:r w:rsidRPr="00542573">
        <w:rPr>
          <w:lang w:val="en-CA"/>
        </w:rPr>
        <w:t xml:space="preserve"> </w:t>
      </w:r>
      <w:r w:rsidRPr="00542573">
        <w:rPr>
          <w:lang w:val="en-CA"/>
        </w:rPr>
        <w:tab/>
      </w:r>
      <w:r w:rsidRPr="006C0449">
        <w:rPr>
          <w:i/>
          <w:lang w:val="en-CA"/>
        </w:rPr>
        <w:t>Ibid</w:t>
      </w:r>
      <w:r w:rsidRPr="006C0449">
        <w:rPr>
          <w:lang w:val="en-CA"/>
        </w:rPr>
        <w:t>. at para.</w:t>
      </w:r>
      <w:r w:rsidRPr="00542573">
        <w:rPr>
          <w:lang w:val="en-CA"/>
        </w:rPr>
        <w:t xml:space="preserve"> 179.</w:t>
      </w:r>
    </w:p>
  </w:footnote>
  <w:footnote w:id="76">
    <w:p w14:paraId="21105089" w14:textId="32284EA7" w:rsidR="001426AD" w:rsidRPr="00542573" w:rsidRDefault="001426AD" w:rsidP="00FE1856">
      <w:pPr>
        <w:pStyle w:val="Notedebasdepage"/>
        <w:rPr>
          <w:lang w:val="en-CA"/>
        </w:rPr>
      </w:pPr>
      <w:r w:rsidRPr="00542573">
        <w:rPr>
          <w:rStyle w:val="Appelnotedebasdep"/>
          <w:lang w:val="en-CA"/>
        </w:rPr>
        <w:footnoteRef/>
      </w:r>
      <w:r w:rsidRPr="00542573">
        <w:rPr>
          <w:lang w:val="en-CA"/>
        </w:rPr>
        <w:tab/>
      </w:r>
      <w:r w:rsidRPr="006C0449">
        <w:rPr>
          <w:i/>
          <w:lang w:val="en-CA"/>
        </w:rPr>
        <w:t>R. v. Friesen</w:t>
      </w:r>
      <w:r w:rsidRPr="006C0449">
        <w:rPr>
          <w:lang w:val="en-CA"/>
        </w:rPr>
        <w:t xml:space="preserve">, </w:t>
      </w:r>
      <w:r w:rsidRPr="006C0449">
        <w:rPr>
          <w:i/>
          <w:lang w:val="en-CA"/>
        </w:rPr>
        <w:t>supra</w:t>
      </w:r>
      <w:r w:rsidRPr="006C0449">
        <w:rPr>
          <w:lang w:val="en-CA"/>
        </w:rPr>
        <w:t xml:space="preserve"> note 63.</w:t>
      </w:r>
    </w:p>
  </w:footnote>
  <w:footnote w:id="77">
    <w:p w14:paraId="4EF3A62B" w14:textId="18568E93" w:rsidR="001426AD" w:rsidRPr="00542573" w:rsidRDefault="001426AD" w:rsidP="00562F60">
      <w:pPr>
        <w:pStyle w:val="Notedebasdepage"/>
        <w:rPr>
          <w:lang w:val="en-CA"/>
        </w:rPr>
      </w:pPr>
      <w:r w:rsidRPr="00542573">
        <w:rPr>
          <w:rStyle w:val="Appelnotedebasdep"/>
          <w:lang w:val="en-CA"/>
        </w:rPr>
        <w:footnoteRef/>
      </w:r>
      <w:r w:rsidRPr="00542573">
        <w:rPr>
          <w:lang w:val="en-CA"/>
        </w:rPr>
        <w:t xml:space="preserve"> </w:t>
      </w:r>
      <w:r w:rsidRPr="00542573">
        <w:rPr>
          <w:lang w:val="en-CA"/>
        </w:rPr>
        <w:tab/>
      </w:r>
      <w:r w:rsidRPr="006C0449">
        <w:rPr>
          <w:lang w:val="en-CA"/>
        </w:rPr>
        <w:t>Statement by X to the police officers on September 10, 2015.</w:t>
      </w:r>
    </w:p>
  </w:footnote>
  <w:footnote w:id="78">
    <w:p w14:paraId="7264F8B2" w14:textId="0110BB4D" w:rsidR="001426AD" w:rsidRPr="00542573" w:rsidRDefault="001426AD" w:rsidP="00FE1856">
      <w:pPr>
        <w:pStyle w:val="Notedebasdepage"/>
        <w:rPr>
          <w:lang w:val="en-CA"/>
        </w:rPr>
      </w:pPr>
      <w:r w:rsidRPr="00542573">
        <w:rPr>
          <w:rStyle w:val="Appelnotedebasdep"/>
          <w:lang w:val="en-CA"/>
        </w:rPr>
        <w:footnoteRef/>
      </w:r>
      <w:r w:rsidRPr="00542573">
        <w:rPr>
          <w:lang w:val="en-CA"/>
        </w:rPr>
        <w:t xml:space="preserve"> </w:t>
      </w:r>
      <w:r w:rsidRPr="00542573">
        <w:rPr>
          <w:lang w:val="en-CA"/>
        </w:rPr>
        <w:tab/>
      </w:r>
      <w:r w:rsidRPr="006C0449">
        <w:rPr>
          <w:i/>
          <w:lang w:val="en-CA"/>
        </w:rPr>
        <w:t>Ibid</w:t>
      </w:r>
      <w:r w:rsidRPr="006C0449">
        <w:rPr>
          <w:lang w:val="en-CA"/>
        </w:rPr>
        <w:t>.</w:t>
      </w:r>
    </w:p>
  </w:footnote>
  <w:footnote w:id="79">
    <w:p w14:paraId="0ACA0B41" w14:textId="33E75620" w:rsidR="001426AD" w:rsidRPr="00542573" w:rsidRDefault="001426AD" w:rsidP="00562F60">
      <w:pPr>
        <w:pStyle w:val="Notedebasdepage"/>
        <w:rPr>
          <w:lang w:val="en-CA"/>
        </w:rPr>
      </w:pPr>
      <w:r w:rsidRPr="00542573">
        <w:rPr>
          <w:rStyle w:val="Appelnotedebasdep"/>
          <w:lang w:val="en-CA"/>
        </w:rPr>
        <w:footnoteRef/>
      </w:r>
      <w:r w:rsidRPr="00542573">
        <w:rPr>
          <w:lang w:val="en-CA"/>
        </w:rPr>
        <w:t xml:space="preserve"> </w:t>
      </w:r>
      <w:r w:rsidRPr="00542573">
        <w:rPr>
          <w:lang w:val="en-CA"/>
        </w:rPr>
        <w:tab/>
      </w:r>
      <w:r w:rsidRPr="006C0449">
        <w:rPr>
          <w:i/>
          <w:lang w:val="en-CA"/>
        </w:rPr>
        <w:t>Ibid</w:t>
      </w:r>
      <w:r w:rsidRPr="006C0449">
        <w:rPr>
          <w:lang w:val="en-CA"/>
        </w:rPr>
        <w:t>. at 24.</w:t>
      </w:r>
    </w:p>
  </w:footnote>
  <w:footnote w:id="80">
    <w:p w14:paraId="041E6AD9" w14:textId="5BD76F0B" w:rsidR="001426AD" w:rsidRPr="00542573" w:rsidRDefault="001426AD" w:rsidP="00562F60">
      <w:pPr>
        <w:pStyle w:val="Notedebasdepage"/>
        <w:rPr>
          <w:lang w:val="en-CA"/>
        </w:rPr>
      </w:pPr>
      <w:r w:rsidRPr="00542573">
        <w:rPr>
          <w:rStyle w:val="Appelnotedebasdep"/>
          <w:lang w:val="en-CA"/>
        </w:rPr>
        <w:footnoteRef/>
      </w:r>
      <w:r w:rsidRPr="00542573">
        <w:rPr>
          <w:lang w:val="en-CA"/>
        </w:rPr>
        <w:tab/>
      </w:r>
      <w:r w:rsidRPr="006C0449">
        <w:rPr>
          <w:lang w:val="en-CA"/>
        </w:rPr>
        <w:t>Judgment under appeal paras.</w:t>
      </w:r>
      <w:r w:rsidRPr="00542573">
        <w:rPr>
          <w:lang w:val="en-CA"/>
        </w:rPr>
        <w:t xml:space="preserve"> 46</w:t>
      </w:r>
      <w:r>
        <w:rPr>
          <w:lang w:val="en-CA"/>
        </w:rPr>
        <w:t>–</w:t>
      </w:r>
      <w:r w:rsidRPr="00542573">
        <w:rPr>
          <w:lang w:val="en-CA"/>
        </w:rPr>
        <w:t>51.</w:t>
      </w:r>
    </w:p>
  </w:footnote>
  <w:footnote w:id="81">
    <w:p w14:paraId="1DF5BD15" w14:textId="37A850AB" w:rsidR="001426AD" w:rsidRPr="00542573" w:rsidRDefault="001426AD" w:rsidP="00562F60">
      <w:pPr>
        <w:pStyle w:val="Notedebasdepage"/>
        <w:rPr>
          <w:lang w:val="en-CA"/>
        </w:rPr>
      </w:pPr>
      <w:r w:rsidRPr="00542573">
        <w:rPr>
          <w:rStyle w:val="Appelnotedebasdep"/>
          <w:lang w:val="en-CA"/>
        </w:rPr>
        <w:footnoteRef/>
      </w:r>
      <w:r w:rsidRPr="00542573">
        <w:rPr>
          <w:lang w:val="en-CA"/>
        </w:rPr>
        <w:t xml:space="preserve"> </w:t>
      </w:r>
      <w:r w:rsidRPr="00542573">
        <w:rPr>
          <w:lang w:val="en-CA"/>
        </w:rPr>
        <w:tab/>
      </w:r>
      <w:r w:rsidRPr="006C0449">
        <w:rPr>
          <w:lang w:val="en-CA"/>
        </w:rPr>
        <w:t>Judgment under appeal at para.</w:t>
      </w:r>
      <w:r w:rsidRPr="00542573">
        <w:rPr>
          <w:lang w:val="en-CA"/>
        </w:rPr>
        <w:t xml:space="preserve"> </w:t>
      </w:r>
      <w:r w:rsidRPr="006C0449">
        <w:rPr>
          <w:lang w:val="en-CA"/>
        </w:rPr>
        <w:t>35 and corresponding footnote.</w:t>
      </w:r>
    </w:p>
  </w:footnote>
  <w:footnote w:id="82">
    <w:p w14:paraId="77639595" w14:textId="3D32CD5D" w:rsidR="001426AD" w:rsidRPr="00542573" w:rsidRDefault="001426AD" w:rsidP="00562F60">
      <w:pPr>
        <w:pStyle w:val="Notedebasdepage"/>
        <w:rPr>
          <w:lang w:val="en-CA"/>
        </w:rPr>
      </w:pPr>
      <w:r w:rsidRPr="00542573">
        <w:rPr>
          <w:rStyle w:val="Appelnotedebasdep"/>
          <w:lang w:val="en-CA"/>
        </w:rPr>
        <w:footnoteRef/>
      </w:r>
      <w:r w:rsidRPr="00542573">
        <w:rPr>
          <w:lang w:val="en-CA"/>
        </w:rPr>
        <w:tab/>
      </w:r>
      <w:r w:rsidRPr="006C0449">
        <w:rPr>
          <w:lang w:val="en-CA"/>
        </w:rPr>
        <w:t>Judgment under appeal at paras.</w:t>
      </w:r>
      <w:r>
        <w:rPr>
          <w:lang w:val="en-CA"/>
        </w:rPr>
        <w:t xml:space="preserve"> 39–</w:t>
      </w:r>
      <w:r w:rsidRPr="00542573">
        <w:rPr>
          <w:lang w:val="en-CA"/>
        </w:rPr>
        <w:t>41.</w:t>
      </w:r>
    </w:p>
  </w:footnote>
  <w:footnote w:id="83">
    <w:p w14:paraId="426E75DB" w14:textId="16B6EFC9" w:rsidR="001426AD" w:rsidRPr="00542573" w:rsidRDefault="001426AD" w:rsidP="00562F60">
      <w:pPr>
        <w:pStyle w:val="Notedebasdepage"/>
        <w:rPr>
          <w:lang w:val="en-CA"/>
        </w:rPr>
      </w:pPr>
      <w:r w:rsidRPr="00542573">
        <w:rPr>
          <w:rStyle w:val="Appelnotedebasdep"/>
          <w:lang w:val="en-CA"/>
        </w:rPr>
        <w:footnoteRef/>
      </w:r>
      <w:r w:rsidRPr="00542573">
        <w:rPr>
          <w:i/>
          <w:lang w:val="en-CA"/>
        </w:rPr>
        <w:tab/>
      </w:r>
      <w:r w:rsidRPr="006C0449">
        <w:rPr>
          <w:i/>
          <w:lang w:val="en-CA"/>
        </w:rPr>
        <w:t>Caron Barrette c. R.,</w:t>
      </w:r>
      <w:r w:rsidRPr="006C0449">
        <w:rPr>
          <w:lang w:val="en-CA"/>
        </w:rPr>
        <w:t xml:space="preserve"> </w:t>
      </w:r>
      <w:r w:rsidRPr="006C0449">
        <w:rPr>
          <w:i/>
          <w:lang w:val="en-CA"/>
        </w:rPr>
        <w:t>supra</w:t>
      </w:r>
      <w:r w:rsidRPr="006C0449">
        <w:rPr>
          <w:lang w:val="en-CA"/>
        </w:rPr>
        <w:t xml:space="preserve"> note 65.</w:t>
      </w:r>
    </w:p>
  </w:footnote>
  <w:footnote w:id="84">
    <w:p w14:paraId="22AC2ECC" w14:textId="20D1AE87" w:rsidR="001426AD" w:rsidRPr="00542573" w:rsidRDefault="001426AD" w:rsidP="00562F60">
      <w:pPr>
        <w:pStyle w:val="Notedebasdepage"/>
        <w:rPr>
          <w:lang w:val="en-CA"/>
        </w:rPr>
      </w:pPr>
      <w:r w:rsidRPr="00542573">
        <w:rPr>
          <w:rStyle w:val="Appelnotedebasdep"/>
          <w:lang w:val="en-CA"/>
        </w:rPr>
        <w:footnoteRef/>
      </w:r>
      <w:r w:rsidRPr="00542573">
        <w:rPr>
          <w:lang w:val="en-CA"/>
        </w:rPr>
        <w:t xml:space="preserve"> </w:t>
      </w:r>
      <w:r w:rsidRPr="00542573">
        <w:rPr>
          <w:lang w:val="en-CA"/>
        </w:rPr>
        <w:tab/>
      </w:r>
      <w:r w:rsidRPr="006C0449">
        <w:rPr>
          <w:lang w:val="en-CA"/>
        </w:rPr>
        <w:t>Judgment under appeal at para.</w:t>
      </w:r>
      <w:r w:rsidRPr="00542573">
        <w:rPr>
          <w:lang w:val="en-CA"/>
        </w:rPr>
        <w:t xml:space="preserve"> 78.</w:t>
      </w:r>
    </w:p>
  </w:footnote>
  <w:footnote w:id="85">
    <w:p w14:paraId="3132101B" w14:textId="77777777" w:rsidR="001426AD" w:rsidRPr="00542573" w:rsidRDefault="001426AD" w:rsidP="001426AD">
      <w:pPr>
        <w:pStyle w:val="Notedebasdepage"/>
        <w:rPr>
          <w:lang w:val="en-CA"/>
        </w:rPr>
      </w:pPr>
      <w:r w:rsidRPr="00542573">
        <w:rPr>
          <w:rStyle w:val="Appelnotedebasdep"/>
          <w:lang w:val="en-CA"/>
        </w:rPr>
        <w:footnoteRef/>
      </w:r>
      <w:r w:rsidRPr="00542573">
        <w:rPr>
          <w:lang w:val="en-CA"/>
        </w:rPr>
        <w:t xml:space="preserve"> </w:t>
      </w:r>
      <w:r w:rsidRPr="00542573">
        <w:rPr>
          <w:lang w:val="en-CA"/>
        </w:rPr>
        <w:tab/>
      </w:r>
      <w:r w:rsidRPr="006C0449">
        <w:rPr>
          <w:i/>
          <w:lang w:val="en-CA"/>
        </w:rPr>
        <w:t>Caron Barrette c. R</w:t>
      </w:r>
      <w:r w:rsidRPr="006C0449">
        <w:rPr>
          <w:lang w:val="en-CA"/>
        </w:rPr>
        <w:t xml:space="preserve">., </w:t>
      </w:r>
      <w:r w:rsidRPr="006C0449">
        <w:rPr>
          <w:i/>
          <w:lang w:val="en-CA"/>
        </w:rPr>
        <w:t>supra</w:t>
      </w:r>
      <w:r w:rsidRPr="006C0449">
        <w:rPr>
          <w:lang w:val="en-CA"/>
        </w:rPr>
        <w:t xml:space="preserve"> note 65 at para.</w:t>
      </w:r>
      <w:r w:rsidRPr="00542573">
        <w:rPr>
          <w:lang w:val="en-CA"/>
        </w:rPr>
        <w:t xml:space="preserve"> 85.</w:t>
      </w:r>
    </w:p>
  </w:footnote>
  <w:footnote w:id="86">
    <w:p w14:paraId="12B1F377" w14:textId="1871454A" w:rsidR="001426AD" w:rsidRPr="00542573" w:rsidRDefault="001426AD" w:rsidP="00562F60">
      <w:pPr>
        <w:pStyle w:val="Notedebasdepage"/>
        <w:rPr>
          <w:i/>
          <w:lang w:val="en-CA"/>
        </w:rPr>
      </w:pPr>
      <w:r w:rsidRPr="00542573">
        <w:rPr>
          <w:rStyle w:val="Appelnotedebasdep"/>
          <w:lang w:val="en-CA"/>
        </w:rPr>
        <w:footnoteRef/>
      </w:r>
      <w:r w:rsidRPr="00542573">
        <w:rPr>
          <w:lang w:val="en-CA"/>
        </w:rPr>
        <w:t xml:space="preserve"> </w:t>
      </w:r>
      <w:r w:rsidRPr="00542573">
        <w:rPr>
          <w:lang w:val="en-CA"/>
        </w:rPr>
        <w:tab/>
        <w:t>The prohibition</w:t>
      </w:r>
      <w:r>
        <w:rPr>
          <w:lang w:val="en-CA"/>
        </w:rPr>
        <w:t>s</w:t>
      </w:r>
      <w:r w:rsidRPr="00542573">
        <w:rPr>
          <w:lang w:val="en-CA"/>
        </w:rPr>
        <w:t xml:space="preserve"> contained the conclusions of paragraphs 88 and 89, pursuant to ss. 161(1)(</w:t>
      </w:r>
      <w:r w:rsidRPr="00542573">
        <w:rPr>
          <w:i/>
          <w:lang w:val="en-CA"/>
        </w:rPr>
        <w:t>b</w:t>
      </w:r>
      <w:r w:rsidRPr="00542573">
        <w:rPr>
          <w:lang w:val="en-CA"/>
        </w:rPr>
        <w:t>) and</w:t>
      </w:r>
      <w:r w:rsidR="009E351F">
        <w:rPr>
          <w:lang w:val="en-CA"/>
        </w:rPr>
        <w:t> </w:t>
      </w:r>
      <w:r w:rsidRPr="00542573">
        <w:rPr>
          <w:lang w:val="en-CA"/>
        </w:rPr>
        <w:t>(</w:t>
      </w:r>
      <w:r w:rsidRPr="006C0449">
        <w:rPr>
          <w:i/>
          <w:lang w:val="en-CA"/>
        </w:rPr>
        <w:t>c</w:t>
      </w:r>
      <w:r w:rsidRPr="00542573">
        <w:rPr>
          <w:lang w:val="en-CA"/>
        </w:rPr>
        <w:t>)</w:t>
      </w:r>
      <w:r w:rsidR="009E351F">
        <w:rPr>
          <w:lang w:val="en-CA"/>
        </w:rPr>
        <w:t> </w:t>
      </w:r>
      <w:r w:rsidRPr="00542573">
        <w:rPr>
          <w:i/>
          <w:lang w:val="en-CA"/>
        </w:rPr>
        <w:t xml:space="preserve">Cr. C., </w:t>
      </w:r>
      <w:r w:rsidRPr="00542573">
        <w:rPr>
          <w:lang w:val="en-CA"/>
        </w:rPr>
        <w:t xml:space="preserve">arise at least in part from the fact that the offence of luring is one of the offences referred to in s. 161(1.1); the order to comply with the </w:t>
      </w:r>
      <w:r w:rsidRPr="00542573">
        <w:rPr>
          <w:i/>
          <w:lang w:val="en-CA"/>
        </w:rPr>
        <w:t>Sex Offender Information Registration Act</w:t>
      </w:r>
      <w:r w:rsidRPr="00542573">
        <w:rPr>
          <w:lang w:val="en-CA"/>
        </w:rPr>
        <w:t xml:space="preserve"> arises from the fact that luring is referred to in s. 490.011(1)</w:t>
      </w:r>
      <w:r w:rsidR="00552AF8">
        <w:rPr>
          <w:lang w:val="en-CA"/>
        </w:rPr>
        <w:t>(a</w:t>
      </w:r>
      <w:r w:rsidRPr="00542573">
        <w:rPr>
          <w:i/>
          <w:lang w:val="en-CA"/>
        </w:rPr>
        <w:t>)</w:t>
      </w:r>
      <w:r w:rsidRPr="00542573">
        <w:rPr>
          <w:lang w:val="en-CA"/>
        </w:rPr>
        <w:t xml:space="preserve">(x) </w:t>
      </w:r>
      <w:r w:rsidRPr="00542573">
        <w:rPr>
          <w:i/>
          <w:lang w:val="en-CA"/>
        </w:rPr>
        <w:t>Cr. C.</w:t>
      </w:r>
      <w:r w:rsidRPr="009B7B69">
        <w:rPr>
          <w:lang w:val="en-CA"/>
        </w:rPr>
        <w:t>,</w:t>
      </w:r>
      <w:r w:rsidRPr="00542573">
        <w:rPr>
          <w:i/>
          <w:lang w:val="en-CA"/>
        </w:rPr>
        <w:t xml:space="preserve"> </w:t>
      </w:r>
      <w:r w:rsidR="00552AF8">
        <w:rPr>
          <w:lang w:val="en-CA"/>
        </w:rPr>
        <w:t xml:space="preserve">and that </w:t>
      </w:r>
      <w:r w:rsidRPr="00542573">
        <w:rPr>
          <w:lang w:val="en-CA"/>
        </w:rPr>
        <w:t>order is for life due to the judge’s obligation to render it given the appellant’s convictions for sexual touching and luring (s. 490.013(2.1)</w:t>
      </w:r>
      <w:r w:rsidRPr="00542573">
        <w:rPr>
          <w:i/>
          <w:lang w:val="en-CA"/>
        </w:rPr>
        <w:t xml:space="preserve"> </w:t>
      </w:r>
      <w:r w:rsidRPr="00542573">
        <w:rPr>
          <w:lang w:val="en-CA"/>
        </w:rPr>
        <w:t>and</w:t>
      </w:r>
      <w:r w:rsidRPr="00542573">
        <w:rPr>
          <w:i/>
          <w:lang w:val="en-CA"/>
        </w:rPr>
        <w:t xml:space="preserve"> </w:t>
      </w:r>
      <w:r w:rsidRPr="00542573">
        <w:rPr>
          <w:lang w:val="en-CA"/>
        </w:rPr>
        <w:t>490.011(1)(</w:t>
      </w:r>
      <w:r w:rsidRPr="00542573">
        <w:rPr>
          <w:i/>
          <w:lang w:val="en-CA"/>
        </w:rPr>
        <w:t>a</w:t>
      </w:r>
      <w:r w:rsidRPr="00542573">
        <w:rPr>
          <w:lang w:val="en-CA"/>
        </w:rPr>
        <w:t xml:space="preserve">)(ii) and (x) </w:t>
      </w:r>
      <w:r w:rsidRPr="00542573">
        <w:rPr>
          <w:i/>
          <w:lang w:val="en-CA"/>
        </w:rPr>
        <w:t>Cr. C</w:t>
      </w:r>
      <w:r w:rsidRPr="00542573">
        <w:rPr>
          <w:lang w:val="en-CA"/>
        </w:rPr>
        <w:t xml:space="preserve">.); last, the order for the taking of samples of bodily substances from the accused for the purpose of forensic DNA </w:t>
      </w:r>
      <w:r w:rsidR="00552AF8">
        <w:rPr>
          <w:lang w:val="en-CA"/>
        </w:rPr>
        <w:t xml:space="preserve">analysis </w:t>
      </w:r>
      <w:r w:rsidRPr="00542573">
        <w:rPr>
          <w:lang w:val="en-CA"/>
        </w:rPr>
        <w:t>stems at least in part from the judge’s power to render it because luring is one of the primary offences defined in s. 487.04(</w:t>
      </w:r>
      <w:r w:rsidRPr="00542573">
        <w:rPr>
          <w:i/>
          <w:lang w:val="en-CA"/>
        </w:rPr>
        <w:t>a</w:t>
      </w:r>
      <w:r w:rsidRPr="00542573">
        <w:rPr>
          <w:lang w:val="en-CA"/>
        </w:rPr>
        <w:t xml:space="preserve">)(i.91) </w:t>
      </w:r>
      <w:r w:rsidRPr="00542573">
        <w:rPr>
          <w:i/>
          <w:lang w:val="en-CA"/>
        </w:rPr>
        <w:t>Cr. C.</w:t>
      </w:r>
    </w:p>
  </w:footnote>
  <w:footnote w:id="87">
    <w:p w14:paraId="74BB37CE" w14:textId="74DB6E59" w:rsidR="001426AD" w:rsidRPr="00BF5DBC" w:rsidRDefault="001426AD" w:rsidP="003E7773">
      <w:pPr>
        <w:pStyle w:val="Notedebasdepage"/>
      </w:pPr>
      <w:r w:rsidRPr="00542573">
        <w:rPr>
          <w:rStyle w:val="Appelnotedebasdep"/>
          <w:lang w:val="en-CA"/>
        </w:rPr>
        <w:footnoteRef/>
      </w:r>
      <w:r w:rsidRPr="00BF5DBC">
        <w:t xml:space="preserve"> </w:t>
      </w:r>
      <w:r w:rsidRPr="00BF5DBC">
        <w:tab/>
      </w:r>
      <w:r w:rsidRPr="00BF5DBC">
        <w:rPr>
          <w:i/>
        </w:rPr>
        <w:t>Harbour c. R</w:t>
      </w:r>
      <w:r w:rsidRPr="00BF5DBC">
        <w:t xml:space="preserve">., 2017 QCCA 404 at para. 81 </w:t>
      </w:r>
      <w:r w:rsidRPr="00BF5DBC">
        <w:rPr>
          <w:i/>
        </w:rPr>
        <w:t>et seq</w:t>
      </w:r>
      <w:r w:rsidRPr="00BF5DBC">
        <w:t xml:space="preserve">.; </w:t>
      </w:r>
      <w:r w:rsidRPr="00BF5DBC">
        <w:rPr>
          <w:i/>
        </w:rPr>
        <w:t>R. c. Rayo</w:t>
      </w:r>
      <w:r w:rsidRPr="00BF5DBC">
        <w:t xml:space="preserve">, </w:t>
      </w:r>
      <w:r w:rsidRPr="00BF5DBC">
        <w:rPr>
          <w:i/>
        </w:rPr>
        <w:t>supra</w:t>
      </w:r>
      <w:r>
        <w:t xml:space="preserve"> note 60 at paras. 108–</w:t>
      </w:r>
      <w:r w:rsidRPr="00BF5DBC">
        <w:t>109.</w:t>
      </w:r>
    </w:p>
  </w:footnote>
  <w:footnote w:id="88">
    <w:p w14:paraId="589C83C7" w14:textId="6F531764" w:rsidR="001426AD" w:rsidRPr="00BF5DBC" w:rsidRDefault="001426AD" w:rsidP="00562F60">
      <w:pPr>
        <w:pStyle w:val="Notedebasdepage"/>
      </w:pPr>
      <w:r w:rsidRPr="00542573">
        <w:rPr>
          <w:rStyle w:val="Appelnotedebasdep"/>
          <w:lang w:val="en-CA"/>
        </w:rPr>
        <w:footnoteRef/>
      </w:r>
      <w:r w:rsidRPr="00BF5DBC">
        <w:t xml:space="preserve"> </w:t>
      </w:r>
      <w:r w:rsidRPr="00BF5DBC">
        <w:tab/>
      </w:r>
      <w:r w:rsidRPr="00BF5DBC">
        <w:rPr>
          <w:i/>
        </w:rPr>
        <w:t>Lacelle Belec c. R</w:t>
      </w:r>
      <w:r w:rsidRPr="00BF5DBC">
        <w:t>., 2019 QCCA 711 at paras. 30, 33-35,</w:t>
      </w:r>
      <w:r w:rsidR="00552AF8">
        <w:t xml:space="preserve"> and</w:t>
      </w:r>
      <w:r w:rsidRPr="00BF5DBC">
        <w:t xml:space="preserve"> 89-90.</w:t>
      </w:r>
    </w:p>
  </w:footnote>
  <w:footnote w:id="89">
    <w:p w14:paraId="07785472" w14:textId="3AE61893" w:rsidR="001426AD" w:rsidRPr="00542573" w:rsidRDefault="001426AD" w:rsidP="00562F60">
      <w:pPr>
        <w:pStyle w:val="Notedebasdepage"/>
        <w:rPr>
          <w:lang w:val="en-CA"/>
        </w:rPr>
      </w:pPr>
      <w:r w:rsidRPr="00542573">
        <w:rPr>
          <w:rStyle w:val="Appelnotedebasdep"/>
          <w:lang w:val="en-CA"/>
        </w:rPr>
        <w:footnoteRef/>
      </w:r>
      <w:r w:rsidRPr="002A73C8">
        <w:t xml:space="preserve"> </w:t>
      </w:r>
      <w:r w:rsidRPr="002A73C8">
        <w:tab/>
      </w:r>
      <w:r w:rsidRPr="002A73C8">
        <w:rPr>
          <w:i/>
        </w:rPr>
        <w:t>Caron Barrette c. R.</w:t>
      </w:r>
      <w:r w:rsidRPr="002A73C8">
        <w:t xml:space="preserve">, </w:t>
      </w:r>
      <w:r w:rsidRPr="002A73C8">
        <w:rPr>
          <w:i/>
        </w:rPr>
        <w:t>supra</w:t>
      </w:r>
      <w:r w:rsidRPr="002A73C8">
        <w:t xml:space="preserve"> note 65 at para. 84, citing </w:t>
      </w:r>
      <w:r w:rsidRPr="002A73C8">
        <w:rPr>
          <w:i/>
        </w:rPr>
        <w:t>R. v. Nur</w:t>
      </w:r>
      <w:r w:rsidRPr="002A73C8">
        <w:t xml:space="preserve">, </w:t>
      </w:r>
      <w:r w:rsidRPr="002A73C8">
        <w:rPr>
          <w:i/>
        </w:rPr>
        <w:t>supra</w:t>
      </w:r>
      <w:r w:rsidRPr="002A73C8">
        <w:t xml:space="preserve"> note 57 at para. </w:t>
      </w:r>
      <w:r w:rsidRPr="006C0449">
        <w:rPr>
          <w:lang w:val="en-CA"/>
        </w:rPr>
        <w:t xml:space="preserve">45 </w:t>
      </w:r>
      <w:r w:rsidRPr="006C0449">
        <w:rPr>
          <w:i/>
          <w:lang w:val="en-CA"/>
        </w:rPr>
        <w:t>in fine</w:t>
      </w:r>
      <w:r w:rsidRPr="006C0449">
        <w:rPr>
          <w:lang w:val="en-CA"/>
        </w:rPr>
        <w:t>.</w:t>
      </w:r>
    </w:p>
  </w:footnote>
  <w:footnote w:id="90">
    <w:p w14:paraId="2E4C4327" w14:textId="652C2278" w:rsidR="001426AD" w:rsidRPr="00542573" w:rsidRDefault="001426AD" w:rsidP="00562F60">
      <w:pPr>
        <w:pStyle w:val="Notedebasdepage"/>
        <w:rPr>
          <w:lang w:val="en-CA"/>
        </w:rPr>
      </w:pPr>
      <w:r w:rsidRPr="00542573">
        <w:rPr>
          <w:rStyle w:val="Appelnotedebasdep"/>
          <w:lang w:val="en-CA"/>
        </w:rPr>
        <w:footnoteRef/>
      </w:r>
      <w:r w:rsidRPr="00542573">
        <w:rPr>
          <w:lang w:val="en-CA"/>
        </w:rPr>
        <w:t xml:space="preserve"> </w:t>
      </w:r>
      <w:r w:rsidRPr="00542573">
        <w:rPr>
          <w:lang w:val="en-CA"/>
        </w:rPr>
        <w:tab/>
      </w:r>
      <w:r w:rsidRPr="006C0449">
        <w:rPr>
          <w:i/>
          <w:lang w:val="en-CA"/>
        </w:rPr>
        <w:t>R. v. Morrison</w:t>
      </w:r>
      <w:r w:rsidRPr="006C0449">
        <w:rPr>
          <w:lang w:val="en-CA"/>
        </w:rPr>
        <w:t xml:space="preserve">, </w:t>
      </w:r>
      <w:r w:rsidRPr="006C0449">
        <w:rPr>
          <w:i/>
          <w:lang w:val="en-CA"/>
        </w:rPr>
        <w:t>supra</w:t>
      </w:r>
      <w:r w:rsidRPr="006C0449">
        <w:rPr>
          <w:lang w:val="en-CA"/>
        </w:rPr>
        <w:t xml:space="preserve"> note 70 at paras.</w:t>
      </w:r>
      <w:r w:rsidRPr="00542573">
        <w:rPr>
          <w:lang w:val="en-CA"/>
        </w:rPr>
        <w:t xml:space="preserve"> 146, 179 and 187.</w:t>
      </w:r>
    </w:p>
  </w:footnote>
  <w:footnote w:id="91">
    <w:p w14:paraId="3DF02BEC" w14:textId="77777777" w:rsidR="001426AD" w:rsidRPr="00542573" w:rsidRDefault="001426AD" w:rsidP="00441B8F">
      <w:pPr>
        <w:pStyle w:val="Notedebasdepage"/>
        <w:rPr>
          <w:lang w:val="en-CA"/>
        </w:rPr>
      </w:pPr>
      <w:r w:rsidRPr="00542573">
        <w:rPr>
          <w:rStyle w:val="Appelnotedebasdep"/>
          <w:lang w:val="en-CA"/>
        </w:rPr>
        <w:footnoteRef/>
      </w:r>
      <w:r w:rsidRPr="00542573">
        <w:rPr>
          <w:lang w:val="en-CA"/>
        </w:rPr>
        <w:t xml:space="preserve"> </w:t>
      </w:r>
      <w:r w:rsidRPr="00542573">
        <w:rPr>
          <w:lang w:val="en-CA"/>
        </w:rPr>
        <w:tab/>
      </w:r>
      <w:r w:rsidRPr="006C0449">
        <w:rPr>
          <w:i/>
          <w:lang w:val="en-CA"/>
        </w:rPr>
        <w:t>R. c. Rayo</w:t>
      </w:r>
      <w:r w:rsidRPr="006C0449">
        <w:rPr>
          <w:lang w:val="en-CA"/>
        </w:rPr>
        <w:t xml:space="preserve">, </w:t>
      </w:r>
      <w:r w:rsidRPr="006C0449">
        <w:rPr>
          <w:i/>
          <w:lang w:val="en-CA"/>
        </w:rPr>
        <w:t>supra</w:t>
      </w:r>
      <w:r w:rsidRPr="006C0449">
        <w:rPr>
          <w:lang w:val="en-CA"/>
        </w:rPr>
        <w:t xml:space="preserve"> note 60 at para.</w:t>
      </w:r>
      <w:r w:rsidRPr="00542573">
        <w:rPr>
          <w:lang w:val="en-CA"/>
        </w:rPr>
        <w:t xml:space="preserve"> 50, citing </w:t>
      </w:r>
      <w:r w:rsidRPr="00542573">
        <w:rPr>
          <w:i/>
          <w:lang w:val="en-CA"/>
        </w:rPr>
        <w:t>R. v. Delchev,</w:t>
      </w:r>
      <w:r w:rsidRPr="00542573">
        <w:rPr>
          <w:lang w:val="en-CA"/>
        </w:rPr>
        <w:t xml:space="preserve"> 2014 ONCA 448 at para. 34.</w:t>
      </w:r>
    </w:p>
  </w:footnote>
  <w:footnote w:id="92">
    <w:p w14:paraId="704D0CA0" w14:textId="17925917" w:rsidR="001426AD" w:rsidRPr="00542573" w:rsidRDefault="001426AD" w:rsidP="00441B8F">
      <w:pPr>
        <w:pStyle w:val="Notedebasdepage"/>
        <w:rPr>
          <w:lang w:val="en-CA"/>
        </w:rPr>
      </w:pPr>
      <w:r w:rsidRPr="00542573">
        <w:rPr>
          <w:rStyle w:val="Appelnotedebasdep"/>
          <w:lang w:val="en-CA"/>
        </w:rPr>
        <w:footnoteRef/>
      </w:r>
      <w:r w:rsidRPr="00542573">
        <w:rPr>
          <w:lang w:val="en-CA"/>
        </w:rPr>
        <w:t xml:space="preserve"> </w:t>
      </w:r>
      <w:r w:rsidRPr="00542573">
        <w:rPr>
          <w:lang w:val="en-CA"/>
        </w:rPr>
        <w:tab/>
        <w:t xml:space="preserve">E.g., offences committed against one or more children under s. 718.3(7) </w:t>
      </w:r>
      <w:r w:rsidRPr="00542573">
        <w:rPr>
          <w:i/>
          <w:lang w:val="en-CA"/>
        </w:rPr>
        <w:t>Cr. C</w:t>
      </w:r>
      <w:r w:rsidRPr="00542573">
        <w:rPr>
          <w:lang w:val="en-CA"/>
        </w:rPr>
        <w:t xml:space="preserve">. </w:t>
      </w:r>
    </w:p>
  </w:footnote>
  <w:footnote w:id="93">
    <w:p w14:paraId="3CE821B2" w14:textId="5DB61C97" w:rsidR="001426AD" w:rsidRPr="00542573" w:rsidRDefault="001426AD" w:rsidP="00562F60">
      <w:pPr>
        <w:pStyle w:val="Notedebasdepage"/>
        <w:rPr>
          <w:lang w:val="en-CA"/>
        </w:rPr>
      </w:pPr>
      <w:r w:rsidRPr="00542573">
        <w:rPr>
          <w:rStyle w:val="Appelnotedebasdep"/>
          <w:lang w:val="en-CA"/>
        </w:rPr>
        <w:footnoteRef/>
      </w:r>
      <w:r w:rsidRPr="00542573">
        <w:rPr>
          <w:lang w:val="en-CA"/>
        </w:rPr>
        <w:t xml:space="preserve"> </w:t>
      </w:r>
      <w:r w:rsidRPr="00542573">
        <w:rPr>
          <w:lang w:val="en-CA"/>
        </w:rPr>
        <w:tab/>
      </w:r>
      <w:r w:rsidRPr="006C0449">
        <w:rPr>
          <w:i/>
          <w:lang w:val="en-CA"/>
        </w:rPr>
        <w:t>R. c. McDonnell</w:t>
      </w:r>
      <w:r w:rsidRPr="006C0449">
        <w:rPr>
          <w:lang w:val="en-CA"/>
        </w:rPr>
        <w:t>, [1997] 1 S.C.R.</w:t>
      </w:r>
      <w:r w:rsidRPr="00542573">
        <w:rPr>
          <w:lang w:val="en-CA"/>
        </w:rPr>
        <w:t xml:space="preserve"> </w:t>
      </w:r>
      <w:r w:rsidRPr="006C0449">
        <w:rPr>
          <w:lang w:val="en-CA"/>
        </w:rPr>
        <w:t>948 at para.</w:t>
      </w:r>
      <w:r w:rsidRPr="00542573">
        <w:rPr>
          <w:lang w:val="en-CA"/>
        </w:rPr>
        <w:t xml:space="preserve"> </w:t>
      </w:r>
      <w:r w:rsidRPr="002A1D40">
        <w:t xml:space="preserve">46; </w:t>
      </w:r>
      <w:r w:rsidRPr="002A1D40">
        <w:rPr>
          <w:i/>
        </w:rPr>
        <w:t>R. c. Bisson</w:t>
      </w:r>
      <w:r w:rsidRPr="002A1D40">
        <w:t xml:space="preserve">, 2019 QCCA 2012 at para. 8; </w:t>
      </w:r>
      <w:r w:rsidRPr="002A1D40">
        <w:rPr>
          <w:i/>
        </w:rPr>
        <w:t>R. c. Desjardins</w:t>
      </w:r>
      <w:r w:rsidRPr="002A1D40">
        <w:t xml:space="preserve">, 2017 QCCA 196 at para. </w:t>
      </w:r>
      <w:r w:rsidRPr="006C0449">
        <w:rPr>
          <w:lang w:val="en-CA"/>
        </w:rPr>
        <w:t xml:space="preserve">16; </w:t>
      </w:r>
      <w:r w:rsidRPr="006C0449">
        <w:rPr>
          <w:i/>
          <w:lang w:val="en-CA"/>
        </w:rPr>
        <w:t>R. c. Aoun</w:t>
      </w:r>
      <w:r w:rsidRPr="006C0449">
        <w:rPr>
          <w:lang w:val="en-CA"/>
        </w:rPr>
        <w:t>, 2008 QCCA 440 at para.</w:t>
      </w:r>
      <w:r w:rsidRPr="00542573">
        <w:rPr>
          <w:lang w:val="en-CA"/>
        </w:rPr>
        <w:t xml:space="preserve"> 36.</w:t>
      </w:r>
    </w:p>
  </w:footnote>
  <w:footnote w:id="94">
    <w:p w14:paraId="4ED3693F" w14:textId="195CEE8E" w:rsidR="001426AD" w:rsidRPr="00542573" w:rsidRDefault="001426AD" w:rsidP="00441B8F">
      <w:pPr>
        <w:pStyle w:val="Notedebasdepage"/>
        <w:rPr>
          <w:lang w:val="en-CA"/>
        </w:rPr>
      </w:pPr>
      <w:r w:rsidRPr="00542573">
        <w:rPr>
          <w:rStyle w:val="Appelnotedebasdep"/>
          <w:lang w:val="en-CA"/>
        </w:rPr>
        <w:footnoteRef/>
      </w:r>
      <w:r w:rsidRPr="00542573">
        <w:rPr>
          <w:lang w:val="en-CA"/>
        </w:rPr>
        <w:t xml:space="preserve"> </w:t>
      </w:r>
      <w:r w:rsidRPr="00542573">
        <w:rPr>
          <w:lang w:val="en-CA"/>
        </w:rPr>
        <w:tab/>
      </w:r>
      <w:r w:rsidRPr="006C0449">
        <w:rPr>
          <w:i/>
          <w:lang w:val="en-CA"/>
        </w:rPr>
        <w:t>Ibid.</w:t>
      </w:r>
      <w:r w:rsidRPr="006C0449">
        <w:rPr>
          <w:lang w:val="en-CA"/>
        </w:rPr>
        <w:t xml:space="preserve"> at paras.</w:t>
      </w:r>
      <w:r w:rsidRPr="00542573">
        <w:rPr>
          <w:lang w:val="en-CA"/>
        </w:rPr>
        <w:t xml:space="preserve"> </w:t>
      </w:r>
      <w:r w:rsidRPr="006C0449">
        <w:rPr>
          <w:lang w:val="en-CA"/>
        </w:rPr>
        <w:t>137</w:t>
      </w:r>
      <w:r>
        <w:rPr>
          <w:lang w:val="en-CA"/>
        </w:rPr>
        <w:t>–</w:t>
      </w:r>
      <w:r w:rsidRPr="006C0449">
        <w:rPr>
          <w:lang w:val="en-CA"/>
        </w:rPr>
        <w:t>139 and 141.</w:t>
      </w:r>
      <w:r w:rsidRPr="00542573">
        <w:rPr>
          <w:lang w:val="en-CA"/>
        </w:rPr>
        <w:t xml:space="preserve"> </w:t>
      </w:r>
    </w:p>
  </w:footnote>
  <w:footnote w:id="95">
    <w:p w14:paraId="25809A3F" w14:textId="1D388944" w:rsidR="001426AD" w:rsidRPr="00542573" w:rsidRDefault="001426AD" w:rsidP="00562F60">
      <w:pPr>
        <w:pStyle w:val="Notedebasdepage"/>
        <w:rPr>
          <w:lang w:val="en-CA"/>
        </w:rPr>
      </w:pPr>
      <w:r w:rsidRPr="00542573">
        <w:rPr>
          <w:rStyle w:val="Appelnotedebasdep"/>
          <w:lang w:val="en-CA"/>
        </w:rPr>
        <w:footnoteRef/>
      </w:r>
      <w:r w:rsidRPr="00542573">
        <w:rPr>
          <w:lang w:val="en-CA"/>
        </w:rPr>
        <w:t xml:space="preserve"> </w:t>
      </w:r>
      <w:r w:rsidRPr="00542573">
        <w:rPr>
          <w:lang w:val="en-CA"/>
        </w:rPr>
        <w:tab/>
      </w:r>
      <w:r w:rsidRPr="006C0449">
        <w:rPr>
          <w:lang w:val="en-CA"/>
        </w:rPr>
        <w:t>Judgment under appeal at paras.</w:t>
      </w:r>
      <w:r w:rsidRPr="00542573">
        <w:rPr>
          <w:lang w:val="en-CA"/>
        </w:rPr>
        <w:t xml:space="preserve"> 78</w:t>
      </w:r>
      <w:r>
        <w:rPr>
          <w:lang w:val="en-CA"/>
        </w:rPr>
        <w:t>–</w:t>
      </w:r>
      <w:r w:rsidRPr="00542573">
        <w:rPr>
          <w:lang w:val="en-CA"/>
        </w:rPr>
        <w:t>79.</w:t>
      </w:r>
    </w:p>
  </w:footnote>
  <w:footnote w:id="96">
    <w:p w14:paraId="02B45038" w14:textId="77777777" w:rsidR="001426AD" w:rsidRPr="00542573" w:rsidRDefault="001426AD" w:rsidP="00C22580">
      <w:pPr>
        <w:pStyle w:val="Notedebasdepage"/>
        <w:rPr>
          <w:lang w:val="en-CA"/>
        </w:rPr>
      </w:pPr>
      <w:r w:rsidRPr="00542573">
        <w:rPr>
          <w:rStyle w:val="Appelnotedebasdep"/>
          <w:lang w:val="en-CA"/>
        </w:rPr>
        <w:footnoteRef/>
      </w:r>
      <w:r w:rsidRPr="00542573">
        <w:rPr>
          <w:lang w:val="en-CA"/>
        </w:rPr>
        <w:t xml:space="preserve"> </w:t>
      </w:r>
      <w:r w:rsidRPr="00542573">
        <w:rPr>
          <w:lang w:val="en-CA"/>
        </w:rPr>
        <w:tab/>
      </w:r>
      <w:r w:rsidRPr="006C0449">
        <w:rPr>
          <w:i/>
          <w:lang w:val="en-CA"/>
        </w:rPr>
        <w:t>R. v. Morrison</w:t>
      </w:r>
      <w:r w:rsidRPr="006C0449">
        <w:rPr>
          <w:lang w:val="en-CA"/>
        </w:rPr>
        <w:t xml:space="preserve">, </w:t>
      </w:r>
      <w:r w:rsidRPr="006C0449">
        <w:rPr>
          <w:i/>
          <w:lang w:val="en-CA"/>
        </w:rPr>
        <w:t>supra</w:t>
      </w:r>
      <w:r w:rsidRPr="006C0449">
        <w:rPr>
          <w:lang w:val="en-CA"/>
        </w:rPr>
        <w:t xml:space="preserve"> note 70.</w:t>
      </w:r>
    </w:p>
  </w:footnote>
  <w:footnote w:id="97">
    <w:p w14:paraId="09F7081C" w14:textId="18318587" w:rsidR="001426AD" w:rsidRPr="00542573" w:rsidRDefault="001426AD" w:rsidP="00562F60">
      <w:pPr>
        <w:pStyle w:val="Notedebasdepage"/>
        <w:rPr>
          <w:lang w:val="en-CA"/>
        </w:rPr>
      </w:pPr>
      <w:r w:rsidRPr="00542573">
        <w:rPr>
          <w:rStyle w:val="Appelnotedebasdep"/>
          <w:lang w:val="en-CA"/>
        </w:rPr>
        <w:footnoteRef/>
      </w:r>
      <w:r w:rsidRPr="00542573">
        <w:rPr>
          <w:lang w:val="en-CA"/>
        </w:rPr>
        <w:t xml:space="preserve"> </w:t>
      </w:r>
      <w:r w:rsidRPr="00542573">
        <w:rPr>
          <w:lang w:val="en-CA"/>
        </w:rPr>
        <w:tab/>
      </w:r>
      <w:r w:rsidRPr="006C0449">
        <w:rPr>
          <w:i/>
          <w:lang w:val="en-CA"/>
        </w:rPr>
        <w:t>Ibid</w:t>
      </w:r>
      <w:r w:rsidRPr="006C0449">
        <w:rPr>
          <w:lang w:val="en-CA"/>
        </w:rPr>
        <w:t>. at para.</w:t>
      </w:r>
      <w:r w:rsidRPr="00542573">
        <w:rPr>
          <w:lang w:val="en-CA"/>
        </w:rPr>
        <w:t xml:space="preserve"> 145.</w:t>
      </w:r>
    </w:p>
  </w:footnote>
  <w:footnote w:id="98">
    <w:p w14:paraId="53A0958F" w14:textId="1A152269" w:rsidR="001426AD" w:rsidRPr="00B2387F" w:rsidRDefault="001426AD" w:rsidP="00795D32">
      <w:pPr>
        <w:pStyle w:val="Notedebasdepage"/>
        <w:rPr>
          <w:lang w:val="en-CA"/>
        </w:rPr>
      </w:pPr>
      <w:r>
        <w:rPr>
          <w:rStyle w:val="Appelnotedebasdep"/>
        </w:rPr>
        <w:footnoteRef/>
      </w:r>
      <w:r w:rsidRPr="00B2387F">
        <w:rPr>
          <w:lang w:val="en-CA"/>
        </w:rPr>
        <w:t xml:space="preserve"> </w:t>
      </w:r>
      <w:r w:rsidRPr="00B2387F">
        <w:rPr>
          <w:lang w:val="en-CA"/>
        </w:rPr>
        <w:tab/>
      </w:r>
      <w:r w:rsidRPr="00B2387F">
        <w:rPr>
          <w:i/>
          <w:lang w:val="en-CA"/>
        </w:rPr>
        <w:t>I</w:t>
      </w:r>
      <w:r>
        <w:rPr>
          <w:i/>
          <w:lang w:val="en-CA"/>
        </w:rPr>
        <w:t>bid.</w:t>
      </w:r>
      <w:r>
        <w:rPr>
          <w:lang w:val="en-CA"/>
        </w:rPr>
        <w:t xml:space="preserve"> at</w:t>
      </w:r>
      <w:r w:rsidRPr="00B2387F">
        <w:rPr>
          <w:lang w:val="en-CA"/>
        </w:rPr>
        <w:t xml:space="preserve"> para. 146.</w:t>
      </w:r>
    </w:p>
  </w:footnote>
  <w:footnote w:id="99">
    <w:p w14:paraId="1E356A34" w14:textId="77777777" w:rsidR="001426AD" w:rsidRPr="00542573" w:rsidRDefault="001426AD" w:rsidP="00562F60">
      <w:pPr>
        <w:pStyle w:val="Notedebasdepage"/>
        <w:rPr>
          <w:lang w:val="en-CA"/>
        </w:rPr>
      </w:pPr>
      <w:r w:rsidRPr="00542573">
        <w:rPr>
          <w:rStyle w:val="Appelnotedebasdep"/>
          <w:lang w:val="en-CA"/>
        </w:rPr>
        <w:footnoteRef/>
      </w:r>
      <w:r w:rsidRPr="00542573">
        <w:rPr>
          <w:lang w:val="en-CA"/>
        </w:rPr>
        <w:t xml:space="preserve"> </w:t>
      </w:r>
      <w:r w:rsidRPr="00542573">
        <w:rPr>
          <w:lang w:val="en-CA"/>
        </w:rPr>
        <w:tab/>
      </w:r>
      <w:r w:rsidRPr="006C0449">
        <w:rPr>
          <w:i/>
          <w:lang w:val="en-CA"/>
        </w:rPr>
        <w:t>Ibid</w:t>
      </w:r>
      <w:r w:rsidRPr="006C0449">
        <w:rPr>
          <w:lang w:val="en-CA"/>
        </w:rPr>
        <w:t>.</w:t>
      </w:r>
    </w:p>
  </w:footnote>
  <w:footnote w:id="100">
    <w:p w14:paraId="02380D8F" w14:textId="6BBD3816" w:rsidR="001426AD" w:rsidRPr="00542573" w:rsidRDefault="001426AD" w:rsidP="00562F60">
      <w:pPr>
        <w:pStyle w:val="Notedebasdepage"/>
        <w:rPr>
          <w:lang w:val="en-CA"/>
        </w:rPr>
      </w:pPr>
      <w:r w:rsidRPr="00542573">
        <w:rPr>
          <w:rStyle w:val="Appelnotedebasdep"/>
          <w:lang w:val="en-CA"/>
        </w:rPr>
        <w:footnoteRef/>
      </w:r>
      <w:r w:rsidRPr="00542573">
        <w:rPr>
          <w:lang w:val="en-CA"/>
        </w:rPr>
        <w:t xml:space="preserve"> </w:t>
      </w:r>
      <w:r w:rsidRPr="00542573">
        <w:rPr>
          <w:lang w:val="en-CA"/>
        </w:rPr>
        <w:tab/>
      </w:r>
      <w:r w:rsidRPr="006C0449">
        <w:rPr>
          <w:i/>
          <w:lang w:val="en-CA"/>
        </w:rPr>
        <w:t>Ibid</w:t>
      </w:r>
      <w:r w:rsidRPr="006C0449">
        <w:rPr>
          <w:lang w:val="en-CA"/>
        </w:rPr>
        <w:t>. at para.</w:t>
      </w:r>
      <w:r w:rsidRPr="00542573">
        <w:rPr>
          <w:lang w:val="en-CA"/>
        </w:rPr>
        <w:t xml:space="preserve"> 162.</w:t>
      </w:r>
    </w:p>
  </w:footnote>
  <w:footnote w:id="101">
    <w:p w14:paraId="3B6CD10F" w14:textId="69B0CD80" w:rsidR="001426AD" w:rsidRPr="00542573" w:rsidRDefault="001426AD" w:rsidP="00562F60">
      <w:pPr>
        <w:pStyle w:val="Notedebasdepage"/>
        <w:rPr>
          <w:lang w:val="en-CA"/>
        </w:rPr>
      </w:pPr>
      <w:r w:rsidRPr="00542573">
        <w:rPr>
          <w:rStyle w:val="Appelnotedebasdep"/>
          <w:lang w:val="en-CA"/>
        </w:rPr>
        <w:footnoteRef/>
      </w:r>
      <w:r w:rsidRPr="00542573">
        <w:rPr>
          <w:lang w:val="en-CA"/>
        </w:rPr>
        <w:t xml:space="preserve"> </w:t>
      </w:r>
      <w:r w:rsidRPr="00542573">
        <w:rPr>
          <w:lang w:val="en-CA"/>
        </w:rPr>
        <w:tab/>
      </w:r>
      <w:r w:rsidRPr="006C0449">
        <w:rPr>
          <w:i/>
          <w:lang w:val="en-CA"/>
        </w:rPr>
        <w:t>Ibid</w:t>
      </w:r>
      <w:r w:rsidRPr="006C0449">
        <w:rPr>
          <w:lang w:val="en-CA"/>
        </w:rPr>
        <w:t>. at para.</w:t>
      </w:r>
      <w:r w:rsidRPr="00542573">
        <w:rPr>
          <w:lang w:val="en-CA"/>
        </w:rPr>
        <w:t xml:space="preserve"> 179.</w:t>
      </w:r>
    </w:p>
  </w:footnote>
  <w:footnote w:id="102">
    <w:p w14:paraId="5743400A" w14:textId="77777777" w:rsidR="001426AD" w:rsidRPr="00542573" w:rsidRDefault="001426AD" w:rsidP="002E0B74">
      <w:pPr>
        <w:pStyle w:val="Notedebasdepage"/>
        <w:rPr>
          <w:lang w:val="en-CA"/>
        </w:rPr>
      </w:pPr>
      <w:r w:rsidRPr="00542573">
        <w:rPr>
          <w:rStyle w:val="Appelnotedebasdep"/>
          <w:lang w:val="en-CA"/>
        </w:rPr>
        <w:footnoteRef/>
      </w:r>
      <w:r w:rsidRPr="00542573">
        <w:rPr>
          <w:lang w:val="en-CA"/>
        </w:rPr>
        <w:t xml:space="preserve"> </w:t>
      </w:r>
      <w:r w:rsidRPr="00542573">
        <w:rPr>
          <w:lang w:val="en-CA"/>
        </w:rPr>
        <w:tab/>
      </w:r>
      <w:r w:rsidRPr="006C0449">
        <w:rPr>
          <w:i/>
          <w:lang w:val="en-CA"/>
        </w:rPr>
        <w:t>R. c. Lefrançois</w:t>
      </w:r>
      <w:r w:rsidRPr="006C0449">
        <w:rPr>
          <w:lang w:val="en-CA"/>
        </w:rPr>
        <w:t xml:space="preserve">, 2018 QCCA 1793 (leave to appeal to the S.C.C. refused </w:t>
      </w:r>
      <w:r w:rsidRPr="00542573">
        <w:rPr>
          <w:lang w:val="en-CA"/>
        </w:rPr>
        <w:t>38470</w:t>
      </w:r>
      <w:r w:rsidRPr="006C0449">
        <w:rPr>
          <w:lang w:val="en-CA"/>
        </w:rPr>
        <w:t xml:space="preserve"> (13 June 2019).</w:t>
      </w:r>
    </w:p>
  </w:footnote>
  <w:footnote w:id="103">
    <w:p w14:paraId="1B7FE821" w14:textId="1F6B4DBC" w:rsidR="001426AD" w:rsidRPr="00542573" w:rsidRDefault="001426AD" w:rsidP="00562F60">
      <w:pPr>
        <w:pStyle w:val="Notedebasdepage"/>
        <w:rPr>
          <w:lang w:val="en-CA"/>
        </w:rPr>
      </w:pPr>
      <w:r w:rsidRPr="00542573">
        <w:rPr>
          <w:rStyle w:val="Appelnotedebasdep"/>
          <w:lang w:val="en-CA"/>
        </w:rPr>
        <w:footnoteRef/>
      </w:r>
      <w:r w:rsidRPr="00542573">
        <w:rPr>
          <w:lang w:val="en-CA"/>
        </w:rPr>
        <w:t xml:space="preserve"> </w:t>
      </w:r>
      <w:r w:rsidRPr="00542573">
        <w:rPr>
          <w:lang w:val="en-CA"/>
        </w:rPr>
        <w:tab/>
      </w:r>
      <w:r w:rsidRPr="006C0449">
        <w:rPr>
          <w:i/>
          <w:lang w:val="en-CA"/>
        </w:rPr>
        <w:t>R. v. Morrison</w:t>
      </w:r>
      <w:r w:rsidRPr="006C0449">
        <w:rPr>
          <w:lang w:val="en-CA"/>
        </w:rPr>
        <w:t xml:space="preserve">, </w:t>
      </w:r>
      <w:r w:rsidRPr="006C0449">
        <w:rPr>
          <w:i/>
          <w:lang w:val="en-CA"/>
        </w:rPr>
        <w:t>supra</w:t>
      </w:r>
      <w:r w:rsidRPr="006C0449">
        <w:rPr>
          <w:lang w:val="en-CA"/>
        </w:rPr>
        <w:t xml:space="preserve"> note 70 at para.</w:t>
      </w:r>
      <w:r w:rsidRPr="00542573">
        <w:rPr>
          <w:lang w:val="en-CA"/>
        </w:rPr>
        <w:t xml:space="preserve"> 163.</w:t>
      </w:r>
    </w:p>
  </w:footnote>
  <w:footnote w:id="104">
    <w:p w14:paraId="04B20AFD" w14:textId="77777777" w:rsidR="001426AD" w:rsidRPr="00542573" w:rsidRDefault="001426AD" w:rsidP="000F5D02">
      <w:pPr>
        <w:pStyle w:val="Notedebasdepage"/>
        <w:rPr>
          <w:lang w:val="en-CA"/>
        </w:rPr>
      </w:pPr>
      <w:r w:rsidRPr="00542573">
        <w:rPr>
          <w:rStyle w:val="Appelnotedebasdep"/>
          <w:lang w:val="en-CA"/>
        </w:rPr>
        <w:footnoteRef/>
      </w:r>
      <w:r w:rsidRPr="00542573">
        <w:rPr>
          <w:lang w:val="en-CA"/>
        </w:rPr>
        <w:t xml:space="preserve"> </w:t>
      </w:r>
      <w:r w:rsidRPr="00542573">
        <w:rPr>
          <w:lang w:val="en-CA"/>
        </w:rPr>
        <w:tab/>
      </w:r>
      <w:r w:rsidRPr="006C0449">
        <w:rPr>
          <w:i/>
          <w:lang w:val="en-CA"/>
        </w:rPr>
        <w:t>R. v. Lloyd</w:t>
      </w:r>
      <w:r w:rsidRPr="006C0449">
        <w:rPr>
          <w:lang w:val="en-CA"/>
        </w:rPr>
        <w:t xml:space="preserve">, </w:t>
      </w:r>
      <w:r w:rsidRPr="006C0449">
        <w:rPr>
          <w:i/>
          <w:lang w:val="en-CA"/>
        </w:rPr>
        <w:t>supra</w:t>
      </w:r>
      <w:r w:rsidRPr="006C0449">
        <w:rPr>
          <w:lang w:val="en-CA"/>
        </w:rPr>
        <w:t xml:space="preserve"> note 57.</w:t>
      </w:r>
    </w:p>
  </w:footnote>
  <w:footnote w:id="105">
    <w:p w14:paraId="2E1C4FFF" w14:textId="13274B7E" w:rsidR="001426AD" w:rsidRPr="00542573" w:rsidRDefault="001426AD" w:rsidP="00562F60">
      <w:pPr>
        <w:pStyle w:val="Notedebasdepage"/>
        <w:rPr>
          <w:lang w:val="en-CA"/>
        </w:rPr>
      </w:pPr>
      <w:r w:rsidRPr="00542573">
        <w:rPr>
          <w:rStyle w:val="Appelnotedebasdep"/>
          <w:lang w:val="en-CA"/>
        </w:rPr>
        <w:footnoteRef/>
      </w:r>
      <w:r w:rsidRPr="00542573">
        <w:rPr>
          <w:lang w:val="en-CA"/>
        </w:rPr>
        <w:t xml:space="preserve"> </w:t>
      </w:r>
      <w:r w:rsidRPr="00542573">
        <w:rPr>
          <w:lang w:val="en-CA"/>
        </w:rPr>
        <w:tab/>
      </w:r>
      <w:r w:rsidRPr="006C0449">
        <w:rPr>
          <w:i/>
          <w:lang w:val="en-CA"/>
        </w:rPr>
        <w:t>Ibid</w:t>
      </w:r>
      <w:r w:rsidRPr="006C0449">
        <w:rPr>
          <w:lang w:val="en-CA"/>
        </w:rPr>
        <w:t>. at para.</w:t>
      </w:r>
      <w:r w:rsidRPr="00542573">
        <w:rPr>
          <w:lang w:val="en-CA"/>
        </w:rPr>
        <w:t xml:space="preserve"> 34.</w:t>
      </w:r>
    </w:p>
  </w:footnote>
  <w:footnote w:id="106">
    <w:p w14:paraId="0F35BADD" w14:textId="77777777" w:rsidR="001426AD" w:rsidRPr="00542573" w:rsidRDefault="001426AD" w:rsidP="00562F60">
      <w:pPr>
        <w:pStyle w:val="Notedebasdepage"/>
        <w:rPr>
          <w:lang w:val="en-CA"/>
        </w:rPr>
      </w:pPr>
      <w:r w:rsidRPr="00542573">
        <w:rPr>
          <w:rStyle w:val="Appelnotedebasdep"/>
          <w:lang w:val="en-CA"/>
        </w:rPr>
        <w:footnoteRef/>
      </w:r>
      <w:r w:rsidRPr="00542573">
        <w:rPr>
          <w:lang w:val="en-CA"/>
        </w:rPr>
        <w:t xml:space="preserve"> </w:t>
      </w:r>
      <w:r w:rsidRPr="00542573">
        <w:rPr>
          <w:lang w:val="en-CA"/>
        </w:rPr>
        <w:tab/>
      </w:r>
      <w:r w:rsidRPr="006C0449">
        <w:rPr>
          <w:i/>
          <w:lang w:val="en-CA"/>
        </w:rPr>
        <w:t>Ibid</w:t>
      </w:r>
      <w:r w:rsidRPr="006C0449">
        <w:rPr>
          <w:lang w:val="en-CA"/>
        </w:rPr>
        <w:t>.</w:t>
      </w:r>
    </w:p>
  </w:footnote>
  <w:footnote w:id="107">
    <w:p w14:paraId="1B4E5FDE" w14:textId="00E47684" w:rsidR="001426AD" w:rsidRPr="00542573" w:rsidRDefault="001426AD" w:rsidP="00562F60">
      <w:pPr>
        <w:pStyle w:val="Notedebasdepage"/>
        <w:rPr>
          <w:lang w:val="en-CA"/>
        </w:rPr>
      </w:pPr>
      <w:r w:rsidRPr="00542573">
        <w:rPr>
          <w:rStyle w:val="Appelnotedebasdep"/>
          <w:lang w:val="en-CA"/>
        </w:rPr>
        <w:footnoteRef/>
      </w:r>
      <w:r w:rsidRPr="00542573">
        <w:rPr>
          <w:lang w:val="en-CA"/>
        </w:rPr>
        <w:t xml:space="preserve"> </w:t>
      </w:r>
      <w:r w:rsidRPr="00542573">
        <w:rPr>
          <w:lang w:val="en-CA"/>
        </w:rPr>
        <w:tab/>
      </w:r>
      <w:r w:rsidR="00356E88">
        <w:rPr>
          <w:lang w:val="en-CA"/>
        </w:rPr>
        <w:t>Judgment under appeal at</w:t>
      </w:r>
      <w:r w:rsidRPr="006C0449">
        <w:rPr>
          <w:lang w:val="en-CA"/>
        </w:rPr>
        <w:t xml:space="preserve"> paras.</w:t>
      </w:r>
      <w:r w:rsidRPr="00542573">
        <w:rPr>
          <w:lang w:val="en-CA"/>
        </w:rPr>
        <w:t xml:space="preserve"> 82.</w:t>
      </w:r>
    </w:p>
  </w:footnote>
  <w:footnote w:id="108">
    <w:p w14:paraId="28C0883D" w14:textId="77777777" w:rsidR="001426AD" w:rsidRPr="00542573" w:rsidRDefault="001426AD" w:rsidP="00562F60">
      <w:pPr>
        <w:pStyle w:val="Notedebasdepage"/>
        <w:rPr>
          <w:lang w:val="en-CA"/>
        </w:rPr>
      </w:pPr>
      <w:r w:rsidRPr="00542573">
        <w:rPr>
          <w:rStyle w:val="Appelnotedebasdep"/>
          <w:lang w:val="en-CA"/>
        </w:rPr>
        <w:footnoteRef/>
      </w:r>
      <w:r w:rsidRPr="00542573">
        <w:rPr>
          <w:lang w:val="en-CA"/>
        </w:rPr>
        <w:t xml:space="preserve"> </w:t>
      </w:r>
      <w:r w:rsidRPr="00542573">
        <w:rPr>
          <w:lang w:val="en-CA"/>
        </w:rPr>
        <w:tab/>
      </w:r>
      <w:r w:rsidRPr="006C0449">
        <w:rPr>
          <w:i/>
          <w:lang w:val="en-CA"/>
        </w:rPr>
        <w:t>Ibid.</w:t>
      </w:r>
    </w:p>
  </w:footnote>
  <w:footnote w:id="109">
    <w:p w14:paraId="7D3755A9" w14:textId="32E4D744" w:rsidR="001426AD" w:rsidRPr="00542573" w:rsidRDefault="001426AD" w:rsidP="00562F60">
      <w:pPr>
        <w:pStyle w:val="Notedebasdepage"/>
        <w:rPr>
          <w:lang w:val="en-CA"/>
        </w:rPr>
      </w:pPr>
      <w:r w:rsidRPr="00542573">
        <w:rPr>
          <w:rStyle w:val="Appelnotedebasdep"/>
          <w:lang w:val="en-CA"/>
        </w:rPr>
        <w:footnoteRef/>
      </w:r>
      <w:r w:rsidRPr="00542573">
        <w:rPr>
          <w:lang w:val="en-CA"/>
        </w:rPr>
        <w:t xml:space="preserve"> </w:t>
      </w:r>
      <w:r w:rsidRPr="00542573">
        <w:rPr>
          <w:lang w:val="en-CA"/>
        </w:rPr>
        <w:tab/>
      </w:r>
      <w:r w:rsidRPr="006C0449">
        <w:rPr>
          <w:i/>
          <w:lang w:val="en-CA"/>
        </w:rPr>
        <w:t>R. v. Goltz</w:t>
      </w:r>
      <w:r w:rsidRPr="006C0449">
        <w:rPr>
          <w:lang w:val="en-CA"/>
        </w:rPr>
        <w:t>, [1991] 3 S.C.R.</w:t>
      </w:r>
      <w:r w:rsidRPr="00542573">
        <w:rPr>
          <w:lang w:val="en-CA"/>
        </w:rPr>
        <w:t xml:space="preserve"> </w:t>
      </w:r>
      <w:r w:rsidRPr="006C0449">
        <w:rPr>
          <w:lang w:val="en-CA"/>
        </w:rPr>
        <w:t xml:space="preserve">485 at 505; </w:t>
      </w:r>
      <w:r w:rsidRPr="006C0449">
        <w:rPr>
          <w:i/>
          <w:lang w:val="en-CA"/>
        </w:rPr>
        <w:t>R. v. Nur</w:t>
      </w:r>
      <w:r w:rsidRPr="006C0449">
        <w:rPr>
          <w:lang w:val="en-CA"/>
        </w:rPr>
        <w:t xml:space="preserve">, </w:t>
      </w:r>
      <w:r w:rsidRPr="006C0449">
        <w:rPr>
          <w:i/>
          <w:lang w:val="en-CA"/>
        </w:rPr>
        <w:t>supra</w:t>
      </w:r>
      <w:r w:rsidRPr="006C0449">
        <w:rPr>
          <w:lang w:val="en-CA"/>
        </w:rPr>
        <w:t xml:space="preserve"> note 57 at para.</w:t>
      </w:r>
      <w:r w:rsidRPr="00542573">
        <w:rPr>
          <w:lang w:val="en-CA"/>
        </w:rPr>
        <w:t xml:space="preserve"> </w:t>
      </w:r>
      <w:r w:rsidRPr="006C0449">
        <w:rPr>
          <w:lang w:val="en-CA"/>
        </w:rPr>
        <w:t xml:space="preserve">46; </w:t>
      </w:r>
      <w:r w:rsidRPr="006C0449">
        <w:rPr>
          <w:i/>
          <w:lang w:val="en-CA"/>
        </w:rPr>
        <w:t>R. v. Morrison</w:t>
      </w:r>
      <w:r w:rsidRPr="006C0449">
        <w:rPr>
          <w:lang w:val="en-CA"/>
        </w:rPr>
        <w:t xml:space="preserve">, </w:t>
      </w:r>
      <w:r w:rsidRPr="006C0449">
        <w:rPr>
          <w:i/>
          <w:lang w:val="en-CA"/>
        </w:rPr>
        <w:t>supra</w:t>
      </w:r>
      <w:r w:rsidRPr="006C0449">
        <w:rPr>
          <w:lang w:val="en-CA"/>
        </w:rPr>
        <w:t xml:space="preserve"> note 70, para.</w:t>
      </w:r>
      <w:r w:rsidRPr="00542573">
        <w:rPr>
          <w:lang w:val="en-CA"/>
        </w:rPr>
        <w:t xml:space="preserve"> </w:t>
      </w:r>
      <w:r w:rsidRPr="006C0449">
        <w:rPr>
          <w:lang w:val="en-CA"/>
        </w:rPr>
        <w:t xml:space="preserve">144; </w:t>
      </w:r>
      <w:r w:rsidRPr="006C0449">
        <w:rPr>
          <w:i/>
          <w:lang w:val="en-CA"/>
        </w:rPr>
        <w:t>Caron Barrette</w:t>
      </w:r>
      <w:r w:rsidRPr="006C0449">
        <w:rPr>
          <w:lang w:val="en-CA"/>
        </w:rPr>
        <w:t xml:space="preserve">, </w:t>
      </w:r>
      <w:r w:rsidRPr="006C0449">
        <w:rPr>
          <w:i/>
          <w:lang w:val="en-CA"/>
        </w:rPr>
        <w:t>supra</w:t>
      </w:r>
      <w:r w:rsidRPr="006C0449">
        <w:rPr>
          <w:lang w:val="en-CA"/>
        </w:rPr>
        <w:t xml:space="preserve"> note 65 at para.</w:t>
      </w:r>
      <w:r w:rsidRPr="00542573">
        <w:rPr>
          <w:lang w:val="en-CA"/>
        </w:rPr>
        <w:t xml:space="preserve"> 72.</w:t>
      </w:r>
    </w:p>
  </w:footnote>
  <w:footnote w:id="110">
    <w:p w14:paraId="4EDE3BDD" w14:textId="219CF453" w:rsidR="001426AD" w:rsidRPr="00542573" w:rsidRDefault="001426AD" w:rsidP="00562F60">
      <w:pPr>
        <w:pStyle w:val="Notedebasdepage"/>
        <w:rPr>
          <w:lang w:val="en-CA"/>
        </w:rPr>
      </w:pPr>
      <w:r w:rsidRPr="00542573">
        <w:rPr>
          <w:rStyle w:val="Appelnotedebasdep"/>
          <w:lang w:val="en-CA"/>
        </w:rPr>
        <w:footnoteRef/>
      </w:r>
      <w:r w:rsidRPr="00542573">
        <w:rPr>
          <w:lang w:val="en-CA"/>
        </w:rPr>
        <w:t xml:space="preserve"> </w:t>
      </w:r>
      <w:r w:rsidRPr="00542573">
        <w:rPr>
          <w:lang w:val="en-CA"/>
        </w:rPr>
        <w:tab/>
      </w:r>
      <w:r w:rsidRPr="006C0449">
        <w:rPr>
          <w:i/>
          <w:lang w:val="en-CA"/>
        </w:rPr>
        <w:t>R. v. Morrison</w:t>
      </w:r>
      <w:r w:rsidRPr="006C0449">
        <w:rPr>
          <w:lang w:val="en-CA"/>
        </w:rPr>
        <w:t xml:space="preserve">, </w:t>
      </w:r>
      <w:r w:rsidRPr="006C0449">
        <w:rPr>
          <w:i/>
          <w:lang w:val="en-CA"/>
        </w:rPr>
        <w:t>supra</w:t>
      </w:r>
      <w:r w:rsidRPr="006C0449">
        <w:rPr>
          <w:lang w:val="en-CA"/>
        </w:rPr>
        <w:t xml:space="preserve"> note 70 at paras.</w:t>
      </w:r>
      <w:r w:rsidR="00356E88">
        <w:rPr>
          <w:lang w:val="en-CA"/>
        </w:rPr>
        <w:t xml:space="preserve"> 167–</w:t>
      </w:r>
      <w:r w:rsidRPr="00542573">
        <w:rPr>
          <w:lang w:val="en-CA"/>
        </w:rPr>
        <w:t>168.</w:t>
      </w:r>
    </w:p>
  </w:footnote>
  <w:footnote w:id="111">
    <w:p w14:paraId="007B2AD4" w14:textId="77777777" w:rsidR="001426AD" w:rsidRPr="00542573" w:rsidRDefault="001426AD" w:rsidP="00847C43">
      <w:pPr>
        <w:pStyle w:val="Notedebasdepage"/>
        <w:rPr>
          <w:lang w:val="en-CA"/>
        </w:rPr>
      </w:pPr>
      <w:r w:rsidRPr="00542573">
        <w:rPr>
          <w:rStyle w:val="Appelnotedebasdep"/>
          <w:lang w:val="en-CA"/>
        </w:rPr>
        <w:footnoteRef/>
      </w:r>
      <w:r w:rsidRPr="00542573">
        <w:rPr>
          <w:lang w:val="en-CA"/>
        </w:rPr>
        <w:t xml:space="preserve"> </w:t>
      </w:r>
      <w:r w:rsidRPr="00542573">
        <w:rPr>
          <w:lang w:val="en-CA"/>
        </w:rPr>
        <w:tab/>
      </w:r>
      <w:r w:rsidRPr="006C0449">
        <w:rPr>
          <w:i/>
          <w:lang w:val="en-CA"/>
        </w:rPr>
        <w:t>R. v. Nur</w:t>
      </w:r>
      <w:r w:rsidRPr="006C0449">
        <w:rPr>
          <w:lang w:val="en-CA"/>
        </w:rPr>
        <w:t xml:space="preserve">, </w:t>
      </w:r>
      <w:r w:rsidRPr="006C0449">
        <w:rPr>
          <w:i/>
          <w:lang w:val="en-CA"/>
        </w:rPr>
        <w:t>supra</w:t>
      </w:r>
      <w:r w:rsidRPr="006C0449">
        <w:rPr>
          <w:lang w:val="en-CA"/>
        </w:rPr>
        <w:t xml:space="preserve"> note 57.</w:t>
      </w:r>
    </w:p>
  </w:footnote>
  <w:footnote w:id="112">
    <w:p w14:paraId="52F5ED65" w14:textId="3B89C9AD" w:rsidR="001426AD" w:rsidRPr="00542573" w:rsidRDefault="001426AD" w:rsidP="00562F60">
      <w:pPr>
        <w:pStyle w:val="Notedebasdepage"/>
        <w:rPr>
          <w:lang w:val="en-CA"/>
        </w:rPr>
      </w:pPr>
      <w:r w:rsidRPr="00542573">
        <w:rPr>
          <w:rStyle w:val="Appelnotedebasdep"/>
          <w:lang w:val="en-CA"/>
        </w:rPr>
        <w:footnoteRef/>
      </w:r>
      <w:r w:rsidRPr="00542573">
        <w:rPr>
          <w:lang w:val="en-CA"/>
        </w:rPr>
        <w:t xml:space="preserve"> </w:t>
      </w:r>
      <w:r w:rsidRPr="00542573">
        <w:rPr>
          <w:lang w:val="en-CA"/>
        </w:rPr>
        <w:tab/>
      </w:r>
      <w:r w:rsidRPr="006C0449">
        <w:rPr>
          <w:i/>
          <w:lang w:val="en-CA"/>
        </w:rPr>
        <w:t>Ibid</w:t>
      </w:r>
      <w:r w:rsidRPr="006C0449">
        <w:rPr>
          <w:lang w:val="en-CA"/>
        </w:rPr>
        <w:t>. at para.</w:t>
      </w:r>
      <w:r w:rsidRPr="00542573">
        <w:rPr>
          <w:lang w:val="en-CA"/>
        </w:rPr>
        <w:t xml:space="preserve"> 111.</w:t>
      </w:r>
    </w:p>
  </w:footnote>
  <w:footnote w:id="113">
    <w:p w14:paraId="3FA12E42" w14:textId="274E3A9E" w:rsidR="001426AD" w:rsidRPr="00542573" w:rsidRDefault="001426AD" w:rsidP="00562F60">
      <w:pPr>
        <w:pStyle w:val="Notedebasdepage"/>
        <w:rPr>
          <w:lang w:val="en-CA"/>
        </w:rPr>
      </w:pPr>
      <w:r w:rsidRPr="00542573">
        <w:rPr>
          <w:rStyle w:val="Appelnotedebasdep"/>
          <w:lang w:val="en-CA"/>
        </w:rPr>
        <w:footnoteRef/>
      </w:r>
      <w:r w:rsidRPr="00542573">
        <w:rPr>
          <w:lang w:val="en-CA"/>
        </w:rPr>
        <w:t xml:space="preserve"> </w:t>
      </w:r>
      <w:r w:rsidRPr="00542573">
        <w:rPr>
          <w:lang w:val="en-CA"/>
        </w:rPr>
        <w:tab/>
        <w:t>Applicants’ written arguments at para. 92.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D916B" w14:textId="77777777" w:rsidR="001426AD" w:rsidRDefault="001426A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D2F87" w14:textId="4C0F6BB3" w:rsidR="001426AD" w:rsidRDefault="001426AD" w:rsidP="00562F60">
    <w:pPr>
      <w:tabs>
        <w:tab w:val="center" w:pos="4709"/>
        <w:tab w:val="right" w:pos="9360"/>
      </w:tabs>
      <w:spacing w:line="240" w:lineRule="auto"/>
      <w:ind w:right="522"/>
    </w:pPr>
    <w:r>
      <w:t xml:space="preserve">200-10-003751-208 </w:t>
    </w:r>
    <w:r>
      <w:tab/>
    </w:r>
    <w:r>
      <w:tab/>
    </w:r>
    <w:r w:rsidRPr="006C0449">
      <w:t>PAGE:</w:t>
    </w:r>
    <w:r>
      <w:t xml:space="preserve"> </w:t>
    </w:r>
    <w:r>
      <w:fldChar w:fldCharType="begin"/>
    </w:r>
    <w:r>
      <w:instrText xml:space="preserve"> PAGE </w:instrText>
    </w:r>
    <w:r>
      <w:fldChar w:fldCharType="separate"/>
    </w:r>
    <w:r w:rsidR="009E351F">
      <w:rPr>
        <w:noProof/>
      </w:rPr>
      <w:t>3</w:t>
    </w:r>
    <w:r>
      <w:fldChar w:fldCharType="end"/>
    </w:r>
  </w:p>
  <w:p w14:paraId="71C51A04" w14:textId="77777777" w:rsidR="001426AD" w:rsidRDefault="001426AD" w:rsidP="00562F60">
    <w:pPr>
      <w:tabs>
        <w:tab w:val="center" w:pos="4709"/>
        <w:tab w:val="right" w:pos="9360"/>
      </w:tabs>
      <w:spacing w:line="360" w:lineRule="auto"/>
      <w:ind w:right="52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77BAB" w14:textId="77777777" w:rsidR="001426AD" w:rsidRDefault="001426AD">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E319F" w14:textId="03C9BBDE" w:rsidR="001426AD" w:rsidRDefault="001426AD" w:rsidP="00562F60">
    <w:pPr>
      <w:tabs>
        <w:tab w:val="center" w:pos="4709"/>
        <w:tab w:val="right" w:pos="9360"/>
      </w:tabs>
      <w:spacing w:line="240" w:lineRule="auto"/>
      <w:ind w:right="522"/>
    </w:pPr>
    <w:bookmarkStart w:id="10" w:name="EntDossier"/>
    <w:r>
      <w:t>200-10-003751-208</w:t>
    </w:r>
    <w:bookmarkEnd w:id="10"/>
    <w:r>
      <w:t xml:space="preserve"> </w:t>
    </w:r>
    <w:r>
      <w:tab/>
    </w:r>
    <w:r>
      <w:tab/>
    </w:r>
    <w:r w:rsidRPr="006C0449">
      <w:t>PAGE:</w:t>
    </w:r>
    <w:r>
      <w:t xml:space="preserve"> </w:t>
    </w:r>
    <w:r>
      <w:fldChar w:fldCharType="begin"/>
    </w:r>
    <w:r>
      <w:instrText xml:space="preserve"> PAGE </w:instrText>
    </w:r>
    <w:r>
      <w:fldChar w:fldCharType="separate"/>
    </w:r>
    <w:r w:rsidR="00952022">
      <w:rPr>
        <w:noProof/>
      </w:rPr>
      <w:t>22</w:t>
    </w:r>
    <w:r>
      <w:fldChar w:fldCharType="end"/>
    </w:r>
  </w:p>
  <w:p w14:paraId="2B527D60" w14:textId="77777777" w:rsidR="001426AD" w:rsidRDefault="001426AD" w:rsidP="00562F60">
    <w:pPr>
      <w:tabs>
        <w:tab w:val="center" w:pos="4709"/>
        <w:tab w:val="right" w:pos="9360"/>
      </w:tabs>
      <w:spacing w:line="360" w:lineRule="auto"/>
      <w:ind w:right="524"/>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DCFBF" w14:textId="77777777" w:rsidR="001426AD" w:rsidRDefault="001426AD">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D7D14" w14:textId="3D72CAB3" w:rsidR="001426AD" w:rsidRDefault="001426AD" w:rsidP="00562F60">
    <w:pPr>
      <w:tabs>
        <w:tab w:val="center" w:pos="4709"/>
        <w:tab w:val="right" w:pos="9360"/>
      </w:tabs>
      <w:spacing w:line="240" w:lineRule="auto"/>
      <w:ind w:right="522"/>
    </w:pPr>
    <w:r>
      <w:t xml:space="preserve">200-10-003751-208 </w:t>
    </w:r>
    <w:r>
      <w:tab/>
    </w:r>
    <w:r>
      <w:tab/>
    </w:r>
    <w:r w:rsidRPr="006C0449">
      <w:t>PAGE:</w:t>
    </w:r>
    <w:r>
      <w:t xml:space="preserve"> </w:t>
    </w:r>
    <w:r>
      <w:fldChar w:fldCharType="begin"/>
    </w:r>
    <w:r>
      <w:instrText xml:space="preserve"> PAGE </w:instrText>
    </w:r>
    <w:r>
      <w:fldChar w:fldCharType="separate"/>
    </w:r>
    <w:r w:rsidR="00952022">
      <w:rPr>
        <w:noProof/>
      </w:rPr>
      <w:t>38</w:t>
    </w:r>
    <w:r>
      <w:fldChar w:fldCharType="end"/>
    </w:r>
  </w:p>
  <w:p w14:paraId="7034391C" w14:textId="77777777" w:rsidR="001426AD" w:rsidRDefault="001426AD" w:rsidP="00562F60">
    <w:pPr>
      <w:tabs>
        <w:tab w:val="center" w:pos="4709"/>
        <w:tab w:val="right" w:pos="9360"/>
      </w:tabs>
      <w:spacing w:line="360" w:lineRule="auto"/>
      <w:ind w:right="524"/>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20916" w14:textId="77777777" w:rsidR="001426AD" w:rsidRDefault="001426A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80E1E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F12EA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F26470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51C3B5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4EAB82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12195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80708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6436C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DCE6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34AE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8BB52DE"/>
    <w:multiLevelType w:val="multilevel"/>
    <w:tmpl w:val="C0CA90AA"/>
    <w:lvl w:ilvl="0">
      <w:start w:val="1"/>
      <w:numFmt w:val="decimal"/>
      <w:pStyle w:val="Paragraphe"/>
      <w:lvlText w:val="[%1]"/>
      <w:lvlJc w:val="left"/>
      <w:pPr>
        <w:tabs>
          <w:tab w:val="num" w:pos="1146"/>
        </w:tabs>
        <w:ind w:left="426"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decimal"/>
      <w:pStyle w:val="Sous-paragraphe"/>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15:restartNumberingAfterBreak="0">
    <w:nsid w:val="30403584"/>
    <w:multiLevelType w:val="multilevel"/>
    <w:tmpl w:val="592424DA"/>
    <w:lvl w:ilvl="0">
      <w:start w:val="1"/>
      <w:numFmt w:val="decimal"/>
      <w:lvlText w:val="%1."/>
      <w:lvlJc w:val="left"/>
      <w:pPr>
        <w:ind w:left="4330" w:hanging="360"/>
      </w:pPr>
    </w:lvl>
    <w:lvl w:ilvl="1">
      <w:start w:val="1"/>
      <w:numFmt w:val="decimal"/>
      <w:lvlText w:val="%1.%2."/>
      <w:lvlJc w:val="left"/>
      <w:pPr>
        <w:ind w:left="4762" w:hanging="432"/>
      </w:pPr>
    </w:lvl>
    <w:lvl w:ilvl="2">
      <w:start w:val="1"/>
      <w:numFmt w:val="decimal"/>
      <w:lvlText w:val="%1.%2.%3."/>
      <w:lvlJc w:val="left"/>
      <w:pPr>
        <w:ind w:left="5194" w:hanging="504"/>
      </w:pPr>
    </w:lvl>
    <w:lvl w:ilvl="3">
      <w:start w:val="1"/>
      <w:numFmt w:val="decimal"/>
      <w:lvlText w:val="%1.%2.%3.%4."/>
      <w:lvlJc w:val="left"/>
      <w:pPr>
        <w:ind w:left="5698" w:hanging="648"/>
      </w:pPr>
    </w:lvl>
    <w:lvl w:ilvl="4">
      <w:start w:val="1"/>
      <w:numFmt w:val="decimal"/>
      <w:lvlText w:val="%1.%2.%3.%4.%5."/>
      <w:lvlJc w:val="left"/>
      <w:pPr>
        <w:ind w:left="6202" w:hanging="792"/>
      </w:pPr>
    </w:lvl>
    <w:lvl w:ilvl="5">
      <w:start w:val="1"/>
      <w:numFmt w:val="decimal"/>
      <w:lvlText w:val="%1.%2.%3.%4.%5.%6."/>
      <w:lvlJc w:val="left"/>
      <w:pPr>
        <w:ind w:left="6706" w:hanging="936"/>
      </w:pPr>
    </w:lvl>
    <w:lvl w:ilvl="6">
      <w:start w:val="1"/>
      <w:numFmt w:val="decimal"/>
      <w:lvlText w:val="%1.%2.%3.%4.%5.%6.%7."/>
      <w:lvlJc w:val="left"/>
      <w:pPr>
        <w:ind w:left="7210" w:hanging="1080"/>
      </w:pPr>
    </w:lvl>
    <w:lvl w:ilvl="7">
      <w:start w:val="1"/>
      <w:numFmt w:val="decimal"/>
      <w:lvlText w:val="%1.%2.%3.%4.%5.%6.%7.%8."/>
      <w:lvlJc w:val="left"/>
      <w:pPr>
        <w:ind w:left="7714" w:hanging="1224"/>
      </w:pPr>
    </w:lvl>
    <w:lvl w:ilvl="8">
      <w:start w:val="1"/>
      <w:numFmt w:val="decimal"/>
      <w:lvlText w:val="%1.%2.%3.%4.%5.%6.%7.%8.%9."/>
      <w:lvlJc w:val="left"/>
      <w:pPr>
        <w:ind w:left="8290" w:hanging="1440"/>
      </w:pPr>
    </w:lvl>
  </w:abstractNum>
  <w:abstractNum w:abstractNumId="12" w15:restartNumberingAfterBreak="0">
    <w:nsid w:val="382F133C"/>
    <w:multiLevelType w:val="hybridMultilevel"/>
    <w:tmpl w:val="923C8B0C"/>
    <w:lvl w:ilvl="0" w:tplc="EFF2A030">
      <w:numFmt w:val="bullet"/>
      <w:lvlText w:val="-"/>
      <w:lvlJc w:val="left"/>
      <w:pPr>
        <w:ind w:left="720" w:hanging="360"/>
      </w:pPr>
      <w:rPr>
        <w:rFonts w:ascii="Arial" w:eastAsia="Times New Roman" w:hAnsi="Arial" w:cs="Arial" w:hint="default"/>
      </w:rPr>
    </w:lvl>
    <w:lvl w:ilvl="1" w:tplc="DEE8015E" w:tentative="1">
      <w:start w:val="1"/>
      <w:numFmt w:val="bullet"/>
      <w:lvlText w:val="o"/>
      <w:lvlJc w:val="left"/>
      <w:pPr>
        <w:ind w:left="1440" w:hanging="360"/>
      </w:pPr>
      <w:rPr>
        <w:rFonts w:ascii="Courier New" w:hAnsi="Courier New" w:cs="Courier New" w:hint="default"/>
      </w:rPr>
    </w:lvl>
    <w:lvl w:ilvl="2" w:tplc="EC68F8BE" w:tentative="1">
      <w:start w:val="1"/>
      <w:numFmt w:val="bullet"/>
      <w:lvlText w:val=""/>
      <w:lvlJc w:val="left"/>
      <w:pPr>
        <w:ind w:left="2160" w:hanging="360"/>
      </w:pPr>
      <w:rPr>
        <w:rFonts w:ascii="Wingdings" w:hAnsi="Wingdings" w:hint="default"/>
      </w:rPr>
    </w:lvl>
    <w:lvl w:ilvl="3" w:tplc="33EC6FC4" w:tentative="1">
      <w:start w:val="1"/>
      <w:numFmt w:val="bullet"/>
      <w:lvlText w:val=""/>
      <w:lvlJc w:val="left"/>
      <w:pPr>
        <w:ind w:left="2880" w:hanging="360"/>
      </w:pPr>
      <w:rPr>
        <w:rFonts w:ascii="Symbol" w:hAnsi="Symbol" w:hint="default"/>
      </w:rPr>
    </w:lvl>
    <w:lvl w:ilvl="4" w:tplc="346444EE" w:tentative="1">
      <w:start w:val="1"/>
      <w:numFmt w:val="bullet"/>
      <w:lvlText w:val="o"/>
      <w:lvlJc w:val="left"/>
      <w:pPr>
        <w:ind w:left="3600" w:hanging="360"/>
      </w:pPr>
      <w:rPr>
        <w:rFonts w:ascii="Courier New" w:hAnsi="Courier New" w:cs="Courier New" w:hint="default"/>
      </w:rPr>
    </w:lvl>
    <w:lvl w:ilvl="5" w:tplc="CC0EB728" w:tentative="1">
      <w:start w:val="1"/>
      <w:numFmt w:val="bullet"/>
      <w:lvlText w:val=""/>
      <w:lvlJc w:val="left"/>
      <w:pPr>
        <w:ind w:left="4320" w:hanging="360"/>
      </w:pPr>
      <w:rPr>
        <w:rFonts w:ascii="Wingdings" w:hAnsi="Wingdings" w:hint="default"/>
      </w:rPr>
    </w:lvl>
    <w:lvl w:ilvl="6" w:tplc="255234EE" w:tentative="1">
      <w:start w:val="1"/>
      <w:numFmt w:val="bullet"/>
      <w:lvlText w:val=""/>
      <w:lvlJc w:val="left"/>
      <w:pPr>
        <w:ind w:left="5040" w:hanging="360"/>
      </w:pPr>
      <w:rPr>
        <w:rFonts w:ascii="Symbol" w:hAnsi="Symbol" w:hint="default"/>
      </w:rPr>
    </w:lvl>
    <w:lvl w:ilvl="7" w:tplc="02FE3B14" w:tentative="1">
      <w:start w:val="1"/>
      <w:numFmt w:val="bullet"/>
      <w:lvlText w:val="o"/>
      <w:lvlJc w:val="left"/>
      <w:pPr>
        <w:ind w:left="5760" w:hanging="360"/>
      </w:pPr>
      <w:rPr>
        <w:rFonts w:ascii="Courier New" w:hAnsi="Courier New" w:cs="Courier New" w:hint="default"/>
      </w:rPr>
    </w:lvl>
    <w:lvl w:ilvl="8" w:tplc="DD080EC8" w:tentative="1">
      <w:start w:val="1"/>
      <w:numFmt w:val="bullet"/>
      <w:lvlText w:val=""/>
      <w:lvlJc w:val="left"/>
      <w:pPr>
        <w:ind w:left="6480" w:hanging="360"/>
      </w:pPr>
      <w:rPr>
        <w:rFonts w:ascii="Wingdings" w:hAnsi="Wingdings" w:hint="default"/>
      </w:rPr>
    </w:lvl>
  </w:abstractNum>
  <w:abstractNum w:abstractNumId="13" w15:restartNumberingAfterBreak="0">
    <w:nsid w:val="3C513F03"/>
    <w:multiLevelType w:val="hybridMultilevel"/>
    <w:tmpl w:val="04A80F86"/>
    <w:lvl w:ilvl="0" w:tplc="5EB226F6">
      <w:start w:val="1"/>
      <w:numFmt w:val="lowerLetter"/>
      <w:lvlText w:val="(%1)"/>
      <w:lvlJc w:val="left"/>
      <w:pPr>
        <w:ind w:left="1494" w:hanging="360"/>
      </w:pPr>
      <w:rPr>
        <w:rFonts w:hint="default"/>
      </w:rPr>
    </w:lvl>
    <w:lvl w:ilvl="1" w:tplc="55CE25D8">
      <w:numFmt w:val="bullet"/>
      <w:lvlText w:val="•"/>
      <w:lvlJc w:val="left"/>
      <w:pPr>
        <w:ind w:left="2160" w:hanging="360"/>
      </w:pPr>
      <w:rPr>
        <w:rFonts w:ascii="Arial" w:eastAsia="Times New Roman" w:hAnsi="Arial" w:cs="Arial" w:hint="default"/>
      </w:rPr>
    </w:lvl>
    <w:lvl w:ilvl="2" w:tplc="50EA9970" w:tentative="1">
      <w:start w:val="1"/>
      <w:numFmt w:val="lowerRoman"/>
      <w:lvlText w:val="%3."/>
      <w:lvlJc w:val="right"/>
      <w:pPr>
        <w:ind w:left="2880" w:hanging="180"/>
      </w:pPr>
    </w:lvl>
    <w:lvl w:ilvl="3" w:tplc="E042FBE6" w:tentative="1">
      <w:start w:val="1"/>
      <w:numFmt w:val="decimal"/>
      <w:lvlText w:val="%4."/>
      <w:lvlJc w:val="left"/>
      <w:pPr>
        <w:ind w:left="3600" w:hanging="360"/>
      </w:pPr>
    </w:lvl>
    <w:lvl w:ilvl="4" w:tplc="64D83054" w:tentative="1">
      <w:start w:val="1"/>
      <w:numFmt w:val="lowerLetter"/>
      <w:lvlText w:val="%5."/>
      <w:lvlJc w:val="left"/>
      <w:pPr>
        <w:ind w:left="4320" w:hanging="360"/>
      </w:pPr>
    </w:lvl>
    <w:lvl w:ilvl="5" w:tplc="4BD833B8" w:tentative="1">
      <w:start w:val="1"/>
      <w:numFmt w:val="lowerRoman"/>
      <w:lvlText w:val="%6."/>
      <w:lvlJc w:val="right"/>
      <w:pPr>
        <w:ind w:left="5040" w:hanging="180"/>
      </w:pPr>
    </w:lvl>
    <w:lvl w:ilvl="6" w:tplc="6B9002F4" w:tentative="1">
      <w:start w:val="1"/>
      <w:numFmt w:val="decimal"/>
      <w:lvlText w:val="%7."/>
      <w:lvlJc w:val="left"/>
      <w:pPr>
        <w:ind w:left="5760" w:hanging="360"/>
      </w:pPr>
    </w:lvl>
    <w:lvl w:ilvl="7" w:tplc="C06C88E8" w:tentative="1">
      <w:start w:val="1"/>
      <w:numFmt w:val="lowerLetter"/>
      <w:lvlText w:val="%8."/>
      <w:lvlJc w:val="left"/>
      <w:pPr>
        <w:ind w:left="6480" w:hanging="360"/>
      </w:pPr>
    </w:lvl>
    <w:lvl w:ilvl="8" w:tplc="BB60EF2E" w:tentative="1">
      <w:start w:val="1"/>
      <w:numFmt w:val="lowerRoman"/>
      <w:lvlText w:val="%9."/>
      <w:lvlJc w:val="right"/>
      <w:pPr>
        <w:ind w:left="7200" w:hanging="180"/>
      </w:pPr>
    </w:lvl>
  </w:abstractNum>
  <w:abstractNum w:abstractNumId="14" w15:restartNumberingAfterBreak="0">
    <w:nsid w:val="4A9D1B84"/>
    <w:multiLevelType w:val="multilevel"/>
    <w:tmpl w:val="2766DEE4"/>
    <w:lvl w:ilvl="0">
      <w:start w:val="1"/>
      <w:numFmt w:val="bullet"/>
      <w:lvlText w:val=""/>
      <w:lvlJc w:val="left"/>
      <w:pPr>
        <w:tabs>
          <w:tab w:val="num" w:pos="792"/>
        </w:tabs>
        <w:ind w:left="792" w:hanging="720"/>
      </w:pPr>
      <w:rPr>
        <w:rFonts w:ascii="Symbol" w:hAnsi="Symbol"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15:restartNumberingAfterBreak="0">
    <w:nsid w:val="59D34854"/>
    <w:multiLevelType w:val="hybridMultilevel"/>
    <w:tmpl w:val="15022CE2"/>
    <w:lvl w:ilvl="0" w:tplc="ED1ABD5C">
      <w:start w:val="1"/>
      <w:numFmt w:val="bullet"/>
      <w:lvlText w:val=""/>
      <w:lvlJc w:val="left"/>
      <w:pPr>
        <w:ind w:left="1854" w:hanging="360"/>
      </w:pPr>
      <w:rPr>
        <w:rFonts w:ascii="Symbol" w:hAnsi="Symbol" w:hint="default"/>
      </w:rPr>
    </w:lvl>
    <w:lvl w:ilvl="1" w:tplc="1D304598" w:tentative="1">
      <w:start w:val="1"/>
      <w:numFmt w:val="bullet"/>
      <w:lvlText w:val="o"/>
      <w:lvlJc w:val="left"/>
      <w:pPr>
        <w:ind w:left="2574" w:hanging="360"/>
      </w:pPr>
      <w:rPr>
        <w:rFonts w:ascii="Courier New" w:hAnsi="Courier New" w:cs="Courier New" w:hint="default"/>
      </w:rPr>
    </w:lvl>
    <w:lvl w:ilvl="2" w:tplc="41105A50" w:tentative="1">
      <w:start w:val="1"/>
      <w:numFmt w:val="bullet"/>
      <w:lvlText w:val=""/>
      <w:lvlJc w:val="left"/>
      <w:pPr>
        <w:ind w:left="3294" w:hanging="360"/>
      </w:pPr>
      <w:rPr>
        <w:rFonts w:ascii="Wingdings" w:hAnsi="Wingdings" w:hint="default"/>
      </w:rPr>
    </w:lvl>
    <w:lvl w:ilvl="3" w:tplc="0D34F03C" w:tentative="1">
      <w:start w:val="1"/>
      <w:numFmt w:val="bullet"/>
      <w:lvlText w:val=""/>
      <w:lvlJc w:val="left"/>
      <w:pPr>
        <w:ind w:left="4014" w:hanging="360"/>
      </w:pPr>
      <w:rPr>
        <w:rFonts w:ascii="Symbol" w:hAnsi="Symbol" w:hint="default"/>
      </w:rPr>
    </w:lvl>
    <w:lvl w:ilvl="4" w:tplc="D092F09A" w:tentative="1">
      <w:start w:val="1"/>
      <w:numFmt w:val="bullet"/>
      <w:lvlText w:val="o"/>
      <w:lvlJc w:val="left"/>
      <w:pPr>
        <w:ind w:left="4734" w:hanging="360"/>
      </w:pPr>
      <w:rPr>
        <w:rFonts w:ascii="Courier New" w:hAnsi="Courier New" w:cs="Courier New" w:hint="default"/>
      </w:rPr>
    </w:lvl>
    <w:lvl w:ilvl="5" w:tplc="092C5500" w:tentative="1">
      <w:start w:val="1"/>
      <w:numFmt w:val="bullet"/>
      <w:lvlText w:val=""/>
      <w:lvlJc w:val="left"/>
      <w:pPr>
        <w:ind w:left="5454" w:hanging="360"/>
      </w:pPr>
      <w:rPr>
        <w:rFonts w:ascii="Wingdings" w:hAnsi="Wingdings" w:hint="default"/>
      </w:rPr>
    </w:lvl>
    <w:lvl w:ilvl="6" w:tplc="3F1A4A88" w:tentative="1">
      <w:start w:val="1"/>
      <w:numFmt w:val="bullet"/>
      <w:lvlText w:val=""/>
      <w:lvlJc w:val="left"/>
      <w:pPr>
        <w:ind w:left="6174" w:hanging="360"/>
      </w:pPr>
      <w:rPr>
        <w:rFonts w:ascii="Symbol" w:hAnsi="Symbol" w:hint="default"/>
      </w:rPr>
    </w:lvl>
    <w:lvl w:ilvl="7" w:tplc="C10A3092" w:tentative="1">
      <w:start w:val="1"/>
      <w:numFmt w:val="bullet"/>
      <w:lvlText w:val="o"/>
      <w:lvlJc w:val="left"/>
      <w:pPr>
        <w:ind w:left="6894" w:hanging="360"/>
      </w:pPr>
      <w:rPr>
        <w:rFonts w:ascii="Courier New" w:hAnsi="Courier New" w:cs="Courier New" w:hint="default"/>
      </w:rPr>
    </w:lvl>
    <w:lvl w:ilvl="8" w:tplc="E06AF916" w:tentative="1">
      <w:start w:val="1"/>
      <w:numFmt w:val="bullet"/>
      <w:lvlText w:val=""/>
      <w:lvlJc w:val="left"/>
      <w:pPr>
        <w:ind w:left="7614" w:hanging="360"/>
      </w:pPr>
      <w:rPr>
        <w:rFonts w:ascii="Wingdings" w:hAnsi="Wingdings" w:hint="default"/>
      </w:rPr>
    </w:lvl>
  </w:abstractNum>
  <w:abstractNum w:abstractNumId="16" w15:restartNumberingAfterBreak="0">
    <w:nsid w:val="609C0DCC"/>
    <w:multiLevelType w:val="multilevel"/>
    <w:tmpl w:val="F11C8164"/>
    <w:lvl w:ilvl="0">
      <w:start w:val="1"/>
      <w:numFmt w:val="decimal"/>
      <w:lvlText w:val="[%1]"/>
      <w:lvlJc w:val="left"/>
      <w:pPr>
        <w:tabs>
          <w:tab w:val="num" w:pos="360"/>
        </w:tabs>
        <w:ind w:left="0" w:firstLine="0"/>
      </w:pPr>
      <w:rPr>
        <w:rFonts w:ascii="Arial" w:hAnsi="Arial" w:hint="default"/>
        <w:b w:val="0"/>
        <w:i w:val="0"/>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15:restartNumberingAfterBreak="0">
    <w:nsid w:val="743C78B5"/>
    <w:multiLevelType w:val="hybridMultilevel"/>
    <w:tmpl w:val="6A6ADC74"/>
    <w:lvl w:ilvl="0" w:tplc="3D66E2C2">
      <w:start w:val="1"/>
      <w:numFmt w:val="decimal"/>
      <w:lvlText w:val="%1."/>
      <w:lvlJc w:val="left"/>
      <w:pPr>
        <w:ind w:left="1080" w:hanging="360"/>
      </w:pPr>
      <w:rPr>
        <w:rFonts w:hint="default"/>
      </w:rPr>
    </w:lvl>
    <w:lvl w:ilvl="1" w:tplc="D53875A8" w:tentative="1">
      <w:start w:val="1"/>
      <w:numFmt w:val="lowerLetter"/>
      <w:lvlText w:val="%2."/>
      <w:lvlJc w:val="left"/>
      <w:pPr>
        <w:ind w:left="1800" w:hanging="360"/>
      </w:pPr>
    </w:lvl>
    <w:lvl w:ilvl="2" w:tplc="0936E208" w:tentative="1">
      <w:start w:val="1"/>
      <w:numFmt w:val="lowerRoman"/>
      <w:lvlText w:val="%3."/>
      <w:lvlJc w:val="right"/>
      <w:pPr>
        <w:ind w:left="2520" w:hanging="180"/>
      </w:pPr>
    </w:lvl>
    <w:lvl w:ilvl="3" w:tplc="1338BFE8" w:tentative="1">
      <w:start w:val="1"/>
      <w:numFmt w:val="decimal"/>
      <w:lvlText w:val="%4."/>
      <w:lvlJc w:val="left"/>
      <w:pPr>
        <w:ind w:left="3240" w:hanging="360"/>
      </w:pPr>
    </w:lvl>
    <w:lvl w:ilvl="4" w:tplc="CB7AA16E" w:tentative="1">
      <w:start w:val="1"/>
      <w:numFmt w:val="lowerLetter"/>
      <w:lvlText w:val="%5."/>
      <w:lvlJc w:val="left"/>
      <w:pPr>
        <w:ind w:left="3960" w:hanging="360"/>
      </w:pPr>
    </w:lvl>
    <w:lvl w:ilvl="5" w:tplc="6986C2C2" w:tentative="1">
      <w:start w:val="1"/>
      <w:numFmt w:val="lowerRoman"/>
      <w:lvlText w:val="%6."/>
      <w:lvlJc w:val="right"/>
      <w:pPr>
        <w:ind w:left="4680" w:hanging="180"/>
      </w:pPr>
    </w:lvl>
    <w:lvl w:ilvl="6" w:tplc="0F2AFB8C" w:tentative="1">
      <w:start w:val="1"/>
      <w:numFmt w:val="decimal"/>
      <w:lvlText w:val="%7."/>
      <w:lvlJc w:val="left"/>
      <w:pPr>
        <w:ind w:left="5400" w:hanging="360"/>
      </w:pPr>
    </w:lvl>
    <w:lvl w:ilvl="7" w:tplc="B7B8B4F0" w:tentative="1">
      <w:start w:val="1"/>
      <w:numFmt w:val="lowerLetter"/>
      <w:lvlText w:val="%8."/>
      <w:lvlJc w:val="left"/>
      <w:pPr>
        <w:ind w:left="6120" w:hanging="360"/>
      </w:pPr>
    </w:lvl>
    <w:lvl w:ilvl="8" w:tplc="F8209E60" w:tentative="1">
      <w:start w:val="1"/>
      <w:numFmt w:val="lowerRoman"/>
      <w:lvlText w:val="%9."/>
      <w:lvlJc w:val="right"/>
      <w:pPr>
        <w:ind w:left="6840" w:hanging="180"/>
      </w:pPr>
    </w:lvl>
  </w:abstractNum>
  <w:abstractNum w:abstractNumId="18" w15:restartNumberingAfterBreak="0">
    <w:nsid w:val="75B442AA"/>
    <w:multiLevelType w:val="hybridMultilevel"/>
    <w:tmpl w:val="97CE45EE"/>
    <w:lvl w:ilvl="0" w:tplc="024A15FC">
      <w:start w:val="1"/>
      <w:numFmt w:val="bullet"/>
      <w:lvlText w:val="-"/>
      <w:lvlJc w:val="left"/>
      <w:pPr>
        <w:ind w:left="1080" w:hanging="360"/>
      </w:pPr>
      <w:rPr>
        <w:rFonts w:ascii="Arial" w:eastAsia="Times New Roman" w:hAnsi="Arial" w:cs="Arial" w:hint="default"/>
      </w:rPr>
    </w:lvl>
    <w:lvl w:ilvl="1" w:tplc="B8AAE032" w:tentative="1">
      <w:start w:val="1"/>
      <w:numFmt w:val="bullet"/>
      <w:lvlText w:val="o"/>
      <w:lvlJc w:val="left"/>
      <w:pPr>
        <w:ind w:left="1800" w:hanging="360"/>
      </w:pPr>
      <w:rPr>
        <w:rFonts w:ascii="Courier New" w:hAnsi="Courier New" w:cs="Courier New" w:hint="default"/>
      </w:rPr>
    </w:lvl>
    <w:lvl w:ilvl="2" w:tplc="9294C486" w:tentative="1">
      <w:start w:val="1"/>
      <w:numFmt w:val="bullet"/>
      <w:lvlText w:val=""/>
      <w:lvlJc w:val="left"/>
      <w:pPr>
        <w:ind w:left="2520" w:hanging="360"/>
      </w:pPr>
      <w:rPr>
        <w:rFonts w:ascii="Wingdings" w:hAnsi="Wingdings" w:hint="default"/>
      </w:rPr>
    </w:lvl>
    <w:lvl w:ilvl="3" w:tplc="E9EECF64" w:tentative="1">
      <w:start w:val="1"/>
      <w:numFmt w:val="bullet"/>
      <w:lvlText w:val=""/>
      <w:lvlJc w:val="left"/>
      <w:pPr>
        <w:ind w:left="3240" w:hanging="360"/>
      </w:pPr>
      <w:rPr>
        <w:rFonts w:ascii="Symbol" w:hAnsi="Symbol" w:hint="default"/>
      </w:rPr>
    </w:lvl>
    <w:lvl w:ilvl="4" w:tplc="B6127186" w:tentative="1">
      <w:start w:val="1"/>
      <w:numFmt w:val="bullet"/>
      <w:lvlText w:val="o"/>
      <w:lvlJc w:val="left"/>
      <w:pPr>
        <w:ind w:left="3960" w:hanging="360"/>
      </w:pPr>
      <w:rPr>
        <w:rFonts w:ascii="Courier New" w:hAnsi="Courier New" w:cs="Courier New" w:hint="default"/>
      </w:rPr>
    </w:lvl>
    <w:lvl w:ilvl="5" w:tplc="B680F6D4" w:tentative="1">
      <w:start w:val="1"/>
      <w:numFmt w:val="bullet"/>
      <w:lvlText w:val=""/>
      <w:lvlJc w:val="left"/>
      <w:pPr>
        <w:ind w:left="4680" w:hanging="360"/>
      </w:pPr>
      <w:rPr>
        <w:rFonts w:ascii="Wingdings" w:hAnsi="Wingdings" w:hint="default"/>
      </w:rPr>
    </w:lvl>
    <w:lvl w:ilvl="6" w:tplc="CE9010B0" w:tentative="1">
      <w:start w:val="1"/>
      <w:numFmt w:val="bullet"/>
      <w:lvlText w:val=""/>
      <w:lvlJc w:val="left"/>
      <w:pPr>
        <w:ind w:left="5400" w:hanging="360"/>
      </w:pPr>
      <w:rPr>
        <w:rFonts w:ascii="Symbol" w:hAnsi="Symbol" w:hint="default"/>
      </w:rPr>
    </w:lvl>
    <w:lvl w:ilvl="7" w:tplc="888CFD4A" w:tentative="1">
      <w:start w:val="1"/>
      <w:numFmt w:val="bullet"/>
      <w:lvlText w:val="o"/>
      <w:lvlJc w:val="left"/>
      <w:pPr>
        <w:ind w:left="6120" w:hanging="360"/>
      </w:pPr>
      <w:rPr>
        <w:rFonts w:ascii="Courier New" w:hAnsi="Courier New" w:cs="Courier New" w:hint="default"/>
      </w:rPr>
    </w:lvl>
    <w:lvl w:ilvl="8" w:tplc="836EA06C" w:tentative="1">
      <w:start w:val="1"/>
      <w:numFmt w:val="bullet"/>
      <w:lvlText w:val=""/>
      <w:lvlJc w:val="left"/>
      <w:pPr>
        <w:ind w:left="6840" w:hanging="360"/>
      </w:pPr>
      <w:rPr>
        <w:rFonts w:ascii="Wingdings" w:hAnsi="Wingdings" w:hint="default"/>
      </w:rPr>
    </w:lvl>
  </w:abstractNum>
  <w:abstractNum w:abstractNumId="19" w15:restartNumberingAfterBreak="0">
    <w:nsid w:val="783671F7"/>
    <w:multiLevelType w:val="hybridMultilevel"/>
    <w:tmpl w:val="7EB0CD22"/>
    <w:lvl w:ilvl="0" w:tplc="5EB226F6">
      <w:start w:val="1"/>
      <w:numFmt w:val="lowerLetter"/>
      <w:lvlText w:val="(%1)"/>
      <w:lvlJc w:val="left"/>
      <w:pPr>
        <w:ind w:left="1080" w:hanging="360"/>
      </w:pPr>
      <w:rPr>
        <w:rFonts w:hint="default"/>
      </w:rPr>
    </w:lvl>
    <w:lvl w:ilvl="1" w:tplc="7082B35A" w:tentative="1">
      <w:start w:val="1"/>
      <w:numFmt w:val="lowerLetter"/>
      <w:lvlText w:val="%2."/>
      <w:lvlJc w:val="left"/>
      <w:pPr>
        <w:ind w:left="1800" w:hanging="360"/>
      </w:pPr>
    </w:lvl>
    <w:lvl w:ilvl="2" w:tplc="FDEA84EE" w:tentative="1">
      <w:start w:val="1"/>
      <w:numFmt w:val="lowerRoman"/>
      <w:lvlText w:val="%3."/>
      <w:lvlJc w:val="right"/>
      <w:pPr>
        <w:ind w:left="2520" w:hanging="180"/>
      </w:pPr>
    </w:lvl>
    <w:lvl w:ilvl="3" w:tplc="04A20FB0" w:tentative="1">
      <w:start w:val="1"/>
      <w:numFmt w:val="decimal"/>
      <w:lvlText w:val="%4."/>
      <w:lvlJc w:val="left"/>
      <w:pPr>
        <w:ind w:left="3240" w:hanging="360"/>
      </w:pPr>
    </w:lvl>
    <w:lvl w:ilvl="4" w:tplc="2598BD52" w:tentative="1">
      <w:start w:val="1"/>
      <w:numFmt w:val="lowerLetter"/>
      <w:lvlText w:val="%5."/>
      <w:lvlJc w:val="left"/>
      <w:pPr>
        <w:ind w:left="3960" w:hanging="360"/>
      </w:pPr>
    </w:lvl>
    <w:lvl w:ilvl="5" w:tplc="A86E3652" w:tentative="1">
      <w:start w:val="1"/>
      <w:numFmt w:val="lowerRoman"/>
      <w:lvlText w:val="%6."/>
      <w:lvlJc w:val="right"/>
      <w:pPr>
        <w:ind w:left="4680" w:hanging="180"/>
      </w:pPr>
    </w:lvl>
    <w:lvl w:ilvl="6" w:tplc="6B1ED0FC" w:tentative="1">
      <w:start w:val="1"/>
      <w:numFmt w:val="decimal"/>
      <w:lvlText w:val="%7."/>
      <w:lvlJc w:val="left"/>
      <w:pPr>
        <w:ind w:left="5400" w:hanging="360"/>
      </w:pPr>
    </w:lvl>
    <w:lvl w:ilvl="7" w:tplc="11FC774E" w:tentative="1">
      <w:start w:val="1"/>
      <w:numFmt w:val="lowerLetter"/>
      <w:lvlText w:val="%8."/>
      <w:lvlJc w:val="left"/>
      <w:pPr>
        <w:ind w:left="6120" w:hanging="360"/>
      </w:pPr>
    </w:lvl>
    <w:lvl w:ilvl="8" w:tplc="7DD002FC" w:tentative="1">
      <w:start w:val="1"/>
      <w:numFmt w:val="lowerRoman"/>
      <w:lvlText w:val="%9."/>
      <w:lvlJc w:val="right"/>
      <w:pPr>
        <w:ind w:left="6840" w:hanging="180"/>
      </w:pPr>
    </w:lvl>
  </w:abstractNum>
  <w:num w:numId="1">
    <w:abstractNumId w:val="16"/>
  </w:num>
  <w:num w:numId="2">
    <w:abstractNumId w:val="16"/>
  </w:num>
  <w:num w:numId="3">
    <w:abstractNumId w:val="16"/>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6"/>
  </w:num>
  <w:num w:numId="15">
    <w:abstractNumId w:val="16"/>
  </w:num>
  <w:num w:numId="16">
    <w:abstractNumId w:val="16"/>
  </w:num>
  <w:num w:numId="17">
    <w:abstractNumId w:val="14"/>
  </w:num>
  <w:num w:numId="18">
    <w:abstractNumId w:val="10"/>
  </w:num>
  <w:num w:numId="19">
    <w:abstractNumId w:val="12"/>
  </w:num>
  <w:num w:numId="20">
    <w:abstractNumId w:val="11"/>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18"/>
  </w:num>
  <w:num w:numId="26">
    <w:abstractNumId w:val="13"/>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20"/>
  <w:hyphenationZone w:val="425"/>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BDA"/>
    <w:rsid w:val="00003C8B"/>
    <w:rsid w:val="00004B46"/>
    <w:rsid w:val="0002076B"/>
    <w:rsid w:val="00027C94"/>
    <w:rsid w:val="00036FE7"/>
    <w:rsid w:val="000370E8"/>
    <w:rsid w:val="00047657"/>
    <w:rsid w:val="00066937"/>
    <w:rsid w:val="00070847"/>
    <w:rsid w:val="000718CA"/>
    <w:rsid w:val="00084D61"/>
    <w:rsid w:val="00085A64"/>
    <w:rsid w:val="00091A8B"/>
    <w:rsid w:val="000B50FC"/>
    <w:rsid w:val="000D51C2"/>
    <w:rsid w:val="000E3433"/>
    <w:rsid w:val="000F5D02"/>
    <w:rsid w:val="00102990"/>
    <w:rsid w:val="0011425D"/>
    <w:rsid w:val="00125472"/>
    <w:rsid w:val="00131246"/>
    <w:rsid w:val="001358F9"/>
    <w:rsid w:val="00141C50"/>
    <w:rsid w:val="001426AD"/>
    <w:rsid w:val="001448F7"/>
    <w:rsid w:val="0015447A"/>
    <w:rsid w:val="00175649"/>
    <w:rsid w:val="00180A84"/>
    <w:rsid w:val="001869A6"/>
    <w:rsid w:val="00196EFC"/>
    <w:rsid w:val="001A3AD4"/>
    <w:rsid w:val="001A56A8"/>
    <w:rsid w:val="001D38EB"/>
    <w:rsid w:val="001D4411"/>
    <w:rsid w:val="001D51A7"/>
    <w:rsid w:val="001E2E4D"/>
    <w:rsid w:val="001E6E51"/>
    <w:rsid w:val="002001F3"/>
    <w:rsid w:val="00200585"/>
    <w:rsid w:val="00210937"/>
    <w:rsid w:val="00213242"/>
    <w:rsid w:val="00252838"/>
    <w:rsid w:val="002710EC"/>
    <w:rsid w:val="00272EA9"/>
    <w:rsid w:val="002855B5"/>
    <w:rsid w:val="002A1D40"/>
    <w:rsid w:val="002A5C4D"/>
    <w:rsid w:val="002A73C8"/>
    <w:rsid w:val="002C0D65"/>
    <w:rsid w:val="002C7DD9"/>
    <w:rsid w:val="002D561C"/>
    <w:rsid w:val="002D5921"/>
    <w:rsid w:val="002E0B74"/>
    <w:rsid w:val="002F1453"/>
    <w:rsid w:val="00303A45"/>
    <w:rsid w:val="0030673E"/>
    <w:rsid w:val="00306F3F"/>
    <w:rsid w:val="00307463"/>
    <w:rsid w:val="00311E12"/>
    <w:rsid w:val="00332D84"/>
    <w:rsid w:val="003333F6"/>
    <w:rsid w:val="00345F75"/>
    <w:rsid w:val="00350524"/>
    <w:rsid w:val="00356E88"/>
    <w:rsid w:val="00357686"/>
    <w:rsid w:val="00382A35"/>
    <w:rsid w:val="0039089E"/>
    <w:rsid w:val="003B41AB"/>
    <w:rsid w:val="003D449C"/>
    <w:rsid w:val="003D5CD1"/>
    <w:rsid w:val="003E7773"/>
    <w:rsid w:val="004014DF"/>
    <w:rsid w:val="004018FE"/>
    <w:rsid w:val="00403EDB"/>
    <w:rsid w:val="00425E82"/>
    <w:rsid w:val="0042654F"/>
    <w:rsid w:val="00441B8F"/>
    <w:rsid w:val="00441FC8"/>
    <w:rsid w:val="00446171"/>
    <w:rsid w:val="00452304"/>
    <w:rsid w:val="0046015E"/>
    <w:rsid w:val="00461D5B"/>
    <w:rsid w:val="00474C4B"/>
    <w:rsid w:val="00475C63"/>
    <w:rsid w:val="004766D9"/>
    <w:rsid w:val="00484D69"/>
    <w:rsid w:val="004A51A6"/>
    <w:rsid w:val="004B36E7"/>
    <w:rsid w:val="004B6822"/>
    <w:rsid w:val="004B7F6C"/>
    <w:rsid w:val="004C1E0C"/>
    <w:rsid w:val="004C7F5C"/>
    <w:rsid w:val="004E3F0B"/>
    <w:rsid w:val="004F57BB"/>
    <w:rsid w:val="004F766B"/>
    <w:rsid w:val="005325CF"/>
    <w:rsid w:val="00532A46"/>
    <w:rsid w:val="0054240A"/>
    <w:rsid w:val="00542573"/>
    <w:rsid w:val="00552AF8"/>
    <w:rsid w:val="00556450"/>
    <w:rsid w:val="00562F60"/>
    <w:rsid w:val="005633F1"/>
    <w:rsid w:val="00565BD2"/>
    <w:rsid w:val="00580800"/>
    <w:rsid w:val="00581A95"/>
    <w:rsid w:val="005863CE"/>
    <w:rsid w:val="00597F99"/>
    <w:rsid w:val="005A4269"/>
    <w:rsid w:val="005A5C9A"/>
    <w:rsid w:val="005E1177"/>
    <w:rsid w:val="005E54D1"/>
    <w:rsid w:val="005E55C1"/>
    <w:rsid w:val="00612246"/>
    <w:rsid w:val="00614D12"/>
    <w:rsid w:val="00621C3D"/>
    <w:rsid w:val="006275D4"/>
    <w:rsid w:val="006368B2"/>
    <w:rsid w:val="0064254A"/>
    <w:rsid w:val="00644B51"/>
    <w:rsid w:val="00650023"/>
    <w:rsid w:val="00662045"/>
    <w:rsid w:val="0066306A"/>
    <w:rsid w:val="00666678"/>
    <w:rsid w:val="006716DB"/>
    <w:rsid w:val="00671761"/>
    <w:rsid w:val="00672815"/>
    <w:rsid w:val="00676A22"/>
    <w:rsid w:val="00691C32"/>
    <w:rsid w:val="0069671D"/>
    <w:rsid w:val="006A3409"/>
    <w:rsid w:val="006A6877"/>
    <w:rsid w:val="006C0449"/>
    <w:rsid w:val="006C3785"/>
    <w:rsid w:val="006C6494"/>
    <w:rsid w:val="006D55D7"/>
    <w:rsid w:val="006D72E5"/>
    <w:rsid w:val="006E0D85"/>
    <w:rsid w:val="007000FF"/>
    <w:rsid w:val="0070087D"/>
    <w:rsid w:val="007078D6"/>
    <w:rsid w:val="00710E89"/>
    <w:rsid w:val="00723A70"/>
    <w:rsid w:val="00744086"/>
    <w:rsid w:val="00746C4F"/>
    <w:rsid w:val="00753B86"/>
    <w:rsid w:val="00757DE7"/>
    <w:rsid w:val="00763BEA"/>
    <w:rsid w:val="0076473C"/>
    <w:rsid w:val="00772A7C"/>
    <w:rsid w:val="00774D1E"/>
    <w:rsid w:val="007759B9"/>
    <w:rsid w:val="007772FA"/>
    <w:rsid w:val="00782BC9"/>
    <w:rsid w:val="007857E4"/>
    <w:rsid w:val="0079288F"/>
    <w:rsid w:val="00795D32"/>
    <w:rsid w:val="007A4BEF"/>
    <w:rsid w:val="007A6B5E"/>
    <w:rsid w:val="007B2C1A"/>
    <w:rsid w:val="007C654A"/>
    <w:rsid w:val="007C6846"/>
    <w:rsid w:val="007F0328"/>
    <w:rsid w:val="007F3715"/>
    <w:rsid w:val="00824A5E"/>
    <w:rsid w:val="008321D0"/>
    <w:rsid w:val="0084490D"/>
    <w:rsid w:val="00847C43"/>
    <w:rsid w:val="0086454E"/>
    <w:rsid w:val="00865DBE"/>
    <w:rsid w:val="00873772"/>
    <w:rsid w:val="00880DDD"/>
    <w:rsid w:val="00886A00"/>
    <w:rsid w:val="00895F4F"/>
    <w:rsid w:val="008B4832"/>
    <w:rsid w:val="008E1669"/>
    <w:rsid w:val="008E7850"/>
    <w:rsid w:val="009058B5"/>
    <w:rsid w:val="00907081"/>
    <w:rsid w:val="00915D34"/>
    <w:rsid w:val="00924491"/>
    <w:rsid w:val="009349AB"/>
    <w:rsid w:val="00952022"/>
    <w:rsid w:val="0095520E"/>
    <w:rsid w:val="009661FB"/>
    <w:rsid w:val="009678EF"/>
    <w:rsid w:val="0097329C"/>
    <w:rsid w:val="009849FA"/>
    <w:rsid w:val="0098681C"/>
    <w:rsid w:val="009A475E"/>
    <w:rsid w:val="009A65DB"/>
    <w:rsid w:val="009B11A8"/>
    <w:rsid w:val="009B7B69"/>
    <w:rsid w:val="009C0868"/>
    <w:rsid w:val="009C68B7"/>
    <w:rsid w:val="009C7954"/>
    <w:rsid w:val="009D30F5"/>
    <w:rsid w:val="009E1476"/>
    <w:rsid w:val="009E351F"/>
    <w:rsid w:val="009F6FD7"/>
    <w:rsid w:val="009F7F27"/>
    <w:rsid w:val="00A02F00"/>
    <w:rsid w:val="00A03383"/>
    <w:rsid w:val="00A067C0"/>
    <w:rsid w:val="00A15F3E"/>
    <w:rsid w:val="00A4045B"/>
    <w:rsid w:val="00A5623E"/>
    <w:rsid w:val="00A614C0"/>
    <w:rsid w:val="00A8147E"/>
    <w:rsid w:val="00A839F1"/>
    <w:rsid w:val="00A92DFA"/>
    <w:rsid w:val="00AA50F7"/>
    <w:rsid w:val="00AC01FB"/>
    <w:rsid w:val="00AC49A3"/>
    <w:rsid w:val="00AD0672"/>
    <w:rsid w:val="00AD62E6"/>
    <w:rsid w:val="00AE6962"/>
    <w:rsid w:val="00AF14F6"/>
    <w:rsid w:val="00AF2D02"/>
    <w:rsid w:val="00AF37FF"/>
    <w:rsid w:val="00AF57D3"/>
    <w:rsid w:val="00B24E64"/>
    <w:rsid w:val="00B24FC5"/>
    <w:rsid w:val="00B26160"/>
    <w:rsid w:val="00B27696"/>
    <w:rsid w:val="00B332D3"/>
    <w:rsid w:val="00B45ADE"/>
    <w:rsid w:val="00B51B97"/>
    <w:rsid w:val="00B63C39"/>
    <w:rsid w:val="00B643B0"/>
    <w:rsid w:val="00B901D5"/>
    <w:rsid w:val="00B91210"/>
    <w:rsid w:val="00B92DD6"/>
    <w:rsid w:val="00B97E55"/>
    <w:rsid w:val="00BB3D33"/>
    <w:rsid w:val="00BB4142"/>
    <w:rsid w:val="00BB5E40"/>
    <w:rsid w:val="00BC4BCD"/>
    <w:rsid w:val="00BD3BED"/>
    <w:rsid w:val="00BE0E53"/>
    <w:rsid w:val="00BF0D25"/>
    <w:rsid w:val="00BF5DBC"/>
    <w:rsid w:val="00C054CE"/>
    <w:rsid w:val="00C22580"/>
    <w:rsid w:val="00C2635A"/>
    <w:rsid w:val="00C36206"/>
    <w:rsid w:val="00C36301"/>
    <w:rsid w:val="00C63E7A"/>
    <w:rsid w:val="00C75C51"/>
    <w:rsid w:val="00C84391"/>
    <w:rsid w:val="00C84F3E"/>
    <w:rsid w:val="00C917C9"/>
    <w:rsid w:val="00C942F3"/>
    <w:rsid w:val="00C9796C"/>
    <w:rsid w:val="00CC3BDA"/>
    <w:rsid w:val="00CC48A0"/>
    <w:rsid w:val="00CC5EE9"/>
    <w:rsid w:val="00CC6E10"/>
    <w:rsid w:val="00CD079E"/>
    <w:rsid w:val="00CD0E25"/>
    <w:rsid w:val="00CD3801"/>
    <w:rsid w:val="00CD46A8"/>
    <w:rsid w:val="00CE7B32"/>
    <w:rsid w:val="00CF00E0"/>
    <w:rsid w:val="00D0060C"/>
    <w:rsid w:val="00D06D15"/>
    <w:rsid w:val="00D22221"/>
    <w:rsid w:val="00D23E4E"/>
    <w:rsid w:val="00D2414E"/>
    <w:rsid w:val="00D45889"/>
    <w:rsid w:val="00D47CDD"/>
    <w:rsid w:val="00D660D2"/>
    <w:rsid w:val="00D77507"/>
    <w:rsid w:val="00D814D9"/>
    <w:rsid w:val="00D973D2"/>
    <w:rsid w:val="00DA2B0D"/>
    <w:rsid w:val="00DA49F8"/>
    <w:rsid w:val="00DC2AA7"/>
    <w:rsid w:val="00DC2AB8"/>
    <w:rsid w:val="00DD02D6"/>
    <w:rsid w:val="00DD1AE6"/>
    <w:rsid w:val="00DE660A"/>
    <w:rsid w:val="00E01352"/>
    <w:rsid w:val="00E050A8"/>
    <w:rsid w:val="00E05EA5"/>
    <w:rsid w:val="00E40C42"/>
    <w:rsid w:val="00E417FC"/>
    <w:rsid w:val="00E4399E"/>
    <w:rsid w:val="00E5213D"/>
    <w:rsid w:val="00E52181"/>
    <w:rsid w:val="00E7448B"/>
    <w:rsid w:val="00E84E84"/>
    <w:rsid w:val="00E90879"/>
    <w:rsid w:val="00E919E6"/>
    <w:rsid w:val="00E92899"/>
    <w:rsid w:val="00E945C0"/>
    <w:rsid w:val="00E94E17"/>
    <w:rsid w:val="00EB26CD"/>
    <w:rsid w:val="00EB3596"/>
    <w:rsid w:val="00EB6CDD"/>
    <w:rsid w:val="00EC0981"/>
    <w:rsid w:val="00EC420B"/>
    <w:rsid w:val="00EE15FD"/>
    <w:rsid w:val="00F01E08"/>
    <w:rsid w:val="00F0203F"/>
    <w:rsid w:val="00F0277E"/>
    <w:rsid w:val="00F052BB"/>
    <w:rsid w:val="00F22B9F"/>
    <w:rsid w:val="00F30808"/>
    <w:rsid w:val="00F33126"/>
    <w:rsid w:val="00F51B72"/>
    <w:rsid w:val="00F64085"/>
    <w:rsid w:val="00F72FD4"/>
    <w:rsid w:val="00F7758C"/>
    <w:rsid w:val="00F81BE9"/>
    <w:rsid w:val="00F92710"/>
    <w:rsid w:val="00F93E5A"/>
    <w:rsid w:val="00FA3BCB"/>
    <w:rsid w:val="00FA48F9"/>
    <w:rsid w:val="00FB415A"/>
    <w:rsid w:val="00FD15A7"/>
    <w:rsid w:val="00FE1856"/>
    <w:rsid w:val="00FE2597"/>
    <w:rsid w:val="00FF1D9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CA573"/>
  <w15:chartTrackingRefBased/>
  <w15:docId w15:val="{9ED52F9E-5701-4705-ACE5-D4AAD346A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80" w:lineRule="exact"/>
    </w:pPr>
    <w:rPr>
      <w:rFonts w:ascii="Arial" w:hAnsi="Arial"/>
      <w:sz w:val="24"/>
      <w:lang w:eastAsia="fr-FR"/>
    </w:rPr>
  </w:style>
  <w:style w:type="paragraph" w:styleId="Titre1">
    <w:name w:val="heading 1"/>
    <w:basedOn w:val="Normal"/>
    <w:next w:val="Normal"/>
    <w:qFormat/>
    <w:pPr>
      <w:keepNext/>
      <w:spacing w:before="240" w:after="60" w:line="500" w:lineRule="exact"/>
      <w:outlineLvl w:val="0"/>
    </w:pPr>
    <w:rPr>
      <w:b/>
      <w:kern w:val="28"/>
      <w:sz w:val="28"/>
    </w:rPr>
  </w:style>
  <w:style w:type="paragraph" w:styleId="Titre2">
    <w:name w:val="heading 2"/>
    <w:basedOn w:val="Normal"/>
    <w:next w:val="Normal"/>
    <w:qFormat/>
    <w:pPr>
      <w:keepNext/>
      <w:spacing w:before="240" w:after="60"/>
      <w:outlineLvl w:val="1"/>
    </w:pPr>
    <w:rPr>
      <w:b/>
      <w:i/>
    </w:rPr>
  </w:style>
  <w:style w:type="paragraph" w:styleId="Titre3">
    <w:name w:val="heading 3"/>
    <w:basedOn w:val="Normal"/>
    <w:next w:val="Normal"/>
    <w:qFormat/>
    <w:pPr>
      <w:keepNext/>
      <w:spacing w:before="240" w:after="60"/>
      <w:outlineLvl w:val="2"/>
    </w:pPr>
  </w:style>
  <w:style w:type="paragraph" w:styleId="Titre4">
    <w:name w:val="heading 4"/>
    <w:basedOn w:val="Normal"/>
    <w:next w:val="Normal"/>
    <w:qFormat/>
    <w:pPr>
      <w:keepNext/>
      <w:spacing w:before="240" w:after="60"/>
      <w:outlineLvl w:val="3"/>
    </w:pPr>
    <w:rPr>
      <w:b/>
    </w:rPr>
  </w:style>
  <w:style w:type="paragraph" w:styleId="Titre5">
    <w:name w:val="heading 5"/>
    <w:basedOn w:val="Normal"/>
    <w:next w:val="Normal"/>
    <w:qFormat/>
    <w:pPr>
      <w:spacing w:before="240" w:after="60"/>
      <w:outlineLvl w:val="4"/>
    </w:pPr>
    <w:rPr>
      <w:sz w:val="22"/>
    </w:rPr>
  </w:style>
  <w:style w:type="paragraph" w:styleId="Titre6">
    <w:name w:val="heading 6"/>
    <w:basedOn w:val="Normal"/>
    <w:next w:val="Normal"/>
    <w:qFormat/>
    <w:pPr>
      <w:spacing w:before="240" w:after="60"/>
      <w:outlineLvl w:val="5"/>
    </w:pPr>
    <w:rPr>
      <w:i/>
      <w:sz w:val="22"/>
    </w:rPr>
  </w:style>
  <w:style w:type="paragraph" w:styleId="Titre7">
    <w:name w:val="heading 7"/>
    <w:basedOn w:val="Normal"/>
    <w:next w:val="Normal"/>
    <w:qFormat/>
    <w:pPr>
      <w:spacing w:before="240" w:after="60"/>
      <w:outlineLvl w:val="6"/>
    </w:pPr>
    <w:rPr>
      <w:sz w:val="20"/>
    </w:rPr>
  </w:style>
  <w:style w:type="paragraph" w:styleId="Titre8">
    <w:name w:val="heading 8"/>
    <w:basedOn w:val="Normal"/>
    <w:next w:val="Normal"/>
    <w:qFormat/>
    <w:pPr>
      <w:spacing w:before="240" w:after="60"/>
      <w:outlineLvl w:val="7"/>
    </w:pPr>
    <w:rPr>
      <w:i/>
      <w:sz w:val="20"/>
    </w:rPr>
  </w:style>
  <w:style w:type="paragraph" w:styleId="Titre9">
    <w:name w:val="heading 9"/>
    <w:basedOn w:val="Normal"/>
    <w:next w:val="Normal"/>
    <w:qFormat/>
    <w:pPr>
      <w:spacing w:before="240" w:after="60"/>
      <w:outlineLvl w:val="8"/>
    </w:pPr>
    <w:rPr>
      <w:b/>
      <w:i/>
      <w:sz w:val="18"/>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
    <w:name w:val="Paragraphe"/>
    <w:basedOn w:val="Normal"/>
    <w:link w:val="ParagrapheCar"/>
    <w:qFormat/>
    <w:pPr>
      <w:numPr>
        <w:numId w:val="18"/>
      </w:numPr>
      <w:tabs>
        <w:tab w:val="clear" w:pos="1146"/>
        <w:tab w:val="num" w:pos="720"/>
      </w:tabs>
      <w:spacing w:before="120" w:after="120" w:line="500" w:lineRule="exact"/>
      <w:ind w:left="0"/>
      <w:jc w:val="both"/>
    </w:pPr>
    <w:rPr>
      <w:kern w:val="28"/>
    </w:rPr>
  </w:style>
  <w:style w:type="paragraph" w:customStyle="1" w:styleId="Citationenretrait">
    <w:name w:val="Citation en retrait"/>
    <w:basedOn w:val="Normal"/>
    <w:link w:val="CitationenretraitCar"/>
    <w:qFormat/>
    <w:pPr>
      <w:spacing w:before="120" w:after="120"/>
      <w:ind w:left="720" w:right="720"/>
      <w:jc w:val="both"/>
    </w:pPr>
    <w:rPr>
      <w:kern w:val="24"/>
      <w:sz w:val="22"/>
    </w:rPr>
  </w:style>
  <w:style w:type="character" w:customStyle="1" w:styleId="Citationintgre">
    <w:name w:val="Citation intégrée"/>
    <w:rPr>
      <w:rFonts w:ascii="Arial" w:hAnsi="Arial"/>
      <w:i/>
      <w:noProof w:val="0"/>
      <w:sz w:val="22"/>
      <w:lang w:val="fr-CA"/>
    </w:rPr>
  </w:style>
  <w:style w:type="paragraph" w:styleId="Corpsdetexte">
    <w:name w:val="Body Text"/>
    <w:basedOn w:val="Normal"/>
    <w:semiHidden/>
    <w:pPr>
      <w:spacing w:after="120"/>
    </w:pPr>
  </w:style>
  <w:style w:type="paragraph" w:styleId="Notedebasdepage">
    <w:name w:val="footnote text"/>
    <w:basedOn w:val="Normal"/>
    <w:link w:val="NotedebasdepageCar"/>
    <w:uiPriority w:val="99"/>
    <w:qFormat/>
    <w:pPr>
      <w:spacing w:line="240" w:lineRule="auto"/>
      <w:ind w:left="360" w:hanging="360"/>
      <w:jc w:val="both"/>
    </w:pPr>
    <w:rPr>
      <w:sz w:val="20"/>
    </w:rPr>
  </w:style>
  <w:style w:type="paragraph" w:styleId="Notedefin">
    <w:name w:val="endnote text"/>
    <w:basedOn w:val="Normal"/>
    <w:semiHidden/>
    <w:pPr>
      <w:ind w:left="-360"/>
      <w:jc w:val="both"/>
    </w:pPr>
    <w:rPr>
      <w:sz w:val="20"/>
    </w:rPr>
  </w:style>
  <w:style w:type="paragraph" w:customStyle="1" w:styleId="zSoquijlblCour">
    <w:name w:val="zSoquij_lblCour"/>
    <w:basedOn w:val="Normal"/>
    <w:pPr>
      <w:spacing w:line="500" w:lineRule="exact"/>
      <w:jc w:val="center"/>
    </w:pPr>
    <w:rPr>
      <w:b/>
      <w:sz w:val="36"/>
    </w:rPr>
  </w:style>
  <w:style w:type="paragraph" w:customStyle="1" w:styleId="zSoquijlblPays">
    <w:name w:val="zSoquij_lblPays"/>
    <w:basedOn w:val="Normal"/>
  </w:style>
  <w:style w:type="paragraph" w:customStyle="1" w:styleId="zSoquijlblProvince">
    <w:name w:val="zSoquij_lblProvince"/>
    <w:basedOn w:val="Normal"/>
  </w:style>
  <w:style w:type="paragraph" w:customStyle="1" w:styleId="zSoquijlblGreffe">
    <w:name w:val="zSoquij_lblGreffe"/>
    <w:basedOn w:val="Normal"/>
  </w:style>
  <w:style w:type="paragraph" w:customStyle="1" w:styleId="zSoquijdatGreffe">
    <w:name w:val="zSoquij_datGreffe"/>
    <w:basedOn w:val="Normal"/>
  </w:style>
  <w:style w:type="paragraph" w:customStyle="1" w:styleId="zSoquijdatDivision">
    <w:name w:val="zSoquij_datDivision"/>
    <w:basedOn w:val="Normal"/>
    <w:pPr>
      <w:jc w:val="center"/>
    </w:pPr>
    <w:rPr>
      <w:sz w:val="22"/>
    </w:rPr>
  </w:style>
  <w:style w:type="paragraph" w:customStyle="1" w:styleId="zSoquijlblNoDossier">
    <w:name w:val="zSoquij_lblNoDossier"/>
    <w:basedOn w:val="Normal"/>
  </w:style>
  <w:style w:type="paragraph" w:customStyle="1" w:styleId="zSoquijdatNoDossier">
    <w:name w:val="zSoquij_datNoDossier"/>
    <w:basedOn w:val="Normal"/>
  </w:style>
  <w:style w:type="paragraph" w:customStyle="1" w:styleId="zSoquijdatNoDossierAnt">
    <w:name w:val="zSoquij_datNoDossierAnt"/>
    <w:basedOn w:val="Normal"/>
    <w:pPr>
      <w:ind w:left="950"/>
    </w:pPr>
  </w:style>
  <w:style w:type="paragraph" w:customStyle="1" w:styleId="zSoquijdatDateJugement">
    <w:name w:val="zSoquij_datDateJugement"/>
    <w:basedOn w:val="Normal"/>
  </w:style>
  <w:style w:type="paragraph" w:customStyle="1" w:styleId="zSoquijlblDateJugement">
    <w:name w:val="zSoquij_lblDateJugement"/>
    <w:basedOn w:val="Normal"/>
  </w:style>
  <w:style w:type="paragraph" w:customStyle="1" w:styleId="zSoquijlblJuge">
    <w:name w:val="zSoquij_lblJuge"/>
    <w:basedOn w:val="Normal"/>
    <w:rPr>
      <w:b/>
    </w:rPr>
  </w:style>
  <w:style w:type="paragraph" w:customStyle="1" w:styleId="zSoquijdatQteJuge">
    <w:name w:val="zSoquij_datQteJuge"/>
    <w:basedOn w:val="Normal"/>
    <w:rPr>
      <w:b/>
    </w:rPr>
  </w:style>
  <w:style w:type="paragraph" w:customStyle="1" w:styleId="zSoquijdatJuge">
    <w:name w:val="zSoquij_datJuge"/>
    <w:basedOn w:val="Normal"/>
    <w:rPr>
      <w:b/>
    </w:rPr>
  </w:style>
  <w:style w:type="paragraph" w:customStyle="1" w:styleId="zSoquijdatNomPartieDem">
    <w:name w:val="zSoquij_datNomPartieDem"/>
    <w:basedOn w:val="Normal"/>
    <w:rPr>
      <w:b/>
      <w:bCs/>
    </w:rPr>
  </w:style>
  <w:style w:type="paragraph" w:customStyle="1" w:styleId="zSoquijdatQtePartieDem">
    <w:name w:val="zSoquij_datQtePartieDem"/>
    <w:basedOn w:val="Normal"/>
    <w:pPr>
      <w:ind w:left="708"/>
    </w:pPr>
  </w:style>
  <w:style w:type="paragraph" w:customStyle="1" w:styleId="zSoquijlblLienParties">
    <w:name w:val="zSoquij_lblLienParties"/>
    <w:basedOn w:val="Normal"/>
  </w:style>
  <w:style w:type="paragraph" w:customStyle="1" w:styleId="zSoquijdatNomPartieDef">
    <w:name w:val="zSoquij_datNomPartieDef"/>
    <w:basedOn w:val="Normal"/>
    <w:rPr>
      <w:b/>
      <w:bCs/>
    </w:rPr>
  </w:style>
  <w:style w:type="paragraph" w:customStyle="1" w:styleId="zSoquijdatQtePartieDef">
    <w:name w:val="zSoquij_datQtePartieDef"/>
    <w:basedOn w:val="Normal"/>
    <w:pPr>
      <w:ind w:left="708"/>
    </w:pPr>
  </w:style>
  <w:style w:type="paragraph" w:customStyle="1" w:styleId="zSoquijlblTypeDocument">
    <w:name w:val="zSoquij_lblTypeDocument"/>
    <w:basedOn w:val="Normal"/>
    <w:pPr>
      <w:jc w:val="center"/>
    </w:pPr>
  </w:style>
  <w:style w:type="paragraph" w:customStyle="1" w:styleId="zSoquijlblProcureurDem">
    <w:name w:val="zSoquij_lblProcureurDem"/>
    <w:basedOn w:val="Normal"/>
  </w:style>
  <w:style w:type="paragraph" w:customStyle="1" w:styleId="zSoquijlblProcureurDef">
    <w:name w:val="zSoquij_lblProcureurDef"/>
    <w:basedOn w:val="Normal"/>
  </w:style>
  <w:style w:type="paragraph" w:customStyle="1" w:styleId="zSoquijlblDateAudience">
    <w:name w:val="zSoquij_lblDateAudience"/>
    <w:basedOn w:val="Normal"/>
  </w:style>
  <w:style w:type="paragraph" w:customStyle="1" w:styleId="zSoquijdatDateAudience">
    <w:name w:val="zSoquij_datDateAudience"/>
    <w:basedOn w:val="Normal"/>
  </w:style>
  <w:style w:type="paragraph" w:customStyle="1" w:styleId="zSoquijlblNomChambre">
    <w:name w:val="zSoquij_lblNomChambre"/>
    <w:basedOn w:val="Normal"/>
  </w:style>
  <w:style w:type="paragraph" w:customStyle="1" w:styleId="zSoquijlblOpinionJuge">
    <w:name w:val="zSoquij_lblOpinionJuge"/>
    <w:basedOn w:val="Normal"/>
    <w:pPr>
      <w:jc w:val="center"/>
    </w:pPr>
  </w:style>
  <w:style w:type="character" w:customStyle="1" w:styleId="zSoquijlblEntNoDossier">
    <w:name w:val="zSoquij_lblEntNoDossier"/>
    <w:basedOn w:val="Policepardfaut"/>
    <w:rPr>
      <w:noProof w:val="0"/>
      <w:lang w:val="fr-CA"/>
    </w:rPr>
  </w:style>
  <w:style w:type="paragraph" w:customStyle="1" w:styleId="zSoquijlblTitrePartie">
    <w:name w:val="zSoquij_lblTitrePartie"/>
    <w:basedOn w:val="Normal"/>
  </w:style>
  <w:style w:type="paragraph" w:customStyle="1" w:styleId="zSoquijdatIdJuge">
    <w:name w:val="zSoquij_datIdJuge"/>
    <w:basedOn w:val="Normal"/>
    <w:pPr>
      <w:jc w:val="right"/>
    </w:pPr>
  </w:style>
  <w:style w:type="paragraph" w:customStyle="1" w:styleId="Sous-paragraphe">
    <w:name w:val="Sous-paragraphe"/>
    <w:basedOn w:val="Normal"/>
    <w:qFormat/>
    <w:pPr>
      <w:widowControl w:val="0"/>
      <w:numPr>
        <w:ilvl w:val="1"/>
        <w:numId w:val="18"/>
      </w:numPr>
      <w:spacing w:after="120"/>
      <w:jc w:val="both"/>
    </w:pPr>
    <w:rPr>
      <w:kern w:val="28"/>
    </w:rPr>
  </w:style>
  <w:style w:type="paragraph" w:customStyle="1" w:styleId="zSoquijdatNomProcureurDem">
    <w:name w:val="zSoquij_datNomProcureurDem"/>
    <w:basedOn w:val="zSoquijlblProcureurDem"/>
    <w:pPr>
      <w:keepNext/>
    </w:pPr>
  </w:style>
  <w:style w:type="paragraph" w:customStyle="1" w:styleId="zSoquijdatNomProcureurDef">
    <w:name w:val="zSoquij_datNomProcureurDef"/>
    <w:basedOn w:val="zSoquijlblProcureurDef"/>
    <w:pPr>
      <w:keepNext/>
    </w:pPr>
  </w:style>
  <w:style w:type="paragraph" w:customStyle="1" w:styleId="zSoquijdatCabinetProcureurDem">
    <w:name w:val="zSoquij_datCabinetProcureurDem"/>
    <w:basedOn w:val="Normal"/>
    <w:pPr>
      <w:keepNext/>
    </w:pPr>
  </w:style>
  <w:style w:type="paragraph" w:customStyle="1" w:styleId="zSoquijdatCabinetProcureurDef">
    <w:name w:val="zSoquij_datCabinetProcureurDef"/>
    <w:basedOn w:val="zSoquijlblProcureurDef"/>
    <w:pPr>
      <w:keepNext/>
    </w:pPr>
  </w:style>
  <w:style w:type="paragraph" w:styleId="En-tte">
    <w:name w:val="header"/>
    <w:basedOn w:val="Normal"/>
    <w:semiHidden/>
    <w:pPr>
      <w:tabs>
        <w:tab w:val="center" w:pos="4320"/>
        <w:tab w:val="right" w:pos="8640"/>
      </w:tabs>
    </w:pPr>
  </w:style>
  <w:style w:type="paragraph" w:styleId="Pieddepage">
    <w:name w:val="footer"/>
    <w:basedOn w:val="Normal"/>
    <w:semiHidden/>
    <w:pPr>
      <w:tabs>
        <w:tab w:val="center" w:pos="4320"/>
        <w:tab w:val="right" w:pos="8640"/>
      </w:tabs>
    </w:pPr>
  </w:style>
  <w:style w:type="paragraph" w:customStyle="1" w:styleId="Tableaudroiteanglais">
    <w:name w:val="Tableau droite anglais"/>
    <w:basedOn w:val="Tableaugauchefranais"/>
    <w:pPr>
      <w:ind w:left="144" w:right="720"/>
      <w:jc w:val="both"/>
    </w:pPr>
    <w:rPr>
      <w:lang w:val="en-CA"/>
    </w:rPr>
  </w:style>
  <w:style w:type="paragraph" w:customStyle="1" w:styleId="Tableaugauchefranais">
    <w:name w:val="Tableau gauche français"/>
    <w:basedOn w:val="Normal"/>
    <w:pPr>
      <w:ind w:left="720" w:right="144"/>
    </w:pPr>
    <w:rPr>
      <w:sz w:val="22"/>
    </w:rPr>
  </w:style>
  <w:style w:type="character" w:styleId="Appelnotedebasdep">
    <w:name w:val="footnote reference"/>
    <w:uiPriority w:val="99"/>
    <w:qFormat/>
    <w:rPr>
      <w:noProof w:val="0"/>
      <w:vertAlign w:val="superscript"/>
      <w:lang w:val="fr-CA"/>
    </w:rPr>
  </w:style>
  <w:style w:type="paragraph" w:styleId="Corpsdetexte3">
    <w:name w:val="Body Text 3"/>
    <w:basedOn w:val="Normal"/>
    <w:semiHidden/>
    <w:pPr>
      <w:spacing w:after="120"/>
    </w:pPr>
    <w:rPr>
      <w:sz w:val="16"/>
    </w:rPr>
  </w:style>
  <w:style w:type="paragraph" w:customStyle="1" w:styleId="zSoquijdatRepertorie">
    <w:name w:val="zSoquij_datRepertorie"/>
    <w:basedOn w:val="zSoquijlblCour"/>
    <w:pPr>
      <w:spacing w:line="240" w:lineRule="auto"/>
      <w:jc w:val="left"/>
    </w:pPr>
    <w:rPr>
      <w:sz w:val="22"/>
    </w:rPr>
  </w:style>
  <w:style w:type="paragraph" w:customStyle="1" w:styleId="zSoquijdatRefNeutre">
    <w:name w:val="zSoquij_datRefNeutre"/>
    <w:basedOn w:val="zSoquijlblCour"/>
    <w:pPr>
      <w:spacing w:line="240" w:lineRule="auto"/>
      <w:jc w:val="left"/>
    </w:pPr>
    <w:rPr>
      <w:sz w:val="22"/>
    </w:rPr>
  </w:style>
  <w:style w:type="table" w:styleId="Grilledutableau">
    <w:name w:val="Table Grid"/>
    <w:basedOn w:val="TableauNormal"/>
    <w:uiPriority w:val="39"/>
    <w:rsid w:val="00E20E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E3239"/>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E3239"/>
    <w:rPr>
      <w:rFonts w:ascii="Segoe UI" w:hAnsi="Segoe UI" w:cs="Segoe UI"/>
      <w:sz w:val="18"/>
      <w:szCs w:val="18"/>
      <w:lang w:eastAsia="fr-FR"/>
    </w:rPr>
  </w:style>
  <w:style w:type="character" w:customStyle="1" w:styleId="ParagrapheCar">
    <w:name w:val="Paragraphe Car"/>
    <w:link w:val="Paragraphe"/>
    <w:qFormat/>
    <w:locked/>
    <w:rsid w:val="0006652C"/>
    <w:rPr>
      <w:rFonts w:ascii="Arial" w:hAnsi="Arial"/>
      <w:kern w:val="28"/>
      <w:sz w:val="24"/>
      <w:lang w:eastAsia="fr-FR"/>
    </w:rPr>
  </w:style>
  <w:style w:type="character" w:customStyle="1" w:styleId="reflex2-link">
    <w:name w:val="reflex2-link"/>
    <w:rsid w:val="00BA7985"/>
  </w:style>
  <w:style w:type="character" w:customStyle="1" w:styleId="NotedebasdepageCar">
    <w:name w:val="Note de bas de page Car"/>
    <w:link w:val="Notedebasdepage"/>
    <w:uiPriority w:val="99"/>
    <w:rsid w:val="00504A88"/>
    <w:rPr>
      <w:rFonts w:ascii="Arial" w:hAnsi="Arial"/>
      <w:lang w:eastAsia="fr-FR"/>
    </w:rPr>
  </w:style>
  <w:style w:type="character" w:customStyle="1" w:styleId="CitationenretraitCar">
    <w:name w:val="Citation en retrait Car"/>
    <w:link w:val="Citationenretrait"/>
    <w:rsid w:val="00075153"/>
    <w:rPr>
      <w:rFonts w:ascii="Arial" w:hAnsi="Arial"/>
      <w:kern w:val="24"/>
      <w:sz w:val="22"/>
      <w:lang w:eastAsia="fr-FR"/>
    </w:rPr>
  </w:style>
  <w:style w:type="character" w:customStyle="1" w:styleId="Aucun">
    <w:name w:val="Aucun"/>
    <w:rsid w:val="00075153"/>
    <w:rPr>
      <w:lang w:val="fr-FR"/>
    </w:rPr>
  </w:style>
  <w:style w:type="character" w:customStyle="1" w:styleId="aucun0">
    <w:name w:val="aucun"/>
    <w:basedOn w:val="Policepardfaut"/>
    <w:rsid w:val="00075153"/>
  </w:style>
  <w:style w:type="character" w:styleId="Marquedecommentaire">
    <w:name w:val="annotation reference"/>
    <w:basedOn w:val="Policepardfaut"/>
    <w:uiPriority w:val="99"/>
    <w:semiHidden/>
    <w:unhideWhenUsed/>
    <w:rsid w:val="00DD1AE6"/>
    <w:rPr>
      <w:sz w:val="16"/>
      <w:szCs w:val="16"/>
    </w:rPr>
  </w:style>
  <w:style w:type="paragraph" w:styleId="Commentaire">
    <w:name w:val="annotation text"/>
    <w:basedOn w:val="Normal"/>
    <w:link w:val="CommentaireCar"/>
    <w:uiPriority w:val="99"/>
    <w:semiHidden/>
    <w:unhideWhenUsed/>
    <w:rsid w:val="00DD1AE6"/>
    <w:pPr>
      <w:spacing w:line="240" w:lineRule="auto"/>
    </w:pPr>
    <w:rPr>
      <w:sz w:val="20"/>
    </w:rPr>
  </w:style>
  <w:style w:type="character" w:customStyle="1" w:styleId="CommentaireCar">
    <w:name w:val="Commentaire Car"/>
    <w:basedOn w:val="Policepardfaut"/>
    <w:link w:val="Commentaire"/>
    <w:uiPriority w:val="99"/>
    <w:semiHidden/>
    <w:rsid w:val="00DD1AE6"/>
    <w:rPr>
      <w:rFonts w:ascii="Arial" w:hAnsi="Arial"/>
      <w:lang w:eastAsia="fr-FR"/>
    </w:rPr>
  </w:style>
  <w:style w:type="paragraph" w:styleId="Objetducommentaire">
    <w:name w:val="annotation subject"/>
    <w:basedOn w:val="Commentaire"/>
    <w:next w:val="Commentaire"/>
    <w:link w:val="ObjetducommentaireCar"/>
    <w:uiPriority w:val="99"/>
    <w:semiHidden/>
    <w:unhideWhenUsed/>
    <w:rsid w:val="00DD1AE6"/>
    <w:rPr>
      <w:b/>
      <w:bCs/>
    </w:rPr>
  </w:style>
  <w:style w:type="character" w:customStyle="1" w:styleId="ObjetducommentaireCar">
    <w:name w:val="Objet du commentaire Car"/>
    <w:basedOn w:val="CommentaireCar"/>
    <w:link w:val="Objetducommentaire"/>
    <w:uiPriority w:val="99"/>
    <w:semiHidden/>
    <w:rsid w:val="00DD1AE6"/>
    <w:rPr>
      <w:rFonts w:ascii="Arial" w:hAnsi="Arial"/>
      <w:b/>
      <w:bCs/>
      <w:lang w:eastAsia="fr-FR"/>
    </w:rPr>
  </w:style>
  <w:style w:type="character" w:styleId="Lienhypertexte">
    <w:name w:val="Hyperlink"/>
    <w:basedOn w:val="Policepardfaut"/>
    <w:uiPriority w:val="99"/>
    <w:unhideWhenUsed/>
    <w:rsid w:val="00B643B0"/>
    <w:rPr>
      <w:color w:val="0000FF"/>
      <w:u w:val="single"/>
    </w:rPr>
  </w:style>
  <w:style w:type="character" w:customStyle="1" w:styleId="sectionlabel">
    <w:name w:val="sectionlabel"/>
    <w:basedOn w:val="Policepardfaut"/>
    <w:rsid w:val="00D775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3546A-3070-4C34-848B-0AC57FDED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12278</Words>
  <Characters>67535</Characters>
  <Application>Microsoft Office Word</Application>
  <DocSecurity>0</DocSecurity>
  <Lines>562</Lines>
  <Paragraphs>159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Tourangeau, Guylaine</dc:creator>
  <cp:lastModifiedBy>trad-rev</cp:lastModifiedBy>
  <cp:revision>2</cp:revision>
  <dcterms:created xsi:type="dcterms:W3CDTF">2022-08-02T16:54:00Z</dcterms:created>
  <dcterms:modified xsi:type="dcterms:W3CDTF">2022-08-02T16:54:00Z</dcterms:modified>
</cp:coreProperties>
</file>